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2ADAF" w14:textId="77777777" w:rsidR="00E56AAB" w:rsidRPr="004453A7" w:rsidRDefault="00E56AAB" w:rsidP="0053501D">
      <w:pPr>
        <w:pStyle w:val="Paprastasistekstas"/>
        <w:tabs>
          <w:tab w:val="left" w:pos="4962"/>
        </w:tabs>
        <w:rPr>
          <w:rFonts w:ascii="Times New Roman" w:hAnsi="Times New Roman"/>
          <w:snapToGrid w:val="0"/>
          <w:color w:val="000000"/>
          <w:sz w:val="24"/>
          <w:lang w:val="lt-LT"/>
        </w:rPr>
      </w:pPr>
    </w:p>
    <w:p w14:paraId="457DE00D" w14:textId="77777777" w:rsidR="000A79DC" w:rsidRPr="004453A7" w:rsidRDefault="000A79DC" w:rsidP="001A3DF1">
      <w:pPr>
        <w:pStyle w:val="Paprastasistekstas"/>
        <w:tabs>
          <w:tab w:val="left" w:pos="4962"/>
        </w:tabs>
        <w:rPr>
          <w:rFonts w:ascii="Times New Roman" w:hAnsi="Times New Roman"/>
          <w:color w:val="000000"/>
          <w:sz w:val="24"/>
          <w:lang w:val="lt-LT"/>
        </w:rPr>
      </w:pPr>
    </w:p>
    <w:p w14:paraId="09092586" w14:textId="77777777" w:rsidR="005D00C0" w:rsidRPr="004453A7" w:rsidRDefault="005D00C0" w:rsidP="0053501D">
      <w:pPr>
        <w:pStyle w:val="Paprastasistekstas"/>
        <w:rPr>
          <w:rFonts w:ascii="Times New Roman" w:hAnsi="Times New Roman"/>
          <w:color w:val="000000"/>
          <w:sz w:val="24"/>
          <w:szCs w:val="24"/>
          <w:lang w:val="lt-LT"/>
        </w:rPr>
      </w:pPr>
    </w:p>
    <w:p w14:paraId="3EF12E24" w14:textId="77777777" w:rsidR="00F34163" w:rsidRPr="004453A7" w:rsidRDefault="00F34163" w:rsidP="00F34163">
      <w:pPr>
        <w:outlineLvl w:val="0"/>
        <w:rPr>
          <w:b/>
          <w:lang w:val="lt-LT"/>
        </w:rPr>
      </w:pPr>
    </w:p>
    <w:p w14:paraId="4583F837" w14:textId="77777777" w:rsidR="00F34163" w:rsidRPr="004453A7" w:rsidRDefault="00F34163" w:rsidP="00F34163">
      <w:pPr>
        <w:outlineLvl w:val="0"/>
        <w:rPr>
          <w:b/>
          <w:lang w:val="lt-LT"/>
        </w:rPr>
      </w:pPr>
    </w:p>
    <w:p w14:paraId="72D6275A" w14:textId="77777777" w:rsidR="00F34163" w:rsidRPr="004453A7" w:rsidRDefault="00F34163" w:rsidP="00F34163">
      <w:pPr>
        <w:outlineLvl w:val="0"/>
        <w:rPr>
          <w:b/>
          <w:lang w:val="lt-LT"/>
        </w:rPr>
      </w:pPr>
    </w:p>
    <w:p w14:paraId="1CB08B94" w14:textId="77777777" w:rsidR="00F34163" w:rsidRPr="004453A7" w:rsidRDefault="00F34163" w:rsidP="00F34163">
      <w:pPr>
        <w:outlineLvl w:val="0"/>
        <w:rPr>
          <w:b/>
          <w:lang w:val="lt-LT"/>
        </w:rPr>
      </w:pPr>
    </w:p>
    <w:p w14:paraId="3BE76530" w14:textId="77777777" w:rsidR="00F34163" w:rsidRPr="004453A7" w:rsidRDefault="00F34163" w:rsidP="00F34163">
      <w:pPr>
        <w:tabs>
          <w:tab w:val="left" w:pos="-1440"/>
          <w:tab w:val="left" w:pos="-720"/>
        </w:tabs>
        <w:rPr>
          <w:b/>
          <w:lang w:val="lt-LT"/>
        </w:rPr>
      </w:pPr>
    </w:p>
    <w:p w14:paraId="3721B3A9" w14:textId="77777777" w:rsidR="00F34163" w:rsidRPr="004453A7" w:rsidRDefault="00F34163" w:rsidP="00F34163">
      <w:pPr>
        <w:tabs>
          <w:tab w:val="left" w:pos="-1440"/>
          <w:tab w:val="left" w:pos="-720"/>
        </w:tabs>
        <w:rPr>
          <w:b/>
          <w:lang w:val="lt-LT"/>
        </w:rPr>
      </w:pPr>
    </w:p>
    <w:p w14:paraId="22F63057" w14:textId="77777777" w:rsidR="00F34163" w:rsidRPr="004453A7" w:rsidRDefault="00F34163" w:rsidP="00F34163">
      <w:pPr>
        <w:tabs>
          <w:tab w:val="left" w:pos="-1440"/>
          <w:tab w:val="left" w:pos="-720"/>
        </w:tabs>
        <w:rPr>
          <w:b/>
          <w:lang w:val="lt-LT"/>
        </w:rPr>
      </w:pPr>
    </w:p>
    <w:p w14:paraId="59A93A31" w14:textId="77777777" w:rsidR="00F34163" w:rsidRPr="004453A7" w:rsidRDefault="00F34163" w:rsidP="00F34163">
      <w:pPr>
        <w:tabs>
          <w:tab w:val="left" w:pos="-1440"/>
          <w:tab w:val="left" w:pos="-720"/>
        </w:tabs>
        <w:rPr>
          <w:b/>
          <w:lang w:val="lt-LT"/>
        </w:rPr>
      </w:pPr>
    </w:p>
    <w:p w14:paraId="4C2A59AB" w14:textId="77777777" w:rsidR="00F34163" w:rsidRPr="004453A7" w:rsidRDefault="00F34163" w:rsidP="00F34163">
      <w:pPr>
        <w:tabs>
          <w:tab w:val="left" w:pos="-1440"/>
          <w:tab w:val="left" w:pos="-720"/>
        </w:tabs>
        <w:rPr>
          <w:b/>
          <w:lang w:val="lt-LT"/>
        </w:rPr>
      </w:pPr>
    </w:p>
    <w:p w14:paraId="0FBED63B" w14:textId="77777777" w:rsidR="00F34163" w:rsidRPr="004453A7" w:rsidRDefault="00F34163" w:rsidP="00F34163">
      <w:pPr>
        <w:tabs>
          <w:tab w:val="left" w:pos="-1440"/>
          <w:tab w:val="left" w:pos="-720"/>
        </w:tabs>
        <w:rPr>
          <w:b/>
          <w:lang w:val="lt-LT"/>
        </w:rPr>
      </w:pPr>
    </w:p>
    <w:p w14:paraId="272D587F" w14:textId="77777777" w:rsidR="00F34163" w:rsidRPr="004453A7" w:rsidRDefault="00F34163" w:rsidP="00F34163">
      <w:pPr>
        <w:tabs>
          <w:tab w:val="left" w:pos="-1440"/>
          <w:tab w:val="left" w:pos="-720"/>
        </w:tabs>
        <w:rPr>
          <w:b/>
          <w:lang w:val="lt-LT"/>
        </w:rPr>
      </w:pPr>
    </w:p>
    <w:p w14:paraId="11A8C96B" w14:textId="77777777" w:rsidR="00F34163" w:rsidRPr="004453A7" w:rsidRDefault="00F34163" w:rsidP="00F34163">
      <w:pPr>
        <w:tabs>
          <w:tab w:val="left" w:pos="-1440"/>
          <w:tab w:val="left" w:pos="-720"/>
        </w:tabs>
        <w:rPr>
          <w:b/>
          <w:lang w:val="lt-LT"/>
        </w:rPr>
      </w:pPr>
    </w:p>
    <w:p w14:paraId="1343DA14" w14:textId="77777777" w:rsidR="00F34163" w:rsidRPr="004453A7" w:rsidRDefault="00F34163" w:rsidP="00F34163">
      <w:pPr>
        <w:tabs>
          <w:tab w:val="left" w:pos="-1440"/>
          <w:tab w:val="left" w:pos="-720"/>
        </w:tabs>
        <w:rPr>
          <w:b/>
          <w:lang w:val="lt-LT"/>
        </w:rPr>
      </w:pPr>
    </w:p>
    <w:p w14:paraId="2D11DA54" w14:textId="77777777" w:rsidR="00F34163" w:rsidRPr="004453A7" w:rsidRDefault="00F34163" w:rsidP="00F34163">
      <w:pPr>
        <w:tabs>
          <w:tab w:val="left" w:pos="-1440"/>
          <w:tab w:val="left" w:pos="-720"/>
        </w:tabs>
        <w:rPr>
          <w:b/>
          <w:lang w:val="lt-LT"/>
        </w:rPr>
      </w:pPr>
    </w:p>
    <w:p w14:paraId="20F190AC" w14:textId="77777777" w:rsidR="00F34163" w:rsidRPr="004453A7" w:rsidRDefault="00F34163" w:rsidP="00F34163">
      <w:pPr>
        <w:tabs>
          <w:tab w:val="left" w:pos="-1440"/>
          <w:tab w:val="left" w:pos="-720"/>
        </w:tabs>
        <w:rPr>
          <w:b/>
          <w:lang w:val="lt-LT"/>
        </w:rPr>
      </w:pPr>
    </w:p>
    <w:p w14:paraId="6E47ED40" w14:textId="77777777" w:rsidR="00F34163" w:rsidRPr="004453A7" w:rsidRDefault="00F34163" w:rsidP="00F34163">
      <w:pPr>
        <w:tabs>
          <w:tab w:val="left" w:pos="-1440"/>
          <w:tab w:val="left" w:pos="-720"/>
        </w:tabs>
        <w:rPr>
          <w:b/>
          <w:lang w:val="lt-LT"/>
        </w:rPr>
      </w:pPr>
    </w:p>
    <w:p w14:paraId="58659720" w14:textId="77777777" w:rsidR="00F34163" w:rsidRPr="004453A7" w:rsidRDefault="00F34163" w:rsidP="00F34163">
      <w:pPr>
        <w:tabs>
          <w:tab w:val="left" w:pos="-1440"/>
          <w:tab w:val="left" w:pos="-720"/>
        </w:tabs>
        <w:rPr>
          <w:b/>
          <w:lang w:val="lt-LT"/>
        </w:rPr>
      </w:pPr>
    </w:p>
    <w:p w14:paraId="4C638F99" w14:textId="77777777" w:rsidR="00F34163" w:rsidRPr="004453A7" w:rsidRDefault="00F34163" w:rsidP="00F34163">
      <w:pPr>
        <w:tabs>
          <w:tab w:val="left" w:pos="-1440"/>
          <w:tab w:val="left" w:pos="-720"/>
        </w:tabs>
        <w:rPr>
          <w:b/>
          <w:lang w:val="lt-LT"/>
        </w:rPr>
      </w:pPr>
    </w:p>
    <w:p w14:paraId="2288CCC8" w14:textId="77777777" w:rsidR="00F34163" w:rsidRPr="004453A7" w:rsidRDefault="00F34163" w:rsidP="00F34163">
      <w:pPr>
        <w:tabs>
          <w:tab w:val="left" w:pos="-1440"/>
          <w:tab w:val="left" w:pos="-720"/>
        </w:tabs>
        <w:rPr>
          <w:b/>
          <w:lang w:val="lt-LT"/>
        </w:rPr>
      </w:pPr>
    </w:p>
    <w:p w14:paraId="7524D338" w14:textId="77777777" w:rsidR="00F34163" w:rsidRPr="004453A7" w:rsidRDefault="00F34163" w:rsidP="00F34163">
      <w:pPr>
        <w:tabs>
          <w:tab w:val="left" w:pos="-1440"/>
          <w:tab w:val="left" w:pos="-720"/>
        </w:tabs>
        <w:rPr>
          <w:b/>
          <w:lang w:val="lt-LT"/>
        </w:rPr>
      </w:pPr>
    </w:p>
    <w:p w14:paraId="20C7FEE3" w14:textId="77777777" w:rsidR="00F34163" w:rsidRPr="004453A7" w:rsidRDefault="00F34163" w:rsidP="00F34163">
      <w:pPr>
        <w:tabs>
          <w:tab w:val="left" w:pos="-1440"/>
          <w:tab w:val="left" w:pos="-720"/>
        </w:tabs>
        <w:rPr>
          <w:b/>
          <w:lang w:val="lt-LT"/>
        </w:rPr>
      </w:pPr>
    </w:p>
    <w:p w14:paraId="338A018A" w14:textId="77777777" w:rsidR="00F34163" w:rsidRPr="004453A7" w:rsidRDefault="00F34163" w:rsidP="00F34163">
      <w:pPr>
        <w:tabs>
          <w:tab w:val="left" w:pos="-1440"/>
          <w:tab w:val="left" w:pos="-720"/>
        </w:tabs>
        <w:rPr>
          <w:b/>
          <w:lang w:val="lt-LT"/>
        </w:rPr>
      </w:pPr>
    </w:p>
    <w:p w14:paraId="5069D204" w14:textId="77777777" w:rsidR="00F34163" w:rsidRPr="004453A7" w:rsidRDefault="00F34163" w:rsidP="00F34163">
      <w:pPr>
        <w:pStyle w:val="Antrat2"/>
        <w:spacing w:before="0" w:after="0" w:line="240" w:lineRule="auto"/>
        <w:jc w:val="center"/>
        <w:rPr>
          <w:rFonts w:ascii="Times New Roman" w:hAnsi="Times New Roman"/>
          <w:bCs w:val="0"/>
          <w:i w:val="0"/>
          <w:iCs w:val="0"/>
          <w:sz w:val="22"/>
          <w:szCs w:val="24"/>
          <w:lang w:val="lt-LT"/>
        </w:rPr>
      </w:pPr>
      <w:r w:rsidRPr="004453A7">
        <w:rPr>
          <w:rFonts w:ascii="Times New Roman" w:hAnsi="Times New Roman"/>
          <w:i w:val="0"/>
          <w:sz w:val="22"/>
          <w:lang w:val="lt-LT"/>
        </w:rPr>
        <w:t>I PRIEDAS</w:t>
      </w:r>
    </w:p>
    <w:p w14:paraId="06AAB6DA" w14:textId="77777777" w:rsidR="00F34163" w:rsidRPr="004453A7" w:rsidRDefault="00F34163" w:rsidP="00F34163">
      <w:pPr>
        <w:spacing w:line="240" w:lineRule="auto"/>
        <w:rPr>
          <w:szCs w:val="24"/>
          <w:lang w:val="lt-LT"/>
        </w:rPr>
      </w:pPr>
    </w:p>
    <w:p w14:paraId="5E35830A" w14:textId="77777777" w:rsidR="00F34163" w:rsidRPr="004453A7" w:rsidRDefault="00F34163" w:rsidP="00F34163">
      <w:pPr>
        <w:tabs>
          <w:tab w:val="left" w:pos="-1440"/>
          <w:tab w:val="left" w:pos="-720"/>
        </w:tabs>
        <w:jc w:val="center"/>
        <w:rPr>
          <w:b/>
          <w:lang w:val="lt-LT"/>
        </w:rPr>
      </w:pPr>
      <w:r w:rsidRPr="004453A7">
        <w:rPr>
          <w:b/>
          <w:lang w:val="lt-LT"/>
        </w:rPr>
        <w:t>PREPARATO CHARAKTERISTIKŲ SANTRAUKA</w:t>
      </w:r>
    </w:p>
    <w:p w14:paraId="45F0F92A" w14:textId="77777777" w:rsidR="00F34163" w:rsidRPr="004453A7" w:rsidRDefault="00F34163" w:rsidP="0053501D">
      <w:pPr>
        <w:tabs>
          <w:tab w:val="left" w:pos="-1440"/>
          <w:tab w:val="left" w:pos="-720"/>
        </w:tabs>
        <w:rPr>
          <w:b/>
          <w:lang w:val="lt-LT"/>
        </w:rPr>
      </w:pPr>
      <w:r w:rsidRPr="004453A7">
        <w:rPr>
          <w:lang w:val="lt-LT" w:eastAsia="zh-CN"/>
        </w:rPr>
        <w:br w:type="page"/>
      </w:r>
      <w:r w:rsidRPr="004453A7">
        <w:rPr>
          <w:b/>
          <w:lang w:val="lt-LT"/>
        </w:rPr>
        <w:lastRenderedPageBreak/>
        <w:t>1.</w:t>
      </w:r>
      <w:r w:rsidRPr="004453A7">
        <w:rPr>
          <w:b/>
          <w:lang w:val="lt-LT"/>
        </w:rPr>
        <w:tab/>
        <w:t>VAISTINIO PREPARATO PAVADINIMAS</w:t>
      </w:r>
    </w:p>
    <w:p w14:paraId="489394A0" w14:textId="77777777" w:rsidR="00F34163" w:rsidRPr="004453A7" w:rsidRDefault="00F34163" w:rsidP="00F34163">
      <w:pPr>
        <w:rPr>
          <w:szCs w:val="24"/>
          <w:lang w:val="lt-LT"/>
        </w:rPr>
      </w:pPr>
    </w:p>
    <w:p w14:paraId="60B9AC31" w14:textId="77777777" w:rsidR="00F34163" w:rsidRPr="004453A7" w:rsidRDefault="0053501D" w:rsidP="0053501D">
      <w:pPr>
        <w:rPr>
          <w:szCs w:val="24"/>
          <w:lang w:val="lt-LT"/>
        </w:rPr>
      </w:pPr>
      <w:r w:rsidRPr="004453A7">
        <w:rPr>
          <w:noProof/>
          <w:lang w:val="lt-LT"/>
        </w:rPr>
        <w:t>Icatibant Teva 30 mg</w:t>
      </w:r>
      <w:r w:rsidRPr="004453A7">
        <w:rPr>
          <w:lang w:val="lt-LT"/>
        </w:rPr>
        <w:t xml:space="preserve"> injekcinis tirpalas užpildytame švirkšte</w:t>
      </w:r>
    </w:p>
    <w:p w14:paraId="4E0FCD7C" w14:textId="77777777" w:rsidR="00F34163" w:rsidRDefault="00F34163" w:rsidP="00F34163">
      <w:pPr>
        <w:rPr>
          <w:szCs w:val="24"/>
          <w:lang w:val="lt-LT"/>
        </w:rPr>
      </w:pPr>
    </w:p>
    <w:p w14:paraId="4F4AE749" w14:textId="77777777" w:rsidR="005F037A" w:rsidRPr="004453A7" w:rsidRDefault="005F037A" w:rsidP="00F34163">
      <w:pPr>
        <w:rPr>
          <w:szCs w:val="24"/>
          <w:lang w:val="lt-LT"/>
        </w:rPr>
      </w:pPr>
    </w:p>
    <w:p w14:paraId="0797C22D"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2.</w:t>
      </w:r>
      <w:r w:rsidRPr="004453A7">
        <w:rPr>
          <w:rFonts w:ascii="Times New Roman" w:hAnsi="Times New Roman"/>
          <w:sz w:val="22"/>
          <w:lang w:val="lt-LT"/>
        </w:rPr>
        <w:tab/>
        <w:t>KOKYBINĖ IR KIEKYBINĖ SUDĖTIS</w:t>
      </w:r>
    </w:p>
    <w:p w14:paraId="6400E5FA" w14:textId="77777777" w:rsidR="00F34163" w:rsidRPr="004453A7" w:rsidRDefault="00F34163" w:rsidP="00F34163">
      <w:pPr>
        <w:rPr>
          <w:szCs w:val="24"/>
          <w:lang w:val="lt-LT"/>
        </w:rPr>
      </w:pPr>
    </w:p>
    <w:p w14:paraId="1183996A" w14:textId="77777777" w:rsidR="002A3840" w:rsidRPr="004453A7" w:rsidRDefault="002A3840" w:rsidP="00F34163">
      <w:pPr>
        <w:rPr>
          <w:lang w:val="lt-LT"/>
        </w:rPr>
      </w:pPr>
      <w:r w:rsidRPr="004453A7">
        <w:rPr>
          <w:lang w:val="lt-LT"/>
        </w:rPr>
        <w:t>Kiekviename 3 </w:t>
      </w:r>
      <w:r w:rsidR="0053501D" w:rsidRPr="004453A7">
        <w:rPr>
          <w:lang w:val="lt-LT"/>
        </w:rPr>
        <w:t>ml užpildytame švirkšte yra ikatib</w:t>
      </w:r>
      <w:r w:rsidRPr="004453A7">
        <w:rPr>
          <w:lang w:val="lt-LT"/>
        </w:rPr>
        <w:t>anto acetato, kuris atitinka 30 </w:t>
      </w:r>
      <w:r w:rsidR="0053501D" w:rsidRPr="004453A7">
        <w:rPr>
          <w:lang w:val="lt-LT"/>
        </w:rPr>
        <w:t>mg ikatibanto.</w:t>
      </w:r>
    </w:p>
    <w:p w14:paraId="00A13913" w14:textId="77777777" w:rsidR="0053501D" w:rsidRPr="004453A7" w:rsidRDefault="002A3840" w:rsidP="00F34163">
      <w:pPr>
        <w:rPr>
          <w:lang w:val="lt-LT"/>
        </w:rPr>
      </w:pPr>
      <w:r w:rsidRPr="004453A7">
        <w:rPr>
          <w:lang w:val="lt-LT"/>
        </w:rPr>
        <w:t>Kiekviename tirpalo ml yra 10 </w:t>
      </w:r>
      <w:r w:rsidR="0053501D" w:rsidRPr="004453A7">
        <w:rPr>
          <w:lang w:val="lt-LT"/>
        </w:rPr>
        <w:t xml:space="preserve">mg ikatibanto. </w:t>
      </w:r>
    </w:p>
    <w:p w14:paraId="44173EE8" w14:textId="77777777" w:rsidR="0053501D" w:rsidRPr="004453A7" w:rsidRDefault="0053501D" w:rsidP="00F34163">
      <w:pPr>
        <w:rPr>
          <w:lang w:val="lt-LT"/>
        </w:rPr>
      </w:pPr>
    </w:p>
    <w:p w14:paraId="4AD51C2E" w14:textId="77777777" w:rsidR="00F34163" w:rsidRPr="004453A7" w:rsidRDefault="0053501D" w:rsidP="00F34163">
      <w:pPr>
        <w:rPr>
          <w:szCs w:val="24"/>
          <w:lang w:val="lt-LT"/>
        </w:rPr>
      </w:pPr>
      <w:r w:rsidRPr="004453A7">
        <w:rPr>
          <w:lang w:val="lt-LT"/>
        </w:rPr>
        <w:t>Visos pagalbinės medžiagos išvardintos 6.1 skyriuje</w:t>
      </w:r>
      <w:r w:rsidR="00342884">
        <w:rPr>
          <w:lang w:val="lt-LT"/>
        </w:rPr>
        <w:t>.</w:t>
      </w:r>
    </w:p>
    <w:p w14:paraId="6CA6E41B" w14:textId="77777777" w:rsidR="00F34163" w:rsidRDefault="00F34163" w:rsidP="00F34163">
      <w:pPr>
        <w:rPr>
          <w:szCs w:val="24"/>
          <w:lang w:val="lt-LT"/>
        </w:rPr>
      </w:pPr>
    </w:p>
    <w:p w14:paraId="5989C004" w14:textId="77777777" w:rsidR="005F037A" w:rsidRPr="004453A7" w:rsidRDefault="005F037A" w:rsidP="00F34163">
      <w:pPr>
        <w:rPr>
          <w:szCs w:val="24"/>
          <w:lang w:val="lt-LT"/>
        </w:rPr>
      </w:pPr>
    </w:p>
    <w:p w14:paraId="14983BFD"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3.</w:t>
      </w:r>
      <w:r w:rsidRPr="004453A7">
        <w:rPr>
          <w:rFonts w:ascii="Times New Roman" w:hAnsi="Times New Roman"/>
          <w:sz w:val="22"/>
          <w:lang w:val="lt-LT"/>
        </w:rPr>
        <w:tab/>
        <w:t>FARMACINĖ FORMA</w:t>
      </w:r>
    </w:p>
    <w:p w14:paraId="2F4206EB" w14:textId="77777777" w:rsidR="00F34163" w:rsidRPr="004453A7" w:rsidRDefault="00F34163" w:rsidP="00F34163">
      <w:pPr>
        <w:rPr>
          <w:szCs w:val="24"/>
          <w:lang w:val="lt-LT"/>
        </w:rPr>
      </w:pPr>
    </w:p>
    <w:p w14:paraId="13102D15" w14:textId="77777777" w:rsidR="0053501D" w:rsidRPr="004453A7" w:rsidRDefault="0053501D" w:rsidP="0053501D">
      <w:pPr>
        <w:rPr>
          <w:lang w:val="lt-LT"/>
        </w:rPr>
      </w:pPr>
      <w:r w:rsidRPr="004453A7">
        <w:rPr>
          <w:lang w:val="lt-LT"/>
        </w:rPr>
        <w:t>Injekcinis tirpalas</w:t>
      </w:r>
      <w:r w:rsidR="002A3840" w:rsidRPr="004453A7">
        <w:rPr>
          <w:lang w:val="lt-LT"/>
        </w:rPr>
        <w:t xml:space="preserve"> užpildytame švirkšte (injekcija)</w:t>
      </w:r>
      <w:r w:rsidRPr="004453A7">
        <w:rPr>
          <w:lang w:val="lt-LT"/>
        </w:rPr>
        <w:t xml:space="preserve">. </w:t>
      </w:r>
    </w:p>
    <w:p w14:paraId="6E9E2B95" w14:textId="77777777" w:rsidR="00F34163" w:rsidRPr="004453A7" w:rsidRDefault="0053501D" w:rsidP="0053501D">
      <w:pPr>
        <w:rPr>
          <w:lang w:val="lt-LT"/>
        </w:rPr>
      </w:pPr>
      <w:r w:rsidRPr="004453A7">
        <w:rPr>
          <w:lang w:val="lt-LT"/>
        </w:rPr>
        <w:t>Tirpalas yra skaidrus ir bespalvis skystis.</w:t>
      </w:r>
    </w:p>
    <w:p w14:paraId="44FAF2BB" w14:textId="77777777" w:rsidR="002A3840" w:rsidRPr="004453A7" w:rsidRDefault="002A3840" w:rsidP="0053501D">
      <w:pPr>
        <w:rPr>
          <w:lang w:val="lt-LT"/>
        </w:rPr>
      </w:pPr>
      <w:r w:rsidRPr="004453A7">
        <w:rPr>
          <w:lang w:val="lt-LT"/>
        </w:rPr>
        <w:t>pH: 5,2-5,8.</w:t>
      </w:r>
    </w:p>
    <w:p w14:paraId="6A3ED6A8" w14:textId="77777777" w:rsidR="002A3840" w:rsidRPr="004453A7" w:rsidRDefault="00EB3C73" w:rsidP="0053501D">
      <w:pPr>
        <w:rPr>
          <w:szCs w:val="24"/>
          <w:lang w:val="lt-LT"/>
        </w:rPr>
      </w:pPr>
      <w:r w:rsidRPr="004453A7">
        <w:rPr>
          <w:lang w:val="lt-LT"/>
        </w:rPr>
        <w:t>Osmoliariškumas: 285-330 </w:t>
      </w:r>
      <w:r w:rsidR="002A3840" w:rsidRPr="004453A7">
        <w:rPr>
          <w:lang w:val="lt-LT"/>
        </w:rPr>
        <w:t>mOsm/kg.</w:t>
      </w:r>
    </w:p>
    <w:p w14:paraId="07BDEC5C" w14:textId="77777777" w:rsidR="0053501D" w:rsidRDefault="0053501D" w:rsidP="00F34163">
      <w:pPr>
        <w:pStyle w:val="Antrat3"/>
        <w:spacing w:before="0" w:after="0" w:line="240" w:lineRule="auto"/>
        <w:rPr>
          <w:rFonts w:ascii="Times New Roman" w:hAnsi="Times New Roman"/>
          <w:sz w:val="22"/>
          <w:lang w:val="lt-LT"/>
        </w:rPr>
      </w:pPr>
    </w:p>
    <w:p w14:paraId="1C214C88" w14:textId="77777777" w:rsidR="005F037A" w:rsidRPr="00DC1A53" w:rsidRDefault="005F037A" w:rsidP="00DC1A53">
      <w:pPr>
        <w:rPr>
          <w:lang w:val="lt-LT" w:eastAsia="x-none"/>
        </w:rPr>
      </w:pPr>
    </w:p>
    <w:p w14:paraId="4481BF58"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4.</w:t>
      </w:r>
      <w:r w:rsidRPr="004453A7">
        <w:rPr>
          <w:rFonts w:ascii="Times New Roman" w:hAnsi="Times New Roman"/>
          <w:sz w:val="22"/>
          <w:lang w:val="lt-LT"/>
        </w:rPr>
        <w:tab/>
        <w:t>KLINIKINĖ INFORMACIJA</w:t>
      </w:r>
    </w:p>
    <w:p w14:paraId="409666D0" w14:textId="77777777" w:rsidR="00F34163" w:rsidRPr="004453A7" w:rsidRDefault="00F34163" w:rsidP="00F34163">
      <w:pPr>
        <w:rPr>
          <w:szCs w:val="24"/>
          <w:lang w:val="lt-LT"/>
        </w:rPr>
      </w:pPr>
    </w:p>
    <w:p w14:paraId="64F31D37"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4.1</w:t>
      </w:r>
      <w:r w:rsidRPr="004453A7">
        <w:rPr>
          <w:rFonts w:ascii="Times New Roman" w:hAnsi="Times New Roman"/>
          <w:sz w:val="22"/>
          <w:lang w:val="lt-LT"/>
        </w:rPr>
        <w:tab/>
        <w:t>Terapinės indikacijos</w:t>
      </w:r>
    </w:p>
    <w:p w14:paraId="5DB4B726" w14:textId="77777777" w:rsidR="00F34163" w:rsidRPr="004453A7" w:rsidRDefault="00F34163" w:rsidP="00F34163">
      <w:pPr>
        <w:rPr>
          <w:szCs w:val="24"/>
          <w:lang w:val="lt-LT"/>
        </w:rPr>
      </w:pPr>
    </w:p>
    <w:p w14:paraId="78E3036B" w14:textId="77777777" w:rsidR="00F34163" w:rsidRPr="004453A7" w:rsidRDefault="002A3840" w:rsidP="0053501D">
      <w:pPr>
        <w:rPr>
          <w:szCs w:val="24"/>
          <w:lang w:val="lt-LT"/>
        </w:rPr>
      </w:pPr>
      <w:r w:rsidRPr="004453A7">
        <w:rPr>
          <w:noProof/>
          <w:lang w:val="lt-LT"/>
        </w:rPr>
        <w:t>Icatibant Teva</w:t>
      </w:r>
      <w:r w:rsidR="0053501D" w:rsidRPr="004453A7">
        <w:rPr>
          <w:lang w:val="lt-LT"/>
        </w:rPr>
        <w:t xml:space="preserve"> skirtas paveldimos angio</w:t>
      </w:r>
      <w:r w:rsidR="002A08DA">
        <w:rPr>
          <w:lang w:val="lt-LT"/>
        </w:rPr>
        <w:t xml:space="preserve">neurozinės </w:t>
      </w:r>
      <w:r w:rsidR="0053501D" w:rsidRPr="004453A7">
        <w:rPr>
          <w:lang w:val="lt-LT"/>
        </w:rPr>
        <w:t xml:space="preserve">edemos (PAE) </w:t>
      </w:r>
      <w:r w:rsidR="002A08DA">
        <w:rPr>
          <w:lang w:val="lt-LT"/>
        </w:rPr>
        <w:t>ūminių</w:t>
      </w:r>
      <w:r w:rsidR="0053501D" w:rsidRPr="004453A7">
        <w:rPr>
          <w:lang w:val="lt-LT"/>
        </w:rPr>
        <w:t xml:space="preserve"> priepuolių simptominiam gydymui suaugusie</w:t>
      </w:r>
      <w:r w:rsidR="002A08DA">
        <w:rPr>
          <w:lang w:val="lt-LT"/>
        </w:rPr>
        <w:t>sie</w:t>
      </w:r>
      <w:r w:rsidR="0053501D" w:rsidRPr="004453A7">
        <w:rPr>
          <w:lang w:val="lt-LT"/>
        </w:rPr>
        <w:t>ms, paaugliams ir 2 metų ar vyresniems vaikams</w:t>
      </w:r>
      <w:r w:rsidR="00161220">
        <w:rPr>
          <w:lang w:val="lt-LT"/>
        </w:rPr>
        <w:t xml:space="preserve">, kuriems </w:t>
      </w:r>
      <w:r w:rsidR="002A08DA">
        <w:rPr>
          <w:lang w:val="lt-LT"/>
        </w:rPr>
        <w:t>yra</w:t>
      </w:r>
      <w:r w:rsidR="00161220">
        <w:rPr>
          <w:lang w:val="lt-LT"/>
        </w:rPr>
        <w:t xml:space="preserve"> C1-</w:t>
      </w:r>
      <w:r w:rsidR="0053501D" w:rsidRPr="004453A7">
        <w:rPr>
          <w:lang w:val="lt-LT"/>
        </w:rPr>
        <w:t>esterazės inhibitoriaus</w:t>
      </w:r>
      <w:r w:rsidR="00BA6A1D">
        <w:rPr>
          <w:lang w:val="lt-LT"/>
        </w:rPr>
        <w:t xml:space="preserve"> stoka</w:t>
      </w:r>
      <w:r w:rsidR="0053501D" w:rsidRPr="004453A7">
        <w:rPr>
          <w:lang w:val="lt-LT"/>
        </w:rPr>
        <w:t>.</w:t>
      </w:r>
    </w:p>
    <w:p w14:paraId="38071F2D" w14:textId="77777777" w:rsidR="0053501D" w:rsidRPr="004453A7" w:rsidRDefault="0053501D" w:rsidP="00F34163">
      <w:pPr>
        <w:pStyle w:val="Antrat4"/>
        <w:rPr>
          <w:rFonts w:ascii="Times New Roman" w:hAnsi="Times New Roman"/>
          <w:sz w:val="22"/>
          <w:lang w:val="lt-LT"/>
        </w:rPr>
      </w:pPr>
    </w:p>
    <w:p w14:paraId="0443CC34"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4.2</w:t>
      </w:r>
      <w:r w:rsidRPr="004453A7">
        <w:rPr>
          <w:rFonts w:ascii="Times New Roman" w:hAnsi="Times New Roman"/>
          <w:sz w:val="22"/>
          <w:lang w:val="lt-LT"/>
        </w:rPr>
        <w:tab/>
        <w:t>Dozavimas ir vartojimo metodas</w:t>
      </w:r>
    </w:p>
    <w:p w14:paraId="37FDABFA" w14:textId="77777777" w:rsidR="00F34163" w:rsidRPr="004453A7" w:rsidRDefault="00F34163" w:rsidP="00F34163">
      <w:pPr>
        <w:rPr>
          <w:szCs w:val="24"/>
          <w:lang w:val="lt-LT"/>
        </w:rPr>
      </w:pPr>
    </w:p>
    <w:p w14:paraId="19BB5B6E" w14:textId="77777777" w:rsidR="002A3840" w:rsidRPr="004453A7" w:rsidRDefault="002A3840" w:rsidP="00F34163">
      <w:pPr>
        <w:rPr>
          <w:lang w:val="lt-LT"/>
        </w:rPr>
      </w:pPr>
      <w:r w:rsidRPr="004453A7">
        <w:rPr>
          <w:lang w:val="lt-LT"/>
        </w:rPr>
        <w:t>Icatibant Teva</w:t>
      </w:r>
      <w:r w:rsidR="0053501D" w:rsidRPr="004453A7">
        <w:rPr>
          <w:lang w:val="lt-LT"/>
        </w:rPr>
        <w:t xml:space="preserve"> skirtas vartoti prižiūrint sveikatos priežiūros specialistui.</w:t>
      </w:r>
    </w:p>
    <w:p w14:paraId="43AF5AFC" w14:textId="77777777" w:rsidR="002A3840" w:rsidRPr="004453A7" w:rsidRDefault="002A3840" w:rsidP="00F34163">
      <w:pPr>
        <w:rPr>
          <w:lang w:val="lt-LT"/>
        </w:rPr>
      </w:pPr>
    </w:p>
    <w:p w14:paraId="39424F16" w14:textId="77777777" w:rsidR="002A3840" w:rsidRPr="004453A7" w:rsidRDefault="0053501D" w:rsidP="00F34163">
      <w:pPr>
        <w:rPr>
          <w:lang w:val="lt-LT"/>
        </w:rPr>
      </w:pPr>
      <w:r w:rsidRPr="004453A7">
        <w:rPr>
          <w:u w:val="single"/>
          <w:lang w:val="lt-LT"/>
        </w:rPr>
        <w:t xml:space="preserve">Dozavimas </w:t>
      </w:r>
    </w:p>
    <w:p w14:paraId="3FE0DB28" w14:textId="77777777" w:rsidR="002A3840" w:rsidRPr="004453A7" w:rsidRDefault="002A3840" w:rsidP="00F34163">
      <w:pPr>
        <w:rPr>
          <w:lang w:val="lt-LT"/>
        </w:rPr>
      </w:pPr>
    </w:p>
    <w:p w14:paraId="3044510B" w14:textId="77777777" w:rsidR="002A3840" w:rsidRPr="004453A7" w:rsidRDefault="0053501D" w:rsidP="00F34163">
      <w:pPr>
        <w:rPr>
          <w:i/>
          <w:lang w:val="lt-LT"/>
        </w:rPr>
      </w:pPr>
      <w:r w:rsidRPr="004453A7">
        <w:rPr>
          <w:i/>
          <w:lang w:val="lt-LT"/>
        </w:rPr>
        <w:t>Suaugusie</w:t>
      </w:r>
      <w:r w:rsidR="002A08DA">
        <w:rPr>
          <w:i/>
          <w:lang w:val="lt-LT"/>
        </w:rPr>
        <w:t>siems</w:t>
      </w:r>
      <w:r w:rsidRPr="004453A7">
        <w:rPr>
          <w:i/>
          <w:lang w:val="lt-LT"/>
        </w:rPr>
        <w:t xml:space="preserve"> </w:t>
      </w:r>
    </w:p>
    <w:p w14:paraId="47E5DFB9" w14:textId="77777777" w:rsidR="002A3840" w:rsidRPr="004453A7" w:rsidRDefault="0053501D" w:rsidP="00F34163">
      <w:pPr>
        <w:rPr>
          <w:lang w:val="lt-LT"/>
        </w:rPr>
      </w:pPr>
      <w:r w:rsidRPr="004453A7">
        <w:rPr>
          <w:lang w:val="lt-LT"/>
        </w:rPr>
        <w:t xml:space="preserve">Rekomenduojama dozė suaugusiesiems – viena </w:t>
      </w:r>
      <w:r w:rsidR="002A3840" w:rsidRPr="004453A7">
        <w:rPr>
          <w:lang w:val="lt-LT"/>
        </w:rPr>
        <w:t>Icatibant Teva 30 </w:t>
      </w:r>
      <w:r w:rsidRPr="004453A7">
        <w:rPr>
          <w:lang w:val="lt-LT"/>
        </w:rPr>
        <w:t xml:space="preserve">mg injekcija po oda. </w:t>
      </w:r>
    </w:p>
    <w:p w14:paraId="58C4960B" w14:textId="77777777" w:rsidR="002A3840" w:rsidRPr="004453A7" w:rsidRDefault="002A3840" w:rsidP="00F34163">
      <w:pPr>
        <w:rPr>
          <w:lang w:val="lt-LT"/>
        </w:rPr>
      </w:pPr>
    </w:p>
    <w:p w14:paraId="08BD1C09" w14:textId="77777777" w:rsidR="002A3840" w:rsidRPr="004453A7" w:rsidRDefault="0053501D" w:rsidP="00F34163">
      <w:pPr>
        <w:rPr>
          <w:lang w:val="lt-LT"/>
        </w:rPr>
      </w:pPr>
      <w:r w:rsidRPr="004453A7">
        <w:rPr>
          <w:lang w:val="lt-LT"/>
        </w:rPr>
        <w:t xml:space="preserve">Daugeliu atveju priepuoliui gydyti pakanka vienos </w:t>
      </w:r>
      <w:r w:rsidR="002A3840" w:rsidRPr="004453A7">
        <w:rPr>
          <w:lang w:val="lt-LT"/>
        </w:rPr>
        <w:t>Icatibant Teva</w:t>
      </w:r>
      <w:r w:rsidRPr="004453A7">
        <w:rPr>
          <w:lang w:val="lt-LT"/>
        </w:rPr>
        <w:t xml:space="preserve"> injekcijos. Tačiau, jei vaistinio preparato poveikis nepakankamas arba vėl atsiranda simptomų, po 6 valandų galima su</w:t>
      </w:r>
      <w:r w:rsidR="002A08DA">
        <w:rPr>
          <w:lang w:val="lt-LT"/>
        </w:rPr>
        <w:t>leisti</w:t>
      </w:r>
      <w:r w:rsidRPr="004453A7">
        <w:rPr>
          <w:lang w:val="lt-LT"/>
        </w:rPr>
        <w:t xml:space="preserve"> antrą </w:t>
      </w:r>
      <w:r w:rsidR="002A3840" w:rsidRPr="004453A7">
        <w:rPr>
          <w:lang w:val="lt-LT"/>
        </w:rPr>
        <w:t>Icatibant Teva</w:t>
      </w:r>
      <w:r w:rsidRPr="004453A7">
        <w:rPr>
          <w:lang w:val="lt-LT"/>
        </w:rPr>
        <w:t xml:space="preserve"> injekciją. Jei antrosios injekcijos poveikis nepakankamas arba vėl pasikartoja simptomai, trečią </w:t>
      </w:r>
      <w:r w:rsidR="002A3840" w:rsidRPr="004453A7">
        <w:rPr>
          <w:lang w:val="lt-LT"/>
        </w:rPr>
        <w:t>Icatibant Teva</w:t>
      </w:r>
      <w:r w:rsidRPr="004453A7">
        <w:rPr>
          <w:lang w:val="lt-LT"/>
        </w:rPr>
        <w:t xml:space="preserve"> injekciją galima skirti dar po 6 valandų. Draudžiama atlikti daugiau nei 3 </w:t>
      </w:r>
      <w:r w:rsidR="002A3840" w:rsidRPr="004453A7">
        <w:rPr>
          <w:lang w:val="lt-LT"/>
        </w:rPr>
        <w:t>Icatibant Teva</w:t>
      </w:r>
      <w:r w:rsidRPr="004453A7">
        <w:rPr>
          <w:lang w:val="lt-LT"/>
        </w:rPr>
        <w:t xml:space="preserve"> injekcijas per 24 valandų laikotarpį. </w:t>
      </w:r>
    </w:p>
    <w:p w14:paraId="59E9384B" w14:textId="77777777" w:rsidR="002A3840" w:rsidRPr="004453A7" w:rsidRDefault="002A3840" w:rsidP="00F34163">
      <w:pPr>
        <w:rPr>
          <w:lang w:val="lt-LT"/>
        </w:rPr>
      </w:pPr>
    </w:p>
    <w:p w14:paraId="632189D5" w14:textId="77777777" w:rsidR="002A3840" w:rsidRPr="004453A7" w:rsidRDefault="0053501D" w:rsidP="00F34163">
      <w:pPr>
        <w:rPr>
          <w:lang w:val="lt-LT"/>
        </w:rPr>
      </w:pPr>
      <w:r w:rsidRPr="004453A7">
        <w:rPr>
          <w:lang w:val="lt-LT"/>
        </w:rPr>
        <w:t xml:space="preserve">Klinikinių tyrimų metu buvo atliekamos ne daugiau kaip 8 </w:t>
      </w:r>
      <w:r w:rsidR="00161220">
        <w:rPr>
          <w:lang w:val="lt-LT"/>
        </w:rPr>
        <w:t>ikatibanto</w:t>
      </w:r>
      <w:r w:rsidRPr="004453A7">
        <w:rPr>
          <w:lang w:val="lt-LT"/>
        </w:rPr>
        <w:t xml:space="preserve"> injekcijos per mėnesį. </w:t>
      </w:r>
    </w:p>
    <w:p w14:paraId="18B1A27F" w14:textId="77777777" w:rsidR="002A3840" w:rsidRPr="004453A7" w:rsidRDefault="002A3840" w:rsidP="00F34163">
      <w:pPr>
        <w:rPr>
          <w:lang w:val="lt-LT"/>
        </w:rPr>
      </w:pPr>
    </w:p>
    <w:p w14:paraId="71B3AE1C" w14:textId="77777777" w:rsidR="002A3840" w:rsidRPr="004453A7" w:rsidRDefault="0053501D" w:rsidP="00F34163">
      <w:pPr>
        <w:rPr>
          <w:i/>
          <w:lang w:val="lt-LT"/>
        </w:rPr>
      </w:pPr>
      <w:r w:rsidRPr="004453A7">
        <w:rPr>
          <w:i/>
          <w:lang w:val="lt-LT"/>
        </w:rPr>
        <w:t xml:space="preserve">Vaikų populiacija </w:t>
      </w:r>
    </w:p>
    <w:p w14:paraId="152B6F6C" w14:textId="77777777" w:rsidR="00F34163" w:rsidRPr="004453A7" w:rsidRDefault="0053501D" w:rsidP="00F34163">
      <w:pPr>
        <w:rPr>
          <w:szCs w:val="24"/>
          <w:u w:val="single"/>
          <w:lang w:val="lt-LT"/>
        </w:rPr>
      </w:pPr>
      <w:r w:rsidRPr="004453A7">
        <w:rPr>
          <w:lang w:val="lt-LT"/>
        </w:rPr>
        <w:t xml:space="preserve">Rekomenduojama </w:t>
      </w:r>
      <w:r w:rsidR="002A3840" w:rsidRPr="004453A7">
        <w:rPr>
          <w:lang w:val="lt-LT"/>
        </w:rPr>
        <w:t>Icatibant Teva</w:t>
      </w:r>
      <w:r w:rsidRPr="004453A7">
        <w:rPr>
          <w:lang w:val="lt-LT"/>
        </w:rPr>
        <w:t xml:space="preserve"> dozė priklauso nuo vaikų ir paauglių (nuo 2 iki 17 metų) kūno svorio ir yra pateikta 1 lentelėje toliau</w:t>
      </w:r>
      <w:r w:rsidR="002A3840" w:rsidRPr="003B637A">
        <w:rPr>
          <w:noProof/>
          <w:szCs w:val="24"/>
          <w:lang w:val="lt-LT"/>
        </w:rPr>
        <w:t>.</w:t>
      </w:r>
    </w:p>
    <w:p w14:paraId="3E5E3077" w14:textId="77777777" w:rsidR="00F34163" w:rsidRPr="004453A7" w:rsidRDefault="00F34163" w:rsidP="00F34163">
      <w:pPr>
        <w:rPr>
          <w:szCs w:val="24"/>
          <w:lang w:val="lt-LT"/>
        </w:rPr>
      </w:pPr>
    </w:p>
    <w:p w14:paraId="3E7621D8" w14:textId="77777777" w:rsidR="00F34163" w:rsidRPr="00DC1A53" w:rsidRDefault="0053501D" w:rsidP="00F34163">
      <w:pPr>
        <w:rPr>
          <w:bCs/>
          <w:u w:val="single"/>
          <w:lang w:val="lt-LT"/>
        </w:rPr>
      </w:pPr>
      <w:r w:rsidRPr="00DC1A53">
        <w:rPr>
          <w:bCs/>
          <w:u w:val="single"/>
          <w:lang w:val="lt-LT"/>
        </w:rPr>
        <w:t>1 lentelė. Dozavimas vaikam</w:t>
      </w:r>
      <w:r w:rsidR="002A3840" w:rsidRPr="00DC1A53">
        <w:rPr>
          <w:bCs/>
          <w:u w:val="single"/>
          <w:lang w:val="lt-LT"/>
        </w:rPr>
        <w:t>s</w:t>
      </w:r>
    </w:p>
    <w:p w14:paraId="54FD226D" w14:textId="77777777" w:rsidR="0053501D" w:rsidRPr="004453A7" w:rsidRDefault="0053501D" w:rsidP="0053501D">
      <w:pPr>
        <w:tabs>
          <w:tab w:val="clear" w:pos="567"/>
          <w:tab w:val="left" w:pos="720"/>
        </w:tabs>
        <w:autoSpaceDE w:val="0"/>
        <w:autoSpaceDN w:val="0"/>
        <w:adjustRightInd w:val="0"/>
        <w:spacing w:line="240" w:lineRule="auto"/>
        <w:rPr>
          <w:b/>
          <w:snapToGrid/>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53501D" w:rsidRPr="004453A7" w14:paraId="168B9C36" w14:textId="77777777" w:rsidTr="0053501D">
        <w:trPr>
          <w:jc w:val="center"/>
        </w:trPr>
        <w:tc>
          <w:tcPr>
            <w:tcW w:w="4643" w:type="dxa"/>
            <w:tcBorders>
              <w:top w:val="single" w:sz="4" w:space="0" w:color="auto"/>
              <w:left w:val="single" w:sz="4" w:space="0" w:color="auto"/>
              <w:bottom w:val="single" w:sz="4" w:space="0" w:color="auto"/>
              <w:right w:val="single" w:sz="4" w:space="0" w:color="auto"/>
            </w:tcBorders>
          </w:tcPr>
          <w:p w14:paraId="0E1E89F7" w14:textId="77777777" w:rsidR="0053501D" w:rsidRPr="00DC1A53" w:rsidRDefault="002A3840">
            <w:pPr>
              <w:tabs>
                <w:tab w:val="clear" w:pos="567"/>
                <w:tab w:val="left" w:pos="720"/>
              </w:tabs>
              <w:autoSpaceDE w:val="0"/>
              <w:autoSpaceDN w:val="0"/>
              <w:adjustRightInd w:val="0"/>
              <w:spacing w:line="240" w:lineRule="auto"/>
              <w:jc w:val="center"/>
              <w:rPr>
                <w:bCs/>
                <w:lang w:val="lt-LT"/>
              </w:rPr>
            </w:pPr>
            <w:r w:rsidRPr="00DC1A53">
              <w:rPr>
                <w:bCs/>
                <w:lang w:val="lt-LT"/>
              </w:rPr>
              <w:t>Kūno svoris</w:t>
            </w:r>
          </w:p>
          <w:p w14:paraId="449F7E74" w14:textId="77777777" w:rsidR="0053501D" w:rsidRPr="00DC1A53" w:rsidRDefault="0053501D">
            <w:pPr>
              <w:tabs>
                <w:tab w:val="clear" w:pos="567"/>
                <w:tab w:val="left" w:pos="720"/>
              </w:tabs>
              <w:autoSpaceDE w:val="0"/>
              <w:autoSpaceDN w:val="0"/>
              <w:adjustRightInd w:val="0"/>
              <w:spacing w:line="240" w:lineRule="auto"/>
              <w:jc w:val="center"/>
              <w:rPr>
                <w:bCs/>
                <w:lang w:val="lt-LT"/>
              </w:rPr>
            </w:pPr>
          </w:p>
        </w:tc>
        <w:tc>
          <w:tcPr>
            <w:tcW w:w="4644" w:type="dxa"/>
            <w:tcBorders>
              <w:top w:val="single" w:sz="4" w:space="0" w:color="auto"/>
              <w:left w:val="single" w:sz="4" w:space="0" w:color="auto"/>
              <w:bottom w:val="single" w:sz="4" w:space="0" w:color="auto"/>
              <w:right w:val="single" w:sz="4" w:space="0" w:color="auto"/>
            </w:tcBorders>
            <w:hideMark/>
          </w:tcPr>
          <w:p w14:paraId="35C30B0C" w14:textId="77777777" w:rsidR="0053501D" w:rsidRPr="00DC1A53" w:rsidRDefault="002A3840" w:rsidP="002A3840">
            <w:pPr>
              <w:tabs>
                <w:tab w:val="clear" w:pos="567"/>
                <w:tab w:val="left" w:pos="720"/>
              </w:tabs>
              <w:autoSpaceDE w:val="0"/>
              <w:autoSpaceDN w:val="0"/>
              <w:adjustRightInd w:val="0"/>
              <w:spacing w:line="240" w:lineRule="auto"/>
              <w:jc w:val="center"/>
              <w:rPr>
                <w:bCs/>
                <w:lang w:val="lt-LT"/>
              </w:rPr>
            </w:pPr>
            <w:r w:rsidRPr="00DC1A53">
              <w:rPr>
                <w:bCs/>
                <w:lang w:val="lt-LT"/>
              </w:rPr>
              <w:t>Dozė (injekcijos tūris</w:t>
            </w:r>
            <w:r w:rsidR="0053501D" w:rsidRPr="00DC1A53">
              <w:rPr>
                <w:bCs/>
                <w:lang w:val="lt-LT"/>
              </w:rPr>
              <w:t>)</w:t>
            </w:r>
          </w:p>
        </w:tc>
      </w:tr>
      <w:tr w:rsidR="0053501D" w:rsidRPr="004453A7" w14:paraId="2448BE0F" w14:textId="77777777" w:rsidTr="0053501D">
        <w:trPr>
          <w:jc w:val="center"/>
        </w:trPr>
        <w:tc>
          <w:tcPr>
            <w:tcW w:w="4643" w:type="dxa"/>
            <w:tcBorders>
              <w:top w:val="single" w:sz="4" w:space="0" w:color="auto"/>
              <w:left w:val="single" w:sz="4" w:space="0" w:color="auto"/>
              <w:bottom w:val="single" w:sz="4" w:space="0" w:color="auto"/>
              <w:right w:val="single" w:sz="4" w:space="0" w:color="auto"/>
            </w:tcBorders>
            <w:shd w:val="clear" w:color="auto" w:fill="D9D9D9"/>
          </w:tcPr>
          <w:p w14:paraId="04F476B9" w14:textId="77777777" w:rsidR="0053501D" w:rsidRPr="004453A7" w:rsidRDefault="0053501D">
            <w:pPr>
              <w:tabs>
                <w:tab w:val="clear" w:pos="567"/>
                <w:tab w:val="left" w:pos="720"/>
              </w:tabs>
              <w:autoSpaceDE w:val="0"/>
              <w:autoSpaceDN w:val="0"/>
              <w:adjustRightInd w:val="0"/>
              <w:spacing w:line="240" w:lineRule="auto"/>
              <w:jc w:val="center"/>
              <w:rPr>
                <w:lang w:val="lt-LT"/>
              </w:rPr>
            </w:pPr>
            <w:r w:rsidRPr="004453A7">
              <w:rPr>
                <w:lang w:val="lt-LT"/>
              </w:rPr>
              <w:t>12 </w:t>
            </w:r>
            <w:r w:rsidR="002A3840" w:rsidRPr="004453A7">
              <w:rPr>
                <w:lang w:val="lt-LT"/>
              </w:rPr>
              <w:t>-</w:t>
            </w:r>
            <w:r w:rsidRPr="004453A7">
              <w:rPr>
                <w:lang w:val="lt-LT"/>
              </w:rPr>
              <w:t xml:space="preserve"> 25 kg</w:t>
            </w:r>
          </w:p>
          <w:p w14:paraId="317B460A" w14:textId="77777777" w:rsidR="0053501D" w:rsidRPr="004453A7" w:rsidRDefault="0053501D">
            <w:pPr>
              <w:tabs>
                <w:tab w:val="clear" w:pos="567"/>
                <w:tab w:val="left" w:pos="720"/>
              </w:tabs>
              <w:autoSpaceDE w:val="0"/>
              <w:autoSpaceDN w:val="0"/>
              <w:adjustRightInd w:val="0"/>
              <w:spacing w:line="240" w:lineRule="auto"/>
              <w:jc w:val="center"/>
              <w:rPr>
                <w:lang w:val="lt-LT"/>
              </w:rPr>
            </w:pPr>
          </w:p>
        </w:tc>
        <w:tc>
          <w:tcPr>
            <w:tcW w:w="4644" w:type="dxa"/>
            <w:tcBorders>
              <w:top w:val="single" w:sz="4" w:space="0" w:color="auto"/>
              <w:left w:val="single" w:sz="4" w:space="0" w:color="auto"/>
              <w:bottom w:val="single" w:sz="4" w:space="0" w:color="auto"/>
              <w:right w:val="single" w:sz="4" w:space="0" w:color="auto"/>
            </w:tcBorders>
            <w:shd w:val="clear" w:color="auto" w:fill="D9D9D9"/>
            <w:hideMark/>
          </w:tcPr>
          <w:p w14:paraId="613AB543" w14:textId="77777777" w:rsidR="0053501D" w:rsidRPr="004453A7" w:rsidRDefault="002A3840">
            <w:pPr>
              <w:tabs>
                <w:tab w:val="clear" w:pos="567"/>
                <w:tab w:val="left" w:pos="720"/>
              </w:tabs>
              <w:autoSpaceDE w:val="0"/>
              <w:autoSpaceDN w:val="0"/>
              <w:adjustRightInd w:val="0"/>
              <w:spacing w:line="240" w:lineRule="auto"/>
              <w:jc w:val="center"/>
              <w:rPr>
                <w:lang w:val="lt-LT"/>
              </w:rPr>
            </w:pPr>
            <w:r w:rsidRPr="004453A7">
              <w:rPr>
                <w:lang w:val="lt-LT"/>
              </w:rPr>
              <w:lastRenderedPageBreak/>
              <w:t>10 mg (1,</w:t>
            </w:r>
            <w:r w:rsidR="0053501D" w:rsidRPr="004453A7">
              <w:rPr>
                <w:lang w:val="lt-LT"/>
              </w:rPr>
              <w:t>0 ml)</w:t>
            </w:r>
          </w:p>
        </w:tc>
      </w:tr>
      <w:tr w:rsidR="0053501D" w:rsidRPr="004453A7" w14:paraId="1F6FF9C3" w14:textId="77777777" w:rsidTr="0053501D">
        <w:trPr>
          <w:jc w:val="center"/>
        </w:trPr>
        <w:tc>
          <w:tcPr>
            <w:tcW w:w="4643" w:type="dxa"/>
            <w:tcBorders>
              <w:top w:val="single" w:sz="4" w:space="0" w:color="auto"/>
              <w:left w:val="single" w:sz="4" w:space="0" w:color="auto"/>
              <w:bottom w:val="single" w:sz="4" w:space="0" w:color="auto"/>
              <w:right w:val="single" w:sz="4" w:space="0" w:color="auto"/>
            </w:tcBorders>
          </w:tcPr>
          <w:p w14:paraId="15AFFC73" w14:textId="77777777" w:rsidR="0053501D" w:rsidRPr="004453A7" w:rsidRDefault="0053501D">
            <w:pPr>
              <w:tabs>
                <w:tab w:val="clear" w:pos="567"/>
                <w:tab w:val="left" w:pos="720"/>
              </w:tabs>
              <w:autoSpaceDE w:val="0"/>
              <w:autoSpaceDN w:val="0"/>
              <w:adjustRightInd w:val="0"/>
              <w:spacing w:line="240" w:lineRule="auto"/>
              <w:jc w:val="center"/>
              <w:rPr>
                <w:lang w:val="lt-LT"/>
              </w:rPr>
            </w:pPr>
            <w:r w:rsidRPr="004453A7">
              <w:rPr>
                <w:lang w:val="lt-LT"/>
              </w:rPr>
              <w:t>26 </w:t>
            </w:r>
            <w:r w:rsidR="002A3840" w:rsidRPr="004453A7">
              <w:rPr>
                <w:lang w:val="lt-LT"/>
              </w:rPr>
              <w:t xml:space="preserve"> -</w:t>
            </w:r>
            <w:r w:rsidRPr="004453A7">
              <w:rPr>
                <w:lang w:val="lt-LT"/>
              </w:rPr>
              <w:t xml:space="preserve"> 40 kg</w:t>
            </w:r>
          </w:p>
          <w:p w14:paraId="1B7487B2" w14:textId="77777777" w:rsidR="0053501D" w:rsidRPr="004453A7" w:rsidRDefault="0053501D">
            <w:pPr>
              <w:tabs>
                <w:tab w:val="clear" w:pos="567"/>
                <w:tab w:val="left" w:pos="720"/>
              </w:tabs>
              <w:autoSpaceDE w:val="0"/>
              <w:autoSpaceDN w:val="0"/>
              <w:adjustRightInd w:val="0"/>
              <w:spacing w:line="240" w:lineRule="auto"/>
              <w:jc w:val="center"/>
              <w:rPr>
                <w:lang w:val="lt-LT"/>
              </w:rPr>
            </w:pPr>
          </w:p>
        </w:tc>
        <w:tc>
          <w:tcPr>
            <w:tcW w:w="4644" w:type="dxa"/>
            <w:tcBorders>
              <w:top w:val="single" w:sz="4" w:space="0" w:color="auto"/>
              <w:left w:val="single" w:sz="4" w:space="0" w:color="auto"/>
              <w:bottom w:val="single" w:sz="4" w:space="0" w:color="auto"/>
              <w:right w:val="single" w:sz="4" w:space="0" w:color="auto"/>
            </w:tcBorders>
            <w:hideMark/>
          </w:tcPr>
          <w:p w14:paraId="608668D1" w14:textId="77777777" w:rsidR="0053501D" w:rsidRPr="004453A7" w:rsidRDefault="002A3840">
            <w:pPr>
              <w:tabs>
                <w:tab w:val="clear" w:pos="567"/>
                <w:tab w:val="left" w:pos="720"/>
              </w:tabs>
              <w:autoSpaceDE w:val="0"/>
              <w:autoSpaceDN w:val="0"/>
              <w:adjustRightInd w:val="0"/>
              <w:spacing w:line="240" w:lineRule="auto"/>
              <w:jc w:val="center"/>
              <w:rPr>
                <w:lang w:val="lt-LT"/>
              </w:rPr>
            </w:pPr>
            <w:r w:rsidRPr="004453A7">
              <w:rPr>
                <w:lang w:val="lt-LT"/>
              </w:rPr>
              <w:t>15 mg (1,</w:t>
            </w:r>
            <w:r w:rsidR="0053501D" w:rsidRPr="004453A7">
              <w:rPr>
                <w:lang w:val="lt-LT"/>
              </w:rPr>
              <w:t>5 ml)</w:t>
            </w:r>
          </w:p>
        </w:tc>
      </w:tr>
      <w:tr w:rsidR="0053501D" w:rsidRPr="004453A7" w14:paraId="22917B3C" w14:textId="77777777" w:rsidTr="0053501D">
        <w:trPr>
          <w:jc w:val="center"/>
        </w:trPr>
        <w:tc>
          <w:tcPr>
            <w:tcW w:w="4643" w:type="dxa"/>
            <w:tcBorders>
              <w:top w:val="single" w:sz="4" w:space="0" w:color="auto"/>
              <w:left w:val="single" w:sz="4" w:space="0" w:color="auto"/>
              <w:bottom w:val="single" w:sz="4" w:space="0" w:color="auto"/>
              <w:right w:val="single" w:sz="4" w:space="0" w:color="auto"/>
            </w:tcBorders>
            <w:shd w:val="clear" w:color="auto" w:fill="D9D9D9"/>
          </w:tcPr>
          <w:p w14:paraId="25CD6D88" w14:textId="77777777" w:rsidR="0053501D" w:rsidRPr="004453A7" w:rsidRDefault="0053501D">
            <w:pPr>
              <w:tabs>
                <w:tab w:val="clear" w:pos="567"/>
                <w:tab w:val="left" w:pos="720"/>
              </w:tabs>
              <w:autoSpaceDE w:val="0"/>
              <w:autoSpaceDN w:val="0"/>
              <w:adjustRightInd w:val="0"/>
              <w:spacing w:line="240" w:lineRule="auto"/>
              <w:jc w:val="center"/>
              <w:rPr>
                <w:lang w:val="lt-LT"/>
              </w:rPr>
            </w:pPr>
            <w:r w:rsidRPr="004453A7">
              <w:rPr>
                <w:lang w:val="lt-LT"/>
              </w:rPr>
              <w:t>41 </w:t>
            </w:r>
            <w:r w:rsidR="002A3840" w:rsidRPr="004453A7">
              <w:rPr>
                <w:lang w:val="lt-LT"/>
              </w:rPr>
              <w:t>-</w:t>
            </w:r>
            <w:r w:rsidRPr="004453A7">
              <w:rPr>
                <w:lang w:val="lt-LT"/>
              </w:rPr>
              <w:t>50 kg</w:t>
            </w:r>
          </w:p>
          <w:p w14:paraId="54EFBD04" w14:textId="77777777" w:rsidR="0053501D" w:rsidRPr="004453A7" w:rsidRDefault="0053501D">
            <w:pPr>
              <w:tabs>
                <w:tab w:val="clear" w:pos="567"/>
                <w:tab w:val="left" w:pos="720"/>
              </w:tabs>
              <w:autoSpaceDE w:val="0"/>
              <w:autoSpaceDN w:val="0"/>
              <w:adjustRightInd w:val="0"/>
              <w:spacing w:line="240" w:lineRule="auto"/>
              <w:jc w:val="center"/>
              <w:rPr>
                <w:lang w:val="lt-LT"/>
              </w:rPr>
            </w:pPr>
          </w:p>
        </w:tc>
        <w:tc>
          <w:tcPr>
            <w:tcW w:w="4644" w:type="dxa"/>
            <w:tcBorders>
              <w:top w:val="single" w:sz="4" w:space="0" w:color="auto"/>
              <w:left w:val="single" w:sz="4" w:space="0" w:color="auto"/>
              <w:bottom w:val="single" w:sz="4" w:space="0" w:color="auto"/>
              <w:right w:val="single" w:sz="4" w:space="0" w:color="auto"/>
            </w:tcBorders>
            <w:shd w:val="clear" w:color="auto" w:fill="D9D9D9"/>
            <w:hideMark/>
          </w:tcPr>
          <w:p w14:paraId="0C332EA7" w14:textId="77777777" w:rsidR="0053501D" w:rsidRPr="004453A7" w:rsidRDefault="002A3840">
            <w:pPr>
              <w:tabs>
                <w:tab w:val="clear" w:pos="567"/>
                <w:tab w:val="left" w:pos="720"/>
              </w:tabs>
              <w:autoSpaceDE w:val="0"/>
              <w:autoSpaceDN w:val="0"/>
              <w:adjustRightInd w:val="0"/>
              <w:spacing w:line="240" w:lineRule="auto"/>
              <w:jc w:val="center"/>
              <w:rPr>
                <w:lang w:val="lt-LT"/>
              </w:rPr>
            </w:pPr>
            <w:r w:rsidRPr="004453A7">
              <w:rPr>
                <w:lang w:val="lt-LT"/>
              </w:rPr>
              <w:t>20 mg (2,</w:t>
            </w:r>
            <w:r w:rsidR="0053501D" w:rsidRPr="004453A7">
              <w:rPr>
                <w:lang w:val="lt-LT"/>
              </w:rPr>
              <w:t>0 ml)</w:t>
            </w:r>
          </w:p>
        </w:tc>
      </w:tr>
      <w:tr w:rsidR="0053501D" w:rsidRPr="004453A7" w14:paraId="414C4284" w14:textId="77777777" w:rsidTr="0053501D">
        <w:trPr>
          <w:jc w:val="center"/>
        </w:trPr>
        <w:tc>
          <w:tcPr>
            <w:tcW w:w="4643" w:type="dxa"/>
            <w:tcBorders>
              <w:top w:val="single" w:sz="4" w:space="0" w:color="auto"/>
              <w:left w:val="single" w:sz="4" w:space="0" w:color="auto"/>
              <w:bottom w:val="single" w:sz="4" w:space="0" w:color="auto"/>
              <w:right w:val="single" w:sz="4" w:space="0" w:color="auto"/>
            </w:tcBorders>
          </w:tcPr>
          <w:p w14:paraId="423179F9" w14:textId="77777777" w:rsidR="0053501D" w:rsidRPr="004453A7" w:rsidRDefault="0053501D">
            <w:pPr>
              <w:tabs>
                <w:tab w:val="clear" w:pos="567"/>
                <w:tab w:val="left" w:pos="720"/>
              </w:tabs>
              <w:autoSpaceDE w:val="0"/>
              <w:autoSpaceDN w:val="0"/>
              <w:adjustRightInd w:val="0"/>
              <w:spacing w:line="240" w:lineRule="auto"/>
              <w:jc w:val="center"/>
              <w:rPr>
                <w:lang w:val="lt-LT"/>
              </w:rPr>
            </w:pPr>
            <w:r w:rsidRPr="004453A7">
              <w:rPr>
                <w:lang w:val="lt-LT"/>
              </w:rPr>
              <w:t>51 </w:t>
            </w:r>
            <w:r w:rsidR="002A3840" w:rsidRPr="004453A7">
              <w:rPr>
                <w:lang w:val="lt-LT"/>
              </w:rPr>
              <w:t>-</w:t>
            </w:r>
            <w:r w:rsidRPr="004453A7">
              <w:rPr>
                <w:lang w:val="lt-LT"/>
              </w:rPr>
              <w:t>65 kg</w:t>
            </w:r>
          </w:p>
          <w:p w14:paraId="7F2122BD" w14:textId="77777777" w:rsidR="0053501D" w:rsidRPr="004453A7" w:rsidRDefault="0053501D">
            <w:pPr>
              <w:tabs>
                <w:tab w:val="clear" w:pos="567"/>
                <w:tab w:val="left" w:pos="720"/>
              </w:tabs>
              <w:autoSpaceDE w:val="0"/>
              <w:autoSpaceDN w:val="0"/>
              <w:adjustRightInd w:val="0"/>
              <w:spacing w:line="240" w:lineRule="auto"/>
              <w:jc w:val="center"/>
              <w:rPr>
                <w:lang w:val="lt-LT"/>
              </w:rPr>
            </w:pPr>
          </w:p>
        </w:tc>
        <w:tc>
          <w:tcPr>
            <w:tcW w:w="4644" w:type="dxa"/>
            <w:tcBorders>
              <w:top w:val="single" w:sz="4" w:space="0" w:color="auto"/>
              <w:left w:val="single" w:sz="4" w:space="0" w:color="auto"/>
              <w:bottom w:val="single" w:sz="4" w:space="0" w:color="auto"/>
              <w:right w:val="single" w:sz="4" w:space="0" w:color="auto"/>
            </w:tcBorders>
            <w:hideMark/>
          </w:tcPr>
          <w:p w14:paraId="353EB255" w14:textId="77777777" w:rsidR="0053501D" w:rsidRPr="004453A7" w:rsidRDefault="002A3840">
            <w:pPr>
              <w:tabs>
                <w:tab w:val="clear" w:pos="567"/>
                <w:tab w:val="left" w:pos="720"/>
              </w:tabs>
              <w:autoSpaceDE w:val="0"/>
              <w:autoSpaceDN w:val="0"/>
              <w:adjustRightInd w:val="0"/>
              <w:spacing w:line="240" w:lineRule="auto"/>
              <w:jc w:val="center"/>
              <w:rPr>
                <w:lang w:val="lt-LT"/>
              </w:rPr>
            </w:pPr>
            <w:r w:rsidRPr="004453A7">
              <w:rPr>
                <w:lang w:val="lt-LT"/>
              </w:rPr>
              <w:t>25 mg (2,</w:t>
            </w:r>
            <w:r w:rsidR="0053501D" w:rsidRPr="004453A7">
              <w:rPr>
                <w:lang w:val="lt-LT"/>
              </w:rPr>
              <w:t>5 ml)</w:t>
            </w:r>
          </w:p>
        </w:tc>
      </w:tr>
      <w:tr w:rsidR="0053501D" w:rsidRPr="004453A7" w14:paraId="6FB35DC5" w14:textId="77777777" w:rsidTr="0053501D">
        <w:trPr>
          <w:jc w:val="center"/>
        </w:trPr>
        <w:tc>
          <w:tcPr>
            <w:tcW w:w="4643" w:type="dxa"/>
            <w:tcBorders>
              <w:top w:val="single" w:sz="4" w:space="0" w:color="auto"/>
              <w:left w:val="single" w:sz="4" w:space="0" w:color="auto"/>
              <w:bottom w:val="single" w:sz="4" w:space="0" w:color="auto"/>
              <w:right w:val="single" w:sz="4" w:space="0" w:color="auto"/>
            </w:tcBorders>
            <w:shd w:val="clear" w:color="auto" w:fill="D9D9D9"/>
          </w:tcPr>
          <w:p w14:paraId="25A0A16A" w14:textId="77777777" w:rsidR="0053501D" w:rsidRPr="004453A7" w:rsidRDefault="0053501D">
            <w:pPr>
              <w:tabs>
                <w:tab w:val="clear" w:pos="567"/>
                <w:tab w:val="left" w:pos="720"/>
              </w:tabs>
              <w:autoSpaceDE w:val="0"/>
              <w:autoSpaceDN w:val="0"/>
              <w:adjustRightInd w:val="0"/>
              <w:spacing w:line="240" w:lineRule="auto"/>
              <w:jc w:val="center"/>
              <w:rPr>
                <w:lang w:val="lt-LT"/>
              </w:rPr>
            </w:pPr>
            <w:r w:rsidRPr="004453A7">
              <w:rPr>
                <w:lang w:val="lt-LT"/>
              </w:rPr>
              <w:t>&gt;65 kg</w:t>
            </w:r>
          </w:p>
          <w:p w14:paraId="1E5D22B9" w14:textId="77777777" w:rsidR="0053501D" w:rsidRPr="004453A7" w:rsidRDefault="0053501D">
            <w:pPr>
              <w:tabs>
                <w:tab w:val="clear" w:pos="567"/>
                <w:tab w:val="left" w:pos="720"/>
              </w:tabs>
              <w:autoSpaceDE w:val="0"/>
              <w:autoSpaceDN w:val="0"/>
              <w:adjustRightInd w:val="0"/>
              <w:spacing w:line="240" w:lineRule="auto"/>
              <w:jc w:val="center"/>
              <w:rPr>
                <w:lang w:val="lt-LT"/>
              </w:rPr>
            </w:pPr>
          </w:p>
        </w:tc>
        <w:tc>
          <w:tcPr>
            <w:tcW w:w="4644" w:type="dxa"/>
            <w:tcBorders>
              <w:top w:val="single" w:sz="4" w:space="0" w:color="auto"/>
              <w:left w:val="single" w:sz="4" w:space="0" w:color="auto"/>
              <w:bottom w:val="single" w:sz="4" w:space="0" w:color="auto"/>
              <w:right w:val="single" w:sz="4" w:space="0" w:color="auto"/>
            </w:tcBorders>
            <w:shd w:val="clear" w:color="auto" w:fill="D9D9D9"/>
            <w:hideMark/>
          </w:tcPr>
          <w:p w14:paraId="7609C40F" w14:textId="77777777" w:rsidR="0053501D" w:rsidRPr="004453A7" w:rsidRDefault="002A3840">
            <w:pPr>
              <w:tabs>
                <w:tab w:val="clear" w:pos="567"/>
                <w:tab w:val="left" w:pos="720"/>
              </w:tabs>
              <w:autoSpaceDE w:val="0"/>
              <w:autoSpaceDN w:val="0"/>
              <w:adjustRightInd w:val="0"/>
              <w:spacing w:line="240" w:lineRule="auto"/>
              <w:jc w:val="center"/>
              <w:rPr>
                <w:lang w:val="lt-LT"/>
              </w:rPr>
            </w:pPr>
            <w:r w:rsidRPr="004453A7">
              <w:rPr>
                <w:lang w:val="lt-LT"/>
              </w:rPr>
              <w:t>30 mg (3,</w:t>
            </w:r>
            <w:r w:rsidR="0053501D" w:rsidRPr="004453A7">
              <w:rPr>
                <w:lang w:val="lt-LT"/>
              </w:rPr>
              <w:t>0 ml)</w:t>
            </w:r>
          </w:p>
        </w:tc>
      </w:tr>
    </w:tbl>
    <w:p w14:paraId="4F21452D" w14:textId="77777777" w:rsidR="0053501D" w:rsidRPr="004453A7" w:rsidRDefault="0053501D" w:rsidP="0053501D">
      <w:pPr>
        <w:tabs>
          <w:tab w:val="clear" w:pos="567"/>
          <w:tab w:val="left" w:pos="720"/>
        </w:tabs>
        <w:autoSpaceDE w:val="0"/>
        <w:autoSpaceDN w:val="0"/>
        <w:adjustRightInd w:val="0"/>
        <w:spacing w:line="240" w:lineRule="auto"/>
        <w:rPr>
          <w:lang w:val="lt-LT"/>
        </w:rPr>
      </w:pPr>
    </w:p>
    <w:p w14:paraId="4A67BDDE" w14:textId="77777777" w:rsidR="002A3840" w:rsidRPr="004453A7" w:rsidRDefault="0053501D" w:rsidP="00F34163">
      <w:pPr>
        <w:rPr>
          <w:lang w:val="lt-LT"/>
        </w:rPr>
      </w:pPr>
      <w:r w:rsidRPr="004453A7">
        <w:rPr>
          <w:lang w:val="lt-LT"/>
        </w:rPr>
        <w:t xml:space="preserve">Klinikiniame tyrime nebuvo skirta daugiau nei </w:t>
      </w:r>
      <w:r w:rsidR="00161220">
        <w:rPr>
          <w:lang w:val="lt-LT"/>
        </w:rPr>
        <w:t>viena ikatibanto</w:t>
      </w:r>
      <w:r w:rsidRPr="004453A7">
        <w:rPr>
          <w:lang w:val="lt-LT"/>
        </w:rPr>
        <w:t xml:space="preserve"> injekcija vienam PAE priepuoliui. </w:t>
      </w:r>
    </w:p>
    <w:p w14:paraId="08EBC46B" w14:textId="77777777" w:rsidR="002A3840" w:rsidRPr="004453A7" w:rsidRDefault="002A3840" w:rsidP="00F34163">
      <w:pPr>
        <w:rPr>
          <w:lang w:val="lt-LT"/>
        </w:rPr>
      </w:pPr>
    </w:p>
    <w:p w14:paraId="57DAFD62" w14:textId="77777777" w:rsidR="002A3840" w:rsidRPr="004453A7" w:rsidRDefault="0053501D" w:rsidP="00F34163">
      <w:pPr>
        <w:rPr>
          <w:lang w:val="lt-LT"/>
        </w:rPr>
      </w:pPr>
      <w:r w:rsidRPr="00C016C2">
        <w:rPr>
          <w:lang w:val="lt-LT"/>
        </w:rPr>
        <w:t xml:space="preserve">Jaunesniems </w:t>
      </w:r>
      <w:r w:rsidR="002A3840" w:rsidRPr="00C016C2">
        <w:rPr>
          <w:lang w:val="lt-LT"/>
        </w:rPr>
        <w:t xml:space="preserve">nei 2 metų arba </w:t>
      </w:r>
      <w:r w:rsidR="002A3840" w:rsidRPr="00E71BDC">
        <w:rPr>
          <w:lang w:val="lt-LT"/>
        </w:rPr>
        <w:t xml:space="preserve">sveriantiems </w:t>
      </w:r>
      <w:r w:rsidR="004D52B4" w:rsidRPr="00E71BDC">
        <w:rPr>
          <w:lang w:val="lt-LT"/>
        </w:rPr>
        <w:t xml:space="preserve">mažiau nei </w:t>
      </w:r>
      <w:r w:rsidR="002A3840" w:rsidRPr="00E71BDC">
        <w:rPr>
          <w:lang w:val="lt-LT"/>
        </w:rPr>
        <w:t>12 </w:t>
      </w:r>
      <w:r w:rsidRPr="00E71BDC">
        <w:rPr>
          <w:lang w:val="lt-LT"/>
        </w:rPr>
        <w:t>kg vaikams</w:t>
      </w:r>
      <w:r w:rsidRPr="004453A7">
        <w:rPr>
          <w:lang w:val="lt-LT"/>
        </w:rPr>
        <w:t xml:space="preserve"> negalima pateikti dozavimo rekomendacijų, nes saugumas ir veiksmingumas šioje vaikų grupėje neištirti. </w:t>
      </w:r>
    </w:p>
    <w:p w14:paraId="07378181" w14:textId="77777777" w:rsidR="002A3840" w:rsidRPr="004453A7" w:rsidRDefault="002A3840" w:rsidP="00F34163">
      <w:pPr>
        <w:rPr>
          <w:lang w:val="lt-LT"/>
        </w:rPr>
      </w:pPr>
    </w:p>
    <w:p w14:paraId="776FF0BA" w14:textId="77777777" w:rsidR="002A3840" w:rsidRPr="004453A7" w:rsidRDefault="0053501D" w:rsidP="00F34163">
      <w:pPr>
        <w:rPr>
          <w:i/>
          <w:lang w:val="lt-LT"/>
        </w:rPr>
      </w:pPr>
      <w:r w:rsidRPr="004453A7">
        <w:rPr>
          <w:i/>
          <w:lang w:val="lt-LT"/>
        </w:rPr>
        <w:t>Senyvi</w:t>
      </w:r>
      <w:r w:rsidR="002A3840" w:rsidRPr="004453A7">
        <w:rPr>
          <w:i/>
          <w:lang w:val="lt-LT"/>
        </w:rPr>
        <w:t>ems pacientams</w:t>
      </w:r>
      <w:r w:rsidRPr="004453A7">
        <w:rPr>
          <w:i/>
          <w:lang w:val="lt-LT"/>
        </w:rPr>
        <w:t xml:space="preserve"> </w:t>
      </w:r>
    </w:p>
    <w:p w14:paraId="1C72F89F" w14:textId="77777777" w:rsidR="002A3840" w:rsidRPr="004453A7" w:rsidRDefault="0053501D" w:rsidP="00F34163">
      <w:pPr>
        <w:rPr>
          <w:lang w:val="lt-LT"/>
        </w:rPr>
      </w:pPr>
      <w:r w:rsidRPr="004453A7">
        <w:rPr>
          <w:lang w:val="lt-LT"/>
        </w:rPr>
        <w:t xml:space="preserve">Informacija apie vyresnius nei 65 metų pacientus yra ribota. </w:t>
      </w:r>
    </w:p>
    <w:p w14:paraId="01B8B8B8" w14:textId="77777777" w:rsidR="002A3840" w:rsidRPr="004453A7" w:rsidRDefault="002A3840" w:rsidP="00F34163">
      <w:pPr>
        <w:rPr>
          <w:lang w:val="lt-LT"/>
        </w:rPr>
      </w:pPr>
    </w:p>
    <w:p w14:paraId="26930CDD" w14:textId="77777777" w:rsidR="002A3840" w:rsidRPr="004453A7" w:rsidRDefault="0053501D" w:rsidP="00F34163">
      <w:pPr>
        <w:rPr>
          <w:lang w:val="lt-LT"/>
        </w:rPr>
      </w:pPr>
      <w:r w:rsidRPr="004453A7">
        <w:rPr>
          <w:lang w:val="lt-LT"/>
        </w:rPr>
        <w:t xml:space="preserve">Senyviems žmonėms pasireiškė didesnis ikatibanto sisteminis poveikis. Ar šis poveikis yra susijęs su </w:t>
      </w:r>
      <w:r w:rsidR="002A3840" w:rsidRPr="004453A7">
        <w:rPr>
          <w:lang w:val="lt-LT"/>
        </w:rPr>
        <w:t>Icatibant Teva</w:t>
      </w:r>
      <w:r w:rsidRPr="004453A7">
        <w:rPr>
          <w:lang w:val="lt-LT"/>
        </w:rPr>
        <w:t xml:space="preserve"> saugumu, nežinoma (žr. 5.2 skyrių). </w:t>
      </w:r>
    </w:p>
    <w:p w14:paraId="72613F98" w14:textId="77777777" w:rsidR="002A3840" w:rsidRPr="004453A7" w:rsidRDefault="002A3840" w:rsidP="002A3840">
      <w:pPr>
        <w:spacing w:line="240" w:lineRule="auto"/>
        <w:contextualSpacing/>
        <w:outlineLvl w:val="0"/>
        <w:rPr>
          <w:i/>
          <w:iCs/>
          <w:color w:val="000000"/>
          <w:szCs w:val="22"/>
          <w:lang w:val="lt-LT"/>
        </w:rPr>
      </w:pPr>
    </w:p>
    <w:p w14:paraId="17D19BBD" w14:textId="77777777" w:rsidR="002A3840" w:rsidRPr="004453A7" w:rsidRDefault="002A3840" w:rsidP="002A3840">
      <w:pPr>
        <w:spacing w:line="240" w:lineRule="auto"/>
        <w:contextualSpacing/>
        <w:outlineLvl w:val="0"/>
        <w:rPr>
          <w:iCs/>
          <w:color w:val="000000"/>
          <w:szCs w:val="22"/>
          <w:lang w:val="lt-LT"/>
        </w:rPr>
      </w:pPr>
      <w:r w:rsidRPr="004453A7">
        <w:rPr>
          <w:i/>
          <w:iCs/>
          <w:color w:val="000000"/>
          <w:szCs w:val="22"/>
          <w:lang w:val="lt-LT"/>
        </w:rPr>
        <w:t>Pacientams, kurių kepenų funkcija sutrikusi</w:t>
      </w:r>
    </w:p>
    <w:p w14:paraId="5F505C54" w14:textId="77777777" w:rsidR="002A3840" w:rsidRPr="004453A7" w:rsidRDefault="00242C69" w:rsidP="00F34163">
      <w:pPr>
        <w:rPr>
          <w:lang w:val="lt-LT"/>
        </w:rPr>
      </w:pPr>
      <w:r>
        <w:rPr>
          <w:lang w:val="lt-LT"/>
        </w:rPr>
        <w:t>Pacientams, kurių k</w:t>
      </w:r>
      <w:r w:rsidR="0053501D" w:rsidRPr="004453A7">
        <w:rPr>
          <w:lang w:val="lt-LT"/>
        </w:rPr>
        <w:t>epenų funkcij</w:t>
      </w:r>
      <w:r>
        <w:rPr>
          <w:lang w:val="lt-LT"/>
        </w:rPr>
        <w:t>a</w:t>
      </w:r>
      <w:r w:rsidR="0053501D" w:rsidRPr="004453A7">
        <w:rPr>
          <w:lang w:val="lt-LT"/>
        </w:rPr>
        <w:t xml:space="preserve"> sutrik</w:t>
      </w:r>
      <w:r>
        <w:rPr>
          <w:lang w:val="lt-LT"/>
        </w:rPr>
        <w:t>usi,</w:t>
      </w:r>
      <w:r w:rsidR="0053501D" w:rsidRPr="004453A7">
        <w:rPr>
          <w:lang w:val="lt-LT"/>
        </w:rPr>
        <w:t xml:space="preserve"> dozės koreguoti nereikia. </w:t>
      </w:r>
    </w:p>
    <w:p w14:paraId="28F2E4F9" w14:textId="77777777" w:rsidR="002A3840" w:rsidRPr="004453A7" w:rsidRDefault="002A3840" w:rsidP="002A3840">
      <w:pPr>
        <w:spacing w:line="240" w:lineRule="auto"/>
        <w:contextualSpacing/>
        <w:outlineLvl w:val="0"/>
        <w:rPr>
          <w:i/>
          <w:iCs/>
          <w:color w:val="000000"/>
          <w:szCs w:val="22"/>
          <w:lang w:val="lt-LT"/>
        </w:rPr>
      </w:pPr>
    </w:p>
    <w:p w14:paraId="0946F1DD" w14:textId="77777777" w:rsidR="002A3840" w:rsidRPr="004453A7" w:rsidRDefault="002A3840" w:rsidP="002A3840">
      <w:pPr>
        <w:spacing w:line="240" w:lineRule="auto"/>
        <w:contextualSpacing/>
        <w:outlineLvl w:val="0"/>
        <w:rPr>
          <w:lang w:val="lt-LT"/>
        </w:rPr>
      </w:pPr>
      <w:r w:rsidRPr="004453A7">
        <w:rPr>
          <w:i/>
          <w:iCs/>
          <w:color w:val="000000"/>
          <w:szCs w:val="22"/>
          <w:lang w:val="lt-LT"/>
        </w:rPr>
        <w:t>Pacientams, kurių inkstų funkcija sutrikusi</w:t>
      </w:r>
    </w:p>
    <w:p w14:paraId="01B950C1" w14:textId="77777777" w:rsidR="002A3840" w:rsidRPr="004453A7" w:rsidRDefault="00242C69" w:rsidP="00F34163">
      <w:pPr>
        <w:rPr>
          <w:lang w:val="lt-LT"/>
        </w:rPr>
      </w:pPr>
      <w:r>
        <w:rPr>
          <w:lang w:val="lt-LT"/>
        </w:rPr>
        <w:t>Pacientams, kurių i</w:t>
      </w:r>
      <w:r w:rsidR="0053501D" w:rsidRPr="004453A7">
        <w:rPr>
          <w:lang w:val="lt-LT"/>
        </w:rPr>
        <w:t>nkstų funkcij</w:t>
      </w:r>
      <w:r>
        <w:rPr>
          <w:lang w:val="lt-LT"/>
        </w:rPr>
        <w:t>a</w:t>
      </w:r>
      <w:r w:rsidR="0053501D" w:rsidRPr="004453A7">
        <w:rPr>
          <w:lang w:val="lt-LT"/>
        </w:rPr>
        <w:t xml:space="preserve"> sutrik</w:t>
      </w:r>
      <w:r>
        <w:rPr>
          <w:lang w:val="lt-LT"/>
        </w:rPr>
        <w:t>usi,</w:t>
      </w:r>
      <w:r w:rsidR="0053501D" w:rsidRPr="004453A7">
        <w:rPr>
          <w:lang w:val="lt-LT"/>
        </w:rPr>
        <w:t xml:space="preserve"> dozės koreguoti nereikia. </w:t>
      </w:r>
    </w:p>
    <w:p w14:paraId="3D5BA8B2" w14:textId="77777777" w:rsidR="002A3840" w:rsidRPr="004453A7" w:rsidRDefault="002A3840" w:rsidP="00F34163">
      <w:pPr>
        <w:rPr>
          <w:lang w:val="lt-LT"/>
        </w:rPr>
      </w:pPr>
    </w:p>
    <w:p w14:paraId="0063916F" w14:textId="77777777" w:rsidR="002A3840" w:rsidRPr="004453A7" w:rsidRDefault="0053501D" w:rsidP="00F34163">
      <w:pPr>
        <w:rPr>
          <w:u w:val="single"/>
          <w:lang w:val="lt-LT"/>
        </w:rPr>
      </w:pPr>
      <w:r w:rsidRPr="004453A7">
        <w:rPr>
          <w:u w:val="single"/>
          <w:lang w:val="lt-LT"/>
        </w:rPr>
        <w:t xml:space="preserve">Vartojimo metodas </w:t>
      </w:r>
    </w:p>
    <w:p w14:paraId="06CEEE80" w14:textId="77777777" w:rsidR="002A3840" w:rsidRPr="004453A7" w:rsidRDefault="002A3840" w:rsidP="00F34163">
      <w:pPr>
        <w:rPr>
          <w:lang w:val="lt-LT"/>
        </w:rPr>
      </w:pPr>
    </w:p>
    <w:p w14:paraId="4BA04731" w14:textId="77777777" w:rsidR="00F50FAE" w:rsidRPr="004453A7" w:rsidRDefault="002A3840" w:rsidP="00F34163">
      <w:pPr>
        <w:rPr>
          <w:lang w:val="lt-LT"/>
        </w:rPr>
      </w:pPr>
      <w:r w:rsidRPr="004453A7">
        <w:rPr>
          <w:lang w:val="lt-LT"/>
        </w:rPr>
        <w:t>Icatibant Teva</w:t>
      </w:r>
      <w:r w:rsidR="0053501D" w:rsidRPr="004453A7">
        <w:rPr>
          <w:lang w:val="lt-LT"/>
        </w:rPr>
        <w:t xml:space="preserve"> skirtas </w:t>
      </w:r>
      <w:r w:rsidR="00BA6A1D">
        <w:rPr>
          <w:lang w:val="lt-LT"/>
        </w:rPr>
        <w:t>leisti</w:t>
      </w:r>
      <w:r w:rsidR="0053501D" w:rsidRPr="004453A7">
        <w:rPr>
          <w:lang w:val="lt-LT"/>
        </w:rPr>
        <w:t xml:space="preserve"> po oda, </w:t>
      </w:r>
      <w:r w:rsidR="00161220">
        <w:rPr>
          <w:lang w:val="lt-LT"/>
        </w:rPr>
        <w:t>geriausia</w:t>
      </w:r>
      <w:r w:rsidR="0053501D" w:rsidRPr="004453A7">
        <w:rPr>
          <w:lang w:val="lt-LT"/>
        </w:rPr>
        <w:t xml:space="preserve"> į pilvo sritį. </w:t>
      </w:r>
    </w:p>
    <w:p w14:paraId="5ED80ED6" w14:textId="77777777" w:rsidR="00F50FAE" w:rsidRPr="004453A7" w:rsidRDefault="00F50FAE" w:rsidP="00F34163">
      <w:pPr>
        <w:rPr>
          <w:lang w:val="lt-LT"/>
        </w:rPr>
      </w:pPr>
    </w:p>
    <w:p w14:paraId="21BE15D0" w14:textId="77777777" w:rsidR="00F50FAE" w:rsidRPr="004453A7" w:rsidRDefault="002A3840" w:rsidP="00F34163">
      <w:pPr>
        <w:rPr>
          <w:lang w:val="lt-LT"/>
        </w:rPr>
      </w:pPr>
      <w:r w:rsidRPr="004453A7">
        <w:rPr>
          <w:lang w:val="lt-LT"/>
        </w:rPr>
        <w:t>Icatibant Teva</w:t>
      </w:r>
      <w:r w:rsidR="0053501D" w:rsidRPr="004453A7">
        <w:rPr>
          <w:lang w:val="lt-LT"/>
        </w:rPr>
        <w:t xml:space="preserve"> injekcinis tirpalas </w:t>
      </w:r>
      <w:r w:rsidR="00161220" w:rsidRPr="004453A7">
        <w:rPr>
          <w:lang w:val="lt-LT"/>
        </w:rPr>
        <w:t xml:space="preserve">dėl skiriamo tūrio </w:t>
      </w:r>
      <w:r w:rsidR="0053501D" w:rsidRPr="004453A7">
        <w:rPr>
          <w:lang w:val="lt-LT"/>
        </w:rPr>
        <w:t xml:space="preserve">turi būti </w:t>
      </w:r>
      <w:r w:rsidR="00BA6A1D">
        <w:rPr>
          <w:lang w:val="lt-LT"/>
        </w:rPr>
        <w:t>leidži</w:t>
      </w:r>
      <w:r w:rsidR="0053501D" w:rsidRPr="004453A7">
        <w:rPr>
          <w:lang w:val="lt-LT"/>
        </w:rPr>
        <w:t xml:space="preserve">amas lėtai. </w:t>
      </w:r>
    </w:p>
    <w:p w14:paraId="14579FE3" w14:textId="77777777" w:rsidR="00F50FAE" w:rsidRPr="004453A7" w:rsidRDefault="00F50FAE" w:rsidP="00F34163">
      <w:pPr>
        <w:rPr>
          <w:lang w:val="lt-LT"/>
        </w:rPr>
      </w:pPr>
    </w:p>
    <w:p w14:paraId="009D7A58" w14:textId="77777777" w:rsidR="00F50FAE" w:rsidRPr="004453A7" w:rsidRDefault="0053501D" w:rsidP="00F34163">
      <w:pPr>
        <w:rPr>
          <w:lang w:val="lt-LT"/>
        </w:rPr>
      </w:pPr>
      <w:r w:rsidRPr="004453A7">
        <w:rPr>
          <w:lang w:val="lt-LT"/>
        </w:rPr>
        <w:t xml:space="preserve">Kiekvienas </w:t>
      </w:r>
      <w:r w:rsidR="002A3840" w:rsidRPr="004453A7">
        <w:rPr>
          <w:lang w:val="lt-LT"/>
        </w:rPr>
        <w:t>Icatibant Teva</w:t>
      </w:r>
      <w:r w:rsidRPr="004453A7">
        <w:rPr>
          <w:lang w:val="lt-LT"/>
        </w:rPr>
        <w:t xml:space="preserve"> švirkštas skirtas tik vienkartiniam naudojimui. </w:t>
      </w:r>
    </w:p>
    <w:p w14:paraId="346B4242" w14:textId="77777777" w:rsidR="00F50FAE" w:rsidRPr="004453A7" w:rsidRDefault="00F50FAE" w:rsidP="00F34163">
      <w:pPr>
        <w:rPr>
          <w:lang w:val="lt-LT"/>
        </w:rPr>
      </w:pPr>
    </w:p>
    <w:p w14:paraId="11D9B1FA" w14:textId="77777777" w:rsidR="00F50FAE" w:rsidRPr="004453A7" w:rsidRDefault="0053501D" w:rsidP="00F34163">
      <w:pPr>
        <w:rPr>
          <w:lang w:val="lt-LT"/>
        </w:rPr>
      </w:pPr>
      <w:r w:rsidRPr="004453A7">
        <w:rPr>
          <w:lang w:val="lt-LT"/>
        </w:rPr>
        <w:t xml:space="preserve">Naudojimosi instrukcijas žr. </w:t>
      </w:r>
      <w:r w:rsidR="00242C69">
        <w:rPr>
          <w:lang w:val="lt-LT"/>
        </w:rPr>
        <w:t>pakuotės</w:t>
      </w:r>
      <w:r w:rsidRPr="004453A7">
        <w:rPr>
          <w:lang w:val="lt-LT"/>
        </w:rPr>
        <w:t xml:space="preserve"> lapelyje. </w:t>
      </w:r>
    </w:p>
    <w:p w14:paraId="678D742F" w14:textId="77777777" w:rsidR="00F50FAE" w:rsidRPr="004453A7" w:rsidRDefault="00F50FAE" w:rsidP="00F34163">
      <w:pPr>
        <w:rPr>
          <w:lang w:val="lt-LT"/>
        </w:rPr>
      </w:pPr>
    </w:p>
    <w:p w14:paraId="38AF25A6" w14:textId="77777777" w:rsidR="00F50FAE" w:rsidRPr="004453A7" w:rsidRDefault="0053501D" w:rsidP="00F34163">
      <w:pPr>
        <w:rPr>
          <w:lang w:val="lt-LT"/>
        </w:rPr>
      </w:pPr>
      <w:r w:rsidRPr="004453A7">
        <w:rPr>
          <w:i/>
          <w:lang w:val="lt-LT"/>
        </w:rPr>
        <w:t>Prižiūrintis asmuo / savarankiškas leidimasis</w:t>
      </w:r>
      <w:r w:rsidRPr="004453A7">
        <w:rPr>
          <w:lang w:val="lt-LT"/>
        </w:rPr>
        <w:t xml:space="preserve"> </w:t>
      </w:r>
    </w:p>
    <w:p w14:paraId="3244291F" w14:textId="77777777" w:rsidR="00F50FAE" w:rsidRPr="004453A7" w:rsidRDefault="0053501D" w:rsidP="00F34163">
      <w:pPr>
        <w:rPr>
          <w:lang w:val="lt-LT"/>
        </w:rPr>
      </w:pPr>
      <w:r w:rsidRPr="004453A7">
        <w:rPr>
          <w:lang w:val="lt-LT"/>
        </w:rPr>
        <w:t xml:space="preserve">Sprendimą, kad </w:t>
      </w:r>
      <w:r w:rsidR="002A3840" w:rsidRPr="004453A7">
        <w:rPr>
          <w:lang w:val="lt-LT"/>
        </w:rPr>
        <w:t>Icatibant Teva</w:t>
      </w:r>
      <w:r w:rsidRPr="004453A7">
        <w:rPr>
          <w:lang w:val="lt-LT"/>
        </w:rPr>
        <w:t xml:space="preserve"> gali </w:t>
      </w:r>
      <w:r w:rsidR="00BC75C2">
        <w:rPr>
          <w:lang w:val="lt-LT"/>
        </w:rPr>
        <w:t>su</w:t>
      </w:r>
      <w:r w:rsidR="00BA6A1D">
        <w:rPr>
          <w:lang w:val="lt-LT"/>
        </w:rPr>
        <w:t>leisti</w:t>
      </w:r>
      <w:r w:rsidRPr="004453A7">
        <w:rPr>
          <w:lang w:val="lt-LT"/>
        </w:rPr>
        <w:t xml:space="preserve"> prižiūrintis asmuo ar </w:t>
      </w:r>
      <w:r w:rsidR="00BC75C2">
        <w:rPr>
          <w:lang w:val="lt-LT"/>
        </w:rPr>
        <w:t>susi</w:t>
      </w:r>
      <w:r w:rsidR="00BA6A1D">
        <w:rPr>
          <w:lang w:val="lt-LT"/>
        </w:rPr>
        <w:t>leisti</w:t>
      </w:r>
      <w:r w:rsidRPr="004453A7">
        <w:rPr>
          <w:lang w:val="lt-LT"/>
        </w:rPr>
        <w:t xml:space="preserve"> savarankiškai pats pacientas, turi priimti tik gydytojas, turintis patirties diagnozuojant ir gydant paveldimą angio</w:t>
      </w:r>
      <w:r w:rsidR="00BA6A1D">
        <w:rPr>
          <w:lang w:val="lt-LT"/>
        </w:rPr>
        <w:t xml:space="preserve">neurozinę </w:t>
      </w:r>
      <w:r w:rsidRPr="004453A7">
        <w:rPr>
          <w:lang w:val="lt-LT"/>
        </w:rPr>
        <w:t xml:space="preserve">edemą (žr. 4.4 skyrių). </w:t>
      </w:r>
    </w:p>
    <w:p w14:paraId="7BEA5F9A" w14:textId="77777777" w:rsidR="00F50FAE" w:rsidRPr="004453A7" w:rsidRDefault="00F50FAE" w:rsidP="00F34163">
      <w:pPr>
        <w:rPr>
          <w:lang w:val="lt-LT"/>
        </w:rPr>
      </w:pPr>
    </w:p>
    <w:p w14:paraId="696292E0" w14:textId="77777777" w:rsidR="00F50FAE" w:rsidRPr="004453A7" w:rsidRDefault="0053501D" w:rsidP="00F34163">
      <w:pPr>
        <w:rPr>
          <w:i/>
          <w:lang w:val="lt-LT"/>
        </w:rPr>
      </w:pPr>
      <w:r w:rsidRPr="004453A7">
        <w:rPr>
          <w:i/>
          <w:lang w:val="lt-LT"/>
        </w:rPr>
        <w:t xml:space="preserve">Suaugusieji </w:t>
      </w:r>
    </w:p>
    <w:p w14:paraId="05A98600" w14:textId="77777777" w:rsidR="00161220" w:rsidRPr="00342884" w:rsidRDefault="002A3840" w:rsidP="00052C1E">
      <w:pPr>
        <w:rPr>
          <w:rFonts w:ascii="inherit" w:hAnsi="inherit" w:cs="Courier New"/>
          <w:snapToGrid/>
          <w:color w:val="202124"/>
          <w:sz w:val="42"/>
          <w:szCs w:val="42"/>
          <w:lang w:val="lt-LT"/>
        </w:rPr>
      </w:pPr>
      <w:r w:rsidRPr="004453A7">
        <w:rPr>
          <w:lang w:val="lt-LT"/>
        </w:rPr>
        <w:t>Icatibant Teva</w:t>
      </w:r>
      <w:r w:rsidR="00052C1E">
        <w:rPr>
          <w:lang w:val="lt-LT"/>
        </w:rPr>
        <w:t xml:space="preserve"> </w:t>
      </w:r>
      <w:r w:rsidR="00BA6A1D">
        <w:rPr>
          <w:lang w:val="lt-LT"/>
        </w:rPr>
        <w:t>leistis</w:t>
      </w:r>
      <w:r w:rsidR="00052C1E">
        <w:rPr>
          <w:lang w:val="lt-LT"/>
        </w:rPr>
        <w:t xml:space="preserve"> savarankiškai arba gali būti su</w:t>
      </w:r>
      <w:r w:rsidR="00BA6A1D">
        <w:rPr>
          <w:lang w:val="lt-LT"/>
        </w:rPr>
        <w:t>leidž</w:t>
      </w:r>
      <w:r w:rsidR="00052C1E">
        <w:rPr>
          <w:lang w:val="lt-LT"/>
        </w:rPr>
        <w:t>iamas prižiūrinčio asmens po to, kai sveikatos priežiūros specialistas išmokys atlikti injekcijas</w:t>
      </w:r>
      <w:r w:rsidR="00BA6A1D">
        <w:rPr>
          <w:lang w:val="lt-LT"/>
        </w:rPr>
        <w:t xml:space="preserve"> po oda</w:t>
      </w:r>
      <w:r w:rsidR="00052C1E">
        <w:rPr>
          <w:lang w:val="lt-LT"/>
        </w:rPr>
        <w:t xml:space="preserve">. </w:t>
      </w:r>
    </w:p>
    <w:p w14:paraId="538673AF" w14:textId="77777777" w:rsidR="0053501D" w:rsidRPr="004453A7" w:rsidRDefault="0053501D" w:rsidP="00F34163">
      <w:pPr>
        <w:rPr>
          <w:lang w:val="lt-LT"/>
        </w:rPr>
      </w:pPr>
    </w:p>
    <w:p w14:paraId="6810D790" w14:textId="77777777" w:rsidR="00F50FAE" w:rsidRPr="004453A7" w:rsidRDefault="0053501D" w:rsidP="00F34163">
      <w:pPr>
        <w:rPr>
          <w:i/>
          <w:lang w:val="lt-LT"/>
        </w:rPr>
      </w:pPr>
      <w:r w:rsidRPr="004453A7">
        <w:rPr>
          <w:i/>
          <w:lang w:val="lt-LT"/>
        </w:rPr>
        <w:t xml:space="preserve">2–17 metų vaikai ir paaugliai </w:t>
      </w:r>
    </w:p>
    <w:p w14:paraId="692AAB18" w14:textId="77777777" w:rsidR="0053501D" w:rsidRPr="004453A7" w:rsidRDefault="002A3840" w:rsidP="00F34163">
      <w:pPr>
        <w:rPr>
          <w:i/>
          <w:szCs w:val="24"/>
          <w:lang w:val="lt-LT"/>
        </w:rPr>
      </w:pPr>
      <w:r w:rsidRPr="004453A7">
        <w:rPr>
          <w:lang w:val="lt-LT"/>
        </w:rPr>
        <w:t>Icatibant Teva</w:t>
      </w:r>
      <w:r w:rsidR="0053501D" w:rsidRPr="004453A7">
        <w:rPr>
          <w:lang w:val="lt-LT"/>
        </w:rPr>
        <w:t xml:space="preserve"> gali su</w:t>
      </w:r>
      <w:r w:rsidR="00BA6A1D">
        <w:rPr>
          <w:lang w:val="lt-LT"/>
        </w:rPr>
        <w:t>leisti</w:t>
      </w:r>
      <w:r w:rsidR="0053501D" w:rsidRPr="004453A7">
        <w:rPr>
          <w:lang w:val="lt-LT"/>
        </w:rPr>
        <w:t xml:space="preserve"> prižiūrintis asmuo tik tada, kai jį sveikatos priežiūros specialistas išmokys atlikti injekcijas po oda</w:t>
      </w:r>
      <w:r w:rsidR="00052C1E">
        <w:rPr>
          <w:lang w:val="lt-LT"/>
        </w:rPr>
        <w:t>.</w:t>
      </w:r>
    </w:p>
    <w:p w14:paraId="24F29442" w14:textId="77777777" w:rsidR="00F34163" w:rsidRPr="004453A7" w:rsidRDefault="00F34163" w:rsidP="00F34163">
      <w:pPr>
        <w:rPr>
          <w:szCs w:val="24"/>
          <w:lang w:val="lt-LT"/>
        </w:rPr>
      </w:pPr>
    </w:p>
    <w:p w14:paraId="092E67F8" w14:textId="77777777" w:rsidR="00F34163" w:rsidRPr="004453A7" w:rsidRDefault="00F34163" w:rsidP="00F34163">
      <w:pPr>
        <w:pStyle w:val="Antrat4"/>
        <w:rPr>
          <w:rFonts w:ascii="Times New Roman" w:hAnsi="Times New Roman"/>
          <w:sz w:val="22"/>
          <w:lang w:val="lt-LT"/>
        </w:rPr>
      </w:pPr>
      <w:r w:rsidRPr="00F43548">
        <w:rPr>
          <w:rFonts w:ascii="Times New Roman" w:hAnsi="Times New Roman"/>
          <w:sz w:val="22"/>
          <w:lang w:val="lt-LT"/>
        </w:rPr>
        <w:t>4.3</w:t>
      </w:r>
      <w:r w:rsidRPr="00F43548">
        <w:rPr>
          <w:rFonts w:ascii="Times New Roman" w:hAnsi="Times New Roman"/>
          <w:sz w:val="22"/>
          <w:lang w:val="lt-LT"/>
        </w:rPr>
        <w:tab/>
        <w:t>Kontraindikacijos</w:t>
      </w:r>
    </w:p>
    <w:p w14:paraId="54574D37" w14:textId="77777777" w:rsidR="00F34163" w:rsidRPr="004453A7" w:rsidRDefault="00F34163" w:rsidP="00F34163">
      <w:pPr>
        <w:rPr>
          <w:szCs w:val="24"/>
          <w:lang w:val="lt-LT"/>
        </w:rPr>
      </w:pPr>
    </w:p>
    <w:p w14:paraId="343A12B2" w14:textId="77777777" w:rsidR="00F34163" w:rsidRPr="004453A7" w:rsidRDefault="00F34163" w:rsidP="00F34163">
      <w:pPr>
        <w:rPr>
          <w:noProof/>
          <w:szCs w:val="24"/>
          <w:lang w:val="lt-LT"/>
        </w:rPr>
      </w:pPr>
      <w:r w:rsidRPr="004453A7">
        <w:rPr>
          <w:noProof/>
          <w:szCs w:val="24"/>
          <w:lang w:val="lt-LT"/>
        </w:rPr>
        <w:t>Padidėjęs jautrumas veikliajai arba bet kuriai 6.1 skyriuje</w:t>
      </w:r>
      <w:r w:rsidR="0053501D" w:rsidRPr="004453A7">
        <w:rPr>
          <w:noProof/>
          <w:szCs w:val="24"/>
          <w:lang w:val="lt-LT"/>
        </w:rPr>
        <w:t xml:space="preserve"> nurodytai pagalbinei medžiagai.</w:t>
      </w:r>
    </w:p>
    <w:p w14:paraId="32EBF6BB" w14:textId="77777777" w:rsidR="0053501D" w:rsidRPr="004453A7" w:rsidRDefault="0053501D" w:rsidP="00F34163">
      <w:pPr>
        <w:rPr>
          <w:szCs w:val="24"/>
          <w:lang w:val="lt-LT"/>
        </w:rPr>
      </w:pPr>
    </w:p>
    <w:p w14:paraId="21652307"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4.4</w:t>
      </w:r>
      <w:r w:rsidRPr="004453A7">
        <w:rPr>
          <w:rFonts w:ascii="Times New Roman" w:hAnsi="Times New Roman"/>
          <w:sz w:val="22"/>
          <w:lang w:val="lt-LT"/>
        </w:rPr>
        <w:tab/>
        <w:t>Specialūs įspėjimai ir atsargumo priemonės</w:t>
      </w:r>
    </w:p>
    <w:p w14:paraId="3FFD74C5" w14:textId="77777777" w:rsidR="00F34163" w:rsidRPr="004453A7" w:rsidRDefault="00F34163" w:rsidP="00F34163">
      <w:pPr>
        <w:rPr>
          <w:szCs w:val="24"/>
          <w:lang w:val="lt-LT"/>
        </w:rPr>
      </w:pPr>
    </w:p>
    <w:p w14:paraId="7975905D" w14:textId="77777777" w:rsidR="00F50FAE" w:rsidRPr="004453A7" w:rsidRDefault="0053501D" w:rsidP="00F34163">
      <w:pPr>
        <w:rPr>
          <w:u w:val="single"/>
          <w:lang w:val="lt-LT"/>
        </w:rPr>
      </w:pPr>
      <w:r w:rsidRPr="004453A7">
        <w:rPr>
          <w:u w:val="single"/>
          <w:lang w:val="lt-LT"/>
        </w:rPr>
        <w:t xml:space="preserve">Gerklų priepuoliai </w:t>
      </w:r>
    </w:p>
    <w:p w14:paraId="2E304815" w14:textId="77777777" w:rsidR="00F50FAE" w:rsidRPr="004453A7" w:rsidRDefault="00F50FAE" w:rsidP="00F34163">
      <w:pPr>
        <w:rPr>
          <w:lang w:val="lt-LT"/>
        </w:rPr>
      </w:pPr>
    </w:p>
    <w:p w14:paraId="0D4A10B1" w14:textId="77777777" w:rsidR="00F50FAE" w:rsidRPr="004453A7" w:rsidRDefault="0053501D" w:rsidP="00F34163">
      <w:pPr>
        <w:rPr>
          <w:lang w:val="lt-LT"/>
        </w:rPr>
      </w:pPr>
      <w:r w:rsidRPr="004453A7">
        <w:rPr>
          <w:lang w:val="lt-LT"/>
        </w:rPr>
        <w:t xml:space="preserve">Pacientai, kuriems po injekcijos išsivysto gerklų priepuolis, turi būti prižiūrimi atitinkamoje medicinos įstaigoje, kol gydytojas nuspręs, kad išvykti iš įstaigos yra saugu. </w:t>
      </w:r>
    </w:p>
    <w:p w14:paraId="6D6F1F94" w14:textId="77777777" w:rsidR="00F50FAE" w:rsidRPr="004453A7" w:rsidRDefault="00F50FAE" w:rsidP="00F34163">
      <w:pPr>
        <w:rPr>
          <w:lang w:val="lt-LT"/>
        </w:rPr>
      </w:pPr>
    </w:p>
    <w:p w14:paraId="5B1B6354" w14:textId="77777777" w:rsidR="00F50FAE" w:rsidRPr="004453A7" w:rsidRDefault="0053501D" w:rsidP="00F34163">
      <w:pPr>
        <w:rPr>
          <w:u w:val="single"/>
          <w:lang w:val="lt-LT"/>
        </w:rPr>
      </w:pPr>
      <w:r w:rsidRPr="004453A7">
        <w:rPr>
          <w:u w:val="single"/>
          <w:lang w:val="lt-LT"/>
        </w:rPr>
        <w:t xml:space="preserve">Išeminė širdies liga </w:t>
      </w:r>
    </w:p>
    <w:p w14:paraId="44BE8361" w14:textId="77777777" w:rsidR="00F50FAE" w:rsidRPr="004453A7" w:rsidRDefault="00F50FAE" w:rsidP="00F34163">
      <w:pPr>
        <w:rPr>
          <w:lang w:val="lt-LT"/>
        </w:rPr>
      </w:pPr>
    </w:p>
    <w:p w14:paraId="5BC2EF5C" w14:textId="77777777" w:rsidR="00F50FAE" w:rsidRPr="004453A7" w:rsidRDefault="0053501D" w:rsidP="00F34163">
      <w:pPr>
        <w:rPr>
          <w:lang w:val="lt-LT"/>
        </w:rPr>
      </w:pPr>
      <w:r w:rsidRPr="004453A7">
        <w:rPr>
          <w:lang w:val="lt-LT"/>
        </w:rPr>
        <w:t>Išemine širdies liga sergantiems pacientams dėl teorinio 2-ojo tipo bradikinino receptorių antagonizmo ga</w:t>
      </w:r>
      <w:r w:rsidR="00052C1E">
        <w:rPr>
          <w:lang w:val="lt-LT"/>
        </w:rPr>
        <w:t>li pablogėti širdies funkcija bei</w:t>
      </w:r>
      <w:r w:rsidRPr="004453A7">
        <w:rPr>
          <w:lang w:val="lt-LT"/>
        </w:rPr>
        <w:t xml:space="preserve"> </w:t>
      </w:r>
      <w:r w:rsidR="00B10BB9">
        <w:rPr>
          <w:lang w:val="lt-LT"/>
        </w:rPr>
        <w:t>koronarinė kraujotaka</w:t>
      </w:r>
      <w:r w:rsidRPr="004453A7">
        <w:rPr>
          <w:lang w:val="lt-LT"/>
        </w:rPr>
        <w:t xml:space="preserve">. Todėl skiriant </w:t>
      </w:r>
      <w:r w:rsidR="002A3840" w:rsidRPr="004453A7">
        <w:rPr>
          <w:lang w:val="lt-LT"/>
        </w:rPr>
        <w:t>Icatibant Teva</w:t>
      </w:r>
      <w:r w:rsidRPr="004453A7">
        <w:rPr>
          <w:lang w:val="lt-LT"/>
        </w:rPr>
        <w:t xml:space="preserve"> pacientams, sergantiems ūmine išemine širdies liga arba nestabiliąja krūtinės angina, būtina imtis papildomų atsargumo priemonių (žr. 5.3 skyrių). </w:t>
      </w:r>
    </w:p>
    <w:p w14:paraId="6065956E" w14:textId="77777777" w:rsidR="00F50FAE" w:rsidRPr="004453A7" w:rsidRDefault="00F50FAE" w:rsidP="00F34163">
      <w:pPr>
        <w:rPr>
          <w:lang w:val="lt-LT"/>
        </w:rPr>
      </w:pPr>
    </w:p>
    <w:p w14:paraId="34228437" w14:textId="77777777" w:rsidR="00F50FAE" w:rsidRPr="004453A7" w:rsidRDefault="0053501D" w:rsidP="00F34163">
      <w:pPr>
        <w:rPr>
          <w:u w:val="single"/>
          <w:lang w:val="lt-LT"/>
        </w:rPr>
      </w:pPr>
      <w:r w:rsidRPr="004453A7">
        <w:rPr>
          <w:u w:val="single"/>
          <w:lang w:val="lt-LT"/>
        </w:rPr>
        <w:t xml:space="preserve">Insultas </w:t>
      </w:r>
    </w:p>
    <w:p w14:paraId="2B36F0FF" w14:textId="77777777" w:rsidR="00F50FAE" w:rsidRPr="004453A7" w:rsidRDefault="00F50FAE" w:rsidP="00F34163">
      <w:pPr>
        <w:rPr>
          <w:lang w:val="lt-LT"/>
        </w:rPr>
      </w:pPr>
    </w:p>
    <w:p w14:paraId="75C83742" w14:textId="77777777" w:rsidR="00F50FAE" w:rsidRPr="004453A7" w:rsidRDefault="0053501D" w:rsidP="00F34163">
      <w:pPr>
        <w:rPr>
          <w:lang w:val="lt-LT"/>
        </w:rPr>
      </w:pPr>
      <w:r w:rsidRPr="004453A7">
        <w:rPr>
          <w:lang w:val="lt-LT"/>
        </w:rPr>
        <w:t xml:space="preserve">Nors yra duomenų, kad B2 receptorių blokada iš karto po insulto turi teigiamą poveikį, teoriškai įmanoma, kad ikatibantas gali susilpninti teigiamą bradikinino vėlyvosios fazės nervus saugojamąjį poveikį. Todėl kelias savaites po insulto pacientams ikatibanto reikia skirti atsargiai. </w:t>
      </w:r>
    </w:p>
    <w:p w14:paraId="1CFCC9E7" w14:textId="77777777" w:rsidR="00F50FAE" w:rsidRPr="004453A7" w:rsidRDefault="00F50FAE" w:rsidP="00F34163">
      <w:pPr>
        <w:rPr>
          <w:lang w:val="lt-LT"/>
        </w:rPr>
      </w:pPr>
    </w:p>
    <w:p w14:paraId="28DA5E30" w14:textId="77777777" w:rsidR="00F50FAE" w:rsidRPr="004453A7" w:rsidRDefault="0053501D" w:rsidP="00F34163">
      <w:pPr>
        <w:rPr>
          <w:u w:val="single"/>
          <w:lang w:val="lt-LT"/>
        </w:rPr>
      </w:pPr>
      <w:r w:rsidRPr="004453A7">
        <w:rPr>
          <w:u w:val="single"/>
          <w:lang w:val="lt-LT"/>
        </w:rPr>
        <w:t xml:space="preserve">Prižiūrintis asmuo / savarankiškas leidimasis </w:t>
      </w:r>
    </w:p>
    <w:p w14:paraId="5C5C24E9" w14:textId="77777777" w:rsidR="00F50FAE" w:rsidRPr="004453A7" w:rsidRDefault="00F50FAE" w:rsidP="00F34163">
      <w:pPr>
        <w:rPr>
          <w:u w:val="single"/>
          <w:lang w:val="lt-LT"/>
        </w:rPr>
      </w:pPr>
    </w:p>
    <w:p w14:paraId="5600F7CD" w14:textId="77777777" w:rsidR="00F50FAE" w:rsidRPr="004453A7" w:rsidRDefault="004D125A" w:rsidP="00F34163">
      <w:pPr>
        <w:rPr>
          <w:lang w:val="lt-LT"/>
        </w:rPr>
      </w:pPr>
      <w:r>
        <w:rPr>
          <w:lang w:val="lt-LT"/>
        </w:rPr>
        <w:t>P</w:t>
      </w:r>
      <w:r w:rsidR="0053501D" w:rsidRPr="004453A7">
        <w:rPr>
          <w:lang w:val="lt-LT"/>
        </w:rPr>
        <w:t xml:space="preserve">acientams, kuriems </w:t>
      </w:r>
      <w:r w:rsidR="002A3840" w:rsidRPr="004453A7">
        <w:rPr>
          <w:lang w:val="lt-LT"/>
        </w:rPr>
        <w:t>Icatibant Teva</w:t>
      </w:r>
      <w:r w:rsidR="0053501D" w:rsidRPr="004453A7">
        <w:rPr>
          <w:lang w:val="lt-LT"/>
        </w:rPr>
        <w:t xml:space="preserve"> niekada anksčiau nebuvo skiriama, </w:t>
      </w:r>
      <w:r>
        <w:rPr>
          <w:lang w:val="lt-LT"/>
        </w:rPr>
        <w:t xml:space="preserve">gydymas </w:t>
      </w:r>
      <w:r w:rsidR="0053501D" w:rsidRPr="004453A7">
        <w:rPr>
          <w:lang w:val="lt-LT"/>
        </w:rPr>
        <w:t xml:space="preserve">turi būti pradedamas medicinos įstaigoje arba prižiūrint gydytojui. </w:t>
      </w:r>
    </w:p>
    <w:p w14:paraId="7E2F68A8" w14:textId="77777777" w:rsidR="00F50FAE" w:rsidRPr="004453A7" w:rsidRDefault="00F50FAE" w:rsidP="00F34163">
      <w:pPr>
        <w:rPr>
          <w:lang w:val="lt-LT"/>
        </w:rPr>
      </w:pPr>
    </w:p>
    <w:p w14:paraId="7BCEF887" w14:textId="77777777" w:rsidR="00F50FAE" w:rsidRPr="004453A7" w:rsidRDefault="0053501D" w:rsidP="00F34163">
      <w:pPr>
        <w:rPr>
          <w:lang w:val="lt-LT"/>
        </w:rPr>
      </w:pPr>
      <w:r w:rsidRPr="004453A7">
        <w:rPr>
          <w:lang w:val="lt-LT"/>
        </w:rPr>
        <w:t>Jeigu susi</w:t>
      </w:r>
      <w:r w:rsidR="00B10BB9">
        <w:rPr>
          <w:lang w:val="lt-LT"/>
        </w:rPr>
        <w:t>leidus</w:t>
      </w:r>
      <w:r w:rsidRPr="004453A7">
        <w:rPr>
          <w:lang w:val="lt-LT"/>
        </w:rPr>
        <w:t xml:space="preserve"> arba prižiūrinčiam asmeniui su</w:t>
      </w:r>
      <w:r w:rsidR="00B10BB9">
        <w:rPr>
          <w:lang w:val="lt-LT"/>
        </w:rPr>
        <w:t>leidus</w:t>
      </w:r>
      <w:r w:rsidRPr="004453A7">
        <w:rPr>
          <w:lang w:val="lt-LT"/>
        </w:rPr>
        <w:t xml:space="preserve"> vaistinio preparato būklė pagerėja nepakankamai arba jeigu simptomų vėl atsiranda, pacientui arba prižiūrinčiam asmeniui patariama kreiptis </w:t>
      </w:r>
      <w:r w:rsidR="004D125A">
        <w:rPr>
          <w:lang w:val="lt-LT"/>
        </w:rPr>
        <w:t xml:space="preserve">medicininės </w:t>
      </w:r>
      <w:r w:rsidRPr="004453A7">
        <w:rPr>
          <w:lang w:val="lt-LT"/>
        </w:rPr>
        <w:t xml:space="preserve">pagalbos. Suaugusiesiems kitos dozės, kurių gali prireikti tam pačiam priepuoliui gydyti, turi būti skiriamos medicinos įstaigoje (žr. 4.2 skyrių). Duomenų apie kitų dozių tam pačiam priepuoliui gydyti skyrimą paaugliams arba vaikams nėra. </w:t>
      </w:r>
    </w:p>
    <w:p w14:paraId="4E214ADA" w14:textId="77777777" w:rsidR="00F50FAE" w:rsidRPr="004453A7" w:rsidRDefault="00F50FAE" w:rsidP="00F34163">
      <w:pPr>
        <w:rPr>
          <w:lang w:val="lt-LT"/>
        </w:rPr>
      </w:pPr>
    </w:p>
    <w:p w14:paraId="6E41781E" w14:textId="77777777" w:rsidR="00F50FAE" w:rsidRPr="004453A7" w:rsidRDefault="0053501D" w:rsidP="00F34163">
      <w:pPr>
        <w:rPr>
          <w:lang w:val="lt-LT"/>
        </w:rPr>
      </w:pPr>
      <w:r w:rsidRPr="004453A7">
        <w:rPr>
          <w:lang w:val="lt-LT"/>
        </w:rPr>
        <w:t>Išsivysčius gerklų priepuoliui, taip pat po namuose su</w:t>
      </w:r>
      <w:r w:rsidR="00B10BB9">
        <w:rPr>
          <w:lang w:val="lt-LT"/>
        </w:rPr>
        <w:t>leistos</w:t>
      </w:r>
      <w:r w:rsidRPr="004453A7">
        <w:rPr>
          <w:lang w:val="lt-LT"/>
        </w:rPr>
        <w:t xml:space="preserve"> vais</w:t>
      </w:r>
      <w:r w:rsidR="00052C1E">
        <w:rPr>
          <w:lang w:val="lt-LT"/>
        </w:rPr>
        <w:t>inio preparato</w:t>
      </w:r>
      <w:r w:rsidRPr="004453A7">
        <w:rPr>
          <w:lang w:val="lt-LT"/>
        </w:rPr>
        <w:t xml:space="preserve"> injekcijos pacientai turi kreiptis į gydytoją ir būti stebimi atitinkamoje medicinos įstaigoje. </w:t>
      </w:r>
    </w:p>
    <w:p w14:paraId="60A9F874" w14:textId="77777777" w:rsidR="00F50FAE" w:rsidRPr="004453A7" w:rsidRDefault="00F50FAE" w:rsidP="00F50FAE">
      <w:pPr>
        <w:rPr>
          <w:lang w:val="lt-LT"/>
        </w:rPr>
      </w:pPr>
    </w:p>
    <w:p w14:paraId="73AD6729" w14:textId="77777777" w:rsidR="00F50FAE" w:rsidRPr="004453A7" w:rsidRDefault="00F50FAE" w:rsidP="00F50FAE">
      <w:pPr>
        <w:rPr>
          <w:u w:val="single"/>
          <w:lang w:val="lt-LT"/>
        </w:rPr>
      </w:pPr>
      <w:r w:rsidRPr="004453A7">
        <w:rPr>
          <w:u w:val="single"/>
          <w:lang w:val="lt-LT"/>
        </w:rPr>
        <w:t xml:space="preserve">Vaikų populiacija </w:t>
      </w:r>
    </w:p>
    <w:p w14:paraId="5E5B74BF" w14:textId="77777777" w:rsidR="00F50FAE" w:rsidRPr="004453A7" w:rsidRDefault="00F50FAE" w:rsidP="00F50FAE">
      <w:pPr>
        <w:rPr>
          <w:lang w:val="lt-LT"/>
        </w:rPr>
      </w:pPr>
      <w:r w:rsidRPr="004453A7">
        <w:rPr>
          <w:lang w:val="lt-LT"/>
        </w:rPr>
        <w:t>Duomenų apie Icatibant Teva vartojimo gydant daugiau nei vieną PAE priepuolį vaik</w:t>
      </w:r>
      <w:r w:rsidR="0098275A" w:rsidRPr="004453A7">
        <w:rPr>
          <w:lang w:val="lt-LT"/>
        </w:rPr>
        <w:t>ams</w:t>
      </w:r>
      <w:r w:rsidRPr="004453A7">
        <w:rPr>
          <w:lang w:val="lt-LT"/>
        </w:rPr>
        <w:t xml:space="preserve"> patirtį yra nedaug.</w:t>
      </w:r>
    </w:p>
    <w:p w14:paraId="759AB01B" w14:textId="77777777" w:rsidR="00F50FAE" w:rsidRPr="004453A7" w:rsidRDefault="00F50FAE" w:rsidP="00F50FAE">
      <w:pPr>
        <w:rPr>
          <w:lang w:val="lt-LT"/>
        </w:rPr>
      </w:pPr>
    </w:p>
    <w:p w14:paraId="4A62EB27" w14:textId="77777777" w:rsidR="00F50FAE" w:rsidRPr="004453A7" w:rsidRDefault="0053501D" w:rsidP="00F34163">
      <w:pPr>
        <w:rPr>
          <w:u w:val="single"/>
          <w:lang w:val="lt-LT"/>
        </w:rPr>
      </w:pPr>
      <w:r w:rsidRPr="004453A7">
        <w:rPr>
          <w:u w:val="single"/>
          <w:lang w:val="lt-LT"/>
        </w:rPr>
        <w:t xml:space="preserve">Natrio kiekis </w:t>
      </w:r>
    </w:p>
    <w:p w14:paraId="4FE40E02" w14:textId="77777777" w:rsidR="0053501D" w:rsidRPr="004453A7" w:rsidRDefault="0053501D" w:rsidP="00F34163">
      <w:pPr>
        <w:rPr>
          <w:lang w:val="lt-LT"/>
        </w:rPr>
      </w:pPr>
      <w:r w:rsidRPr="004453A7">
        <w:rPr>
          <w:lang w:val="lt-LT"/>
        </w:rPr>
        <w:t>Šio vaistinio prepa</w:t>
      </w:r>
      <w:r w:rsidR="0098275A" w:rsidRPr="004453A7">
        <w:rPr>
          <w:lang w:val="lt-LT"/>
        </w:rPr>
        <w:t>rato švirkšte yra mažiau kaip 1 mmol (23 </w:t>
      </w:r>
      <w:r w:rsidRPr="004453A7">
        <w:rPr>
          <w:lang w:val="lt-LT"/>
        </w:rPr>
        <w:t>m</w:t>
      </w:r>
      <w:r w:rsidR="00500FDD">
        <w:rPr>
          <w:lang w:val="lt-LT"/>
        </w:rPr>
        <w:t>g</w:t>
      </w:r>
      <w:r w:rsidRPr="004453A7">
        <w:rPr>
          <w:lang w:val="lt-LT"/>
        </w:rPr>
        <w:t xml:space="preserve">) natrio, t. y. jis beveik neturi reikšmės. </w:t>
      </w:r>
    </w:p>
    <w:p w14:paraId="7AFA5091" w14:textId="77777777" w:rsidR="00F34163" w:rsidRPr="004453A7" w:rsidRDefault="00F34163" w:rsidP="00F34163">
      <w:pPr>
        <w:rPr>
          <w:szCs w:val="24"/>
          <w:lang w:val="lt-LT"/>
        </w:rPr>
      </w:pPr>
    </w:p>
    <w:p w14:paraId="6FF1D5D1"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4.5</w:t>
      </w:r>
      <w:r w:rsidRPr="004453A7">
        <w:rPr>
          <w:rFonts w:ascii="Times New Roman" w:hAnsi="Times New Roman"/>
          <w:sz w:val="22"/>
          <w:lang w:val="lt-LT"/>
        </w:rPr>
        <w:tab/>
        <w:t>Sąveika su kitais vaistiniais preparatais ir kitokia sąveika</w:t>
      </w:r>
    </w:p>
    <w:p w14:paraId="2BA4989B" w14:textId="77777777" w:rsidR="00F34163" w:rsidRPr="004453A7" w:rsidRDefault="00F34163" w:rsidP="00F34163">
      <w:pPr>
        <w:rPr>
          <w:szCs w:val="24"/>
          <w:lang w:val="lt-LT"/>
        </w:rPr>
      </w:pPr>
    </w:p>
    <w:p w14:paraId="647F3884" w14:textId="77777777" w:rsidR="00B30C00" w:rsidRPr="004453A7" w:rsidRDefault="00B30C00" w:rsidP="00F34163">
      <w:pPr>
        <w:rPr>
          <w:lang w:val="lt-LT"/>
        </w:rPr>
      </w:pPr>
      <w:r w:rsidRPr="004453A7">
        <w:rPr>
          <w:lang w:val="lt-LT"/>
        </w:rPr>
        <w:t>Farmakokinetinės vaist</w:t>
      </w:r>
      <w:r w:rsidR="00B10BB9">
        <w:rPr>
          <w:lang w:val="lt-LT"/>
        </w:rPr>
        <w:t>ini</w:t>
      </w:r>
      <w:r w:rsidRPr="004453A7">
        <w:rPr>
          <w:lang w:val="lt-LT"/>
        </w:rPr>
        <w:t xml:space="preserve">o </w:t>
      </w:r>
      <w:r w:rsidR="00B10BB9">
        <w:rPr>
          <w:lang w:val="lt-LT"/>
        </w:rPr>
        <w:t xml:space="preserve">preparato </w:t>
      </w:r>
      <w:r w:rsidRPr="004453A7">
        <w:rPr>
          <w:lang w:val="lt-LT"/>
        </w:rPr>
        <w:t xml:space="preserve">sąveikos dalyvaujant CYP450 </w:t>
      </w:r>
      <w:r w:rsidR="004D125A">
        <w:rPr>
          <w:lang w:val="lt-LT"/>
        </w:rPr>
        <w:t>nesitikima</w:t>
      </w:r>
      <w:r w:rsidRPr="004453A7">
        <w:rPr>
          <w:lang w:val="lt-LT"/>
        </w:rPr>
        <w:t xml:space="preserve"> (žr. 5.2 skyrių)</w:t>
      </w:r>
      <w:r w:rsidR="004D125A">
        <w:rPr>
          <w:lang w:val="lt-LT"/>
        </w:rPr>
        <w:t>.</w:t>
      </w:r>
    </w:p>
    <w:p w14:paraId="7FA8015B" w14:textId="77777777" w:rsidR="00B30C00" w:rsidRPr="004453A7" w:rsidRDefault="00B30C00" w:rsidP="00F34163">
      <w:pPr>
        <w:rPr>
          <w:lang w:val="lt-LT"/>
        </w:rPr>
      </w:pPr>
    </w:p>
    <w:p w14:paraId="6B49055B" w14:textId="77777777" w:rsidR="00EB3C73" w:rsidRPr="004453A7" w:rsidRDefault="00EB3C73" w:rsidP="00F34163">
      <w:pPr>
        <w:rPr>
          <w:lang w:val="lt-LT"/>
        </w:rPr>
      </w:pPr>
      <w:r w:rsidRPr="004453A7">
        <w:rPr>
          <w:lang w:val="lt-LT"/>
        </w:rPr>
        <w:t>Ikatibanto</w:t>
      </w:r>
      <w:r w:rsidR="00164DF8" w:rsidRPr="004453A7">
        <w:rPr>
          <w:lang w:val="lt-LT"/>
        </w:rPr>
        <w:t xml:space="preserve"> skyrimo kartu su angiotenziną konvertuojančio fermento (AKF) inhibitoriais tyrimų neatlikta. AKF inhibitoriai yra draudžiami PAE pacientams dėl galimo bradikinino koncentracijos padidėjimo. </w:t>
      </w:r>
    </w:p>
    <w:p w14:paraId="6B5F534A" w14:textId="77777777" w:rsidR="00EB3C73" w:rsidRPr="004453A7" w:rsidRDefault="00EB3C73" w:rsidP="00F34163">
      <w:pPr>
        <w:rPr>
          <w:lang w:val="lt-LT"/>
        </w:rPr>
      </w:pPr>
    </w:p>
    <w:p w14:paraId="430B38FD" w14:textId="77777777" w:rsidR="00EB3C73" w:rsidRPr="004453A7" w:rsidRDefault="00164DF8" w:rsidP="00F34163">
      <w:pPr>
        <w:rPr>
          <w:lang w:val="lt-LT"/>
        </w:rPr>
      </w:pPr>
      <w:r w:rsidRPr="004453A7">
        <w:rPr>
          <w:u w:val="single"/>
          <w:lang w:val="lt-LT"/>
        </w:rPr>
        <w:t>Vaikų populiacija</w:t>
      </w:r>
      <w:r w:rsidRPr="004453A7">
        <w:rPr>
          <w:lang w:val="lt-LT"/>
        </w:rPr>
        <w:t xml:space="preserve"> </w:t>
      </w:r>
    </w:p>
    <w:p w14:paraId="20962C89" w14:textId="77777777" w:rsidR="00EB3C73" w:rsidRPr="004453A7" w:rsidRDefault="00EB3C73" w:rsidP="00F34163">
      <w:pPr>
        <w:rPr>
          <w:lang w:val="lt-LT"/>
        </w:rPr>
      </w:pPr>
    </w:p>
    <w:p w14:paraId="3C374974" w14:textId="77777777" w:rsidR="00B30C00" w:rsidRPr="004453A7" w:rsidRDefault="00164DF8" w:rsidP="00F34163">
      <w:pPr>
        <w:rPr>
          <w:lang w:val="lt-LT"/>
        </w:rPr>
      </w:pPr>
      <w:r w:rsidRPr="004453A7">
        <w:rPr>
          <w:lang w:val="lt-LT"/>
        </w:rPr>
        <w:t>Sąveikos tyrimai buvo atlikti tik suaugusiesiems</w:t>
      </w:r>
      <w:r w:rsidR="004D125A">
        <w:rPr>
          <w:lang w:val="lt-LT"/>
        </w:rPr>
        <w:t>.</w:t>
      </w:r>
    </w:p>
    <w:p w14:paraId="3009BE22" w14:textId="77777777" w:rsidR="00B30C00" w:rsidRPr="004453A7" w:rsidRDefault="00B30C00" w:rsidP="00F34163">
      <w:pPr>
        <w:rPr>
          <w:lang w:val="lt-LT"/>
        </w:rPr>
      </w:pPr>
    </w:p>
    <w:p w14:paraId="00CFF3C6" w14:textId="77777777" w:rsidR="00F34163" w:rsidRPr="004453A7" w:rsidRDefault="00F34163" w:rsidP="00F34163">
      <w:pPr>
        <w:pStyle w:val="Antrat4"/>
        <w:rPr>
          <w:rFonts w:ascii="Times New Roman" w:hAnsi="Times New Roman"/>
          <w:sz w:val="22"/>
          <w:lang w:val="lt-LT"/>
        </w:rPr>
      </w:pPr>
      <w:r w:rsidRPr="002A543C">
        <w:rPr>
          <w:rFonts w:ascii="Times New Roman" w:hAnsi="Times New Roman"/>
          <w:sz w:val="22"/>
          <w:lang w:val="lt-LT"/>
        </w:rPr>
        <w:t>4.6</w:t>
      </w:r>
      <w:r w:rsidRPr="002A543C">
        <w:rPr>
          <w:rFonts w:ascii="Times New Roman" w:hAnsi="Times New Roman"/>
          <w:sz w:val="22"/>
          <w:lang w:val="lt-LT"/>
        </w:rPr>
        <w:tab/>
        <w:t>Vaisingumas, nėštumo ir žindymo laikotarpis</w:t>
      </w:r>
    </w:p>
    <w:p w14:paraId="44C7A91A" w14:textId="77777777" w:rsidR="00EB3C73" w:rsidRPr="004453A7" w:rsidRDefault="00EB3C73" w:rsidP="00F34163">
      <w:pPr>
        <w:rPr>
          <w:lang w:val="lt-LT"/>
        </w:rPr>
      </w:pPr>
    </w:p>
    <w:p w14:paraId="3AAF30CD" w14:textId="77777777" w:rsidR="00EB3C73" w:rsidRPr="004453A7" w:rsidRDefault="00164DF8" w:rsidP="00F34163">
      <w:pPr>
        <w:rPr>
          <w:u w:val="single"/>
          <w:lang w:val="lt-LT"/>
        </w:rPr>
      </w:pPr>
      <w:r w:rsidRPr="004453A7">
        <w:rPr>
          <w:u w:val="single"/>
          <w:lang w:val="lt-LT"/>
        </w:rPr>
        <w:t xml:space="preserve">Nėštumas </w:t>
      </w:r>
    </w:p>
    <w:p w14:paraId="6DEFEC0E" w14:textId="77777777" w:rsidR="00EB3C73" w:rsidRPr="004453A7" w:rsidRDefault="00164DF8" w:rsidP="00F34163">
      <w:pPr>
        <w:rPr>
          <w:lang w:val="lt-LT"/>
        </w:rPr>
      </w:pPr>
      <w:r w:rsidRPr="004453A7">
        <w:rPr>
          <w:lang w:val="lt-LT"/>
        </w:rPr>
        <w:t xml:space="preserve">Klinikinių duomenų apie ikatibanto vartojimą nėštumo metu nėra. Su gyvūnais atlikti tyrimai parodė poveikį implantacijai gimdoje ir gimdymui (žr. 5.3 skyrių), tačiau potencialus pavojus žmogui nėra žinomas. </w:t>
      </w:r>
    </w:p>
    <w:p w14:paraId="283FCF25" w14:textId="77777777" w:rsidR="00EB3C73" w:rsidRPr="004453A7" w:rsidRDefault="00EB3C73" w:rsidP="00F34163">
      <w:pPr>
        <w:rPr>
          <w:lang w:val="lt-LT"/>
        </w:rPr>
      </w:pPr>
    </w:p>
    <w:p w14:paraId="32FA943C" w14:textId="77777777" w:rsidR="00EB3C73" w:rsidRPr="004453A7" w:rsidRDefault="00164DF8" w:rsidP="00F34163">
      <w:pPr>
        <w:rPr>
          <w:lang w:val="lt-LT"/>
        </w:rPr>
      </w:pPr>
      <w:r w:rsidRPr="004453A7">
        <w:rPr>
          <w:lang w:val="lt-LT"/>
        </w:rPr>
        <w:t xml:space="preserve">Nėštumo metu </w:t>
      </w:r>
      <w:r w:rsidR="00EB3C73" w:rsidRPr="004453A7">
        <w:rPr>
          <w:lang w:val="lt-LT"/>
        </w:rPr>
        <w:t>Icatibant Teva</w:t>
      </w:r>
      <w:r w:rsidRPr="004453A7">
        <w:rPr>
          <w:lang w:val="lt-LT"/>
        </w:rPr>
        <w:t xml:space="preserve"> leidžiama vartoti tik tais atvejais, kai galima vaist</w:t>
      </w:r>
      <w:r w:rsidR="00B10BB9">
        <w:rPr>
          <w:lang w:val="lt-LT"/>
        </w:rPr>
        <w:t>ini</w:t>
      </w:r>
      <w:r w:rsidRPr="004453A7">
        <w:rPr>
          <w:lang w:val="lt-LT"/>
        </w:rPr>
        <w:t xml:space="preserve">o </w:t>
      </w:r>
      <w:r w:rsidR="00B10BB9">
        <w:rPr>
          <w:lang w:val="lt-LT"/>
        </w:rPr>
        <w:t xml:space="preserve">preparato </w:t>
      </w:r>
      <w:r w:rsidRPr="004453A7">
        <w:rPr>
          <w:lang w:val="lt-LT"/>
        </w:rPr>
        <w:t xml:space="preserve">nauda pateisina vaisiui keliamą riziką (pavyzdžiui, jei reikia gydyti gyvybei pavojų keliantį priepuolį gerklose). </w:t>
      </w:r>
    </w:p>
    <w:p w14:paraId="52159AD0" w14:textId="77777777" w:rsidR="00EB3C73" w:rsidRPr="004453A7" w:rsidRDefault="00EB3C73" w:rsidP="00F34163">
      <w:pPr>
        <w:rPr>
          <w:lang w:val="lt-LT"/>
        </w:rPr>
      </w:pPr>
    </w:p>
    <w:p w14:paraId="21E0EF50" w14:textId="77777777" w:rsidR="00EB3C73" w:rsidRPr="004453A7" w:rsidRDefault="00164DF8" w:rsidP="00F34163">
      <w:pPr>
        <w:rPr>
          <w:u w:val="single"/>
          <w:lang w:val="lt-LT"/>
        </w:rPr>
      </w:pPr>
      <w:r w:rsidRPr="004453A7">
        <w:rPr>
          <w:u w:val="single"/>
          <w:lang w:val="lt-LT"/>
        </w:rPr>
        <w:t>Žindymas</w:t>
      </w:r>
    </w:p>
    <w:p w14:paraId="4D498A0E" w14:textId="77777777" w:rsidR="00EB3C73" w:rsidRPr="004453A7" w:rsidRDefault="00EB3C73" w:rsidP="00F34163">
      <w:pPr>
        <w:rPr>
          <w:lang w:val="lt-LT"/>
        </w:rPr>
      </w:pPr>
    </w:p>
    <w:p w14:paraId="19422B8E" w14:textId="77777777" w:rsidR="00EB3C73" w:rsidRPr="004453A7" w:rsidRDefault="00164DF8" w:rsidP="00F34163">
      <w:pPr>
        <w:rPr>
          <w:lang w:val="lt-LT"/>
        </w:rPr>
      </w:pPr>
      <w:r w:rsidRPr="004453A7">
        <w:rPr>
          <w:lang w:val="lt-LT"/>
        </w:rPr>
        <w:t>Į žindančių ži</w:t>
      </w:r>
      <w:r w:rsidR="00EB3C73" w:rsidRPr="004453A7">
        <w:rPr>
          <w:lang w:val="lt-LT"/>
        </w:rPr>
        <w:t xml:space="preserve">urkių pieną išsiskiria panaši koncentracija </w:t>
      </w:r>
      <w:r w:rsidRPr="004453A7">
        <w:rPr>
          <w:lang w:val="lt-LT"/>
        </w:rPr>
        <w:t>ikatibanto kaip motinų krauj</w:t>
      </w:r>
      <w:r w:rsidR="00EB3C73" w:rsidRPr="004453A7">
        <w:rPr>
          <w:lang w:val="lt-LT"/>
        </w:rPr>
        <w:t>yje. J</w:t>
      </w:r>
      <w:r w:rsidRPr="004453A7">
        <w:rPr>
          <w:lang w:val="lt-LT"/>
        </w:rPr>
        <w:t>okio poveikio žiurkių jauniklių postnataliniam vystymuisi</w:t>
      </w:r>
      <w:r w:rsidR="00EB3C73" w:rsidRPr="004453A7">
        <w:rPr>
          <w:lang w:val="lt-LT"/>
        </w:rPr>
        <w:t xml:space="preserve"> nenustatyta</w:t>
      </w:r>
      <w:r w:rsidRPr="004453A7">
        <w:rPr>
          <w:lang w:val="lt-LT"/>
        </w:rPr>
        <w:t xml:space="preserve">. </w:t>
      </w:r>
    </w:p>
    <w:p w14:paraId="1A8DB2B7" w14:textId="77777777" w:rsidR="00EB3C73" w:rsidRPr="004453A7" w:rsidRDefault="00EB3C73" w:rsidP="00F34163">
      <w:pPr>
        <w:rPr>
          <w:lang w:val="lt-LT"/>
        </w:rPr>
      </w:pPr>
    </w:p>
    <w:p w14:paraId="490DDEF0" w14:textId="77777777" w:rsidR="002274D0" w:rsidRPr="004453A7" w:rsidRDefault="00164DF8" w:rsidP="00F34163">
      <w:pPr>
        <w:rPr>
          <w:lang w:val="lt-LT"/>
        </w:rPr>
      </w:pPr>
      <w:r w:rsidRPr="004453A7">
        <w:rPr>
          <w:lang w:val="lt-LT"/>
        </w:rPr>
        <w:t xml:space="preserve">Nežinoma ar ikatibantas išsiskiria į </w:t>
      </w:r>
      <w:r w:rsidR="00B10BB9">
        <w:rPr>
          <w:lang w:val="lt-LT"/>
        </w:rPr>
        <w:t>motinos</w:t>
      </w:r>
      <w:r w:rsidRPr="004453A7">
        <w:rPr>
          <w:lang w:val="lt-LT"/>
        </w:rPr>
        <w:t xml:space="preserve"> pieną, todėl rekomenduojama, kad </w:t>
      </w:r>
      <w:r w:rsidR="002E3061" w:rsidRPr="004453A7">
        <w:rPr>
          <w:lang w:val="lt-LT"/>
        </w:rPr>
        <w:t>žindyvės</w:t>
      </w:r>
      <w:r w:rsidRPr="004453A7">
        <w:rPr>
          <w:lang w:val="lt-LT"/>
        </w:rPr>
        <w:t xml:space="preserve">, kurioms buvo skirta </w:t>
      </w:r>
      <w:r w:rsidR="002E3061" w:rsidRPr="004453A7">
        <w:rPr>
          <w:lang w:val="lt-LT"/>
        </w:rPr>
        <w:t>Icatibant Teva</w:t>
      </w:r>
      <w:r w:rsidRPr="004453A7">
        <w:rPr>
          <w:lang w:val="lt-LT"/>
        </w:rPr>
        <w:t>, ne</w:t>
      </w:r>
      <w:r w:rsidR="002E3061" w:rsidRPr="004453A7">
        <w:rPr>
          <w:lang w:val="lt-LT"/>
        </w:rPr>
        <w:t>žindytų</w:t>
      </w:r>
      <w:r w:rsidRPr="004453A7">
        <w:rPr>
          <w:lang w:val="lt-LT"/>
        </w:rPr>
        <w:t xml:space="preserve"> bent 12 valandų po gydymo šiuo vaist</w:t>
      </w:r>
      <w:r w:rsidR="00B10BB9">
        <w:rPr>
          <w:lang w:val="lt-LT"/>
        </w:rPr>
        <w:t>ini</w:t>
      </w:r>
      <w:r w:rsidRPr="004453A7">
        <w:rPr>
          <w:lang w:val="lt-LT"/>
        </w:rPr>
        <w:t>u</w:t>
      </w:r>
      <w:r w:rsidR="00B10BB9">
        <w:rPr>
          <w:lang w:val="lt-LT"/>
        </w:rPr>
        <w:t xml:space="preserve"> preparatu</w:t>
      </w:r>
      <w:r w:rsidRPr="004453A7">
        <w:rPr>
          <w:lang w:val="lt-LT"/>
        </w:rPr>
        <w:t xml:space="preserve">. </w:t>
      </w:r>
    </w:p>
    <w:p w14:paraId="342E6977" w14:textId="77777777" w:rsidR="002274D0" w:rsidRPr="004453A7" w:rsidRDefault="002274D0" w:rsidP="00F34163">
      <w:pPr>
        <w:rPr>
          <w:lang w:val="lt-LT"/>
        </w:rPr>
      </w:pPr>
    </w:p>
    <w:p w14:paraId="7390D09F" w14:textId="77777777" w:rsidR="002274D0" w:rsidRPr="004453A7" w:rsidRDefault="00164DF8" w:rsidP="00F34163">
      <w:pPr>
        <w:rPr>
          <w:u w:val="single"/>
          <w:lang w:val="lt-LT"/>
        </w:rPr>
      </w:pPr>
      <w:r w:rsidRPr="004453A7">
        <w:rPr>
          <w:u w:val="single"/>
          <w:lang w:val="lt-LT"/>
        </w:rPr>
        <w:t xml:space="preserve">Vaisingumas </w:t>
      </w:r>
    </w:p>
    <w:p w14:paraId="15A04E2A" w14:textId="77777777" w:rsidR="002274D0" w:rsidRPr="004453A7" w:rsidRDefault="002274D0" w:rsidP="00F34163">
      <w:pPr>
        <w:rPr>
          <w:lang w:val="lt-LT"/>
        </w:rPr>
      </w:pPr>
    </w:p>
    <w:p w14:paraId="41E35209" w14:textId="77777777" w:rsidR="002274D0" w:rsidRPr="004453A7" w:rsidRDefault="00164DF8" w:rsidP="00F34163">
      <w:pPr>
        <w:rPr>
          <w:lang w:val="lt-LT"/>
        </w:rPr>
      </w:pPr>
      <w:r w:rsidRPr="004453A7">
        <w:rPr>
          <w:lang w:val="lt-LT"/>
        </w:rPr>
        <w:t xml:space="preserve">Daugkartinis ikatibanto skyrimas turėjo poveikį ir žiurkių, ir šunų reprodukcijos organams. Ikatibantas neturėjo poveikio pelių ir žiurkių patinų vaisingumui (žr. 5.3 skyrių). </w:t>
      </w:r>
    </w:p>
    <w:p w14:paraId="48CF06A0" w14:textId="77777777" w:rsidR="00F34163" w:rsidRPr="004453A7" w:rsidRDefault="00164DF8" w:rsidP="00F34163">
      <w:pPr>
        <w:rPr>
          <w:szCs w:val="24"/>
          <w:lang w:val="lt-LT"/>
        </w:rPr>
      </w:pPr>
      <w:r w:rsidRPr="004453A7">
        <w:rPr>
          <w:lang w:val="lt-LT"/>
        </w:rPr>
        <w:t>Atlikus tyrimą, kuriame dalyvavo 39 sveiki suaugę vyrai ir</w:t>
      </w:r>
      <w:r w:rsidR="002274D0" w:rsidRPr="004453A7">
        <w:rPr>
          <w:lang w:val="lt-LT"/>
        </w:rPr>
        <w:t xml:space="preserve"> moterys, ir paskyrus jiems 30 </w:t>
      </w:r>
      <w:r w:rsidRPr="004453A7">
        <w:rPr>
          <w:lang w:val="lt-LT"/>
        </w:rPr>
        <w:t>mg ikatibanto kas 6 valandas 3 dozes</w:t>
      </w:r>
      <w:r w:rsidR="002274D0" w:rsidRPr="004453A7">
        <w:rPr>
          <w:lang w:val="lt-LT"/>
        </w:rPr>
        <w:t xml:space="preserve"> </w:t>
      </w:r>
      <w:r w:rsidRPr="004453A7">
        <w:rPr>
          <w:lang w:val="lt-LT"/>
        </w:rPr>
        <w:t>vartojant kas tris dienas</w:t>
      </w:r>
      <w:r w:rsidR="002274D0" w:rsidRPr="004453A7">
        <w:rPr>
          <w:lang w:val="lt-LT"/>
        </w:rPr>
        <w:t>,</w:t>
      </w:r>
      <w:r w:rsidRPr="004453A7">
        <w:rPr>
          <w:lang w:val="lt-LT"/>
        </w:rPr>
        <w:t xml:space="preserve"> iš viso 9 dozes, nebuvo pastebėta jokių kliniškai reikšmingų pokyčių, palyginti su pradiniu lygiu, tarp bazinės ir gonadotropiną atpalaiduojančio hormono (ang</w:t>
      </w:r>
      <w:r w:rsidR="002274D0" w:rsidRPr="004453A7">
        <w:rPr>
          <w:lang w:val="lt-LT"/>
        </w:rPr>
        <w:t>l</w:t>
      </w:r>
      <w:r w:rsidRPr="004453A7">
        <w:rPr>
          <w:lang w:val="lt-LT"/>
        </w:rPr>
        <w:t xml:space="preserve">. </w:t>
      </w:r>
      <w:r w:rsidRPr="004453A7">
        <w:rPr>
          <w:i/>
          <w:lang w:val="lt-LT"/>
        </w:rPr>
        <w:t>gonadotropin-releasing hormone</w:t>
      </w:r>
      <w:r w:rsidRPr="004453A7">
        <w:rPr>
          <w:lang w:val="lt-LT"/>
        </w:rPr>
        <w:t xml:space="preserve">, </w:t>
      </w:r>
      <w:r w:rsidR="00052C1E">
        <w:rPr>
          <w:lang w:val="lt-LT"/>
        </w:rPr>
        <w:t xml:space="preserve">sutr. </w:t>
      </w:r>
      <w:r w:rsidRPr="004453A7">
        <w:rPr>
          <w:lang w:val="lt-LT"/>
        </w:rPr>
        <w:t xml:space="preserve">GnRH) stimuliuojamos lytinių hormonų koncentracijos tiek vyrų, tiek moterų organizmuose. Ikatibantas nedarė reikšmingos įtakos progesterono koncentracijai liuteininės fazės metu ir liuteininei funkcijai arba mėnesinių ciklo trukmei moterims, taip pat ikatibantas nedarė reikšmingos įtakos vyrų spermatozoidų skaičiui, jų judrumui ir morfologijai. </w:t>
      </w:r>
      <w:r w:rsidR="002A543C">
        <w:rPr>
          <w:lang w:val="lt-LT"/>
        </w:rPr>
        <w:t>Nesitikima</w:t>
      </w:r>
      <w:r w:rsidRPr="004453A7">
        <w:rPr>
          <w:lang w:val="lt-LT"/>
        </w:rPr>
        <w:t>, kad šiame tyrime taikomas dozavimo režimas būtų taikomas klinikinėje praktikoje</w:t>
      </w:r>
      <w:r w:rsidR="002A543C">
        <w:rPr>
          <w:lang w:val="lt-LT"/>
        </w:rPr>
        <w:t>.</w:t>
      </w:r>
    </w:p>
    <w:p w14:paraId="493DFC6B" w14:textId="77777777" w:rsidR="002274D0" w:rsidRPr="004453A7" w:rsidRDefault="002274D0" w:rsidP="00F34163">
      <w:pPr>
        <w:rPr>
          <w:noProof/>
          <w:color w:val="0D0D0D"/>
          <w:szCs w:val="24"/>
          <w:u w:val="single"/>
          <w:lang w:val="lt-LT"/>
        </w:rPr>
      </w:pPr>
    </w:p>
    <w:p w14:paraId="6A097BF8"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4.7</w:t>
      </w:r>
      <w:r w:rsidRPr="004453A7">
        <w:rPr>
          <w:rFonts w:ascii="Times New Roman" w:hAnsi="Times New Roman"/>
          <w:sz w:val="22"/>
          <w:lang w:val="lt-LT"/>
        </w:rPr>
        <w:tab/>
        <w:t>Poveikis gebėjimui vairuoti ir valdyti mechanizmus</w:t>
      </w:r>
    </w:p>
    <w:p w14:paraId="08E5D6E7" w14:textId="77777777" w:rsidR="00F34163" w:rsidRPr="004453A7" w:rsidRDefault="00F34163" w:rsidP="00F34163">
      <w:pPr>
        <w:rPr>
          <w:szCs w:val="24"/>
          <w:lang w:val="lt-LT"/>
        </w:rPr>
      </w:pPr>
    </w:p>
    <w:p w14:paraId="74720E6B" w14:textId="77777777" w:rsidR="00F34163" w:rsidRPr="004453A7" w:rsidRDefault="002274D0" w:rsidP="00F34163">
      <w:pPr>
        <w:rPr>
          <w:szCs w:val="24"/>
          <w:lang w:val="lt-LT"/>
        </w:rPr>
      </w:pPr>
      <w:r w:rsidRPr="004453A7">
        <w:rPr>
          <w:lang w:val="lt-LT"/>
        </w:rPr>
        <w:t xml:space="preserve">Icatibant Teva </w:t>
      </w:r>
      <w:r w:rsidR="00164DF8" w:rsidRPr="004453A7">
        <w:rPr>
          <w:lang w:val="lt-LT"/>
        </w:rPr>
        <w:t xml:space="preserve">gebėjimą vairuoti ir valdyti mechanizmus veikia silpnai. Po </w:t>
      </w:r>
      <w:r w:rsidRPr="004453A7">
        <w:rPr>
          <w:lang w:val="lt-LT"/>
        </w:rPr>
        <w:t>ik</w:t>
      </w:r>
      <w:r w:rsidR="00052C1E">
        <w:rPr>
          <w:lang w:val="lt-LT"/>
        </w:rPr>
        <w:t>ati</w:t>
      </w:r>
      <w:r w:rsidRPr="004453A7">
        <w:rPr>
          <w:lang w:val="lt-LT"/>
        </w:rPr>
        <w:t>banto</w:t>
      </w:r>
      <w:r w:rsidR="00164DF8" w:rsidRPr="004453A7">
        <w:rPr>
          <w:lang w:val="lt-LT"/>
        </w:rPr>
        <w:t xml:space="preserve"> vartojimo buvo pastebėti nuovargio, mieguistumo, pavargimo, apsnūdimo ir svaigulio atvejai. Šie simptomai gali pasireikšti kaip </w:t>
      </w:r>
      <w:r w:rsidRPr="004453A7">
        <w:rPr>
          <w:lang w:val="lt-LT"/>
        </w:rPr>
        <w:t>PAE</w:t>
      </w:r>
      <w:r w:rsidR="00164DF8" w:rsidRPr="004453A7">
        <w:rPr>
          <w:lang w:val="lt-LT"/>
        </w:rPr>
        <w:t xml:space="preserve"> </w:t>
      </w:r>
      <w:r w:rsidRPr="004453A7">
        <w:rPr>
          <w:lang w:val="lt-LT"/>
        </w:rPr>
        <w:t xml:space="preserve">priepuolio </w:t>
      </w:r>
      <w:r w:rsidR="00164DF8" w:rsidRPr="004453A7">
        <w:rPr>
          <w:lang w:val="lt-LT"/>
        </w:rPr>
        <w:t>padarinys. Pacientams rekomenduojama nevairuoti ar nevaldyti mec</w:t>
      </w:r>
      <w:r w:rsidRPr="004453A7">
        <w:rPr>
          <w:lang w:val="lt-LT"/>
        </w:rPr>
        <w:t>hanizmų, jei jie jaučiasi pavarg</w:t>
      </w:r>
      <w:r w:rsidR="00164DF8" w:rsidRPr="004453A7">
        <w:rPr>
          <w:lang w:val="lt-LT"/>
        </w:rPr>
        <w:t>ę ar apsvaigę.</w:t>
      </w:r>
    </w:p>
    <w:p w14:paraId="56A0090B" w14:textId="77777777" w:rsidR="00164DF8" w:rsidRPr="004453A7" w:rsidRDefault="00164DF8" w:rsidP="00F34163">
      <w:pPr>
        <w:spacing w:line="240" w:lineRule="auto"/>
        <w:outlineLvl w:val="0"/>
        <w:rPr>
          <w:b/>
          <w:lang w:val="lt-LT"/>
        </w:rPr>
      </w:pPr>
    </w:p>
    <w:p w14:paraId="5487D3AC" w14:textId="77777777" w:rsidR="00F34163" w:rsidRPr="004453A7" w:rsidRDefault="00F34163" w:rsidP="00F34163">
      <w:pPr>
        <w:spacing w:line="240" w:lineRule="auto"/>
        <w:outlineLvl w:val="0"/>
        <w:rPr>
          <w:lang w:val="lt-LT"/>
        </w:rPr>
      </w:pPr>
      <w:r w:rsidRPr="004453A7">
        <w:rPr>
          <w:b/>
          <w:lang w:val="lt-LT"/>
        </w:rPr>
        <w:t>4.8</w:t>
      </w:r>
      <w:r w:rsidRPr="004453A7">
        <w:rPr>
          <w:b/>
          <w:lang w:val="lt-LT"/>
        </w:rPr>
        <w:tab/>
        <w:t>Nepageidaujamas poveikis</w:t>
      </w:r>
    </w:p>
    <w:p w14:paraId="79D03DCE" w14:textId="77777777" w:rsidR="002274D0" w:rsidRPr="004453A7" w:rsidRDefault="002274D0" w:rsidP="00F34163">
      <w:pPr>
        <w:rPr>
          <w:lang w:val="lt-LT"/>
        </w:rPr>
      </w:pPr>
    </w:p>
    <w:p w14:paraId="44DFFD40" w14:textId="77777777" w:rsidR="002274D0" w:rsidRPr="004453A7" w:rsidRDefault="00164DF8" w:rsidP="00F34163">
      <w:pPr>
        <w:rPr>
          <w:u w:val="single"/>
          <w:lang w:val="lt-LT"/>
        </w:rPr>
      </w:pPr>
      <w:r w:rsidRPr="004453A7">
        <w:rPr>
          <w:u w:val="single"/>
          <w:lang w:val="lt-LT"/>
        </w:rPr>
        <w:t xml:space="preserve">Saugumo </w:t>
      </w:r>
      <w:r w:rsidR="002274D0" w:rsidRPr="004453A7">
        <w:rPr>
          <w:u w:val="single"/>
          <w:lang w:val="lt-LT"/>
        </w:rPr>
        <w:t>duomenų</w:t>
      </w:r>
      <w:r w:rsidRPr="004453A7">
        <w:rPr>
          <w:u w:val="single"/>
          <w:lang w:val="lt-LT"/>
        </w:rPr>
        <w:t xml:space="preserve"> santrauka </w:t>
      </w:r>
    </w:p>
    <w:p w14:paraId="60034C00" w14:textId="77777777" w:rsidR="00F34163" w:rsidRPr="004453A7" w:rsidRDefault="00164DF8" w:rsidP="00F34163">
      <w:pPr>
        <w:rPr>
          <w:lang w:val="lt-LT"/>
        </w:rPr>
      </w:pPr>
      <w:r w:rsidRPr="004453A7">
        <w:rPr>
          <w:lang w:val="lt-LT"/>
        </w:rPr>
        <w:t>Klinikinių tyrimų, atliekamų vaistinių preparatų registravimo tikslais, metu 999</w:t>
      </w:r>
      <w:r w:rsidR="003D7903" w:rsidRPr="004453A7">
        <w:rPr>
          <w:lang w:val="lt-LT"/>
        </w:rPr>
        <w:t xml:space="preserve"> </w:t>
      </w:r>
      <w:r w:rsidR="002274D0" w:rsidRPr="004453A7">
        <w:rPr>
          <w:lang w:val="lt-LT"/>
        </w:rPr>
        <w:t>PAE</w:t>
      </w:r>
      <w:r w:rsidRPr="004453A7">
        <w:rPr>
          <w:lang w:val="lt-LT"/>
        </w:rPr>
        <w:t xml:space="preserve"> </w:t>
      </w:r>
      <w:r w:rsidR="003D7903" w:rsidRPr="004453A7">
        <w:rPr>
          <w:lang w:val="lt-LT"/>
        </w:rPr>
        <w:t xml:space="preserve">priepuoliai </w:t>
      </w:r>
      <w:r w:rsidRPr="004453A7">
        <w:rPr>
          <w:lang w:val="lt-LT"/>
        </w:rPr>
        <w:t xml:space="preserve">buvo gydyti </w:t>
      </w:r>
      <w:r w:rsidR="003D7903" w:rsidRPr="004453A7">
        <w:rPr>
          <w:lang w:val="lt-LT"/>
        </w:rPr>
        <w:t>ikati</w:t>
      </w:r>
      <w:r w:rsidR="003D6FBC">
        <w:rPr>
          <w:lang w:val="lt-LT"/>
        </w:rPr>
        <w:t>banto</w:t>
      </w:r>
      <w:r w:rsidR="003D7903" w:rsidRPr="004453A7">
        <w:rPr>
          <w:lang w:val="lt-LT"/>
        </w:rPr>
        <w:t xml:space="preserve"> 30 </w:t>
      </w:r>
      <w:r w:rsidRPr="004453A7">
        <w:rPr>
          <w:lang w:val="lt-LT"/>
        </w:rPr>
        <w:t>mg</w:t>
      </w:r>
      <w:r w:rsidR="003D7903" w:rsidRPr="004453A7">
        <w:rPr>
          <w:lang w:val="lt-LT"/>
        </w:rPr>
        <w:t xml:space="preserve"> doze</w:t>
      </w:r>
      <w:r w:rsidRPr="004453A7">
        <w:rPr>
          <w:lang w:val="lt-LT"/>
        </w:rPr>
        <w:t xml:space="preserve">, </w:t>
      </w:r>
      <w:r w:rsidR="003D7903" w:rsidRPr="004453A7">
        <w:rPr>
          <w:lang w:val="lt-LT"/>
        </w:rPr>
        <w:t>kurią sveikatos priežiūros specialistas suleisdavo</w:t>
      </w:r>
      <w:r w:rsidRPr="004453A7">
        <w:rPr>
          <w:lang w:val="lt-LT"/>
        </w:rPr>
        <w:t xml:space="preserve"> po oda. </w:t>
      </w:r>
      <w:r w:rsidR="003D7903" w:rsidRPr="004453A7">
        <w:rPr>
          <w:lang w:val="lt-LT"/>
        </w:rPr>
        <w:t>Icatibant Teva</w:t>
      </w:r>
      <w:r w:rsidRPr="004453A7">
        <w:rPr>
          <w:lang w:val="lt-LT"/>
        </w:rPr>
        <w:t xml:space="preserve"> </w:t>
      </w:r>
      <w:r w:rsidR="003D7903" w:rsidRPr="004453A7">
        <w:rPr>
          <w:lang w:val="lt-LT"/>
        </w:rPr>
        <w:t>30 </w:t>
      </w:r>
      <w:r w:rsidRPr="004453A7">
        <w:rPr>
          <w:lang w:val="lt-LT"/>
        </w:rPr>
        <w:t xml:space="preserve">mg </w:t>
      </w:r>
      <w:r w:rsidR="003D7903" w:rsidRPr="004453A7">
        <w:rPr>
          <w:lang w:val="lt-LT"/>
        </w:rPr>
        <w:t>dozę sveikatos priežiūros specialistas su</w:t>
      </w:r>
      <w:r w:rsidR="00944644">
        <w:rPr>
          <w:lang w:val="lt-LT"/>
        </w:rPr>
        <w:t>leido</w:t>
      </w:r>
      <w:r w:rsidR="003D7903" w:rsidRPr="004453A7">
        <w:rPr>
          <w:lang w:val="lt-LT"/>
        </w:rPr>
        <w:t xml:space="preserve"> </w:t>
      </w:r>
      <w:r w:rsidRPr="004453A7">
        <w:rPr>
          <w:lang w:val="lt-LT"/>
        </w:rPr>
        <w:t>po</w:t>
      </w:r>
      <w:r w:rsidR="003D7903" w:rsidRPr="004453A7">
        <w:rPr>
          <w:lang w:val="lt-LT"/>
        </w:rPr>
        <w:t xml:space="preserve"> </w:t>
      </w:r>
      <w:r w:rsidRPr="004453A7">
        <w:rPr>
          <w:lang w:val="lt-LT"/>
        </w:rPr>
        <w:t>od</w:t>
      </w:r>
      <w:r w:rsidR="003D7903" w:rsidRPr="004453A7">
        <w:rPr>
          <w:lang w:val="lt-LT"/>
        </w:rPr>
        <w:t>a</w:t>
      </w:r>
      <w:r w:rsidRPr="004453A7">
        <w:rPr>
          <w:lang w:val="lt-LT"/>
        </w:rPr>
        <w:t xml:space="preserve"> 129 sveikiems </w:t>
      </w:r>
      <w:r w:rsidR="003D7903" w:rsidRPr="004453A7">
        <w:rPr>
          <w:lang w:val="lt-LT"/>
        </w:rPr>
        <w:t>asmenims</w:t>
      </w:r>
      <w:r w:rsidRPr="004453A7">
        <w:rPr>
          <w:lang w:val="lt-LT"/>
        </w:rPr>
        <w:t xml:space="preserve"> ir 236 pacientams, kurie</w:t>
      </w:r>
      <w:r w:rsidR="003D7903" w:rsidRPr="004453A7">
        <w:rPr>
          <w:lang w:val="lt-LT"/>
        </w:rPr>
        <w:t xml:space="preserve"> sirgo</w:t>
      </w:r>
      <w:r w:rsidRPr="004453A7">
        <w:rPr>
          <w:lang w:val="lt-LT"/>
        </w:rPr>
        <w:t xml:space="preserve"> PAE</w:t>
      </w:r>
      <w:r w:rsidR="003D7903" w:rsidRPr="004453A7">
        <w:rPr>
          <w:lang w:val="lt-LT"/>
        </w:rPr>
        <w:t>.</w:t>
      </w:r>
    </w:p>
    <w:p w14:paraId="79878E56" w14:textId="77777777" w:rsidR="003D7903" w:rsidRPr="004453A7" w:rsidRDefault="003D7903" w:rsidP="00164DF8">
      <w:pPr>
        <w:rPr>
          <w:lang w:val="lt-LT"/>
        </w:rPr>
      </w:pPr>
    </w:p>
    <w:p w14:paraId="606C807C" w14:textId="77777777" w:rsidR="003D7903" w:rsidRPr="004453A7" w:rsidRDefault="00164DF8" w:rsidP="00164DF8">
      <w:pPr>
        <w:rPr>
          <w:lang w:val="lt-LT"/>
        </w:rPr>
      </w:pPr>
      <w:r w:rsidRPr="004453A7">
        <w:rPr>
          <w:lang w:val="lt-LT"/>
        </w:rPr>
        <w:t xml:space="preserve">Beveik visiems </w:t>
      </w:r>
      <w:r w:rsidR="003D7903" w:rsidRPr="004453A7">
        <w:rPr>
          <w:lang w:val="lt-LT"/>
        </w:rPr>
        <w:t>asmenim</w:t>
      </w:r>
      <w:r w:rsidRPr="004453A7">
        <w:rPr>
          <w:lang w:val="lt-LT"/>
        </w:rPr>
        <w:t xml:space="preserve">s, kuriems klinikinių tyrimų metu ikatibanto </w:t>
      </w:r>
      <w:r w:rsidR="00944644">
        <w:rPr>
          <w:lang w:val="lt-LT"/>
        </w:rPr>
        <w:t>leista</w:t>
      </w:r>
      <w:r w:rsidRPr="004453A7">
        <w:rPr>
          <w:lang w:val="lt-LT"/>
        </w:rPr>
        <w:t xml:space="preserve"> po oda, injekcijos vietoje atsirado reakcija (</w:t>
      </w:r>
      <w:r w:rsidR="003D7903" w:rsidRPr="004453A7">
        <w:rPr>
          <w:lang w:val="lt-LT"/>
        </w:rPr>
        <w:t xml:space="preserve">pasireiškianti </w:t>
      </w:r>
      <w:r w:rsidRPr="004453A7">
        <w:rPr>
          <w:lang w:val="lt-LT"/>
        </w:rPr>
        <w:t xml:space="preserve">odos sudirgimu, tinimu, skausmu, niežuliu, eritema, deginimo pojūčiu). Šios reakcijos buvo </w:t>
      </w:r>
      <w:r w:rsidR="00E278A4">
        <w:rPr>
          <w:lang w:val="lt-LT"/>
        </w:rPr>
        <w:t>lengvos</w:t>
      </w:r>
      <w:r w:rsidR="00874901">
        <w:rPr>
          <w:lang w:val="lt-LT"/>
        </w:rPr>
        <w:t xml:space="preserve"> ar vidutinio sunkumo</w:t>
      </w:r>
      <w:r w:rsidRPr="004453A7">
        <w:rPr>
          <w:lang w:val="lt-LT"/>
        </w:rPr>
        <w:t xml:space="preserve">, joms gydyti ar slopinti nereikėjo papildomo gydymo. </w:t>
      </w:r>
    </w:p>
    <w:p w14:paraId="3D8A1001" w14:textId="77777777" w:rsidR="003D7903" w:rsidRPr="004453A7" w:rsidRDefault="003D7903" w:rsidP="00164DF8">
      <w:pPr>
        <w:rPr>
          <w:lang w:val="lt-LT"/>
        </w:rPr>
      </w:pPr>
    </w:p>
    <w:p w14:paraId="7494D2F9" w14:textId="77777777" w:rsidR="003D7903" w:rsidRPr="004453A7" w:rsidRDefault="003D7903" w:rsidP="003D7903">
      <w:pPr>
        <w:rPr>
          <w:iCs/>
          <w:szCs w:val="22"/>
          <w:u w:val="single"/>
          <w:lang w:val="lt-LT" w:eastAsia="lt-LT"/>
        </w:rPr>
      </w:pPr>
      <w:r w:rsidRPr="004453A7">
        <w:rPr>
          <w:iCs/>
          <w:szCs w:val="22"/>
          <w:u w:val="single"/>
          <w:lang w:val="lt-LT" w:eastAsia="lt-LT"/>
        </w:rPr>
        <w:t>Nepageidaujamų reakcijų santrauka lentelėje</w:t>
      </w:r>
    </w:p>
    <w:p w14:paraId="0C6E87C8" w14:textId="77777777" w:rsidR="003D7903" w:rsidRPr="004453A7" w:rsidRDefault="003D7903" w:rsidP="00F34163">
      <w:pPr>
        <w:tabs>
          <w:tab w:val="clear" w:pos="567"/>
        </w:tabs>
        <w:autoSpaceDE w:val="0"/>
        <w:spacing w:line="240" w:lineRule="auto"/>
        <w:contextualSpacing/>
        <w:rPr>
          <w:szCs w:val="22"/>
          <w:lang w:val="lt-LT"/>
        </w:rPr>
      </w:pPr>
    </w:p>
    <w:p w14:paraId="075BB7BC" w14:textId="77777777" w:rsidR="00874901" w:rsidRDefault="00F34163" w:rsidP="00F34163">
      <w:pPr>
        <w:tabs>
          <w:tab w:val="clear" w:pos="567"/>
        </w:tabs>
        <w:autoSpaceDE w:val="0"/>
        <w:spacing w:line="240" w:lineRule="auto"/>
        <w:contextualSpacing/>
        <w:rPr>
          <w:lang w:val="lt-LT"/>
        </w:rPr>
      </w:pPr>
      <w:r w:rsidRPr="004453A7">
        <w:rPr>
          <w:szCs w:val="22"/>
          <w:lang w:val="lt-LT"/>
        </w:rPr>
        <w:t xml:space="preserve">Nepageidaujamo poveikio </w:t>
      </w:r>
      <w:r w:rsidRPr="004453A7">
        <w:rPr>
          <w:lang w:val="lt-LT"/>
        </w:rPr>
        <w:t>dažnis apibūdinamas taip: labai dažnas (≥ 1/10), dažnas (nuo ≥ 1/100 iki &lt; 1/10), nedažnas (nuo ≥ 1/1</w:t>
      </w:r>
      <w:r w:rsidR="00944644">
        <w:rPr>
          <w:lang w:val="lt-LT"/>
        </w:rPr>
        <w:t xml:space="preserve"> </w:t>
      </w:r>
      <w:r w:rsidRPr="004453A7">
        <w:rPr>
          <w:lang w:val="lt-LT"/>
        </w:rPr>
        <w:t>000 iki &lt; 1/100), retas (nuo ≥ 1/10</w:t>
      </w:r>
      <w:r w:rsidR="00944644">
        <w:rPr>
          <w:lang w:val="lt-LT"/>
        </w:rPr>
        <w:t xml:space="preserve"> </w:t>
      </w:r>
      <w:r w:rsidRPr="004453A7">
        <w:rPr>
          <w:lang w:val="lt-LT"/>
        </w:rPr>
        <w:t>000 iki &lt; 1/1000), labai retas (&lt; 1/10</w:t>
      </w:r>
      <w:r w:rsidR="00944644">
        <w:rPr>
          <w:lang w:val="lt-LT"/>
        </w:rPr>
        <w:t xml:space="preserve"> </w:t>
      </w:r>
      <w:r w:rsidRPr="004453A7">
        <w:rPr>
          <w:lang w:val="lt-LT"/>
        </w:rPr>
        <w:t>000) ir nežinomas (negali būti apskaičiuotas pagal turimus duomenis)</w:t>
      </w:r>
      <w:r w:rsidR="003D7903" w:rsidRPr="004453A7">
        <w:rPr>
          <w:lang w:val="lt-LT"/>
        </w:rPr>
        <w:t>.</w:t>
      </w:r>
      <w:r w:rsidR="00874901" w:rsidRPr="00874901">
        <w:rPr>
          <w:lang w:val="lt-LT"/>
        </w:rPr>
        <w:t xml:space="preserve"> </w:t>
      </w:r>
    </w:p>
    <w:p w14:paraId="64A463FD" w14:textId="77777777" w:rsidR="00F34163" w:rsidRDefault="00874901" w:rsidP="00F34163">
      <w:pPr>
        <w:tabs>
          <w:tab w:val="clear" w:pos="567"/>
        </w:tabs>
        <w:autoSpaceDE w:val="0"/>
        <w:spacing w:line="240" w:lineRule="auto"/>
        <w:contextualSpacing/>
        <w:rPr>
          <w:lang w:val="lt-LT"/>
        </w:rPr>
      </w:pPr>
      <w:r w:rsidRPr="00874901">
        <w:rPr>
          <w:lang w:val="lt-LT"/>
        </w:rPr>
        <w:t xml:space="preserve">Visos nepageidaujamos reakcijos, </w:t>
      </w:r>
      <w:r>
        <w:rPr>
          <w:lang w:val="lt-LT"/>
        </w:rPr>
        <w:t>nustatytos poregistraciniu laikotarpiu, nurodytos</w:t>
      </w:r>
      <w:r w:rsidRPr="00874901">
        <w:rPr>
          <w:lang w:val="lt-LT"/>
        </w:rPr>
        <w:t xml:space="preserve"> </w:t>
      </w:r>
      <w:r w:rsidRPr="00874901">
        <w:rPr>
          <w:i/>
          <w:lang w:val="lt-LT"/>
        </w:rPr>
        <w:t>kursyvu</w:t>
      </w:r>
      <w:r w:rsidRPr="00874901">
        <w:rPr>
          <w:lang w:val="lt-LT"/>
        </w:rPr>
        <w:t>.</w:t>
      </w:r>
    </w:p>
    <w:p w14:paraId="119CBFB3" w14:textId="77777777" w:rsidR="000D397F" w:rsidRPr="004453A7" w:rsidRDefault="000D397F" w:rsidP="00F34163">
      <w:pPr>
        <w:tabs>
          <w:tab w:val="clear" w:pos="567"/>
        </w:tabs>
        <w:autoSpaceDE w:val="0"/>
        <w:spacing w:line="240" w:lineRule="auto"/>
        <w:contextualSpacing/>
        <w:rPr>
          <w:lang w:val="lt-LT"/>
        </w:rPr>
      </w:pPr>
    </w:p>
    <w:p w14:paraId="4572E0E3" w14:textId="77777777" w:rsidR="00164DF8" w:rsidRPr="004453A7" w:rsidRDefault="00164DF8" w:rsidP="00F34163">
      <w:pPr>
        <w:autoSpaceDE w:val="0"/>
        <w:autoSpaceDN w:val="0"/>
        <w:adjustRightInd w:val="0"/>
        <w:jc w:val="both"/>
        <w:rPr>
          <w:iCs/>
          <w:szCs w:val="22"/>
          <w:lang w:val="lt-LT" w:eastAsia="lt-LT"/>
        </w:rPr>
      </w:pPr>
    </w:p>
    <w:p w14:paraId="632A3A68" w14:textId="77777777" w:rsidR="00164DF8" w:rsidRPr="00DC1A53" w:rsidRDefault="00164DF8" w:rsidP="00164DF8">
      <w:pPr>
        <w:spacing w:line="240" w:lineRule="auto"/>
        <w:rPr>
          <w:bCs/>
          <w:lang w:val="lt-LT"/>
        </w:rPr>
      </w:pPr>
      <w:r w:rsidRPr="00DC1A53">
        <w:rPr>
          <w:bCs/>
          <w:lang w:val="lt-LT"/>
        </w:rPr>
        <w:t>2</w:t>
      </w:r>
      <w:r w:rsidR="003D7903" w:rsidRPr="00DC1A53">
        <w:rPr>
          <w:bCs/>
          <w:lang w:val="lt-LT"/>
        </w:rPr>
        <w:t xml:space="preserve"> lentelė</w:t>
      </w:r>
      <w:r w:rsidRPr="00DC1A53">
        <w:rPr>
          <w:bCs/>
          <w:lang w:val="lt-LT"/>
        </w:rPr>
        <w:t xml:space="preserve">: </w:t>
      </w:r>
      <w:r w:rsidR="0074235F" w:rsidRPr="00DC1A53">
        <w:rPr>
          <w:bCs/>
          <w:lang w:val="lt-LT"/>
        </w:rPr>
        <w:t>Vartojant ikatibanto užregistruotos nepageidaujamos reakcijos.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164DF8" w:rsidRPr="00DC1A53" w14:paraId="1D771895" w14:textId="77777777" w:rsidTr="00164DF8">
        <w:tc>
          <w:tcPr>
            <w:tcW w:w="4643" w:type="dxa"/>
            <w:tcBorders>
              <w:top w:val="single" w:sz="4" w:space="0" w:color="auto"/>
              <w:left w:val="single" w:sz="4" w:space="0" w:color="auto"/>
              <w:bottom w:val="single" w:sz="4" w:space="0" w:color="auto"/>
              <w:right w:val="single" w:sz="4" w:space="0" w:color="auto"/>
            </w:tcBorders>
          </w:tcPr>
          <w:p w14:paraId="660F8EBB" w14:textId="77777777" w:rsidR="00164DF8" w:rsidRPr="00DC1A53" w:rsidRDefault="0074235F">
            <w:pPr>
              <w:spacing w:line="240" w:lineRule="auto"/>
              <w:jc w:val="center"/>
              <w:rPr>
                <w:bCs/>
                <w:lang w:val="lt-LT"/>
              </w:rPr>
            </w:pPr>
            <w:r w:rsidRPr="00DC1A53">
              <w:rPr>
                <w:bCs/>
                <w:lang w:val="lt-LT"/>
              </w:rPr>
              <w:t xml:space="preserve">Organų sistemos klasė (paplitimo kategorija) </w:t>
            </w:r>
          </w:p>
        </w:tc>
        <w:tc>
          <w:tcPr>
            <w:tcW w:w="4644" w:type="dxa"/>
            <w:tcBorders>
              <w:top w:val="single" w:sz="4" w:space="0" w:color="auto"/>
              <w:left w:val="single" w:sz="4" w:space="0" w:color="auto"/>
              <w:bottom w:val="single" w:sz="4" w:space="0" w:color="auto"/>
              <w:right w:val="single" w:sz="4" w:space="0" w:color="auto"/>
            </w:tcBorders>
            <w:hideMark/>
          </w:tcPr>
          <w:p w14:paraId="7DE38BCC" w14:textId="77777777" w:rsidR="00164DF8" w:rsidRPr="00DC1A53" w:rsidRDefault="0074235F">
            <w:pPr>
              <w:spacing w:line="240" w:lineRule="auto"/>
              <w:jc w:val="center"/>
              <w:rPr>
                <w:bCs/>
                <w:lang w:val="lt-LT"/>
              </w:rPr>
            </w:pPr>
            <w:r w:rsidRPr="00DC1A53">
              <w:rPr>
                <w:bCs/>
                <w:lang w:val="lt-LT"/>
              </w:rPr>
              <w:t>Tinkamiausias terminas</w:t>
            </w:r>
          </w:p>
        </w:tc>
      </w:tr>
      <w:tr w:rsidR="00164DF8" w:rsidRPr="004453A7" w14:paraId="69E98FA9" w14:textId="77777777" w:rsidTr="00164DF8">
        <w:tc>
          <w:tcPr>
            <w:tcW w:w="4643" w:type="dxa"/>
            <w:tcBorders>
              <w:top w:val="single" w:sz="4" w:space="0" w:color="auto"/>
              <w:left w:val="single" w:sz="4" w:space="0" w:color="auto"/>
              <w:bottom w:val="single" w:sz="4" w:space="0" w:color="auto"/>
              <w:right w:val="single" w:sz="4" w:space="0" w:color="auto"/>
            </w:tcBorders>
          </w:tcPr>
          <w:p w14:paraId="7CF6CF30" w14:textId="77777777" w:rsidR="0074235F" w:rsidRPr="004453A7" w:rsidRDefault="0074235F">
            <w:pPr>
              <w:spacing w:line="240" w:lineRule="auto"/>
              <w:rPr>
                <w:lang w:val="lt-LT"/>
              </w:rPr>
            </w:pPr>
            <w:r w:rsidRPr="004453A7">
              <w:rPr>
                <w:lang w:val="lt-LT"/>
              </w:rPr>
              <w:t xml:space="preserve">Nervų sistemos sutrikimai </w:t>
            </w:r>
          </w:p>
          <w:p w14:paraId="23775415" w14:textId="77777777" w:rsidR="0074235F" w:rsidRPr="004453A7" w:rsidRDefault="0074235F">
            <w:pPr>
              <w:spacing w:line="240" w:lineRule="auto"/>
              <w:rPr>
                <w:lang w:val="lt-LT"/>
              </w:rPr>
            </w:pPr>
          </w:p>
          <w:p w14:paraId="33E175FB" w14:textId="77777777" w:rsidR="0074235F" w:rsidRPr="004453A7" w:rsidRDefault="0074235F">
            <w:pPr>
              <w:spacing w:line="240" w:lineRule="auto"/>
              <w:rPr>
                <w:lang w:val="lt-LT"/>
              </w:rPr>
            </w:pPr>
            <w:r w:rsidRPr="004453A7">
              <w:rPr>
                <w:lang w:val="lt-LT"/>
              </w:rPr>
              <w:t>(Dažnas, nuo ≥ 1/100 iki &lt;1/10)</w:t>
            </w:r>
          </w:p>
          <w:p w14:paraId="6B77FB8B" w14:textId="77777777" w:rsidR="0074235F" w:rsidRPr="004453A7" w:rsidRDefault="0074235F">
            <w:pPr>
              <w:spacing w:line="240" w:lineRule="auto"/>
              <w:rPr>
                <w:lang w:val="lt-LT"/>
              </w:rPr>
            </w:pPr>
          </w:p>
          <w:p w14:paraId="74F9E9C5" w14:textId="77777777" w:rsidR="00164DF8" w:rsidRPr="004453A7" w:rsidRDefault="00164DF8">
            <w:pPr>
              <w:spacing w:line="240" w:lineRule="auto"/>
              <w:rPr>
                <w:lang w:val="lt-LT"/>
              </w:rPr>
            </w:pPr>
          </w:p>
        </w:tc>
        <w:tc>
          <w:tcPr>
            <w:tcW w:w="4644" w:type="dxa"/>
            <w:tcBorders>
              <w:top w:val="single" w:sz="4" w:space="0" w:color="auto"/>
              <w:left w:val="single" w:sz="4" w:space="0" w:color="auto"/>
              <w:bottom w:val="single" w:sz="4" w:space="0" w:color="auto"/>
              <w:right w:val="single" w:sz="4" w:space="0" w:color="auto"/>
            </w:tcBorders>
          </w:tcPr>
          <w:p w14:paraId="328A2886" w14:textId="77777777" w:rsidR="00164DF8" w:rsidRPr="004453A7" w:rsidRDefault="00164DF8">
            <w:pPr>
              <w:spacing w:line="240" w:lineRule="auto"/>
              <w:rPr>
                <w:lang w:val="lt-LT"/>
              </w:rPr>
            </w:pPr>
          </w:p>
          <w:p w14:paraId="79415D31" w14:textId="77777777" w:rsidR="00164DF8" w:rsidRPr="004453A7" w:rsidRDefault="00164DF8">
            <w:pPr>
              <w:spacing w:line="240" w:lineRule="auto"/>
              <w:rPr>
                <w:lang w:val="lt-LT"/>
              </w:rPr>
            </w:pPr>
          </w:p>
          <w:p w14:paraId="5BA109B3" w14:textId="77777777" w:rsidR="00FF593A" w:rsidRPr="004453A7" w:rsidRDefault="0074235F">
            <w:pPr>
              <w:spacing w:line="240" w:lineRule="auto"/>
              <w:rPr>
                <w:lang w:val="lt-LT"/>
              </w:rPr>
            </w:pPr>
            <w:r w:rsidRPr="004453A7">
              <w:rPr>
                <w:lang w:val="lt-LT"/>
              </w:rPr>
              <w:t xml:space="preserve">Svaigulys </w:t>
            </w:r>
          </w:p>
          <w:p w14:paraId="4BFDFD41" w14:textId="77777777" w:rsidR="00164DF8" w:rsidRPr="004453A7" w:rsidRDefault="0074235F" w:rsidP="00FF593A">
            <w:pPr>
              <w:spacing w:line="240" w:lineRule="auto"/>
              <w:rPr>
                <w:lang w:val="lt-LT"/>
              </w:rPr>
            </w:pPr>
            <w:r w:rsidRPr="004453A7">
              <w:rPr>
                <w:lang w:val="lt-LT"/>
              </w:rPr>
              <w:t>Galvos skausma</w:t>
            </w:r>
            <w:r w:rsidR="00FF593A" w:rsidRPr="004453A7">
              <w:rPr>
                <w:lang w:val="lt-LT"/>
              </w:rPr>
              <w:t>s</w:t>
            </w:r>
            <w:r w:rsidRPr="004453A7">
              <w:rPr>
                <w:lang w:val="lt-LT"/>
              </w:rPr>
              <w:t xml:space="preserve"> </w:t>
            </w:r>
          </w:p>
        </w:tc>
      </w:tr>
      <w:tr w:rsidR="00164DF8" w:rsidRPr="004453A7" w14:paraId="6F7BB241" w14:textId="77777777" w:rsidTr="00164DF8">
        <w:tc>
          <w:tcPr>
            <w:tcW w:w="4643" w:type="dxa"/>
            <w:tcBorders>
              <w:top w:val="single" w:sz="4" w:space="0" w:color="auto"/>
              <w:left w:val="single" w:sz="4" w:space="0" w:color="auto"/>
              <w:bottom w:val="single" w:sz="4" w:space="0" w:color="auto"/>
              <w:right w:val="single" w:sz="4" w:space="0" w:color="auto"/>
            </w:tcBorders>
          </w:tcPr>
          <w:p w14:paraId="4039398F" w14:textId="77777777" w:rsidR="00FF593A" w:rsidRPr="004453A7" w:rsidRDefault="0074235F">
            <w:pPr>
              <w:spacing w:line="240" w:lineRule="auto"/>
              <w:rPr>
                <w:lang w:val="lt-LT"/>
              </w:rPr>
            </w:pPr>
            <w:r w:rsidRPr="004453A7">
              <w:rPr>
                <w:lang w:val="lt-LT"/>
              </w:rPr>
              <w:t xml:space="preserve">Virškinimo trakto sutrikimai </w:t>
            </w:r>
          </w:p>
          <w:p w14:paraId="6E6203C1" w14:textId="77777777" w:rsidR="00FF593A" w:rsidRPr="004453A7" w:rsidRDefault="00FF593A">
            <w:pPr>
              <w:spacing w:line="240" w:lineRule="auto"/>
              <w:rPr>
                <w:lang w:val="lt-LT"/>
              </w:rPr>
            </w:pPr>
          </w:p>
          <w:p w14:paraId="4136F707" w14:textId="77777777" w:rsidR="00164DF8" w:rsidRPr="004453A7" w:rsidRDefault="0074235F">
            <w:pPr>
              <w:spacing w:line="240" w:lineRule="auto"/>
              <w:rPr>
                <w:lang w:val="lt-LT"/>
              </w:rPr>
            </w:pPr>
            <w:r w:rsidRPr="004453A7">
              <w:rPr>
                <w:lang w:val="lt-LT"/>
              </w:rPr>
              <w:t>(Dažnas, nuo ≥ 1/100 iki &lt; 1/10)</w:t>
            </w:r>
          </w:p>
        </w:tc>
        <w:tc>
          <w:tcPr>
            <w:tcW w:w="4644" w:type="dxa"/>
            <w:tcBorders>
              <w:top w:val="single" w:sz="4" w:space="0" w:color="auto"/>
              <w:left w:val="single" w:sz="4" w:space="0" w:color="auto"/>
              <w:bottom w:val="single" w:sz="4" w:space="0" w:color="auto"/>
              <w:right w:val="single" w:sz="4" w:space="0" w:color="auto"/>
            </w:tcBorders>
          </w:tcPr>
          <w:p w14:paraId="74AFA161" w14:textId="77777777" w:rsidR="00164DF8" w:rsidRPr="004453A7" w:rsidRDefault="00164DF8">
            <w:pPr>
              <w:spacing w:line="240" w:lineRule="auto"/>
              <w:rPr>
                <w:lang w:val="lt-LT"/>
              </w:rPr>
            </w:pPr>
          </w:p>
          <w:p w14:paraId="10CEFE47" w14:textId="77777777" w:rsidR="00164DF8" w:rsidRPr="004453A7" w:rsidRDefault="00164DF8">
            <w:pPr>
              <w:spacing w:line="240" w:lineRule="auto"/>
              <w:rPr>
                <w:lang w:val="lt-LT"/>
              </w:rPr>
            </w:pPr>
          </w:p>
          <w:p w14:paraId="6FFD9CF7" w14:textId="77777777" w:rsidR="00164DF8" w:rsidRPr="004453A7" w:rsidRDefault="0074235F">
            <w:pPr>
              <w:spacing w:line="240" w:lineRule="auto"/>
              <w:rPr>
                <w:lang w:val="lt-LT"/>
              </w:rPr>
            </w:pPr>
            <w:r w:rsidRPr="004453A7">
              <w:rPr>
                <w:lang w:val="lt-LT"/>
              </w:rPr>
              <w:t xml:space="preserve">Pykinimas </w:t>
            </w:r>
          </w:p>
        </w:tc>
      </w:tr>
      <w:tr w:rsidR="00164DF8" w:rsidRPr="004453A7" w14:paraId="3536D7F8" w14:textId="77777777" w:rsidTr="00164DF8">
        <w:tc>
          <w:tcPr>
            <w:tcW w:w="4643" w:type="dxa"/>
            <w:tcBorders>
              <w:top w:val="single" w:sz="4" w:space="0" w:color="auto"/>
              <w:left w:val="single" w:sz="4" w:space="0" w:color="auto"/>
              <w:bottom w:val="single" w:sz="4" w:space="0" w:color="auto"/>
              <w:right w:val="single" w:sz="4" w:space="0" w:color="auto"/>
            </w:tcBorders>
          </w:tcPr>
          <w:p w14:paraId="777251A2" w14:textId="77777777" w:rsidR="00FF593A" w:rsidRPr="004453A7" w:rsidRDefault="0074235F">
            <w:pPr>
              <w:spacing w:line="240" w:lineRule="auto"/>
              <w:rPr>
                <w:lang w:val="lt-LT"/>
              </w:rPr>
            </w:pPr>
            <w:r w:rsidRPr="004453A7">
              <w:rPr>
                <w:lang w:val="lt-LT"/>
              </w:rPr>
              <w:t xml:space="preserve">Odos ir poodinio audinio sutrikimai </w:t>
            </w:r>
          </w:p>
          <w:p w14:paraId="77B2B4F3" w14:textId="77777777" w:rsidR="00FF593A" w:rsidRPr="004453A7" w:rsidRDefault="00FF593A">
            <w:pPr>
              <w:spacing w:line="240" w:lineRule="auto"/>
              <w:rPr>
                <w:lang w:val="lt-LT"/>
              </w:rPr>
            </w:pPr>
          </w:p>
          <w:p w14:paraId="1DD4CD49" w14:textId="77777777" w:rsidR="00164DF8" w:rsidRPr="004453A7" w:rsidRDefault="0074235F">
            <w:pPr>
              <w:spacing w:line="240" w:lineRule="auto"/>
              <w:rPr>
                <w:lang w:val="lt-LT"/>
              </w:rPr>
            </w:pPr>
            <w:r w:rsidRPr="004453A7">
              <w:rPr>
                <w:lang w:val="lt-LT"/>
              </w:rPr>
              <w:t xml:space="preserve">(Dažnas, nuo ≥ 1/100 iki &lt; 1/10) </w:t>
            </w:r>
          </w:p>
          <w:p w14:paraId="07D41881" w14:textId="77777777" w:rsidR="00164DF8" w:rsidRPr="004453A7" w:rsidRDefault="00164DF8">
            <w:pPr>
              <w:spacing w:line="240" w:lineRule="auto"/>
              <w:rPr>
                <w:lang w:val="lt-LT"/>
              </w:rPr>
            </w:pPr>
          </w:p>
          <w:p w14:paraId="6EBCBC11" w14:textId="77777777" w:rsidR="003D6FBC" w:rsidRDefault="003D6FBC">
            <w:pPr>
              <w:spacing w:line="240" w:lineRule="auto"/>
              <w:rPr>
                <w:lang w:val="lt-LT"/>
              </w:rPr>
            </w:pPr>
          </w:p>
          <w:p w14:paraId="5987C2A6" w14:textId="77777777" w:rsidR="003D6FBC" w:rsidRDefault="003D6FBC">
            <w:pPr>
              <w:spacing w:line="240" w:lineRule="auto"/>
              <w:rPr>
                <w:lang w:val="lt-LT"/>
              </w:rPr>
            </w:pPr>
          </w:p>
          <w:p w14:paraId="4843387D" w14:textId="77777777" w:rsidR="00164DF8" w:rsidRPr="004453A7" w:rsidRDefault="0074235F">
            <w:pPr>
              <w:spacing w:line="240" w:lineRule="auto"/>
              <w:rPr>
                <w:i/>
                <w:lang w:val="lt-LT"/>
              </w:rPr>
            </w:pPr>
            <w:r w:rsidRPr="004453A7">
              <w:rPr>
                <w:lang w:val="lt-LT"/>
              </w:rPr>
              <w:t>(</w:t>
            </w:r>
            <w:r w:rsidRPr="004453A7">
              <w:rPr>
                <w:i/>
                <w:lang w:val="lt-LT"/>
              </w:rPr>
              <w:t>Dažnis nežinomas</w:t>
            </w:r>
            <w:r w:rsidRPr="004453A7">
              <w:rPr>
                <w:lang w:val="lt-LT"/>
              </w:rPr>
              <w:t>)</w:t>
            </w:r>
          </w:p>
        </w:tc>
        <w:tc>
          <w:tcPr>
            <w:tcW w:w="4644" w:type="dxa"/>
            <w:tcBorders>
              <w:top w:val="single" w:sz="4" w:space="0" w:color="auto"/>
              <w:left w:val="single" w:sz="4" w:space="0" w:color="auto"/>
              <w:bottom w:val="single" w:sz="4" w:space="0" w:color="auto"/>
              <w:right w:val="single" w:sz="4" w:space="0" w:color="auto"/>
            </w:tcBorders>
          </w:tcPr>
          <w:p w14:paraId="55DAF99D" w14:textId="77777777" w:rsidR="003D6FBC" w:rsidRDefault="003D6FBC">
            <w:pPr>
              <w:spacing w:line="240" w:lineRule="auto"/>
              <w:rPr>
                <w:lang w:val="lt-LT"/>
              </w:rPr>
            </w:pPr>
          </w:p>
          <w:p w14:paraId="4CA6CC95" w14:textId="77777777" w:rsidR="003D6FBC" w:rsidRDefault="003D6FBC">
            <w:pPr>
              <w:spacing w:line="240" w:lineRule="auto"/>
              <w:rPr>
                <w:lang w:val="lt-LT"/>
              </w:rPr>
            </w:pPr>
          </w:p>
          <w:p w14:paraId="36035416" w14:textId="77777777" w:rsidR="00FF593A" w:rsidRPr="004453A7" w:rsidRDefault="00944644">
            <w:pPr>
              <w:spacing w:line="240" w:lineRule="auto"/>
              <w:rPr>
                <w:lang w:val="lt-LT"/>
              </w:rPr>
            </w:pPr>
            <w:r>
              <w:rPr>
                <w:lang w:val="lt-LT"/>
              </w:rPr>
              <w:t>Išb</w:t>
            </w:r>
            <w:r w:rsidR="0074235F" w:rsidRPr="004453A7">
              <w:rPr>
                <w:lang w:val="lt-LT"/>
              </w:rPr>
              <w:t>ėrimas</w:t>
            </w:r>
          </w:p>
          <w:p w14:paraId="38BD8F4F" w14:textId="77777777" w:rsidR="00FF593A" w:rsidRPr="004453A7" w:rsidRDefault="0074235F">
            <w:pPr>
              <w:spacing w:line="240" w:lineRule="auto"/>
              <w:rPr>
                <w:lang w:val="lt-LT"/>
              </w:rPr>
            </w:pPr>
            <w:r w:rsidRPr="004453A7">
              <w:rPr>
                <w:lang w:val="lt-LT"/>
              </w:rPr>
              <w:t xml:space="preserve">Eritema </w:t>
            </w:r>
          </w:p>
          <w:p w14:paraId="5B2F8FD5" w14:textId="77777777" w:rsidR="00164DF8" w:rsidRPr="004453A7" w:rsidRDefault="0074235F">
            <w:pPr>
              <w:spacing w:line="240" w:lineRule="auto"/>
              <w:rPr>
                <w:lang w:val="lt-LT"/>
              </w:rPr>
            </w:pPr>
            <w:r w:rsidRPr="004453A7">
              <w:rPr>
                <w:lang w:val="lt-LT"/>
              </w:rPr>
              <w:t>Niež</w:t>
            </w:r>
            <w:r w:rsidR="00944644">
              <w:rPr>
                <w:lang w:val="lt-LT"/>
              </w:rPr>
              <w:t>ėjimas</w:t>
            </w:r>
            <w:r w:rsidRPr="004453A7">
              <w:rPr>
                <w:lang w:val="lt-LT"/>
              </w:rPr>
              <w:t xml:space="preserve"> </w:t>
            </w:r>
          </w:p>
          <w:p w14:paraId="4AADB8D1" w14:textId="77777777" w:rsidR="003D6FBC" w:rsidRDefault="003D6FBC">
            <w:pPr>
              <w:spacing w:line="240" w:lineRule="auto"/>
              <w:rPr>
                <w:i/>
                <w:lang w:val="lt-LT"/>
              </w:rPr>
            </w:pPr>
          </w:p>
          <w:p w14:paraId="05980CFC" w14:textId="77777777" w:rsidR="00164DF8" w:rsidRPr="004453A7" w:rsidRDefault="0074235F">
            <w:pPr>
              <w:spacing w:line="240" w:lineRule="auto"/>
              <w:rPr>
                <w:i/>
                <w:lang w:val="lt-LT"/>
              </w:rPr>
            </w:pPr>
            <w:r w:rsidRPr="004453A7">
              <w:rPr>
                <w:i/>
                <w:lang w:val="lt-LT"/>
              </w:rPr>
              <w:t xml:space="preserve">Dilgėlinė </w:t>
            </w:r>
          </w:p>
        </w:tc>
      </w:tr>
      <w:tr w:rsidR="00164DF8" w:rsidRPr="005542E1" w14:paraId="748C17B0" w14:textId="77777777" w:rsidTr="00164DF8">
        <w:tc>
          <w:tcPr>
            <w:tcW w:w="4643" w:type="dxa"/>
            <w:tcBorders>
              <w:top w:val="single" w:sz="4" w:space="0" w:color="auto"/>
              <w:left w:val="single" w:sz="4" w:space="0" w:color="auto"/>
              <w:bottom w:val="single" w:sz="4" w:space="0" w:color="auto"/>
              <w:right w:val="single" w:sz="4" w:space="0" w:color="auto"/>
            </w:tcBorders>
          </w:tcPr>
          <w:p w14:paraId="14081652" w14:textId="77777777" w:rsidR="00FF593A" w:rsidRPr="004453A7" w:rsidRDefault="0074235F">
            <w:pPr>
              <w:spacing w:line="240" w:lineRule="auto"/>
              <w:rPr>
                <w:lang w:val="lt-LT"/>
              </w:rPr>
            </w:pPr>
            <w:r w:rsidRPr="004453A7">
              <w:rPr>
                <w:lang w:val="lt-LT"/>
              </w:rPr>
              <w:t xml:space="preserve">Bendrieji sutrikimai ir vartojimo vietos pažeidimai </w:t>
            </w:r>
          </w:p>
          <w:p w14:paraId="154CF75F" w14:textId="77777777" w:rsidR="00FF593A" w:rsidRPr="004453A7" w:rsidRDefault="00FF593A">
            <w:pPr>
              <w:spacing w:line="240" w:lineRule="auto"/>
              <w:rPr>
                <w:lang w:val="lt-LT"/>
              </w:rPr>
            </w:pPr>
          </w:p>
          <w:p w14:paraId="44BAB81A" w14:textId="77777777" w:rsidR="00164DF8" w:rsidRPr="004453A7" w:rsidRDefault="0074235F">
            <w:pPr>
              <w:spacing w:line="240" w:lineRule="auto"/>
              <w:rPr>
                <w:lang w:val="lt-LT"/>
              </w:rPr>
            </w:pPr>
            <w:r w:rsidRPr="004453A7">
              <w:rPr>
                <w:lang w:val="lt-LT"/>
              </w:rPr>
              <w:t xml:space="preserve">(Labai dažnas, &gt;1/10 </w:t>
            </w:r>
          </w:p>
          <w:p w14:paraId="4A3586F3" w14:textId="77777777" w:rsidR="00164DF8" w:rsidRPr="004453A7" w:rsidRDefault="00164DF8">
            <w:pPr>
              <w:spacing w:line="240" w:lineRule="auto"/>
              <w:rPr>
                <w:lang w:val="lt-LT"/>
              </w:rPr>
            </w:pPr>
          </w:p>
          <w:p w14:paraId="0286F963" w14:textId="77777777" w:rsidR="00164DF8" w:rsidRPr="004453A7" w:rsidRDefault="0074235F">
            <w:pPr>
              <w:spacing w:line="240" w:lineRule="auto"/>
              <w:rPr>
                <w:lang w:val="lt-LT"/>
              </w:rPr>
            </w:pPr>
            <w:r w:rsidRPr="004453A7">
              <w:rPr>
                <w:lang w:val="lt-LT"/>
              </w:rPr>
              <w:t>(Dažnas, nuo ≥ 1/100 iki &lt; 1/10)</w:t>
            </w:r>
          </w:p>
        </w:tc>
        <w:tc>
          <w:tcPr>
            <w:tcW w:w="4644" w:type="dxa"/>
            <w:tcBorders>
              <w:top w:val="single" w:sz="4" w:space="0" w:color="auto"/>
              <w:left w:val="single" w:sz="4" w:space="0" w:color="auto"/>
              <w:bottom w:val="single" w:sz="4" w:space="0" w:color="auto"/>
              <w:right w:val="single" w:sz="4" w:space="0" w:color="auto"/>
            </w:tcBorders>
          </w:tcPr>
          <w:p w14:paraId="0F1A0E07" w14:textId="77777777" w:rsidR="00164DF8" w:rsidRPr="004453A7" w:rsidRDefault="00164DF8">
            <w:pPr>
              <w:spacing w:line="240" w:lineRule="auto"/>
              <w:rPr>
                <w:lang w:val="lt-LT"/>
              </w:rPr>
            </w:pPr>
          </w:p>
          <w:p w14:paraId="7598EBD2" w14:textId="77777777" w:rsidR="00164DF8" w:rsidRPr="004453A7" w:rsidRDefault="00164DF8">
            <w:pPr>
              <w:spacing w:line="240" w:lineRule="auto"/>
              <w:rPr>
                <w:lang w:val="lt-LT"/>
              </w:rPr>
            </w:pPr>
          </w:p>
          <w:p w14:paraId="069BE0DC" w14:textId="77777777" w:rsidR="00164DF8" w:rsidRPr="004453A7" w:rsidRDefault="00164DF8">
            <w:pPr>
              <w:spacing w:line="240" w:lineRule="auto"/>
              <w:rPr>
                <w:lang w:val="lt-LT"/>
              </w:rPr>
            </w:pPr>
          </w:p>
          <w:p w14:paraId="250E1E48" w14:textId="77777777" w:rsidR="00164DF8" w:rsidRPr="004453A7" w:rsidRDefault="0074235F">
            <w:pPr>
              <w:spacing w:line="240" w:lineRule="auto"/>
              <w:rPr>
                <w:lang w:val="lt-LT"/>
              </w:rPr>
            </w:pPr>
            <w:r w:rsidRPr="004453A7">
              <w:rPr>
                <w:lang w:val="lt-LT"/>
              </w:rPr>
              <w:t>Reakcijos injekcijos vietoje*</w:t>
            </w:r>
          </w:p>
          <w:p w14:paraId="29AC7923" w14:textId="77777777" w:rsidR="00164DF8" w:rsidRPr="004453A7" w:rsidRDefault="00164DF8">
            <w:pPr>
              <w:spacing w:line="240" w:lineRule="auto"/>
              <w:rPr>
                <w:lang w:val="lt-LT"/>
              </w:rPr>
            </w:pPr>
          </w:p>
          <w:p w14:paraId="58B00A68" w14:textId="77777777" w:rsidR="00164DF8" w:rsidRPr="004453A7" w:rsidRDefault="00944644">
            <w:pPr>
              <w:spacing w:line="240" w:lineRule="auto"/>
              <w:rPr>
                <w:lang w:val="lt-LT"/>
              </w:rPr>
            </w:pPr>
            <w:r>
              <w:rPr>
                <w:lang w:val="lt-LT"/>
              </w:rPr>
              <w:t>Karščiavimas (p</w:t>
            </w:r>
            <w:r w:rsidR="0074235F" w:rsidRPr="004453A7">
              <w:rPr>
                <w:lang w:val="lt-LT"/>
              </w:rPr>
              <w:t>ireksija</w:t>
            </w:r>
            <w:r>
              <w:rPr>
                <w:lang w:val="lt-LT"/>
              </w:rPr>
              <w:t>)</w:t>
            </w:r>
          </w:p>
        </w:tc>
      </w:tr>
      <w:tr w:rsidR="00164DF8" w:rsidRPr="004453A7" w14:paraId="71B9AA20" w14:textId="77777777" w:rsidTr="00164DF8">
        <w:tc>
          <w:tcPr>
            <w:tcW w:w="4643" w:type="dxa"/>
            <w:tcBorders>
              <w:top w:val="single" w:sz="4" w:space="0" w:color="auto"/>
              <w:left w:val="single" w:sz="4" w:space="0" w:color="auto"/>
              <w:bottom w:val="single" w:sz="4" w:space="0" w:color="auto"/>
              <w:right w:val="single" w:sz="4" w:space="0" w:color="auto"/>
            </w:tcBorders>
          </w:tcPr>
          <w:p w14:paraId="3D75A7F5" w14:textId="77777777" w:rsidR="00164DF8" w:rsidRPr="004453A7" w:rsidRDefault="00FF593A">
            <w:pPr>
              <w:spacing w:line="240" w:lineRule="auto"/>
              <w:rPr>
                <w:lang w:val="lt-LT"/>
              </w:rPr>
            </w:pPr>
            <w:r w:rsidRPr="004453A7">
              <w:rPr>
                <w:lang w:val="lt-LT"/>
              </w:rPr>
              <w:t>Tyrimai</w:t>
            </w:r>
          </w:p>
          <w:p w14:paraId="65B946EE" w14:textId="77777777" w:rsidR="00164DF8" w:rsidRPr="004453A7" w:rsidRDefault="00164DF8">
            <w:pPr>
              <w:spacing w:line="240" w:lineRule="auto"/>
              <w:rPr>
                <w:lang w:val="lt-LT"/>
              </w:rPr>
            </w:pPr>
          </w:p>
          <w:p w14:paraId="0FE30C01" w14:textId="77777777" w:rsidR="00164DF8" w:rsidRPr="004453A7" w:rsidRDefault="0074235F">
            <w:pPr>
              <w:spacing w:line="240" w:lineRule="auto"/>
              <w:rPr>
                <w:lang w:val="lt-LT"/>
              </w:rPr>
            </w:pPr>
            <w:r w:rsidRPr="004453A7">
              <w:rPr>
                <w:lang w:val="lt-LT"/>
              </w:rPr>
              <w:t>(Dažnas, nuo ≥ 1/100 iki &lt; 1/10</w:t>
            </w:r>
            <w:r w:rsidR="00FF593A" w:rsidRPr="004453A7">
              <w:rPr>
                <w:lang w:val="lt-LT"/>
              </w:rPr>
              <w:t>)</w:t>
            </w:r>
          </w:p>
        </w:tc>
        <w:tc>
          <w:tcPr>
            <w:tcW w:w="4644" w:type="dxa"/>
            <w:tcBorders>
              <w:top w:val="single" w:sz="4" w:space="0" w:color="auto"/>
              <w:left w:val="single" w:sz="4" w:space="0" w:color="auto"/>
              <w:bottom w:val="single" w:sz="4" w:space="0" w:color="auto"/>
              <w:right w:val="single" w:sz="4" w:space="0" w:color="auto"/>
            </w:tcBorders>
          </w:tcPr>
          <w:p w14:paraId="1450394A" w14:textId="77777777" w:rsidR="00164DF8" w:rsidRPr="004453A7" w:rsidRDefault="00164DF8">
            <w:pPr>
              <w:spacing w:line="240" w:lineRule="auto"/>
              <w:rPr>
                <w:lang w:val="lt-LT"/>
              </w:rPr>
            </w:pPr>
          </w:p>
          <w:p w14:paraId="64B284D4" w14:textId="77777777" w:rsidR="00164DF8" w:rsidRPr="004453A7" w:rsidRDefault="00164DF8">
            <w:pPr>
              <w:spacing w:line="240" w:lineRule="auto"/>
              <w:rPr>
                <w:lang w:val="lt-LT"/>
              </w:rPr>
            </w:pPr>
          </w:p>
          <w:p w14:paraId="2F9E94A7" w14:textId="77777777" w:rsidR="00164DF8" w:rsidRPr="004453A7" w:rsidRDefault="0074235F">
            <w:pPr>
              <w:spacing w:line="240" w:lineRule="auto"/>
              <w:rPr>
                <w:lang w:val="lt-LT"/>
              </w:rPr>
            </w:pPr>
            <w:r w:rsidRPr="004453A7">
              <w:rPr>
                <w:lang w:val="lt-LT"/>
              </w:rPr>
              <w:t xml:space="preserve">Padidėjęs transaminazių aktyvumas kraujyje </w:t>
            </w:r>
          </w:p>
        </w:tc>
      </w:tr>
      <w:tr w:rsidR="00164DF8" w:rsidRPr="004453A7" w14:paraId="44A9B6D2" w14:textId="77777777" w:rsidTr="00164DF8">
        <w:tc>
          <w:tcPr>
            <w:tcW w:w="9287" w:type="dxa"/>
            <w:gridSpan w:val="2"/>
            <w:tcBorders>
              <w:top w:val="single" w:sz="4" w:space="0" w:color="auto"/>
              <w:left w:val="single" w:sz="4" w:space="0" w:color="auto"/>
              <w:bottom w:val="single" w:sz="4" w:space="0" w:color="auto"/>
              <w:right w:val="single" w:sz="4" w:space="0" w:color="auto"/>
            </w:tcBorders>
            <w:hideMark/>
          </w:tcPr>
          <w:p w14:paraId="7AC07732" w14:textId="77777777" w:rsidR="00164DF8" w:rsidRPr="004453A7" w:rsidRDefault="0074235F" w:rsidP="00FF593A">
            <w:pPr>
              <w:spacing w:line="240" w:lineRule="auto"/>
              <w:rPr>
                <w:sz w:val="18"/>
                <w:szCs w:val="18"/>
                <w:lang w:val="lt-LT"/>
              </w:rPr>
            </w:pPr>
            <w:r w:rsidRPr="004453A7">
              <w:rPr>
                <w:lang w:val="lt-LT"/>
              </w:rPr>
              <w:t xml:space="preserve">* </w:t>
            </w:r>
            <w:r w:rsidRPr="00DC1A53">
              <w:rPr>
                <w:szCs w:val="22"/>
                <w:lang w:val="lt-LT"/>
              </w:rPr>
              <w:t>Mėlynė (kraujosruva) injekcijos vietoje, hematoma injekcijos vietoje, degi</w:t>
            </w:r>
            <w:r w:rsidR="00FF593A" w:rsidRPr="00DC1A53">
              <w:rPr>
                <w:szCs w:val="22"/>
                <w:lang w:val="lt-LT"/>
              </w:rPr>
              <w:t>ni</w:t>
            </w:r>
            <w:r w:rsidRPr="00DC1A53">
              <w:rPr>
                <w:szCs w:val="22"/>
                <w:lang w:val="lt-LT"/>
              </w:rPr>
              <w:t>m</w:t>
            </w:r>
            <w:r w:rsidR="00FF593A" w:rsidRPr="00DC1A53">
              <w:rPr>
                <w:szCs w:val="22"/>
                <w:lang w:val="lt-LT"/>
              </w:rPr>
              <w:t>o pojūtis</w:t>
            </w:r>
            <w:r w:rsidRPr="00DC1A53">
              <w:rPr>
                <w:szCs w:val="22"/>
                <w:lang w:val="lt-LT"/>
              </w:rPr>
              <w:t xml:space="preserve"> injekcijos vietoje, eritema injekcijos vietoje, sumažėjęs jautrumas injekcijos vietoje, dirginimas injekcijos vietoje, tirpulys injekcijos vietoje, edemos atsiradimas injekcijos vietoje, skausmas injekcijos vietoje, spaudimo jausmas injekcijos vietoje, niež</w:t>
            </w:r>
            <w:r w:rsidR="00944644" w:rsidRPr="00DC1A53">
              <w:rPr>
                <w:szCs w:val="22"/>
                <w:lang w:val="lt-LT"/>
              </w:rPr>
              <w:t>ėjimas</w:t>
            </w:r>
            <w:r w:rsidRPr="00DC1A53">
              <w:rPr>
                <w:szCs w:val="22"/>
                <w:lang w:val="lt-LT"/>
              </w:rPr>
              <w:t xml:space="preserve"> injekcijos vietoje, injekcijos vietos sutinimas, dilgėlinė injekcijos vietoje ir šilumos jutimas injekcijos vietoje</w:t>
            </w:r>
          </w:p>
        </w:tc>
      </w:tr>
    </w:tbl>
    <w:p w14:paraId="3DD7614B" w14:textId="77777777" w:rsidR="0074235F" w:rsidRPr="004453A7" w:rsidRDefault="0074235F" w:rsidP="00164DF8">
      <w:pPr>
        <w:spacing w:line="240" w:lineRule="auto"/>
        <w:rPr>
          <w:lang w:val="lt-LT"/>
        </w:rPr>
      </w:pPr>
    </w:p>
    <w:p w14:paraId="0ABC4D45" w14:textId="77777777" w:rsidR="00FF593A" w:rsidRPr="004453A7" w:rsidRDefault="00164DF8" w:rsidP="00164DF8">
      <w:pPr>
        <w:spacing w:line="240" w:lineRule="auto"/>
        <w:rPr>
          <w:u w:val="single"/>
          <w:lang w:val="lt-LT"/>
        </w:rPr>
      </w:pPr>
      <w:r w:rsidRPr="004453A7">
        <w:rPr>
          <w:u w:val="single"/>
          <w:lang w:val="lt-LT"/>
        </w:rPr>
        <w:t xml:space="preserve">Vaikų populiacija </w:t>
      </w:r>
    </w:p>
    <w:p w14:paraId="74ED0D6E" w14:textId="77777777" w:rsidR="00FF593A" w:rsidRPr="004453A7" w:rsidRDefault="00FF593A" w:rsidP="00164DF8">
      <w:pPr>
        <w:spacing w:line="240" w:lineRule="auto"/>
        <w:rPr>
          <w:lang w:val="lt-LT"/>
        </w:rPr>
      </w:pPr>
    </w:p>
    <w:p w14:paraId="45292C19" w14:textId="77777777" w:rsidR="00FF593A" w:rsidRPr="00612370" w:rsidRDefault="00164DF8" w:rsidP="00164DF8">
      <w:pPr>
        <w:spacing w:line="240" w:lineRule="auto"/>
        <w:rPr>
          <w:lang w:val="lt-LT"/>
        </w:rPr>
      </w:pPr>
      <w:r w:rsidRPr="004453A7">
        <w:rPr>
          <w:lang w:val="lt-LT"/>
        </w:rPr>
        <w:t>Viso 32 pacientai vaikai (8 vaikai nuo 2 iki 11 metų ir 24 paaugliai nuo 12 iki 17 metų), sergantys PAE, vartojo ikatibantą klinikinių tyrimų metu. Trisdešimt vienas pacientas vartojo vieną ikatibanto dozę ir 1 pacientas (</w:t>
      </w:r>
      <w:r w:rsidRPr="00612370">
        <w:rPr>
          <w:lang w:val="lt-LT"/>
        </w:rPr>
        <w:t>paauglys) vartojo ikatibantą dviem</w:t>
      </w:r>
      <w:r w:rsidR="00FF593A" w:rsidRPr="00612370">
        <w:rPr>
          <w:lang w:val="lt-LT"/>
        </w:rPr>
        <w:t>s</w:t>
      </w:r>
      <w:r w:rsidRPr="00612370">
        <w:rPr>
          <w:lang w:val="lt-LT"/>
        </w:rPr>
        <w:t xml:space="preserve"> PAE priepuoliams gydyti (iš viso dvi dozes). </w:t>
      </w:r>
      <w:r w:rsidR="00FF593A" w:rsidRPr="00612370">
        <w:rPr>
          <w:lang w:val="lt-LT"/>
        </w:rPr>
        <w:t>Ikati</w:t>
      </w:r>
      <w:r w:rsidR="003D6FBC" w:rsidRPr="00612370">
        <w:rPr>
          <w:lang w:val="lt-LT"/>
        </w:rPr>
        <w:t>bantas</w:t>
      </w:r>
      <w:r w:rsidRPr="00612370">
        <w:rPr>
          <w:lang w:val="lt-LT"/>
        </w:rPr>
        <w:t xml:space="preserve"> buvo </w:t>
      </w:r>
      <w:r w:rsidR="00944644" w:rsidRPr="00612370">
        <w:rPr>
          <w:lang w:val="lt-LT"/>
        </w:rPr>
        <w:t>leidž</w:t>
      </w:r>
      <w:r w:rsidR="003D6FBC" w:rsidRPr="00612370">
        <w:rPr>
          <w:lang w:val="lt-LT"/>
        </w:rPr>
        <w:t>iamas</w:t>
      </w:r>
      <w:r w:rsidR="00FF593A" w:rsidRPr="00612370">
        <w:rPr>
          <w:lang w:val="lt-LT"/>
        </w:rPr>
        <w:t xml:space="preserve"> po oda, 0,4 </w:t>
      </w:r>
      <w:r w:rsidRPr="00612370">
        <w:rPr>
          <w:lang w:val="lt-LT"/>
        </w:rPr>
        <w:t xml:space="preserve">mg/kg doze, priklausomai nuo kūno </w:t>
      </w:r>
      <w:r w:rsidR="00FF593A" w:rsidRPr="00612370">
        <w:rPr>
          <w:lang w:val="lt-LT"/>
        </w:rPr>
        <w:t>svorio; didžiausia dozė buvo 30 </w:t>
      </w:r>
      <w:r w:rsidRPr="00612370">
        <w:rPr>
          <w:lang w:val="lt-LT"/>
        </w:rPr>
        <w:t xml:space="preserve">mg. </w:t>
      </w:r>
    </w:p>
    <w:p w14:paraId="578D8DBA" w14:textId="77777777" w:rsidR="00FF593A" w:rsidRPr="00612370" w:rsidRDefault="00FF593A" w:rsidP="00164DF8">
      <w:pPr>
        <w:spacing w:line="240" w:lineRule="auto"/>
        <w:rPr>
          <w:lang w:val="lt-LT"/>
        </w:rPr>
      </w:pPr>
    </w:p>
    <w:p w14:paraId="6C82FFD2" w14:textId="77777777" w:rsidR="00092FB4" w:rsidRPr="004453A7" w:rsidRDefault="00164DF8" w:rsidP="00164DF8">
      <w:pPr>
        <w:spacing w:line="240" w:lineRule="auto"/>
        <w:rPr>
          <w:lang w:val="lt-LT"/>
        </w:rPr>
      </w:pPr>
      <w:r w:rsidRPr="00612370">
        <w:rPr>
          <w:lang w:val="lt-LT"/>
        </w:rPr>
        <w:t>Daugumai pacientų</w:t>
      </w:r>
      <w:r w:rsidRPr="004453A7">
        <w:rPr>
          <w:lang w:val="lt-LT"/>
        </w:rPr>
        <w:t xml:space="preserve"> vaikų, kurie buvo gydyti po oda leidžiamu ikatibantu, pasireiškė tokios injekcijos vietos reakcijos kaip eritema, patinimas, deginimo jausmas, odos skausmas ir niežulys / niežėjimas; jos buvo lengvos arba vidutinio sunkumo bei atitiko reakcijas, </w:t>
      </w:r>
      <w:r w:rsidR="00FF593A" w:rsidRPr="004453A7">
        <w:rPr>
          <w:lang w:val="lt-LT"/>
        </w:rPr>
        <w:t>kurios p</w:t>
      </w:r>
      <w:r w:rsidR="00092FB4" w:rsidRPr="004453A7">
        <w:rPr>
          <w:lang w:val="lt-LT"/>
        </w:rPr>
        <w:t>a</w:t>
      </w:r>
      <w:r w:rsidR="00FF593A" w:rsidRPr="004453A7">
        <w:rPr>
          <w:lang w:val="lt-LT"/>
        </w:rPr>
        <w:t>sitaikė ir</w:t>
      </w:r>
      <w:r w:rsidRPr="004453A7">
        <w:rPr>
          <w:lang w:val="lt-LT"/>
        </w:rPr>
        <w:t xml:space="preserve"> suaugusiesiems. Dviem</w:t>
      </w:r>
      <w:r w:rsidR="00FF593A" w:rsidRPr="004453A7">
        <w:rPr>
          <w:lang w:val="lt-LT"/>
        </w:rPr>
        <w:t>s</w:t>
      </w:r>
      <w:r w:rsidRPr="004453A7">
        <w:rPr>
          <w:lang w:val="lt-LT"/>
        </w:rPr>
        <w:t xml:space="preserve"> pacientams vaikams pasireiškė injekcijos vietos reakcijos, kurios buvo įvertintos kaip sunkios ir kurios visiškai pranyko per 6 valandas. Šios reakcijos buvo eritema, patinimas, deginimo ir šilumos </w:t>
      </w:r>
      <w:r w:rsidR="00092FB4" w:rsidRPr="004453A7">
        <w:rPr>
          <w:lang w:val="lt-LT"/>
        </w:rPr>
        <w:t>pojūtis</w:t>
      </w:r>
      <w:r w:rsidRPr="004453A7">
        <w:rPr>
          <w:lang w:val="lt-LT"/>
        </w:rPr>
        <w:t xml:space="preserve">. </w:t>
      </w:r>
    </w:p>
    <w:p w14:paraId="789D00AA" w14:textId="77777777" w:rsidR="00092FB4" w:rsidRPr="004453A7" w:rsidRDefault="00092FB4" w:rsidP="00164DF8">
      <w:pPr>
        <w:spacing w:line="240" w:lineRule="auto"/>
        <w:rPr>
          <w:lang w:val="lt-LT"/>
        </w:rPr>
      </w:pPr>
    </w:p>
    <w:p w14:paraId="3A2F70D2" w14:textId="77777777" w:rsidR="00092FB4" w:rsidRPr="004453A7" w:rsidRDefault="00164DF8" w:rsidP="00164DF8">
      <w:pPr>
        <w:spacing w:line="240" w:lineRule="auto"/>
        <w:rPr>
          <w:lang w:val="lt-LT"/>
        </w:rPr>
      </w:pPr>
      <w:r w:rsidRPr="004453A7">
        <w:rPr>
          <w:lang w:val="lt-LT"/>
        </w:rPr>
        <w:t xml:space="preserve">Kliniškai reikšmingų lytinių hormonų pokyčių klinikinių tyrimų metu stebėta nebuvo. </w:t>
      </w:r>
    </w:p>
    <w:p w14:paraId="4907F3E4" w14:textId="77777777" w:rsidR="00092FB4" w:rsidRPr="004453A7" w:rsidRDefault="00092FB4" w:rsidP="00164DF8">
      <w:pPr>
        <w:spacing w:line="240" w:lineRule="auto"/>
        <w:rPr>
          <w:lang w:val="lt-LT"/>
        </w:rPr>
      </w:pPr>
    </w:p>
    <w:p w14:paraId="5124563B" w14:textId="77777777" w:rsidR="00092FB4" w:rsidRPr="004453A7" w:rsidRDefault="00092FB4" w:rsidP="00092FB4">
      <w:pPr>
        <w:autoSpaceDE w:val="0"/>
        <w:autoSpaceDN w:val="0"/>
        <w:adjustRightInd w:val="0"/>
        <w:jc w:val="both"/>
        <w:rPr>
          <w:iCs/>
          <w:szCs w:val="22"/>
          <w:lang w:val="lt-LT" w:eastAsia="lt-LT"/>
        </w:rPr>
      </w:pPr>
      <w:r w:rsidRPr="004453A7">
        <w:rPr>
          <w:iCs/>
          <w:szCs w:val="22"/>
          <w:u w:val="single"/>
          <w:lang w:val="lt-LT" w:eastAsia="lt-LT"/>
        </w:rPr>
        <w:t>Atrinktų nepageidaujamų reakcijų apibūdinimas</w:t>
      </w:r>
    </w:p>
    <w:p w14:paraId="7A0CFE8E" w14:textId="77777777" w:rsidR="00092FB4" w:rsidRPr="004453A7" w:rsidRDefault="00092FB4" w:rsidP="00164DF8">
      <w:pPr>
        <w:spacing w:line="240" w:lineRule="auto"/>
        <w:rPr>
          <w:lang w:val="lt-LT"/>
        </w:rPr>
      </w:pPr>
    </w:p>
    <w:p w14:paraId="5F8E87B8" w14:textId="77777777" w:rsidR="00092FB4" w:rsidRPr="004453A7" w:rsidRDefault="00164DF8" w:rsidP="00164DF8">
      <w:pPr>
        <w:spacing w:line="240" w:lineRule="auto"/>
        <w:rPr>
          <w:lang w:val="lt-LT"/>
        </w:rPr>
      </w:pPr>
      <w:r w:rsidRPr="004453A7">
        <w:rPr>
          <w:lang w:val="lt-LT"/>
        </w:rPr>
        <w:t xml:space="preserve">Imunogeniškumas </w:t>
      </w:r>
    </w:p>
    <w:p w14:paraId="79F97AAD" w14:textId="77777777" w:rsidR="00092FB4" w:rsidRPr="00612370" w:rsidRDefault="00164DF8" w:rsidP="00164DF8">
      <w:pPr>
        <w:spacing w:line="240" w:lineRule="auto"/>
        <w:rPr>
          <w:lang w:val="lt-LT"/>
        </w:rPr>
      </w:pPr>
      <w:r w:rsidRPr="004453A7">
        <w:rPr>
          <w:lang w:val="lt-LT"/>
        </w:rPr>
        <w:t xml:space="preserve">Atlikus kartoninius kontroliuojamus III fazės tyrimus su suaugusiaisiais, retais atvejais organizme laikinai susidarė anti-ikatibanto antikūnai. Gydymas buvo veiksmingas visiems pacientams. Tik vieno </w:t>
      </w:r>
      <w:r w:rsidR="00092FB4" w:rsidRPr="004453A7">
        <w:rPr>
          <w:lang w:val="lt-LT"/>
        </w:rPr>
        <w:t xml:space="preserve">iktatibantu </w:t>
      </w:r>
      <w:r w:rsidRPr="004453A7">
        <w:rPr>
          <w:lang w:val="lt-LT"/>
        </w:rPr>
        <w:t xml:space="preserve">gydyto paciento organizme </w:t>
      </w:r>
      <w:r w:rsidRPr="00612370">
        <w:rPr>
          <w:lang w:val="lt-LT"/>
        </w:rPr>
        <w:t xml:space="preserve">susidarė anti-ikatibanto antikūnų prieš ir po minėto gydymo. Pacientas buvo sekamas 5 mėnesius ir tuo metu gauti mėginio antikūnams nustatyti rezultatai buvo neigiami. Gydant </w:t>
      </w:r>
      <w:r w:rsidR="00092FB4" w:rsidRPr="00612370">
        <w:rPr>
          <w:lang w:val="lt-LT"/>
        </w:rPr>
        <w:t>ikatibantu</w:t>
      </w:r>
      <w:r w:rsidRPr="00612370">
        <w:rPr>
          <w:lang w:val="lt-LT"/>
        </w:rPr>
        <w:t>, jokių padidėjusio jautrumo arba anafilaksinių reakcijų</w:t>
      </w:r>
      <w:r w:rsidR="00092FB4" w:rsidRPr="00612370">
        <w:rPr>
          <w:lang w:val="lt-LT"/>
        </w:rPr>
        <w:t xml:space="preserve"> nebuvo pastebėta</w:t>
      </w:r>
      <w:r w:rsidRPr="00612370">
        <w:rPr>
          <w:lang w:val="lt-LT"/>
        </w:rPr>
        <w:t xml:space="preserve">. </w:t>
      </w:r>
    </w:p>
    <w:p w14:paraId="72E44112" w14:textId="77777777" w:rsidR="00E278A4" w:rsidRPr="00612370" w:rsidRDefault="00E278A4" w:rsidP="00164DF8">
      <w:pPr>
        <w:spacing w:line="240" w:lineRule="auto"/>
        <w:rPr>
          <w:lang w:val="lt-LT"/>
        </w:rPr>
      </w:pPr>
    </w:p>
    <w:p w14:paraId="39A1440E" w14:textId="77777777" w:rsidR="00F34163" w:rsidRPr="00612370" w:rsidRDefault="00F34163" w:rsidP="00F34163">
      <w:pPr>
        <w:autoSpaceDE w:val="0"/>
        <w:autoSpaceDN w:val="0"/>
        <w:adjustRightInd w:val="0"/>
        <w:jc w:val="both"/>
        <w:rPr>
          <w:noProof/>
          <w:szCs w:val="24"/>
          <w:u w:val="single"/>
          <w:lang w:val="lt-LT"/>
        </w:rPr>
      </w:pPr>
      <w:r w:rsidRPr="00612370">
        <w:rPr>
          <w:noProof/>
          <w:szCs w:val="24"/>
          <w:u w:val="single"/>
          <w:lang w:val="lt-LT"/>
        </w:rPr>
        <w:t>Pranešimas apie įtariamas nepageidaujamas reakcijas</w:t>
      </w:r>
    </w:p>
    <w:p w14:paraId="7ABC91F1" w14:textId="1BB45CA7" w:rsidR="007C1B75" w:rsidRPr="00612370" w:rsidRDefault="00AD3EB8" w:rsidP="00F34163">
      <w:pPr>
        <w:autoSpaceDE w:val="0"/>
        <w:autoSpaceDN w:val="0"/>
        <w:adjustRightInd w:val="0"/>
        <w:jc w:val="both"/>
        <w:rPr>
          <w:szCs w:val="24"/>
          <w:lang w:val="lt-LT"/>
        </w:rPr>
      </w:pPr>
      <w:r w:rsidRPr="00AD3EB8">
        <w:rPr>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24035">
        <w:rPr>
          <w:lang w:val="lt-LT"/>
        </w:rPr>
        <w:t>https://vvkt.</w:t>
      </w:r>
      <w:r w:rsidRPr="00AD3EB8">
        <w:rPr>
          <w:szCs w:val="24"/>
          <w:lang w:val="lt-LT"/>
        </w:rPr>
        <w:t>lrv.</w:t>
      </w:r>
      <w:r w:rsidRPr="00324035">
        <w:rPr>
          <w:lang w:val="lt-LT"/>
        </w:rPr>
        <w:t>lt/lt/</w:t>
      </w:r>
      <w:r w:rsidRPr="00AD3EB8">
        <w:rPr>
          <w:szCs w:val="24"/>
          <w:lang w:val="lt-LT"/>
        </w:rPr>
        <w:t xml:space="preserve"> nurodytais būdais.</w:t>
      </w:r>
    </w:p>
    <w:p w14:paraId="2F37C7FB" w14:textId="77777777" w:rsidR="00F34163" w:rsidRPr="00612370" w:rsidRDefault="00F34163" w:rsidP="00F34163">
      <w:pPr>
        <w:rPr>
          <w:szCs w:val="24"/>
          <w:lang w:val="lt-LT"/>
        </w:rPr>
      </w:pPr>
    </w:p>
    <w:p w14:paraId="09FFC4B9" w14:textId="77777777" w:rsidR="00F34163" w:rsidRPr="00612370" w:rsidRDefault="00F34163" w:rsidP="00F34163">
      <w:pPr>
        <w:pStyle w:val="Antrat4"/>
        <w:rPr>
          <w:rFonts w:ascii="Times New Roman" w:hAnsi="Times New Roman"/>
          <w:sz w:val="22"/>
          <w:lang w:val="lt-LT"/>
        </w:rPr>
      </w:pPr>
      <w:r w:rsidRPr="00612370">
        <w:rPr>
          <w:rFonts w:ascii="Times New Roman" w:hAnsi="Times New Roman"/>
          <w:sz w:val="22"/>
          <w:lang w:val="lt-LT"/>
        </w:rPr>
        <w:t>4.9</w:t>
      </w:r>
      <w:r w:rsidRPr="00612370">
        <w:rPr>
          <w:rFonts w:ascii="Times New Roman" w:hAnsi="Times New Roman"/>
          <w:sz w:val="22"/>
          <w:lang w:val="lt-LT"/>
        </w:rPr>
        <w:tab/>
        <w:t>Perdozavimas</w:t>
      </w:r>
    </w:p>
    <w:p w14:paraId="342AAD32" w14:textId="77777777" w:rsidR="00F34163" w:rsidRPr="00612370" w:rsidRDefault="00F34163" w:rsidP="00F34163">
      <w:pPr>
        <w:rPr>
          <w:szCs w:val="24"/>
          <w:lang w:val="lt-LT"/>
        </w:rPr>
      </w:pPr>
    </w:p>
    <w:p w14:paraId="644335A6" w14:textId="77777777" w:rsidR="003D6FBC" w:rsidRPr="00612370" w:rsidRDefault="00E01BF1" w:rsidP="00F34163">
      <w:pPr>
        <w:rPr>
          <w:lang w:val="lt-LT"/>
        </w:rPr>
      </w:pPr>
      <w:r w:rsidRPr="00612370">
        <w:rPr>
          <w:lang w:val="lt-LT"/>
        </w:rPr>
        <w:t xml:space="preserve">Klinikinės informacijos apie perdozavimą nėra. </w:t>
      </w:r>
    </w:p>
    <w:p w14:paraId="016DFD05" w14:textId="77777777" w:rsidR="003D6FBC" w:rsidRPr="00612370" w:rsidRDefault="003D6FBC" w:rsidP="00F34163">
      <w:pPr>
        <w:rPr>
          <w:lang w:val="lt-LT"/>
        </w:rPr>
      </w:pPr>
    </w:p>
    <w:p w14:paraId="739068E1" w14:textId="77777777" w:rsidR="00F34163" w:rsidRPr="00612370" w:rsidRDefault="003D6FBC" w:rsidP="00F34163">
      <w:pPr>
        <w:rPr>
          <w:szCs w:val="24"/>
          <w:lang w:val="lt-LT"/>
        </w:rPr>
      </w:pPr>
      <w:r w:rsidRPr="00612370">
        <w:rPr>
          <w:lang w:val="lt-LT"/>
        </w:rPr>
        <w:t>Intraveninė 3,2 </w:t>
      </w:r>
      <w:r w:rsidR="00E01BF1" w:rsidRPr="00612370">
        <w:rPr>
          <w:lang w:val="lt-LT"/>
        </w:rPr>
        <w:t>mg/kg dozė (beveik 8 kartus didesnė už terapinę dozę) sveikiems asmenims sukėlė laikiną eritemą, niežėjimą, veido ir kaklo paraudimą arba hipotenziją. Šių simptomų papildomai gydyti nereikėjo.</w:t>
      </w:r>
    </w:p>
    <w:p w14:paraId="06146532" w14:textId="77777777" w:rsidR="00F34163" w:rsidRPr="00612370" w:rsidRDefault="00F34163" w:rsidP="00F34163">
      <w:pPr>
        <w:rPr>
          <w:szCs w:val="24"/>
          <w:lang w:val="lt-LT"/>
        </w:rPr>
      </w:pPr>
    </w:p>
    <w:p w14:paraId="577AEBEE" w14:textId="77777777" w:rsidR="003D6FBC" w:rsidRPr="00612370" w:rsidRDefault="003D6FBC" w:rsidP="00F34163">
      <w:pPr>
        <w:rPr>
          <w:szCs w:val="24"/>
          <w:lang w:val="lt-LT"/>
        </w:rPr>
      </w:pPr>
    </w:p>
    <w:p w14:paraId="21B9EF37" w14:textId="77777777" w:rsidR="00F34163" w:rsidRPr="00612370" w:rsidRDefault="00F34163" w:rsidP="00F34163">
      <w:pPr>
        <w:pStyle w:val="Antrat3"/>
        <w:spacing w:before="0" w:after="0" w:line="240" w:lineRule="auto"/>
        <w:rPr>
          <w:rFonts w:ascii="Times New Roman" w:hAnsi="Times New Roman"/>
          <w:sz w:val="22"/>
          <w:lang w:val="lt-LT"/>
        </w:rPr>
      </w:pPr>
      <w:r w:rsidRPr="00612370">
        <w:rPr>
          <w:rFonts w:ascii="Times New Roman" w:hAnsi="Times New Roman"/>
          <w:sz w:val="22"/>
          <w:lang w:val="lt-LT"/>
        </w:rPr>
        <w:t>5.</w:t>
      </w:r>
      <w:r w:rsidRPr="00612370">
        <w:rPr>
          <w:rFonts w:ascii="Times New Roman" w:hAnsi="Times New Roman"/>
          <w:sz w:val="22"/>
          <w:lang w:val="lt-LT"/>
        </w:rPr>
        <w:tab/>
        <w:t>FARMAKOLOGINĖS SAVYBĖS</w:t>
      </w:r>
    </w:p>
    <w:p w14:paraId="751ADE14" w14:textId="77777777" w:rsidR="00F34163" w:rsidRPr="00612370" w:rsidRDefault="00F34163" w:rsidP="00F34163">
      <w:pPr>
        <w:rPr>
          <w:szCs w:val="24"/>
          <w:lang w:val="lt-LT"/>
        </w:rPr>
      </w:pPr>
    </w:p>
    <w:p w14:paraId="22C6A1F3" w14:textId="77777777" w:rsidR="00F34163" w:rsidRPr="00612370" w:rsidRDefault="00F34163" w:rsidP="00F34163">
      <w:pPr>
        <w:pStyle w:val="Antrat4"/>
        <w:rPr>
          <w:rFonts w:ascii="Times New Roman" w:hAnsi="Times New Roman"/>
          <w:sz w:val="22"/>
          <w:lang w:val="lt-LT"/>
        </w:rPr>
      </w:pPr>
      <w:r w:rsidRPr="00612370">
        <w:rPr>
          <w:rFonts w:ascii="Times New Roman" w:hAnsi="Times New Roman"/>
          <w:sz w:val="22"/>
          <w:lang w:val="lt-LT"/>
        </w:rPr>
        <w:t>5.1</w:t>
      </w:r>
      <w:r w:rsidRPr="00612370">
        <w:rPr>
          <w:rFonts w:ascii="Times New Roman" w:hAnsi="Times New Roman"/>
          <w:bCs w:val="0"/>
          <w:sz w:val="22"/>
          <w:szCs w:val="24"/>
          <w:lang w:val="lt-LT"/>
        </w:rPr>
        <w:t xml:space="preserve"> </w:t>
      </w:r>
      <w:r w:rsidRPr="00612370">
        <w:rPr>
          <w:rFonts w:ascii="Times New Roman" w:hAnsi="Times New Roman"/>
          <w:sz w:val="22"/>
          <w:lang w:val="lt-LT"/>
        </w:rPr>
        <w:tab/>
        <w:t>Farmakodinaminės savybės</w:t>
      </w:r>
    </w:p>
    <w:p w14:paraId="393FA458" w14:textId="77777777" w:rsidR="00F34163" w:rsidRPr="00612370" w:rsidRDefault="00F34163" w:rsidP="00F34163">
      <w:pPr>
        <w:rPr>
          <w:szCs w:val="24"/>
          <w:lang w:val="lt-LT"/>
        </w:rPr>
      </w:pPr>
    </w:p>
    <w:p w14:paraId="59909F3B" w14:textId="77777777" w:rsidR="00CD5F9F" w:rsidRPr="00612370" w:rsidRDefault="00E01BF1" w:rsidP="00F34163">
      <w:pPr>
        <w:rPr>
          <w:lang w:val="lt-LT"/>
        </w:rPr>
      </w:pPr>
      <w:r w:rsidRPr="00612370">
        <w:rPr>
          <w:lang w:val="lt-LT"/>
        </w:rPr>
        <w:t>Farmakoterapinė grupė – kiti hematologiniai vaistiniai preparatai, vartojami paveldimos angio</w:t>
      </w:r>
      <w:r w:rsidR="007C1B75" w:rsidRPr="00612370">
        <w:rPr>
          <w:lang w:val="lt-LT"/>
        </w:rPr>
        <w:t xml:space="preserve">neurozinės </w:t>
      </w:r>
      <w:r w:rsidRPr="00612370">
        <w:rPr>
          <w:lang w:val="lt-LT"/>
        </w:rPr>
        <w:t xml:space="preserve">edemos gydymui; ATC kodas – B06AC02. </w:t>
      </w:r>
    </w:p>
    <w:p w14:paraId="1C397D6B" w14:textId="77777777" w:rsidR="00CD5F9F" w:rsidRPr="00612370" w:rsidRDefault="00CD5F9F" w:rsidP="00F34163">
      <w:pPr>
        <w:rPr>
          <w:lang w:val="lt-LT"/>
        </w:rPr>
      </w:pPr>
    </w:p>
    <w:p w14:paraId="648D2352" w14:textId="77777777" w:rsidR="00CD5F9F" w:rsidRPr="00612370" w:rsidRDefault="00E01BF1" w:rsidP="00F34163">
      <w:pPr>
        <w:rPr>
          <w:u w:val="single"/>
          <w:lang w:val="lt-LT"/>
        </w:rPr>
      </w:pPr>
      <w:r w:rsidRPr="00612370">
        <w:rPr>
          <w:u w:val="single"/>
          <w:lang w:val="lt-LT"/>
        </w:rPr>
        <w:t xml:space="preserve">Veikimo mechanizmas </w:t>
      </w:r>
    </w:p>
    <w:p w14:paraId="1590FC80" w14:textId="77777777" w:rsidR="000768AA" w:rsidRPr="00612370" w:rsidRDefault="000768AA" w:rsidP="00F34163">
      <w:pPr>
        <w:rPr>
          <w:lang w:val="lt-LT"/>
        </w:rPr>
      </w:pPr>
    </w:p>
    <w:p w14:paraId="763369B4" w14:textId="77777777" w:rsidR="000768AA" w:rsidRPr="00612370" w:rsidRDefault="00E01BF1" w:rsidP="00F34163">
      <w:pPr>
        <w:rPr>
          <w:lang w:val="lt-LT"/>
        </w:rPr>
      </w:pPr>
      <w:r w:rsidRPr="00612370">
        <w:rPr>
          <w:lang w:val="lt-LT"/>
        </w:rPr>
        <w:t xml:space="preserve">PAE (autosominę dominantinę ligą) sukelia C1 esterazės inhibitoriaus nebuvimas arba </w:t>
      </w:r>
      <w:r w:rsidR="000768AA" w:rsidRPr="00612370">
        <w:rPr>
          <w:lang w:val="lt-LT"/>
        </w:rPr>
        <w:t xml:space="preserve">sutrikusi </w:t>
      </w:r>
      <w:r w:rsidRPr="00612370">
        <w:rPr>
          <w:lang w:val="lt-LT"/>
        </w:rPr>
        <w:t xml:space="preserve">funkcija. PAE priepuolius lydi padidėjęs bradikinino, kuris yra pagrindinis klinikinių simptomų vystymosi mediatorius, išsiskyrimas. </w:t>
      </w:r>
    </w:p>
    <w:p w14:paraId="2D6B08DD" w14:textId="77777777" w:rsidR="000768AA" w:rsidRPr="00612370" w:rsidRDefault="000768AA" w:rsidP="00F34163">
      <w:pPr>
        <w:rPr>
          <w:lang w:val="lt-LT"/>
        </w:rPr>
      </w:pPr>
    </w:p>
    <w:p w14:paraId="7E3FE477" w14:textId="77777777" w:rsidR="000768AA" w:rsidRPr="00612370" w:rsidRDefault="00E01BF1" w:rsidP="00F34163">
      <w:pPr>
        <w:rPr>
          <w:lang w:val="lt-LT"/>
        </w:rPr>
      </w:pPr>
      <w:r w:rsidRPr="00612370">
        <w:rPr>
          <w:lang w:val="lt-LT"/>
        </w:rPr>
        <w:t xml:space="preserve">PAE pasireiškia </w:t>
      </w:r>
      <w:r w:rsidR="000768AA" w:rsidRPr="00612370">
        <w:rPr>
          <w:lang w:val="lt-LT"/>
        </w:rPr>
        <w:t xml:space="preserve">edemos priepuoliais </w:t>
      </w:r>
      <w:r w:rsidRPr="00612370">
        <w:rPr>
          <w:lang w:val="lt-LT"/>
        </w:rPr>
        <w:t>po</w:t>
      </w:r>
      <w:r w:rsidR="000768AA" w:rsidRPr="00612370">
        <w:rPr>
          <w:lang w:val="lt-LT"/>
        </w:rPr>
        <w:t xml:space="preserve"> oda ir (arba) po gleivine</w:t>
      </w:r>
      <w:r w:rsidRPr="00612370">
        <w:rPr>
          <w:lang w:val="lt-LT"/>
        </w:rPr>
        <w:t xml:space="preserve">, kurie apima viršutinius kvėpavimo takus, odą ir virškinimo traktą. Tokie priepuoliai paprastai trunka nuo 2 iki 5 dienų. </w:t>
      </w:r>
    </w:p>
    <w:p w14:paraId="742CB5CB" w14:textId="77777777" w:rsidR="000768AA" w:rsidRPr="00612370" w:rsidRDefault="000768AA" w:rsidP="00F34163">
      <w:pPr>
        <w:rPr>
          <w:lang w:val="lt-LT"/>
        </w:rPr>
      </w:pPr>
    </w:p>
    <w:p w14:paraId="724723A8" w14:textId="77777777" w:rsidR="00CD5F9F" w:rsidRPr="00612370" w:rsidRDefault="00E01BF1" w:rsidP="00F34163">
      <w:pPr>
        <w:rPr>
          <w:lang w:val="lt-LT"/>
        </w:rPr>
      </w:pPr>
      <w:r w:rsidRPr="00612370">
        <w:rPr>
          <w:lang w:val="lt-LT"/>
        </w:rPr>
        <w:t xml:space="preserve">Ikatibantas yra selektyvusis konkuruojantis bradikinino 2-jo tipo (B2) receptoriaus antagonistas. Tai sintetinis dekapeptidas, kurio struktūra panaši į bradikinino, tačiau jį sudaro 5 ne proteinogeninės amino rūgštys. PAE atveju padidėjusios bradikinino koncentracijos </w:t>
      </w:r>
      <w:r w:rsidR="007C1B75" w:rsidRPr="00612370">
        <w:rPr>
          <w:lang w:val="lt-LT"/>
        </w:rPr>
        <w:t>pagrinde</w:t>
      </w:r>
      <w:r w:rsidRPr="00612370">
        <w:rPr>
          <w:lang w:val="lt-LT"/>
        </w:rPr>
        <w:t xml:space="preserve"> nulemia klinikinius simptomus. </w:t>
      </w:r>
    </w:p>
    <w:p w14:paraId="2E2FC810" w14:textId="77777777" w:rsidR="00CD5F9F" w:rsidRPr="00612370" w:rsidRDefault="00CD5F9F" w:rsidP="00F34163">
      <w:pPr>
        <w:rPr>
          <w:lang w:val="lt-LT"/>
        </w:rPr>
      </w:pPr>
    </w:p>
    <w:p w14:paraId="7A1AD42B" w14:textId="77777777" w:rsidR="00CD5F9F" w:rsidRPr="00612370" w:rsidRDefault="00E01BF1" w:rsidP="00F34163">
      <w:pPr>
        <w:rPr>
          <w:u w:val="single"/>
          <w:lang w:val="lt-LT"/>
        </w:rPr>
      </w:pPr>
      <w:r w:rsidRPr="00612370">
        <w:rPr>
          <w:u w:val="single"/>
          <w:lang w:val="lt-LT"/>
        </w:rPr>
        <w:t>Farmakodinaminis poveikis</w:t>
      </w:r>
    </w:p>
    <w:p w14:paraId="724A64F6" w14:textId="77777777" w:rsidR="000768AA" w:rsidRPr="00612370" w:rsidRDefault="000768AA" w:rsidP="00F34163">
      <w:pPr>
        <w:rPr>
          <w:lang w:val="lt-LT"/>
        </w:rPr>
      </w:pPr>
    </w:p>
    <w:p w14:paraId="2B102E93" w14:textId="77777777" w:rsidR="00CD5F9F" w:rsidRPr="00612370" w:rsidRDefault="00E01BF1" w:rsidP="00F34163">
      <w:pPr>
        <w:rPr>
          <w:lang w:val="lt-LT"/>
        </w:rPr>
      </w:pPr>
      <w:r w:rsidRPr="00612370">
        <w:rPr>
          <w:lang w:val="lt-LT"/>
        </w:rPr>
        <w:t xml:space="preserve">Skiriant ikatibantą </w:t>
      </w:r>
      <w:r w:rsidR="000768AA" w:rsidRPr="00612370">
        <w:rPr>
          <w:lang w:val="lt-LT"/>
        </w:rPr>
        <w:t>sveikiems jauniems asmenims 0,8 </w:t>
      </w:r>
      <w:r w:rsidRPr="00612370">
        <w:rPr>
          <w:lang w:val="lt-LT"/>
        </w:rPr>
        <w:t>mg/kg dozėmis per 4 v</w:t>
      </w:r>
      <w:r w:rsidR="000768AA" w:rsidRPr="00612370">
        <w:rPr>
          <w:lang w:val="lt-LT"/>
        </w:rPr>
        <w:t>alandas; 1,5 mg/kg/per parą arba po 0,15 </w:t>
      </w:r>
      <w:r w:rsidRPr="00612370">
        <w:rPr>
          <w:lang w:val="lt-LT"/>
        </w:rPr>
        <w:t xml:space="preserve">mg/kg/per parą 3 paras, buvo išvengta bradikinino sukeliamos hipotenzijos, vazodilatacijos ir refleksinės tachikardijos. Nustatyta, kad </w:t>
      </w:r>
      <w:r w:rsidR="000768AA" w:rsidRPr="00612370">
        <w:rPr>
          <w:lang w:val="lt-LT"/>
        </w:rPr>
        <w:t>iš</w:t>
      </w:r>
      <w:r w:rsidRPr="00612370">
        <w:rPr>
          <w:lang w:val="lt-LT"/>
        </w:rPr>
        <w:t xml:space="preserve">bandomąją bradikinino dozę padidinus 4 kartus, ikatibantas vis dar veikia kaip konkuruojantis antagonistas. </w:t>
      </w:r>
    </w:p>
    <w:p w14:paraId="26D784F6" w14:textId="77777777" w:rsidR="00CD5F9F" w:rsidRPr="00612370" w:rsidRDefault="00CD5F9F" w:rsidP="00F34163">
      <w:pPr>
        <w:rPr>
          <w:lang w:val="lt-LT"/>
        </w:rPr>
      </w:pPr>
    </w:p>
    <w:p w14:paraId="351496C0" w14:textId="77777777" w:rsidR="00CD5F9F" w:rsidRPr="00612370" w:rsidRDefault="00E01BF1" w:rsidP="00F34163">
      <w:pPr>
        <w:rPr>
          <w:u w:val="single"/>
          <w:lang w:val="lt-LT"/>
        </w:rPr>
      </w:pPr>
      <w:r w:rsidRPr="00612370">
        <w:rPr>
          <w:u w:val="single"/>
          <w:lang w:val="lt-LT"/>
        </w:rPr>
        <w:t xml:space="preserve">Klinikinis veiksmingumas ir saugumas </w:t>
      </w:r>
    </w:p>
    <w:p w14:paraId="71E8253B" w14:textId="77777777" w:rsidR="000768AA" w:rsidRPr="00612370" w:rsidRDefault="000768AA" w:rsidP="00F34163">
      <w:pPr>
        <w:rPr>
          <w:lang w:val="lt-LT"/>
        </w:rPr>
      </w:pPr>
    </w:p>
    <w:p w14:paraId="71E92E55" w14:textId="77777777" w:rsidR="000768AA" w:rsidRPr="00612370" w:rsidRDefault="00E01BF1" w:rsidP="00F34163">
      <w:pPr>
        <w:rPr>
          <w:lang w:val="lt-LT"/>
        </w:rPr>
      </w:pPr>
      <w:r w:rsidRPr="00612370">
        <w:rPr>
          <w:lang w:val="lt-LT"/>
        </w:rPr>
        <w:t xml:space="preserve">Veiksmingumo duomenys buvo gauti atlikus pirminį atvirąjį II fazės tyrimą ir atlikus tris kontroliuojamus III fazės tyrimus. </w:t>
      </w:r>
    </w:p>
    <w:p w14:paraId="19A37448" w14:textId="77777777" w:rsidR="000768AA" w:rsidRPr="00612370" w:rsidRDefault="000768AA" w:rsidP="00F34163">
      <w:pPr>
        <w:rPr>
          <w:lang w:val="lt-LT"/>
        </w:rPr>
      </w:pPr>
    </w:p>
    <w:p w14:paraId="2EB0BC4F" w14:textId="77777777" w:rsidR="00856BF6" w:rsidRPr="00612370" w:rsidRDefault="00E01BF1" w:rsidP="00F34163">
      <w:pPr>
        <w:rPr>
          <w:lang w:val="lt-LT"/>
        </w:rPr>
      </w:pPr>
      <w:r w:rsidRPr="00612370">
        <w:rPr>
          <w:lang w:val="lt-LT"/>
        </w:rPr>
        <w:t xml:space="preserve">III fazės klinikiniai tyrimai (FAST-1 ir FAST-2) buvo </w:t>
      </w:r>
      <w:r w:rsidR="000768AA" w:rsidRPr="00612370">
        <w:rPr>
          <w:lang w:val="lt-LT"/>
        </w:rPr>
        <w:t>atsitiktinės atrankos,</w:t>
      </w:r>
      <w:r w:rsidRPr="00612370">
        <w:rPr>
          <w:lang w:val="lt-LT"/>
        </w:rPr>
        <w:t xml:space="preserve"> kontroliuojami ir atliekami dvigubai </w:t>
      </w:r>
      <w:r w:rsidR="00856BF6" w:rsidRPr="00612370">
        <w:rPr>
          <w:lang w:val="lt-LT"/>
        </w:rPr>
        <w:t>koduotu būdu,</w:t>
      </w:r>
      <w:r w:rsidRPr="00612370">
        <w:rPr>
          <w:lang w:val="lt-LT"/>
        </w:rPr>
        <w:t xml:space="preserve"> jie buvo identiški savo struktūra, skyrėsi tik tyrimo palyginamasis </w:t>
      </w:r>
      <w:r w:rsidR="0060174D" w:rsidRPr="00612370">
        <w:rPr>
          <w:lang w:val="lt-LT"/>
        </w:rPr>
        <w:t xml:space="preserve">vaistinis </w:t>
      </w:r>
      <w:r w:rsidRPr="00612370">
        <w:rPr>
          <w:lang w:val="lt-LT"/>
        </w:rPr>
        <w:t>preparatas (vienas tyrimas buvo atliktas, naudojant geriamąją traneksamo rūgštį kaip palyginamąjį vaist</w:t>
      </w:r>
      <w:r w:rsidR="0060174D" w:rsidRPr="00612370">
        <w:rPr>
          <w:lang w:val="lt-LT"/>
        </w:rPr>
        <w:t>inį preparatą</w:t>
      </w:r>
      <w:r w:rsidRPr="00612370">
        <w:rPr>
          <w:lang w:val="lt-LT"/>
        </w:rPr>
        <w:t>, o kitas tyrimas buvo kontroliuotas placebu). Iš viso 130 pacientams atsitik</w:t>
      </w:r>
      <w:r w:rsidR="00856BF6" w:rsidRPr="00612370">
        <w:rPr>
          <w:lang w:val="lt-LT"/>
        </w:rPr>
        <w:t>tine tvarka buvo skirta arba 30 </w:t>
      </w:r>
      <w:r w:rsidRPr="00612370">
        <w:rPr>
          <w:lang w:val="lt-LT"/>
        </w:rPr>
        <w:t xml:space="preserve">mg ikatibanto (63 pacientams), arba </w:t>
      </w:r>
      <w:r w:rsidR="00856BF6" w:rsidRPr="00612370">
        <w:rPr>
          <w:lang w:val="lt-LT"/>
        </w:rPr>
        <w:t xml:space="preserve">palyginamojo </w:t>
      </w:r>
      <w:r w:rsidR="0060174D" w:rsidRPr="00612370">
        <w:rPr>
          <w:lang w:val="lt-LT"/>
        </w:rPr>
        <w:t xml:space="preserve">vaistinio </w:t>
      </w:r>
      <w:r w:rsidR="00856BF6" w:rsidRPr="00612370">
        <w:rPr>
          <w:lang w:val="lt-LT"/>
        </w:rPr>
        <w:t>preparato</w:t>
      </w:r>
      <w:r w:rsidRPr="00612370">
        <w:rPr>
          <w:lang w:val="lt-LT"/>
        </w:rPr>
        <w:t xml:space="preserve"> (t. y. traneksamo rūgšties 38 pacientams, arba placebo 29 pacientams). </w:t>
      </w:r>
      <w:r w:rsidR="003D6FBC" w:rsidRPr="00612370">
        <w:rPr>
          <w:lang w:val="lt-LT"/>
        </w:rPr>
        <w:t>Vėlesni</w:t>
      </w:r>
      <w:r w:rsidRPr="00612370">
        <w:rPr>
          <w:lang w:val="lt-LT"/>
        </w:rPr>
        <w:t xml:space="preserve"> PAE epizodai buvo gydomi atvirojo tyrimo tęsinio metu. Pacientai su gerklų angio</w:t>
      </w:r>
      <w:r w:rsidR="0060174D" w:rsidRPr="00612370">
        <w:rPr>
          <w:lang w:val="lt-LT"/>
        </w:rPr>
        <w:t>neur</w:t>
      </w:r>
      <w:r w:rsidR="00DC1A53" w:rsidRPr="00612370">
        <w:rPr>
          <w:lang w:val="lt-LT"/>
        </w:rPr>
        <w:t>o</w:t>
      </w:r>
      <w:r w:rsidR="0060174D" w:rsidRPr="00612370">
        <w:rPr>
          <w:lang w:val="lt-LT"/>
        </w:rPr>
        <w:t xml:space="preserve">zinės </w:t>
      </w:r>
      <w:r w:rsidRPr="00612370">
        <w:rPr>
          <w:lang w:val="lt-LT"/>
        </w:rPr>
        <w:t>edemos simptomais buvo gydomi ikatibantu atvirojo gydymo kursu. III fazės tyrimuose, pirminio veiksmingumo vertinimo kriterijus buvo laikas</w:t>
      </w:r>
      <w:r w:rsidR="00346387" w:rsidRPr="00612370">
        <w:rPr>
          <w:lang w:val="lt-LT"/>
        </w:rPr>
        <w:t xml:space="preserve"> iki</w:t>
      </w:r>
      <w:r w:rsidRPr="00612370">
        <w:rPr>
          <w:lang w:val="lt-LT"/>
        </w:rPr>
        <w:t xml:space="preserve"> simptom</w:t>
      </w:r>
      <w:r w:rsidR="00346387" w:rsidRPr="00612370">
        <w:rPr>
          <w:lang w:val="lt-LT"/>
        </w:rPr>
        <w:t>ų palengvėjimo pradžios</w:t>
      </w:r>
      <w:r w:rsidRPr="00612370">
        <w:rPr>
          <w:lang w:val="lt-LT"/>
        </w:rPr>
        <w:t xml:space="preserve"> – tai buvo nustatoma vizualine analogine skale (VAS). 3 lentelėje parodyti šių tyrimų veiksmingumo rezultatai. </w:t>
      </w:r>
    </w:p>
    <w:p w14:paraId="4D34E77C" w14:textId="77777777" w:rsidR="00856BF6" w:rsidRPr="00612370" w:rsidRDefault="00856BF6" w:rsidP="00F34163">
      <w:pPr>
        <w:rPr>
          <w:lang w:val="lt-LT"/>
        </w:rPr>
      </w:pPr>
    </w:p>
    <w:p w14:paraId="01A15026" w14:textId="77777777" w:rsidR="00856BF6" w:rsidRPr="00612370" w:rsidRDefault="00E01BF1" w:rsidP="00F34163">
      <w:pPr>
        <w:rPr>
          <w:lang w:val="lt-LT"/>
        </w:rPr>
      </w:pPr>
      <w:r w:rsidRPr="00612370">
        <w:rPr>
          <w:lang w:val="lt-LT"/>
        </w:rPr>
        <w:t xml:space="preserve">FAST-3 </w:t>
      </w:r>
      <w:r w:rsidR="00856BF6" w:rsidRPr="00612370">
        <w:rPr>
          <w:lang w:val="lt-LT"/>
        </w:rPr>
        <w:t>atsitiktinės atrankos</w:t>
      </w:r>
      <w:r w:rsidRPr="00612370">
        <w:rPr>
          <w:lang w:val="lt-LT"/>
        </w:rPr>
        <w:t xml:space="preserve">, placebu kontroliuojamame, paralelinių grupių tyrime dalyvavo 98 pacientai, kurių amžiaus mediana buvo 36 metai. Pacientai buvo </w:t>
      </w:r>
      <w:r w:rsidR="003D6FBC" w:rsidRPr="00612370">
        <w:rPr>
          <w:lang w:val="lt-LT"/>
        </w:rPr>
        <w:t>atsitiktinai atrinkti</w:t>
      </w:r>
      <w:r w:rsidRPr="00612370">
        <w:rPr>
          <w:lang w:val="lt-LT"/>
        </w:rPr>
        <w:t xml:space="preserve"> į </w:t>
      </w:r>
      <w:r w:rsidR="00856BF6" w:rsidRPr="00612370">
        <w:rPr>
          <w:lang w:val="lt-LT"/>
        </w:rPr>
        <w:t>tuos, kuriems buvo paskirtas 30 </w:t>
      </w:r>
      <w:r w:rsidRPr="00612370">
        <w:rPr>
          <w:lang w:val="lt-LT"/>
        </w:rPr>
        <w:t>mg ikatibant</w:t>
      </w:r>
      <w:r w:rsidR="00856BF6" w:rsidRPr="00612370">
        <w:rPr>
          <w:lang w:val="lt-LT"/>
        </w:rPr>
        <w:t>o dozė</w:t>
      </w:r>
      <w:r w:rsidRPr="00612370">
        <w:rPr>
          <w:lang w:val="lt-LT"/>
        </w:rPr>
        <w:t>, ir į tuos, kuriems buvo leidžiama</w:t>
      </w:r>
      <w:r w:rsidR="0060174D" w:rsidRPr="00612370">
        <w:rPr>
          <w:lang w:val="lt-LT"/>
        </w:rPr>
        <w:t>s</w:t>
      </w:r>
      <w:r w:rsidRPr="00612370">
        <w:rPr>
          <w:lang w:val="lt-LT"/>
        </w:rPr>
        <w:t xml:space="preserve"> </w:t>
      </w:r>
      <w:r w:rsidR="00856BF6" w:rsidRPr="00612370">
        <w:rPr>
          <w:lang w:val="lt-LT"/>
        </w:rPr>
        <w:t>placeb</w:t>
      </w:r>
      <w:r w:rsidR="0060174D" w:rsidRPr="00612370">
        <w:rPr>
          <w:lang w:val="lt-LT"/>
        </w:rPr>
        <w:t>as</w:t>
      </w:r>
      <w:r w:rsidR="00856BF6" w:rsidRPr="00612370">
        <w:rPr>
          <w:lang w:val="lt-LT"/>
        </w:rPr>
        <w:t xml:space="preserve"> </w:t>
      </w:r>
      <w:r w:rsidRPr="00612370">
        <w:rPr>
          <w:lang w:val="lt-LT"/>
        </w:rPr>
        <w:t>po</w:t>
      </w:r>
      <w:r w:rsidR="00856BF6" w:rsidRPr="00612370">
        <w:rPr>
          <w:lang w:val="lt-LT"/>
        </w:rPr>
        <w:t xml:space="preserve"> oda</w:t>
      </w:r>
      <w:r w:rsidRPr="00612370">
        <w:rPr>
          <w:lang w:val="lt-LT"/>
        </w:rPr>
        <w:t xml:space="preserve">. Į šį tyrimą įtraukti pacientai patyrė ūminius PAE priepuolius, pasireiškiančius androgenų, antifibrinolizinių </w:t>
      </w:r>
      <w:r w:rsidR="00856BF6" w:rsidRPr="00612370">
        <w:rPr>
          <w:lang w:val="lt-LT"/>
        </w:rPr>
        <w:t xml:space="preserve">vaistinių </w:t>
      </w:r>
      <w:r w:rsidRPr="00612370">
        <w:rPr>
          <w:lang w:val="lt-LT"/>
        </w:rPr>
        <w:t>preparatų arba komplemento (Cl) inhibitorių vartojimo metu. Pagrindinis vertinimo kriterijus buvo laikas</w:t>
      </w:r>
      <w:r w:rsidR="00346387" w:rsidRPr="00612370">
        <w:rPr>
          <w:lang w:val="lt-LT"/>
        </w:rPr>
        <w:t xml:space="preserve"> iki</w:t>
      </w:r>
      <w:r w:rsidR="00DC1A53" w:rsidRPr="00612370">
        <w:rPr>
          <w:lang w:val="lt-LT"/>
        </w:rPr>
        <w:t xml:space="preserve"> </w:t>
      </w:r>
      <w:r w:rsidRPr="00612370">
        <w:rPr>
          <w:lang w:val="lt-LT"/>
        </w:rPr>
        <w:t>simptom</w:t>
      </w:r>
      <w:r w:rsidR="00346387" w:rsidRPr="00612370">
        <w:rPr>
          <w:lang w:val="lt-LT"/>
        </w:rPr>
        <w:t>ų</w:t>
      </w:r>
      <w:r w:rsidRPr="00612370">
        <w:rPr>
          <w:lang w:val="lt-LT"/>
        </w:rPr>
        <w:t xml:space="preserve"> </w:t>
      </w:r>
      <w:r w:rsidR="00346387" w:rsidRPr="00612370">
        <w:rPr>
          <w:lang w:val="lt-LT"/>
        </w:rPr>
        <w:t xml:space="preserve">palengvėjimo pradžios </w:t>
      </w:r>
      <w:r w:rsidRPr="00612370">
        <w:rPr>
          <w:lang w:val="lt-LT"/>
        </w:rPr>
        <w:t xml:space="preserve">– tai buvo nustatoma triguba vizualine analogine skale (VAS-3), individualiai įvertinant odos patinimą ir skausmą bei pilvo skausmą. 4 lentelėje parodyti FAST-3 tyrimo veiksmingumo rezultatai. </w:t>
      </w:r>
    </w:p>
    <w:p w14:paraId="248C7BF3" w14:textId="77777777" w:rsidR="00856BF6" w:rsidRPr="00612370" w:rsidRDefault="00856BF6" w:rsidP="00F34163">
      <w:pPr>
        <w:rPr>
          <w:lang w:val="lt-LT"/>
        </w:rPr>
      </w:pPr>
    </w:p>
    <w:p w14:paraId="3C7BF152" w14:textId="77777777" w:rsidR="00D6550C" w:rsidRPr="00612370" w:rsidRDefault="00E01BF1" w:rsidP="00F34163">
      <w:pPr>
        <w:rPr>
          <w:lang w:val="lt-LT"/>
        </w:rPr>
      </w:pPr>
      <w:r w:rsidRPr="00612370">
        <w:rPr>
          <w:lang w:val="lt-LT"/>
        </w:rPr>
        <w:t>Šių tyrimų metu pacientams, kuriems buvo skiriamas ikatibantas, simptomai palengvėdavo greiči</w:t>
      </w:r>
      <w:r w:rsidR="00D6550C" w:rsidRPr="00612370">
        <w:rPr>
          <w:lang w:val="lt-LT"/>
        </w:rPr>
        <w:t>au (atitinkamai per 2, 2,5 ir 2 </w:t>
      </w:r>
      <w:r w:rsidRPr="00612370">
        <w:rPr>
          <w:lang w:val="lt-LT"/>
        </w:rPr>
        <w:t xml:space="preserve">val.), </w:t>
      </w:r>
      <w:r w:rsidR="00D6550C" w:rsidRPr="00612370">
        <w:rPr>
          <w:lang w:val="lt-LT"/>
        </w:rPr>
        <w:t>pa</w:t>
      </w:r>
      <w:r w:rsidRPr="00612370">
        <w:rPr>
          <w:lang w:val="lt-LT"/>
        </w:rPr>
        <w:t>lygin</w:t>
      </w:r>
      <w:r w:rsidR="00D6550C" w:rsidRPr="00612370">
        <w:rPr>
          <w:lang w:val="lt-LT"/>
        </w:rPr>
        <w:t xml:space="preserve">ti </w:t>
      </w:r>
      <w:r w:rsidRPr="00612370">
        <w:rPr>
          <w:lang w:val="lt-LT"/>
        </w:rPr>
        <w:t>su pacientais, kuriems buvo skiriama traneksamo rūgštis (per 12,0</w:t>
      </w:r>
      <w:r w:rsidR="00D6550C" w:rsidRPr="00612370">
        <w:rPr>
          <w:lang w:val="lt-LT"/>
        </w:rPr>
        <w:t> </w:t>
      </w:r>
      <w:r w:rsidRPr="00612370">
        <w:rPr>
          <w:lang w:val="lt-LT"/>
        </w:rPr>
        <w:t>val</w:t>
      </w:r>
      <w:r w:rsidR="00D6550C" w:rsidRPr="00612370">
        <w:rPr>
          <w:lang w:val="lt-LT"/>
        </w:rPr>
        <w:t>.) ir placebas (per 4,6 ir 19,8 </w:t>
      </w:r>
      <w:r w:rsidRPr="00612370">
        <w:rPr>
          <w:lang w:val="lt-LT"/>
        </w:rPr>
        <w:t xml:space="preserve">val.). Gydomąjį ikatibanto poveikį patvirtino antriniai veiksmingumo vertinimo kriterijai. </w:t>
      </w:r>
    </w:p>
    <w:p w14:paraId="79E5A62C" w14:textId="77777777" w:rsidR="00D6550C" w:rsidRPr="00612370" w:rsidRDefault="00D6550C" w:rsidP="00F34163">
      <w:pPr>
        <w:rPr>
          <w:lang w:val="lt-LT"/>
        </w:rPr>
      </w:pPr>
    </w:p>
    <w:p w14:paraId="7A24E429" w14:textId="77777777" w:rsidR="00D6550C" w:rsidRPr="00612370" w:rsidRDefault="00E01BF1" w:rsidP="00F34163">
      <w:pPr>
        <w:rPr>
          <w:lang w:val="lt-LT"/>
        </w:rPr>
      </w:pPr>
      <w:r w:rsidRPr="00612370">
        <w:rPr>
          <w:lang w:val="lt-LT"/>
        </w:rPr>
        <w:t>Šių kontroliuo</w:t>
      </w:r>
      <w:r w:rsidR="00D6550C" w:rsidRPr="00612370">
        <w:rPr>
          <w:lang w:val="lt-LT"/>
        </w:rPr>
        <w:t xml:space="preserve">jamų </w:t>
      </w:r>
      <w:r w:rsidRPr="00612370">
        <w:rPr>
          <w:lang w:val="lt-LT"/>
        </w:rPr>
        <w:t xml:space="preserve"> III fazės tyrimų integruota analizė parodė, kad </w:t>
      </w:r>
      <w:r w:rsidR="00D6550C" w:rsidRPr="00612370">
        <w:rPr>
          <w:lang w:val="lt-LT"/>
        </w:rPr>
        <w:t>laikas iki simptomų palengvėjimo ir laikas iki pirminių simptomų pal</w:t>
      </w:r>
      <w:r w:rsidR="0060174D" w:rsidRPr="00612370">
        <w:rPr>
          <w:lang w:val="lt-LT"/>
        </w:rPr>
        <w:t>e</w:t>
      </w:r>
      <w:r w:rsidR="00D6550C" w:rsidRPr="00612370">
        <w:rPr>
          <w:lang w:val="lt-LT"/>
        </w:rPr>
        <w:t xml:space="preserve">ngvėjimo buvo panašūs, </w:t>
      </w:r>
      <w:r w:rsidRPr="00612370">
        <w:rPr>
          <w:lang w:val="lt-LT"/>
        </w:rPr>
        <w:t>nepriklausomai nuo tiriamųjų amžiaus grupės, jų lyties, rasės, svorio arba nepriklausomai nuo to, ar pacientai tyrimo metu buvo vartoję androgenus ar antifibrinolizinius</w:t>
      </w:r>
      <w:r w:rsidR="00EF552A" w:rsidRPr="00612370">
        <w:rPr>
          <w:lang w:val="lt-LT"/>
        </w:rPr>
        <w:t xml:space="preserve"> vaistinius</w:t>
      </w:r>
      <w:r w:rsidRPr="00612370">
        <w:rPr>
          <w:lang w:val="lt-LT"/>
        </w:rPr>
        <w:t xml:space="preserve"> preparatus.</w:t>
      </w:r>
    </w:p>
    <w:p w14:paraId="7451F499" w14:textId="77777777" w:rsidR="00D6550C" w:rsidRPr="00612370" w:rsidRDefault="00D6550C" w:rsidP="00F34163">
      <w:pPr>
        <w:rPr>
          <w:lang w:val="lt-LT"/>
        </w:rPr>
      </w:pPr>
    </w:p>
    <w:p w14:paraId="07218D98" w14:textId="77777777" w:rsidR="00E01BF1" w:rsidRPr="00612370" w:rsidRDefault="00E01BF1" w:rsidP="00F34163">
      <w:pPr>
        <w:rPr>
          <w:lang w:val="lt-LT"/>
        </w:rPr>
      </w:pPr>
      <w:r w:rsidRPr="00612370">
        <w:rPr>
          <w:lang w:val="lt-LT"/>
        </w:rPr>
        <w:t>III fazės tyrimų metu buvo gautas nuoseklus atsakas į gydymą ir kartotinių priepuolių at</w:t>
      </w:r>
      <w:r w:rsidR="00D6550C" w:rsidRPr="00612370">
        <w:rPr>
          <w:lang w:val="lt-LT"/>
        </w:rPr>
        <w:t>vejais</w:t>
      </w:r>
      <w:r w:rsidRPr="00612370">
        <w:rPr>
          <w:lang w:val="lt-LT"/>
        </w:rPr>
        <w:t>. 237 tyrime dalyvavusie</w:t>
      </w:r>
      <w:r w:rsidR="00D6550C" w:rsidRPr="00612370">
        <w:rPr>
          <w:lang w:val="lt-LT"/>
        </w:rPr>
        <w:t>ms pacientams buvo paskirtos 30 </w:t>
      </w:r>
      <w:r w:rsidRPr="00612370">
        <w:rPr>
          <w:lang w:val="lt-LT"/>
        </w:rPr>
        <w:t xml:space="preserve">mg ikatibanto 1 386 dozės, skirtos gydyti 1 278 PAE priepuolius. Pirmųjų 15 priepuolių (1 114 dozės, skirtos 1 030 priepuolių gydyti) laiko, kada simptomai </w:t>
      </w:r>
      <w:r w:rsidR="00D6550C" w:rsidRPr="00612370">
        <w:rPr>
          <w:lang w:val="lt-LT"/>
        </w:rPr>
        <w:t>pradėjo</w:t>
      </w:r>
      <w:r w:rsidRPr="00612370">
        <w:rPr>
          <w:lang w:val="lt-LT"/>
        </w:rPr>
        <w:t xml:space="preserve"> ny</w:t>
      </w:r>
      <w:r w:rsidR="00D6550C" w:rsidRPr="00612370">
        <w:rPr>
          <w:lang w:val="lt-LT"/>
        </w:rPr>
        <w:t>kti, mediana buvo panaši (2–2,5 </w:t>
      </w:r>
      <w:r w:rsidRPr="00612370">
        <w:rPr>
          <w:lang w:val="lt-LT"/>
        </w:rPr>
        <w:t xml:space="preserve">val.) .92,4% šių PAE priepuolių buvo pagydyti vienkartine </w:t>
      </w:r>
      <w:r w:rsidR="00D6550C" w:rsidRPr="00612370">
        <w:rPr>
          <w:lang w:val="lt-LT"/>
        </w:rPr>
        <w:t>ikatibanto</w:t>
      </w:r>
      <w:r w:rsidRPr="00612370">
        <w:rPr>
          <w:lang w:val="lt-LT"/>
        </w:rPr>
        <w:t xml:space="preserve"> doze</w:t>
      </w:r>
      <w:r w:rsidR="003D6FBC" w:rsidRPr="00612370">
        <w:rPr>
          <w:lang w:val="lt-LT"/>
        </w:rPr>
        <w:t>.</w:t>
      </w:r>
    </w:p>
    <w:p w14:paraId="2D41A503" w14:textId="77777777" w:rsidR="00E01BF1" w:rsidRPr="00612370" w:rsidRDefault="00E01BF1" w:rsidP="00F34163">
      <w:pPr>
        <w:rPr>
          <w:lang w:val="lt-LT"/>
        </w:rPr>
      </w:pPr>
    </w:p>
    <w:p w14:paraId="4A641EAF" w14:textId="77777777" w:rsidR="00E01BF1" w:rsidRPr="00612370" w:rsidRDefault="00E01BF1" w:rsidP="00E01BF1">
      <w:pPr>
        <w:spacing w:line="240" w:lineRule="auto"/>
        <w:rPr>
          <w:bCs/>
          <w:u w:val="single"/>
          <w:lang w:val="lt-LT"/>
        </w:rPr>
      </w:pPr>
      <w:r w:rsidRPr="00612370">
        <w:rPr>
          <w:bCs/>
          <w:u w:val="single"/>
          <w:lang w:val="lt-LT"/>
        </w:rPr>
        <w:t>3</w:t>
      </w:r>
      <w:r w:rsidR="00D6550C" w:rsidRPr="00612370">
        <w:rPr>
          <w:bCs/>
          <w:u w:val="single"/>
          <w:lang w:val="lt-LT"/>
        </w:rPr>
        <w:t xml:space="preserve"> lentelė</w:t>
      </w:r>
      <w:r w:rsidRPr="00612370">
        <w:rPr>
          <w:bCs/>
          <w:u w:val="single"/>
          <w:lang w:val="lt-LT"/>
        </w:rPr>
        <w:t xml:space="preserve">. </w:t>
      </w:r>
      <w:r w:rsidR="00D6550C" w:rsidRPr="00612370">
        <w:rPr>
          <w:bCs/>
          <w:u w:val="single"/>
          <w:lang w:val="lt-LT"/>
        </w:rPr>
        <w:t>FAST-1 ir FAST-2 tyrimų veiksmingumo rezultatai</w:t>
      </w:r>
    </w:p>
    <w:p w14:paraId="7DF9FB0F" w14:textId="77777777" w:rsidR="00E01BF1" w:rsidRPr="00612370" w:rsidRDefault="00E01BF1" w:rsidP="00E01BF1">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276"/>
        <w:gridCol w:w="1513"/>
        <w:gridCol w:w="1783"/>
        <w:gridCol w:w="1276"/>
        <w:gridCol w:w="1458"/>
      </w:tblGrid>
      <w:tr w:rsidR="00E01BF1" w:rsidRPr="005542E1" w14:paraId="6E5FBCB1" w14:textId="77777777" w:rsidTr="00040EEF">
        <w:trPr>
          <w:tblHeader/>
        </w:trPr>
        <w:tc>
          <w:tcPr>
            <w:tcW w:w="9333" w:type="dxa"/>
            <w:gridSpan w:val="6"/>
            <w:tcBorders>
              <w:top w:val="single" w:sz="4" w:space="0" w:color="auto"/>
              <w:left w:val="single" w:sz="4" w:space="0" w:color="auto"/>
              <w:bottom w:val="single" w:sz="4" w:space="0" w:color="auto"/>
              <w:right w:val="single" w:sz="4" w:space="0" w:color="auto"/>
            </w:tcBorders>
            <w:hideMark/>
          </w:tcPr>
          <w:p w14:paraId="7A216655" w14:textId="77777777" w:rsidR="00E01BF1" w:rsidRPr="00612370" w:rsidRDefault="00D6550C" w:rsidP="00D6550C">
            <w:pPr>
              <w:spacing w:line="240" w:lineRule="auto"/>
              <w:jc w:val="center"/>
              <w:rPr>
                <w:bCs/>
                <w:lang w:val="lt-LT"/>
              </w:rPr>
            </w:pPr>
            <w:r w:rsidRPr="00612370">
              <w:rPr>
                <w:bCs/>
                <w:lang w:val="lt-LT"/>
              </w:rPr>
              <w:t>Kontroliuojami klinikiniai Ikatibanto lyginimo su traneksamo rūgštimi / placebu tyrimai: veiksmingumo rezultatai</w:t>
            </w:r>
          </w:p>
        </w:tc>
      </w:tr>
      <w:tr w:rsidR="00E01BF1" w:rsidRPr="00612370" w14:paraId="2810BDD8" w14:textId="77777777" w:rsidTr="00040EEF">
        <w:trPr>
          <w:tblHeader/>
        </w:trPr>
        <w:tc>
          <w:tcPr>
            <w:tcW w:w="4649" w:type="dxa"/>
            <w:gridSpan w:val="3"/>
            <w:tcBorders>
              <w:top w:val="single" w:sz="4" w:space="0" w:color="auto"/>
              <w:left w:val="single" w:sz="4" w:space="0" w:color="auto"/>
              <w:bottom w:val="single" w:sz="4" w:space="0" w:color="auto"/>
              <w:right w:val="single" w:sz="4" w:space="0" w:color="auto"/>
            </w:tcBorders>
            <w:hideMark/>
          </w:tcPr>
          <w:p w14:paraId="69D6CF34" w14:textId="77777777" w:rsidR="00E01BF1" w:rsidRPr="00612370" w:rsidRDefault="00E01BF1">
            <w:pPr>
              <w:spacing w:line="240" w:lineRule="auto"/>
              <w:jc w:val="center"/>
              <w:rPr>
                <w:bCs/>
                <w:lang w:val="lt-LT"/>
              </w:rPr>
            </w:pPr>
            <w:r w:rsidRPr="00612370">
              <w:rPr>
                <w:bCs/>
                <w:lang w:val="lt-LT"/>
              </w:rPr>
              <w:t>FAST-2</w:t>
            </w:r>
          </w:p>
        </w:tc>
        <w:tc>
          <w:tcPr>
            <w:tcW w:w="4684" w:type="dxa"/>
            <w:gridSpan w:val="3"/>
            <w:tcBorders>
              <w:top w:val="single" w:sz="4" w:space="0" w:color="auto"/>
              <w:left w:val="single" w:sz="4" w:space="0" w:color="auto"/>
              <w:bottom w:val="single" w:sz="4" w:space="0" w:color="auto"/>
              <w:right w:val="single" w:sz="4" w:space="0" w:color="auto"/>
            </w:tcBorders>
            <w:hideMark/>
          </w:tcPr>
          <w:p w14:paraId="70D7F64C" w14:textId="77777777" w:rsidR="00E01BF1" w:rsidRPr="00612370" w:rsidRDefault="00E01BF1">
            <w:pPr>
              <w:spacing w:line="240" w:lineRule="auto"/>
              <w:jc w:val="center"/>
              <w:rPr>
                <w:bCs/>
                <w:lang w:val="lt-LT"/>
              </w:rPr>
            </w:pPr>
            <w:r w:rsidRPr="00612370">
              <w:rPr>
                <w:bCs/>
                <w:lang w:val="lt-LT"/>
              </w:rPr>
              <w:t>FAST-1</w:t>
            </w:r>
          </w:p>
        </w:tc>
      </w:tr>
      <w:tr w:rsidR="00E01BF1" w:rsidRPr="00612370" w14:paraId="7656470D" w14:textId="77777777" w:rsidTr="00040EEF">
        <w:trPr>
          <w:tblHeader/>
        </w:trPr>
        <w:tc>
          <w:tcPr>
            <w:tcW w:w="1809" w:type="dxa"/>
            <w:tcBorders>
              <w:top w:val="single" w:sz="4" w:space="0" w:color="auto"/>
              <w:left w:val="single" w:sz="4" w:space="0" w:color="auto"/>
              <w:bottom w:val="single" w:sz="4" w:space="0" w:color="auto"/>
              <w:right w:val="single" w:sz="4" w:space="0" w:color="auto"/>
            </w:tcBorders>
          </w:tcPr>
          <w:p w14:paraId="254FC13E" w14:textId="77777777" w:rsidR="00E01BF1" w:rsidRPr="00612370" w:rsidRDefault="00E01BF1">
            <w:pPr>
              <w:spacing w:line="240" w:lineRule="auto"/>
              <w:rPr>
                <w:bCs/>
                <w:lang w:val="lt-LT"/>
              </w:rPr>
            </w:pPr>
          </w:p>
        </w:tc>
        <w:tc>
          <w:tcPr>
            <w:tcW w:w="1292" w:type="dxa"/>
            <w:tcBorders>
              <w:top w:val="single" w:sz="4" w:space="0" w:color="auto"/>
              <w:left w:val="single" w:sz="4" w:space="0" w:color="auto"/>
              <w:bottom w:val="single" w:sz="4" w:space="0" w:color="auto"/>
              <w:right w:val="single" w:sz="4" w:space="0" w:color="auto"/>
            </w:tcBorders>
            <w:hideMark/>
          </w:tcPr>
          <w:p w14:paraId="7FB51CB8" w14:textId="77777777" w:rsidR="00E01BF1" w:rsidRPr="00612370" w:rsidRDefault="00D6550C" w:rsidP="00040EEF">
            <w:pPr>
              <w:spacing w:line="240" w:lineRule="auto"/>
              <w:jc w:val="center"/>
              <w:rPr>
                <w:bCs/>
                <w:lang w:val="lt-LT"/>
              </w:rPr>
            </w:pPr>
            <w:r w:rsidRPr="00612370">
              <w:rPr>
                <w:bCs/>
                <w:lang w:val="lt-LT"/>
              </w:rPr>
              <w:t>Ik</w:t>
            </w:r>
            <w:r w:rsidR="00E01BF1" w:rsidRPr="00612370">
              <w:rPr>
                <w:bCs/>
                <w:lang w:val="lt-LT"/>
              </w:rPr>
              <w:t>atibant</w:t>
            </w:r>
            <w:r w:rsidRPr="00612370">
              <w:rPr>
                <w:bCs/>
                <w:lang w:val="lt-LT"/>
              </w:rPr>
              <w:t>as</w:t>
            </w:r>
          </w:p>
        </w:tc>
        <w:tc>
          <w:tcPr>
            <w:tcW w:w="1548" w:type="dxa"/>
            <w:tcBorders>
              <w:top w:val="single" w:sz="4" w:space="0" w:color="auto"/>
              <w:left w:val="single" w:sz="4" w:space="0" w:color="auto"/>
              <w:bottom w:val="single" w:sz="4" w:space="0" w:color="auto"/>
              <w:right w:val="single" w:sz="4" w:space="0" w:color="auto"/>
            </w:tcBorders>
            <w:hideMark/>
          </w:tcPr>
          <w:p w14:paraId="621BBDB2" w14:textId="77777777" w:rsidR="00E01BF1" w:rsidRPr="00612370" w:rsidRDefault="00E01BF1" w:rsidP="00040EEF">
            <w:pPr>
              <w:spacing w:line="240" w:lineRule="auto"/>
              <w:jc w:val="center"/>
              <w:rPr>
                <w:bCs/>
                <w:lang w:val="lt-LT"/>
              </w:rPr>
            </w:pPr>
            <w:r w:rsidRPr="00612370">
              <w:rPr>
                <w:bCs/>
                <w:lang w:val="lt-LT"/>
              </w:rPr>
              <w:t>Trane</w:t>
            </w:r>
            <w:r w:rsidR="00D6550C" w:rsidRPr="00612370">
              <w:rPr>
                <w:bCs/>
                <w:lang w:val="lt-LT"/>
              </w:rPr>
              <w:t>ks</w:t>
            </w:r>
            <w:r w:rsidRPr="00612370">
              <w:rPr>
                <w:bCs/>
                <w:lang w:val="lt-LT"/>
              </w:rPr>
              <w:t>am</w:t>
            </w:r>
            <w:r w:rsidR="00040EEF" w:rsidRPr="00612370">
              <w:rPr>
                <w:bCs/>
                <w:lang w:val="lt-LT"/>
              </w:rPr>
              <w:t xml:space="preserve">o </w:t>
            </w:r>
            <w:r w:rsidR="00D6550C" w:rsidRPr="00612370">
              <w:rPr>
                <w:bCs/>
                <w:lang w:val="lt-LT"/>
              </w:rPr>
              <w:t>rūgštis</w:t>
            </w:r>
          </w:p>
        </w:tc>
        <w:tc>
          <w:tcPr>
            <w:tcW w:w="1844" w:type="dxa"/>
            <w:tcBorders>
              <w:top w:val="single" w:sz="4" w:space="0" w:color="auto"/>
              <w:left w:val="single" w:sz="4" w:space="0" w:color="auto"/>
              <w:bottom w:val="single" w:sz="4" w:space="0" w:color="auto"/>
              <w:right w:val="single" w:sz="4" w:space="0" w:color="auto"/>
            </w:tcBorders>
          </w:tcPr>
          <w:p w14:paraId="5D49436F" w14:textId="77777777" w:rsidR="00E01BF1" w:rsidRPr="00612370" w:rsidRDefault="00E01BF1">
            <w:pPr>
              <w:spacing w:line="240" w:lineRule="auto"/>
              <w:rPr>
                <w:bCs/>
                <w:lang w:val="lt-LT"/>
              </w:rPr>
            </w:pPr>
          </w:p>
        </w:tc>
        <w:tc>
          <w:tcPr>
            <w:tcW w:w="1292" w:type="dxa"/>
            <w:tcBorders>
              <w:top w:val="single" w:sz="4" w:space="0" w:color="auto"/>
              <w:left w:val="single" w:sz="4" w:space="0" w:color="auto"/>
              <w:bottom w:val="single" w:sz="4" w:space="0" w:color="auto"/>
              <w:right w:val="single" w:sz="4" w:space="0" w:color="auto"/>
            </w:tcBorders>
            <w:hideMark/>
          </w:tcPr>
          <w:p w14:paraId="5EACD722" w14:textId="77777777" w:rsidR="00E01BF1" w:rsidRPr="00612370" w:rsidRDefault="00D6550C" w:rsidP="00040EEF">
            <w:pPr>
              <w:spacing w:line="240" w:lineRule="auto"/>
              <w:jc w:val="center"/>
              <w:rPr>
                <w:bCs/>
                <w:lang w:val="lt-LT"/>
              </w:rPr>
            </w:pPr>
            <w:r w:rsidRPr="00612370">
              <w:rPr>
                <w:bCs/>
                <w:lang w:val="lt-LT"/>
              </w:rPr>
              <w:t>Ik</w:t>
            </w:r>
            <w:r w:rsidR="00E01BF1" w:rsidRPr="00612370">
              <w:rPr>
                <w:bCs/>
                <w:lang w:val="lt-LT"/>
              </w:rPr>
              <w:t>atibant</w:t>
            </w:r>
            <w:r w:rsidRPr="00612370">
              <w:rPr>
                <w:bCs/>
                <w:lang w:val="lt-LT"/>
              </w:rPr>
              <w:t>as</w:t>
            </w:r>
          </w:p>
        </w:tc>
        <w:tc>
          <w:tcPr>
            <w:tcW w:w="1548" w:type="dxa"/>
            <w:tcBorders>
              <w:top w:val="single" w:sz="4" w:space="0" w:color="auto"/>
              <w:left w:val="single" w:sz="4" w:space="0" w:color="auto"/>
              <w:bottom w:val="single" w:sz="4" w:space="0" w:color="auto"/>
              <w:right w:val="single" w:sz="4" w:space="0" w:color="auto"/>
            </w:tcBorders>
            <w:hideMark/>
          </w:tcPr>
          <w:p w14:paraId="27C61D14" w14:textId="77777777" w:rsidR="00E01BF1" w:rsidRPr="00612370" w:rsidRDefault="00E01BF1" w:rsidP="00040EEF">
            <w:pPr>
              <w:spacing w:line="240" w:lineRule="auto"/>
              <w:jc w:val="center"/>
              <w:rPr>
                <w:bCs/>
                <w:lang w:val="lt-LT"/>
              </w:rPr>
            </w:pPr>
            <w:r w:rsidRPr="00612370">
              <w:rPr>
                <w:bCs/>
                <w:lang w:val="lt-LT"/>
              </w:rPr>
              <w:t>Placebo</w:t>
            </w:r>
          </w:p>
        </w:tc>
      </w:tr>
      <w:tr w:rsidR="00E01BF1" w:rsidRPr="00612370" w14:paraId="071DB808"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66F0C62A" w14:textId="77777777" w:rsidR="00E01BF1" w:rsidRPr="00612370" w:rsidRDefault="00040EEF" w:rsidP="003D6FBC">
            <w:pPr>
              <w:spacing w:line="240" w:lineRule="auto"/>
              <w:rPr>
                <w:lang w:val="lt-LT"/>
              </w:rPr>
            </w:pPr>
            <w:r w:rsidRPr="00612370">
              <w:rPr>
                <w:lang w:val="lt-LT"/>
              </w:rPr>
              <w:t>Numatytų gydyti a</w:t>
            </w:r>
            <w:r w:rsidR="006B57CB" w:rsidRPr="00612370">
              <w:rPr>
                <w:lang w:val="lt-LT"/>
              </w:rPr>
              <w:t xml:space="preserve">smenų </w:t>
            </w:r>
            <w:r w:rsidR="003D6FBC" w:rsidRPr="00612370">
              <w:rPr>
                <w:lang w:val="lt-LT"/>
              </w:rPr>
              <w:t xml:space="preserve">populiacijos </w:t>
            </w:r>
            <w:r w:rsidR="006B57CB" w:rsidRPr="00612370">
              <w:rPr>
                <w:lang w:val="lt-LT"/>
              </w:rPr>
              <w:t xml:space="preserve">skaičius </w:t>
            </w:r>
            <w:r w:rsidRPr="00612370">
              <w:rPr>
                <w:lang w:val="lt-LT"/>
              </w:rPr>
              <w:t>(</w:t>
            </w:r>
            <w:r w:rsidRPr="00612370">
              <w:rPr>
                <w:i/>
                <w:lang w:val="lt-LT"/>
              </w:rPr>
              <w:t xml:space="preserve">angl. </w:t>
            </w:r>
            <w:r w:rsidR="006B57CB" w:rsidRPr="00612370">
              <w:rPr>
                <w:i/>
                <w:lang w:val="lt-LT"/>
              </w:rPr>
              <w:t>ITT</w:t>
            </w:r>
            <w:r w:rsidRPr="00612370">
              <w:rPr>
                <w:lang w:val="lt-LT"/>
              </w:rPr>
              <w:t>)</w:t>
            </w:r>
            <w:r w:rsidR="006B57CB" w:rsidRPr="00612370">
              <w:rPr>
                <w:lang w:val="lt-LT"/>
              </w:rPr>
              <w:t xml:space="preserve"> </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DEF309E" w14:textId="77777777" w:rsidR="00E01BF1" w:rsidRPr="00612370" w:rsidRDefault="00E01BF1">
            <w:pPr>
              <w:spacing w:line="240" w:lineRule="auto"/>
              <w:jc w:val="center"/>
              <w:rPr>
                <w:lang w:val="lt-LT"/>
              </w:rPr>
            </w:pPr>
            <w:r w:rsidRPr="00612370">
              <w:rPr>
                <w:lang w:val="lt-LT"/>
              </w:rPr>
              <w:t>36</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C2904CD" w14:textId="77777777" w:rsidR="00E01BF1" w:rsidRPr="00612370" w:rsidRDefault="00E01BF1">
            <w:pPr>
              <w:spacing w:line="240" w:lineRule="auto"/>
              <w:jc w:val="center"/>
              <w:rPr>
                <w:lang w:val="lt-LT"/>
              </w:rPr>
            </w:pPr>
            <w:r w:rsidRPr="00612370">
              <w:rPr>
                <w:lang w:val="lt-LT"/>
              </w:rPr>
              <w:t>38</w:t>
            </w:r>
          </w:p>
        </w:tc>
        <w:tc>
          <w:tcPr>
            <w:tcW w:w="1844" w:type="dxa"/>
            <w:tcBorders>
              <w:top w:val="single" w:sz="4" w:space="0" w:color="auto"/>
              <w:left w:val="single" w:sz="4" w:space="0" w:color="auto"/>
              <w:bottom w:val="single" w:sz="4" w:space="0" w:color="auto"/>
              <w:right w:val="single" w:sz="4" w:space="0" w:color="auto"/>
            </w:tcBorders>
            <w:hideMark/>
          </w:tcPr>
          <w:p w14:paraId="6CA9F96C" w14:textId="77777777" w:rsidR="00E01BF1" w:rsidRPr="00612370" w:rsidRDefault="00040EEF" w:rsidP="003D6FBC">
            <w:pPr>
              <w:tabs>
                <w:tab w:val="left" w:pos="1567"/>
              </w:tabs>
              <w:spacing w:line="240" w:lineRule="auto"/>
              <w:rPr>
                <w:lang w:val="lt-LT"/>
              </w:rPr>
            </w:pPr>
            <w:r w:rsidRPr="00612370">
              <w:rPr>
                <w:lang w:val="lt-LT"/>
              </w:rPr>
              <w:t xml:space="preserve">Numatytų gydyti asmenų </w:t>
            </w:r>
            <w:r w:rsidR="003D6FBC" w:rsidRPr="00612370">
              <w:rPr>
                <w:lang w:val="lt-LT"/>
              </w:rPr>
              <w:t xml:space="preserve">populiacijos </w:t>
            </w:r>
            <w:r w:rsidRPr="00612370">
              <w:rPr>
                <w:lang w:val="lt-LT"/>
              </w:rPr>
              <w:t>skaičius (</w:t>
            </w:r>
            <w:r w:rsidRPr="00612370">
              <w:rPr>
                <w:i/>
                <w:lang w:val="lt-LT"/>
              </w:rPr>
              <w:t>angl. ITT</w:t>
            </w:r>
            <w:r w:rsidRPr="00612370">
              <w:rPr>
                <w:lang w:val="lt-LT"/>
              </w:rPr>
              <w:t xml:space="preserve">) </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FD292FA" w14:textId="77777777" w:rsidR="00E01BF1" w:rsidRPr="00612370" w:rsidRDefault="00E01BF1">
            <w:pPr>
              <w:spacing w:line="240" w:lineRule="auto"/>
              <w:jc w:val="center"/>
              <w:rPr>
                <w:lang w:val="lt-LT"/>
              </w:rPr>
            </w:pPr>
            <w:r w:rsidRPr="00612370">
              <w:rPr>
                <w:lang w:val="lt-LT"/>
              </w:rPr>
              <w:t>27</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C5D6CA4" w14:textId="77777777" w:rsidR="00E01BF1" w:rsidRPr="00612370" w:rsidRDefault="00E01BF1">
            <w:pPr>
              <w:spacing w:line="240" w:lineRule="auto"/>
              <w:jc w:val="center"/>
              <w:rPr>
                <w:lang w:val="lt-LT"/>
              </w:rPr>
            </w:pPr>
            <w:r w:rsidRPr="00612370">
              <w:rPr>
                <w:lang w:val="lt-LT"/>
              </w:rPr>
              <w:t>29</w:t>
            </w:r>
          </w:p>
        </w:tc>
      </w:tr>
      <w:tr w:rsidR="00040EEF" w:rsidRPr="004453A7" w14:paraId="1C17D031"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1A29C654" w14:textId="77777777" w:rsidR="00040EEF" w:rsidRPr="00612370" w:rsidRDefault="00040EEF" w:rsidP="00040EEF">
            <w:pPr>
              <w:spacing w:line="240" w:lineRule="auto"/>
              <w:rPr>
                <w:lang w:val="lt-LT"/>
              </w:rPr>
            </w:pPr>
            <w:r w:rsidRPr="00612370">
              <w:rPr>
                <w:lang w:val="lt-LT"/>
              </w:rPr>
              <w:t>Išeities taškas VAS (mm)</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FAA3990" w14:textId="77777777" w:rsidR="00040EEF" w:rsidRPr="00612370" w:rsidRDefault="00040EEF" w:rsidP="00040EEF">
            <w:pPr>
              <w:spacing w:line="240" w:lineRule="auto"/>
              <w:jc w:val="center"/>
              <w:rPr>
                <w:lang w:val="lt-LT"/>
              </w:rPr>
            </w:pPr>
            <w:r w:rsidRPr="00612370">
              <w:rPr>
                <w:lang w:val="lt-LT"/>
              </w:rPr>
              <w:t>63,7</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06F3A3B" w14:textId="77777777" w:rsidR="00040EEF" w:rsidRPr="00612370" w:rsidRDefault="00040EEF" w:rsidP="00040EEF">
            <w:pPr>
              <w:spacing w:line="240" w:lineRule="auto"/>
              <w:jc w:val="center"/>
              <w:rPr>
                <w:lang w:val="lt-LT"/>
              </w:rPr>
            </w:pPr>
            <w:r w:rsidRPr="00612370">
              <w:rPr>
                <w:lang w:val="lt-LT"/>
              </w:rPr>
              <w:t>61,5</w:t>
            </w:r>
          </w:p>
        </w:tc>
        <w:tc>
          <w:tcPr>
            <w:tcW w:w="1844" w:type="dxa"/>
            <w:tcBorders>
              <w:top w:val="single" w:sz="4" w:space="0" w:color="auto"/>
              <w:left w:val="single" w:sz="4" w:space="0" w:color="auto"/>
              <w:bottom w:val="single" w:sz="4" w:space="0" w:color="auto"/>
              <w:right w:val="single" w:sz="4" w:space="0" w:color="auto"/>
            </w:tcBorders>
            <w:hideMark/>
          </w:tcPr>
          <w:p w14:paraId="5619B902" w14:textId="77777777" w:rsidR="00040EEF" w:rsidRPr="00612370" w:rsidRDefault="00040EEF" w:rsidP="00040EEF">
            <w:pPr>
              <w:spacing w:line="240" w:lineRule="auto"/>
              <w:rPr>
                <w:lang w:val="lt-LT"/>
              </w:rPr>
            </w:pPr>
            <w:r w:rsidRPr="00612370">
              <w:rPr>
                <w:lang w:val="lt-LT"/>
              </w:rPr>
              <w:t>Išeities taškas VAS (mm)</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3DB57D2" w14:textId="77777777" w:rsidR="00040EEF" w:rsidRPr="00612370" w:rsidRDefault="00040EEF" w:rsidP="00040EEF">
            <w:pPr>
              <w:spacing w:line="240" w:lineRule="auto"/>
              <w:jc w:val="center"/>
              <w:rPr>
                <w:lang w:val="lt-LT"/>
              </w:rPr>
            </w:pPr>
            <w:r w:rsidRPr="00612370">
              <w:rPr>
                <w:lang w:val="lt-LT"/>
              </w:rPr>
              <w:t>69,3</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0C4E1D1" w14:textId="77777777" w:rsidR="00040EEF" w:rsidRPr="004453A7" w:rsidRDefault="00040EEF" w:rsidP="00040EEF">
            <w:pPr>
              <w:spacing w:line="240" w:lineRule="auto"/>
              <w:jc w:val="center"/>
              <w:rPr>
                <w:lang w:val="lt-LT"/>
              </w:rPr>
            </w:pPr>
            <w:r w:rsidRPr="00612370">
              <w:rPr>
                <w:lang w:val="lt-LT"/>
              </w:rPr>
              <w:t>67,7</w:t>
            </w:r>
          </w:p>
        </w:tc>
      </w:tr>
      <w:tr w:rsidR="00040EEF" w:rsidRPr="004453A7" w14:paraId="0F46BC88"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589AA34B" w14:textId="77777777" w:rsidR="00040EEF" w:rsidRPr="004453A7" w:rsidRDefault="00040EEF" w:rsidP="00700818">
            <w:pPr>
              <w:spacing w:line="240" w:lineRule="auto"/>
              <w:rPr>
                <w:lang w:val="lt-LT"/>
              </w:rPr>
            </w:pPr>
            <w:r w:rsidRPr="009E1D6E">
              <w:rPr>
                <w:lang w:val="lt-LT"/>
              </w:rPr>
              <w:t>Pokytis nuo išeities taško iki 4</w:t>
            </w:r>
            <w:r w:rsidR="00700818" w:rsidRPr="009E1D6E">
              <w:rPr>
                <w:lang w:val="lt-LT"/>
              </w:rPr>
              <w:t> </w:t>
            </w:r>
            <w:r w:rsidRPr="009E1D6E">
              <w:rPr>
                <w:lang w:val="lt-LT"/>
              </w:rPr>
              <w:t>val</w:t>
            </w:r>
            <w:r w:rsidR="00700818" w:rsidRPr="009E1D6E">
              <w:rPr>
                <w:lang w:val="lt-LT"/>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F776221" w14:textId="77777777" w:rsidR="00040EEF" w:rsidRPr="004453A7" w:rsidRDefault="00040EEF" w:rsidP="00040EEF">
            <w:pPr>
              <w:spacing w:line="240" w:lineRule="auto"/>
              <w:jc w:val="center"/>
              <w:rPr>
                <w:lang w:val="lt-LT"/>
              </w:rPr>
            </w:pPr>
            <w:r w:rsidRPr="004453A7">
              <w:rPr>
                <w:lang w:val="lt-LT"/>
              </w:rPr>
              <w:t>-41,6</w:t>
            </w:r>
          </w:p>
        </w:tc>
        <w:tc>
          <w:tcPr>
            <w:tcW w:w="1548" w:type="dxa"/>
            <w:tcBorders>
              <w:top w:val="single" w:sz="4" w:space="0" w:color="auto"/>
              <w:left w:val="single" w:sz="4" w:space="0" w:color="auto"/>
              <w:bottom w:val="single" w:sz="4" w:space="0" w:color="auto"/>
              <w:right w:val="single" w:sz="4" w:space="0" w:color="auto"/>
            </w:tcBorders>
            <w:vAlign w:val="center"/>
            <w:hideMark/>
          </w:tcPr>
          <w:p w14:paraId="61FC611B" w14:textId="77777777" w:rsidR="00040EEF" w:rsidRPr="004453A7" w:rsidRDefault="00040EEF" w:rsidP="00040EEF">
            <w:pPr>
              <w:spacing w:line="240" w:lineRule="auto"/>
              <w:jc w:val="center"/>
              <w:rPr>
                <w:lang w:val="lt-LT"/>
              </w:rPr>
            </w:pPr>
            <w:r w:rsidRPr="004453A7">
              <w:rPr>
                <w:lang w:val="lt-LT"/>
              </w:rPr>
              <w:t>-14,6</w:t>
            </w:r>
          </w:p>
        </w:tc>
        <w:tc>
          <w:tcPr>
            <w:tcW w:w="1844" w:type="dxa"/>
            <w:tcBorders>
              <w:top w:val="single" w:sz="4" w:space="0" w:color="auto"/>
              <w:left w:val="single" w:sz="4" w:space="0" w:color="auto"/>
              <w:bottom w:val="single" w:sz="4" w:space="0" w:color="auto"/>
              <w:right w:val="single" w:sz="4" w:space="0" w:color="auto"/>
            </w:tcBorders>
            <w:hideMark/>
          </w:tcPr>
          <w:p w14:paraId="2A262FD6" w14:textId="77777777" w:rsidR="00040EEF" w:rsidRPr="004453A7" w:rsidRDefault="00040EEF" w:rsidP="00040EEF">
            <w:pPr>
              <w:spacing w:line="240" w:lineRule="auto"/>
              <w:rPr>
                <w:lang w:val="lt-LT"/>
              </w:rPr>
            </w:pPr>
            <w:r w:rsidRPr="004453A7">
              <w:rPr>
                <w:lang w:val="lt-LT"/>
              </w:rPr>
              <w:t>Pokytis nuo išeities taško iki 4 valandų</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605F538" w14:textId="77777777" w:rsidR="00040EEF" w:rsidRPr="004453A7" w:rsidRDefault="00040EEF" w:rsidP="00040EEF">
            <w:pPr>
              <w:spacing w:line="240" w:lineRule="auto"/>
              <w:jc w:val="center"/>
              <w:rPr>
                <w:lang w:val="lt-LT"/>
              </w:rPr>
            </w:pPr>
            <w:r w:rsidRPr="004453A7">
              <w:rPr>
                <w:lang w:val="lt-LT"/>
              </w:rPr>
              <w:t>-44,8</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D9D1BF7" w14:textId="77777777" w:rsidR="00040EEF" w:rsidRPr="004453A7" w:rsidRDefault="00040EEF" w:rsidP="00040EEF">
            <w:pPr>
              <w:spacing w:line="240" w:lineRule="auto"/>
              <w:jc w:val="center"/>
              <w:rPr>
                <w:lang w:val="lt-LT"/>
              </w:rPr>
            </w:pPr>
            <w:r w:rsidRPr="004453A7">
              <w:rPr>
                <w:lang w:val="lt-LT"/>
              </w:rPr>
              <w:t>-23,5</w:t>
            </w:r>
          </w:p>
        </w:tc>
      </w:tr>
      <w:tr w:rsidR="00040EEF" w:rsidRPr="004453A7" w14:paraId="02D69B3F"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27BB732B" w14:textId="77777777" w:rsidR="00040EEF" w:rsidRPr="004453A7" w:rsidRDefault="00040EEF" w:rsidP="00040EEF">
            <w:pPr>
              <w:spacing w:line="240" w:lineRule="auto"/>
              <w:rPr>
                <w:lang w:val="lt-LT"/>
              </w:rPr>
            </w:pPr>
            <w:r w:rsidRPr="004453A7">
              <w:rPr>
                <w:lang w:val="lt-LT"/>
              </w:rPr>
              <w:t>Skirtumas tarp gydymo būdų (95 % PI, p-reikšmė)</w:t>
            </w: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5D3DF037" w14:textId="77777777" w:rsidR="00040EEF" w:rsidRPr="004453A7" w:rsidRDefault="00040EEF" w:rsidP="00040EEF">
            <w:pPr>
              <w:spacing w:line="240" w:lineRule="auto"/>
              <w:jc w:val="center"/>
              <w:rPr>
                <w:lang w:val="lt-LT"/>
              </w:rPr>
            </w:pPr>
            <w:r w:rsidRPr="004453A7">
              <w:rPr>
                <w:lang w:val="lt-LT"/>
              </w:rPr>
              <w:t>-27,8 (-39,4</w:t>
            </w:r>
            <w:r w:rsidR="00700818" w:rsidRPr="004453A7">
              <w:rPr>
                <w:lang w:val="lt-LT"/>
              </w:rPr>
              <w:t>,</w:t>
            </w:r>
            <w:r w:rsidRPr="004453A7">
              <w:rPr>
                <w:lang w:val="lt-LT"/>
              </w:rPr>
              <w:t xml:space="preserve"> -16,2) p &lt; 0,001</w:t>
            </w:r>
          </w:p>
        </w:tc>
        <w:tc>
          <w:tcPr>
            <w:tcW w:w="1844" w:type="dxa"/>
            <w:tcBorders>
              <w:top w:val="single" w:sz="4" w:space="0" w:color="auto"/>
              <w:left w:val="single" w:sz="4" w:space="0" w:color="auto"/>
              <w:bottom w:val="single" w:sz="4" w:space="0" w:color="auto"/>
              <w:right w:val="single" w:sz="4" w:space="0" w:color="auto"/>
            </w:tcBorders>
            <w:hideMark/>
          </w:tcPr>
          <w:p w14:paraId="2C3565A4" w14:textId="77777777" w:rsidR="00040EEF" w:rsidRPr="004453A7" w:rsidRDefault="00700818" w:rsidP="00040EEF">
            <w:pPr>
              <w:spacing w:line="240" w:lineRule="auto"/>
              <w:rPr>
                <w:lang w:val="lt-LT"/>
              </w:rPr>
            </w:pPr>
            <w:r w:rsidRPr="004453A7">
              <w:rPr>
                <w:lang w:val="lt-LT"/>
              </w:rPr>
              <w:t>Skirtumas tarp gydymo būdų (95 % PI, p-reikšmė)</w:t>
            </w: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789217E" w14:textId="77777777" w:rsidR="00040EEF" w:rsidRPr="004453A7" w:rsidRDefault="00040EEF" w:rsidP="00700818">
            <w:pPr>
              <w:spacing w:line="240" w:lineRule="auto"/>
              <w:jc w:val="center"/>
              <w:rPr>
                <w:lang w:val="lt-LT"/>
              </w:rPr>
            </w:pPr>
            <w:r w:rsidRPr="004453A7">
              <w:rPr>
                <w:lang w:val="lt-LT"/>
              </w:rPr>
              <w:t>-23</w:t>
            </w:r>
            <w:r w:rsidR="00700818" w:rsidRPr="004453A7">
              <w:rPr>
                <w:lang w:val="lt-LT"/>
              </w:rPr>
              <w:t>,3 (-37,</w:t>
            </w:r>
            <w:r w:rsidRPr="004453A7">
              <w:rPr>
                <w:lang w:val="lt-LT"/>
              </w:rPr>
              <w:t>1, -9</w:t>
            </w:r>
            <w:r w:rsidR="00700818" w:rsidRPr="004453A7">
              <w:rPr>
                <w:lang w:val="lt-LT"/>
              </w:rPr>
              <w:t>,4</w:t>
            </w:r>
            <w:r w:rsidRPr="004453A7">
              <w:rPr>
                <w:lang w:val="lt-LT"/>
              </w:rPr>
              <w:t>) p = 0</w:t>
            </w:r>
            <w:r w:rsidR="00700818" w:rsidRPr="004453A7">
              <w:rPr>
                <w:lang w:val="lt-LT"/>
              </w:rPr>
              <w:t>,</w:t>
            </w:r>
            <w:r w:rsidRPr="004453A7">
              <w:rPr>
                <w:lang w:val="lt-LT"/>
              </w:rPr>
              <w:t>002</w:t>
            </w:r>
          </w:p>
        </w:tc>
      </w:tr>
      <w:tr w:rsidR="00040EEF" w:rsidRPr="004453A7" w14:paraId="4EE741B6" w14:textId="77777777" w:rsidTr="00040EEF">
        <w:tc>
          <w:tcPr>
            <w:tcW w:w="1809" w:type="dxa"/>
            <w:tcBorders>
              <w:top w:val="single" w:sz="4" w:space="0" w:color="auto"/>
              <w:left w:val="single" w:sz="4" w:space="0" w:color="auto"/>
              <w:bottom w:val="single" w:sz="4" w:space="0" w:color="auto"/>
              <w:right w:val="single" w:sz="4" w:space="0" w:color="auto"/>
            </w:tcBorders>
          </w:tcPr>
          <w:p w14:paraId="7E0E6366" w14:textId="77777777" w:rsidR="00040EEF" w:rsidRPr="004453A7" w:rsidRDefault="00040EEF" w:rsidP="00040EEF">
            <w:pPr>
              <w:spacing w:line="240" w:lineRule="auto"/>
              <w:rPr>
                <w:lang w:val="lt-LT"/>
              </w:rPr>
            </w:pPr>
            <w:r w:rsidRPr="009E1D6E">
              <w:rPr>
                <w:lang w:val="lt-LT"/>
              </w:rPr>
              <w:t>Pokytis nuo išeities taško iki 12</w:t>
            </w:r>
            <w:r w:rsidR="00700818" w:rsidRPr="009E1D6E">
              <w:rPr>
                <w:lang w:val="lt-LT"/>
              </w:rPr>
              <w:t> </w:t>
            </w:r>
            <w:r w:rsidRPr="009E1D6E">
              <w:rPr>
                <w:lang w:val="lt-LT"/>
              </w:rPr>
              <w:t xml:space="preserve"> val.</w:t>
            </w:r>
            <w:r w:rsidRPr="004453A7">
              <w:rPr>
                <w:lang w:val="lt-LT"/>
              </w:rPr>
              <w:t xml:space="preserve"> </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9084402" w14:textId="77777777" w:rsidR="00040EEF" w:rsidRPr="004453A7" w:rsidRDefault="00700818" w:rsidP="00040EEF">
            <w:pPr>
              <w:spacing w:line="240" w:lineRule="auto"/>
              <w:jc w:val="center"/>
              <w:rPr>
                <w:lang w:val="lt-LT"/>
              </w:rPr>
            </w:pPr>
            <w:r w:rsidRPr="004453A7">
              <w:rPr>
                <w:lang w:val="lt-LT"/>
              </w:rPr>
              <w:t>-54,</w:t>
            </w:r>
            <w:r w:rsidR="00040EEF" w:rsidRPr="004453A7">
              <w:rPr>
                <w:lang w:val="lt-LT"/>
              </w:rPr>
              <w:t>0</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D25C630" w14:textId="77777777" w:rsidR="00040EEF" w:rsidRPr="004453A7" w:rsidRDefault="00040EEF" w:rsidP="00040EEF">
            <w:pPr>
              <w:spacing w:line="240" w:lineRule="auto"/>
              <w:jc w:val="center"/>
              <w:rPr>
                <w:lang w:val="lt-LT"/>
              </w:rPr>
            </w:pPr>
            <w:r w:rsidRPr="004453A7">
              <w:rPr>
                <w:lang w:val="lt-LT"/>
              </w:rPr>
              <w:t>-30.3</w:t>
            </w:r>
          </w:p>
        </w:tc>
        <w:tc>
          <w:tcPr>
            <w:tcW w:w="1844" w:type="dxa"/>
            <w:tcBorders>
              <w:top w:val="single" w:sz="4" w:space="0" w:color="auto"/>
              <w:left w:val="single" w:sz="4" w:space="0" w:color="auto"/>
              <w:bottom w:val="single" w:sz="4" w:space="0" w:color="auto"/>
              <w:right w:val="single" w:sz="4" w:space="0" w:color="auto"/>
            </w:tcBorders>
            <w:hideMark/>
          </w:tcPr>
          <w:p w14:paraId="4D30E186" w14:textId="77777777" w:rsidR="00040EEF" w:rsidRPr="004453A7" w:rsidRDefault="00700818" w:rsidP="00040EEF">
            <w:pPr>
              <w:spacing w:line="240" w:lineRule="auto"/>
              <w:rPr>
                <w:lang w:val="lt-LT"/>
              </w:rPr>
            </w:pPr>
            <w:r w:rsidRPr="004453A7">
              <w:rPr>
                <w:lang w:val="lt-LT"/>
              </w:rPr>
              <w:t>Pokytis nuo išeities taško iki 12  val.</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748B376" w14:textId="77777777" w:rsidR="00040EEF" w:rsidRPr="004453A7" w:rsidRDefault="00700818" w:rsidP="00040EEF">
            <w:pPr>
              <w:spacing w:line="240" w:lineRule="auto"/>
              <w:jc w:val="center"/>
              <w:rPr>
                <w:lang w:val="lt-LT"/>
              </w:rPr>
            </w:pPr>
            <w:r w:rsidRPr="004453A7">
              <w:rPr>
                <w:lang w:val="lt-LT"/>
              </w:rPr>
              <w:t>-54,</w:t>
            </w:r>
            <w:r w:rsidR="00040EEF" w:rsidRPr="004453A7">
              <w:rPr>
                <w:lang w:val="lt-LT"/>
              </w:rPr>
              <w:t>2</w:t>
            </w:r>
          </w:p>
        </w:tc>
        <w:tc>
          <w:tcPr>
            <w:tcW w:w="1548" w:type="dxa"/>
            <w:tcBorders>
              <w:top w:val="single" w:sz="4" w:space="0" w:color="auto"/>
              <w:left w:val="single" w:sz="4" w:space="0" w:color="auto"/>
              <w:bottom w:val="single" w:sz="4" w:space="0" w:color="auto"/>
              <w:right w:val="single" w:sz="4" w:space="0" w:color="auto"/>
            </w:tcBorders>
            <w:vAlign w:val="center"/>
            <w:hideMark/>
          </w:tcPr>
          <w:p w14:paraId="6B199147" w14:textId="77777777" w:rsidR="00040EEF" w:rsidRPr="004453A7" w:rsidRDefault="00700818" w:rsidP="00040EEF">
            <w:pPr>
              <w:spacing w:line="240" w:lineRule="auto"/>
              <w:jc w:val="center"/>
              <w:rPr>
                <w:lang w:val="lt-LT"/>
              </w:rPr>
            </w:pPr>
            <w:r w:rsidRPr="004453A7">
              <w:rPr>
                <w:lang w:val="lt-LT"/>
              </w:rPr>
              <w:t>-42,</w:t>
            </w:r>
            <w:r w:rsidR="00040EEF" w:rsidRPr="004453A7">
              <w:rPr>
                <w:lang w:val="lt-LT"/>
              </w:rPr>
              <w:t>4</w:t>
            </w:r>
          </w:p>
        </w:tc>
      </w:tr>
      <w:tr w:rsidR="00040EEF" w:rsidRPr="004453A7" w14:paraId="6A72BB88"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18D0B2C5" w14:textId="77777777" w:rsidR="00040EEF" w:rsidRPr="004453A7" w:rsidRDefault="00040EEF" w:rsidP="00700818">
            <w:pPr>
              <w:spacing w:line="240" w:lineRule="auto"/>
              <w:rPr>
                <w:lang w:val="lt-LT"/>
              </w:rPr>
            </w:pPr>
            <w:r w:rsidRPr="004453A7">
              <w:rPr>
                <w:lang w:val="lt-LT"/>
              </w:rPr>
              <w:t>Skirtumas tarp gydymo būdų (95</w:t>
            </w:r>
            <w:r w:rsidR="00700818" w:rsidRPr="004453A7">
              <w:rPr>
                <w:lang w:val="lt-LT"/>
              </w:rPr>
              <w:t> % P</w:t>
            </w:r>
            <w:r w:rsidRPr="004453A7">
              <w:rPr>
                <w:lang w:val="lt-LT"/>
              </w:rPr>
              <w:t xml:space="preserve">I, p-reikšmė) </w:t>
            </w: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966E644" w14:textId="77777777" w:rsidR="00040EEF" w:rsidRPr="004453A7" w:rsidRDefault="00700818" w:rsidP="00700818">
            <w:pPr>
              <w:spacing w:line="240" w:lineRule="auto"/>
              <w:jc w:val="center"/>
              <w:rPr>
                <w:lang w:val="lt-LT"/>
              </w:rPr>
            </w:pPr>
            <w:r w:rsidRPr="004453A7">
              <w:rPr>
                <w:lang w:val="lt-LT"/>
              </w:rPr>
              <w:t>-24,1 (-33,</w:t>
            </w:r>
            <w:r w:rsidR="00040EEF" w:rsidRPr="004453A7">
              <w:rPr>
                <w:lang w:val="lt-LT"/>
              </w:rPr>
              <w:t>6</w:t>
            </w:r>
            <w:r w:rsidRPr="004453A7">
              <w:rPr>
                <w:lang w:val="lt-LT"/>
              </w:rPr>
              <w:t>, -14.6) p &lt; 0,</w:t>
            </w:r>
            <w:r w:rsidR="00040EEF" w:rsidRPr="004453A7">
              <w:rPr>
                <w:lang w:val="lt-LT"/>
              </w:rPr>
              <w:t>001</w:t>
            </w:r>
          </w:p>
        </w:tc>
        <w:tc>
          <w:tcPr>
            <w:tcW w:w="1844" w:type="dxa"/>
            <w:tcBorders>
              <w:top w:val="single" w:sz="4" w:space="0" w:color="auto"/>
              <w:left w:val="single" w:sz="4" w:space="0" w:color="auto"/>
              <w:bottom w:val="single" w:sz="4" w:space="0" w:color="auto"/>
              <w:right w:val="single" w:sz="4" w:space="0" w:color="auto"/>
            </w:tcBorders>
            <w:hideMark/>
          </w:tcPr>
          <w:p w14:paraId="1B9C891C" w14:textId="77777777" w:rsidR="00040EEF" w:rsidRPr="004453A7" w:rsidRDefault="0063254E" w:rsidP="00040EEF">
            <w:pPr>
              <w:spacing w:line="240" w:lineRule="auto"/>
              <w:rPr>
                <w:lang w:val="lt-LT"/>
              </w:rPr>
            </w:pPr>
            <w:r w:rsidRPr="004453A7">
              <w:rPr>
                <w:lang w:val="lt-LT"/>
              </w:rPr>
              <w:t>Skirtumas tarp gydymo būdų (95 % PI, p-reikšmė)</w:t>
            </w: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5F44B8CF" w14:textId="77777777" w:rsidR="00040EEF" w:rsidRPr="004453A7" w:rsidRDefault="00700818" w:rsidP="00700818">
            <w:pPr>
              <w:spacing w:line="240" w:lineRule="auto"/>
              <w:jc w:val="center"/>
              <w:rPr>
                <w:lang w:val="lt-LT"/>
              </w:rPr>
            </w:pPr>
            <w:r w:rsidRPr="004453A7">
              <w:rPr>
                <w:lang w:val="lt-LT"/>
              </w:rPr>
              <w:t>-15,</w:t>
            </w:r>
            <w:r w:rsidR="00040EEF" w:rsidRPr="004453A7">
              <w:rPr>
                <w:lang w:val="lt-LT"/>
              </w:rPr>
              <w:t>2 (-28</w:t>
            </w:r>
            <w:r w:rsidRPr="004453A7">
              <w:rPr>
                <w:lang w:val="lt-LT"/>
              </w:rPr>
              <w:t>,6, -1,7) p = 0,</w:t>
            </w:r>
            <w:r w:rsidR="00040EEF" w:rsidRPr="004453A7">
              <w:rPr>
                <w:lang w:val="lt-LT"/>
              </w:rPr>
              <w:t>028</w:t>
            </w:r>
          </w:p>
        </w:tc>
      </w:tr>
      <w:tr w:rsidR="00040EEF" w:rsidRPr="005542E1" w14:paraId="3281CE9D"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4E91448B" w14:textId="77777777" w:rsidR="00040EEF" w:rsidRPr="004453A7" w:rsidRDefault="009E1D6E" w:rsidP="003D6FBC">
            <w:pPr>
              <w:spacing w:line="240" w:lineRule="auto"/>
              <w:rPr>
                <w:lang w:val="lt-LT"/>
              </w:rPr>
            </w:pPr>
            <w:r>
              <w:rPr>
                <w:lang w:val="lt-LT"/>
              </w:rPr>
              <w:t>S</w:t>
            </w:r>
            <w:r w:rsidR="00040EEF" w:rsidRPr="009E1D6E">
              <w:rPr>
                <w:lang w:val="lt-LT"/>
              </w:rPr>
              <w:t xml:space="preserve">imptomų palengvėjimo pradžios </w:t>
            </w:r>
            <w:r>
              <w:rPr>
                <w:lang w:val="lt-LT"/>
              </w:rPr>
              <w:t xml:space="preserve">mediana </w:t>
            </w:r>
            <w:r w:rsidR="00040EEF" w:rsidRPr="009E1D6E">
              <w:rPr>
                <w:lang w:val="lt-LT"/>
              </w:rPr>
              <w:t>(val</w:t>
            </w:r>
            <w:r w:rsidR="003D6FBC" w:rsidRPr="009E1D6E">
              <w:rPr>
                <w:lang w:val="lt-LT"/>
              </w:rPr>
              <w:t>.</w:t>
            </w:r>
            <w:r w:rsidR="00040EEF" w:rsidRPr="009E1D6E">
              <w:rPr>
                <w:lang w:val="lt-LT"/>
              </w:rPr>
              <w:t>)</w:t>
            </w:r>
          </w:p>
        </w:tc>
        <w:tc>
          <w:tcPr>
            <w:tcW w:w="1292" w:type="dxa"/>
            <w:tcBorders>
              <w:top w:val="single" w:sz="4" w:space="0" w:color="auto"/>
              <w:left w:val="single" w:sz="4" w:space="0" w:color="auto"/>
              <w:bottom w:val="single" w:sz="4" w:space="0" w:color="auto"/>
              <w:right w:val="single" w:sz="4" w:space="0" w:color="auto"/>
            </w:tcBorders>
          </w:tcPr>
          <w:p w14:paraId="35FF772B" w14:textId="77777777" w:rsidR="00040EEF" w:rsidRPr="004453A7" w:rsidRDefault="00040EEF" w:rsidP="00040EEF">
            <w:pPr>
              <w:spacing w:line="240" w:lineRule="auto"/>
              <w:rPr>
                <w:lang w:val="lt-LT"/>
              </w:rPr>
            </w:pPr>
          </w:p>
        </w:tc>
        <w:tc>
          <w:tcPr>
            <w:tcW w:w="1548" w:type="dxa"/>
            <w:tcBorders>
              <w:top w:val="single" w:sz="4" w:space="0" w:color="auto"/>
              <w:left w:val="single" w:sz="4" w:space="0" w:color="auto"/>
              <w:bottom w:val="single" w:sz="4" w:space="0" w:color="auto"/>
              <w:right w:val="single" w:sz="4" w:space="0" w:color="auto"/>
            </w:tcBorders>
          </w:tcPr>
          <w:p w14:paraId="248B6AF7" w14:textId="77777777" w:rsidR="00040EEF" w:rsidRPr="004453A7" w:rsidRDefault="00040EEF" w:rsidP="00040EEF">
            <w:pPr>
              <w:spacing w:line="240" w:lineRule="auto"/>
              <w:rPr>
                <w:lang w:val="lt-LT"/>
              </w:rPr>
            </w:pPr>
          </w:p>
        </w:tc>
        <w:tc>
          <w:tcPr>
            <w:tcW w:w="1844" w:type="dxa"/>
            <w:tcBorders>
              <w:top w:val="single" w:sz="4" w:space="0" w:color="auto"/>
              <w:left w:val="single" w:sz="4" w:space="0" w:color="auto"/>
              <w:bottom w:val="single" w:sz="4" w:space="0" w:color="auto"/>
              <w:right w:val="single" w:sz="4" w:space="0" w:color="auto"/>
            </w:tcBorders>
            <w:hideMark/>
          </w:tcPr>
          <w:p w14:paraId="13933E01" w14:textId="77777777" w:rsidR="00040EEF" w:rsidRPr="004453A7" w:rsidRDefault="009E1D6E" w:rsidP="003D6FBC">
            <w:pPr>
              <w:spacing w:line="240" w:lineRule="auto"/>
              <w:rPr>
                <w:lang w:val="lt-LT"/>
              </w:rPr>
            </w:pPr>
            <w:r>
              <w:rPr>
                <w:lang w:val="lt-LT"/>
              </w:rPr>
              <w:t>S</w:t>
            </w:r>
            <w:r w:rsidR="00700818" w:rsidRPr="004453A7">
              <w:rPr>
                <w:lang w:val="lt-LT"/>
              </w:rPr>
              <w:t xml:space="preserve">imptomų palengvėjimo pradžios </w:t>
            </w:r>
            <w:r>
              <w:rPr>
                <w:lang w:val="lt-LT"/>
              </w:rPr>
              <w:t xml:space="preserve">mediana </w:t>
            </w:r>
            <w:r w:rsidR="00700818" w:rsidRPr="004453A7">
              <w:rPr>
                <w:lang w:val="lt-LT"/>
              </w:rPr>
              <w:t>(val</w:t>
            </w:r>
            <w:r w:rsidR="003D6FBC">
              <w:rPr>
                <w:lang w:val="lt-LT"/>
              </w:rPr>
              <w:t>.</w:t>
            </w:r>
            <w:r w:rsidR="00700818" w:rsidRPr="004453A7">
              <w:rPr>
                <w:lang w:val="lt-LT"/>
              </w:rPr>
              <w:t>)</w:t>
            </w:r>
          </w:p>
        </w:tc>
        <w:tc>
          <w:tcPr>
            <w:tcW w:w="1292" w:type="dxa"/>
            <w:tcBorders>
              <w:top w:val="single" w:sz="4" w:space="0" w:color="auto"/>
              <w:left w:val="single" w:sz="4" w:space="0" w:color="auto"/>
              <w:bottom w:val="single" w:sz="4" w:space="0" w:color="auto"/>
              <w:right w:val="single" w:sz="4" w:space="0" w:color="auto"/>
            </w:tcBorders>
          </w:tcPr>
          <w:p w14:paraId="12BE6FA7" w14:textId="77777777" w:rsidR="00040EEF" w:rsidRPr="004453A7" w:rsidRDefault="00040EEF" w:rsidP="00040EEF">
            <w:pPr>
              <w:spacing w:line="240" w:lineRule="auto"/>
              <w:rPr>
                <w:lang w:val="lt-LT"/>
              </w:rPr>
            </w:pPr>
          </w:p>
        </w:tc>
        <w:tc>
          <w:tcPr>
            <w:tcW w:w="1548" w:type="dxa"/>
            <w:tcBorders>
              <w:top w:val="single" w:sz="4" w:space="0" w:color="auto"/>
              <w:left w:val="single" w:sz="4" w:space="0" w:color="auto"/>
              <w:bottom w:val="single" w:sz="4" w:space="0" w:color="auto"/>
              <w:right w:val="single" w:sz="4" w:space="0" w:color="auto"/>
            </w:tcBorders>
          </w:tcPr>
          <w:p w14:paraId="2ECE117E" w14:textId="77777777" w:rsidR="00040EEF" w:rsidRPr="004453A7" w:rsidRDefault="00040EEF" w:rsidP="00040EEF">
            <w:pPr>
              <w:spacing w:line="240" w:lineRule="auto"/>
              <w:rPr>
                <w:lang w:val="lt-LT"/>
              </w:rPr>
            </w:pPr>
          </w:p>
        </w:tc>
      </w:tr>
      <w:tr w:rsidR="00700818" w:rsidRPr="004453A7" w14:paraId="44F4FE62" w14:textId="77777777" w:rsidTr="00040EEF">
        <w:tc>
          <w:tcPr>
            <w:tcW w:w="1809" w:type="dxa"/>
            <w:tcBorders>
              <w:top w:val="single" w:sz="4" w:space="0" w:color="auto"/>
              <w:left w:val="single" w:sz="4" w:space="0" w:color="auto"/>
              <w:bottom w:val="single" w:sz="4" w:space="0" w:color="auto"/>
              <w:right w:val="single" w:sz="4" w:space="0" w:color="auto"/>
            </w:tcBorders>
          </w:tcPr>
          <w:p w14:paraId="38E02D95" w14:textId="77777777" w:rsidR="00700818" w:rsidRPr="004453A7" w:rsidRDefault="00700818" w:rsidP="00040EEF">
            <w:pPr>
              <w:spacing w:line="240" w:lineRule="auto"/>
              <w:rPr>
                <w:lang w:val="lt-LT"/>
              </w:rPr>
            </w:pPr>
            <w:r w:rsidRPr="004453A7">
              <w:rPr>
                <w:lang w:val="lt-LT"/>
              </w:rPr>
              <w:t>Visi priepuoliai (N = 74)</w:t>
            </w:r>
          </w:p>
        </w:tc>
        <w:tc>
          <w:tcPr>
            <w:tcW w:w="1292" w:type="dxa"/>
            <w:tcBorders>
              <w:top w:val="single" w:sz="4" w:space="0" w:color="auto"/>
              <w:left w:val="single" w:sz="4" w:space="0" w:color="auto"/>
              <w:bottom w:val="single" w:sz="4" w:space="0" w:color="auto"/>
              <w:right w:val="single" w:sz="4" w:space="0" w:color="auto"/>
            </w:tcBorders>
          </w:tcPr>
          <w:p w14:paraId="0B419116" w14:textId="77777777" w:rsidR="000E2DA3" w:rsidRPr="004453A7" w:rsidRDefault="000E2DA3" w:rsidP="00700818">
            <w:pPr>
              <w:spacing w:line="240" w:lineRule="auto"/>
              <w:jc w:val="center"/>
              <w:rPr>
                <w:lang w:val="lt-LT"/>
              </w:rPr>
            </w:pPr>
          </w:p>
          <w:p w14:paraId="6D67B84E" w14:textId="77777777" w:rsidR="00700818" w:rsidRPr="004453A7" w:rsidRDefault="000E2DA3" w:rsidP="00700818">
            <w:pPr>
              <w:spacing w:line="240" w:lineRule="auto"/>
              <w:jc w:val="center"/>
              <w:rPr>
                <w:lang w:val="lt-LT"/>
              </w:rPr>
            </w:pPr>
            <w:r w:rsidRPr="004453A7">
              <w:rPr>
                <w:lang w:val="lt-LT"/>
              </w:rPr>
              <w:t>2,0</w:t>
            </w:r>
          </w:p>
        </w:tc>
        <w:tc>
          <w:tcPr>
            <w:tcW w:w="1548" w:type="dxa"/>
            <w:tcBorders>
              <w:top w:val="single" w:sz="4" w:space="0" w:color="auto"/>
              <w:left w:val="single" w:sz="4" w:space="0" w:color="auto"/>
              <w:bottom w:val="single" w:sz="4" w:space="0" w:color="auto"/>
              <w:right w:val="single" w:sz="4" w:space="0" w:color="auto"/>
            </w:tcBorders>
          </w:tcPr>
          <w:p w14:paraId="3F1674D5" w14:textId="77777777" w:rsidR="000E2DA3" w:rsidRPr="004453A7" w:rsidRDefault="000E2DA3" w:rsidP="000E2DA3">
            <w:pPr>
              <w:spacing w:line="240" w:lineRule="auto"/>
              <w:jc w:val="center"/>
              <w:rPr>
                <w:lang w:val="lt-LT"/>
              </w:rPr>
            </w:pPr>
          </w:p>
          <w:p w14:paraId="5B8CE9D1" w14:textId="77777777" w:rsidR="00700818" w:rsidRPr="004453A7" w:rsidRDefault="000E2DA3" w:rsidP="000E2DA3">
            <w:pPr>
              <w:spacing w:line="240" w:lineRule="auto"/>
              <w:jc w:val="center"/>
              <w:rPr>
                <w:lang w:val="lt-LT"/>
              </w:rPr>
            </w:pPr>
            <w:r w:rsidRPr="004453A7">
              <w:rPr>
                <w:lang w:val="lt-LT"/>
              </w:rPr>
              <w:t>12,0</w:t>
            </w:r>
          </w:p>
        </w:tc>
        <w:tc>
          <w:tcPr>
            <w:tcW w:w="1844" w:type="dxa"/>
            <w:tcBorders>
              <w:top w:val="single" w:sz="4" w:space="0" w:color="auto"/>
              <w:left w:val="single" w:sz="4" w:space="0" w:color="auto"/>
              <w:bottom w:val="single" w:sz="4" w:space="0" w:color="auto"/>
              <w:right w:val="single" w:sz="4" w:space="0" w:color="auto"/>
            </w:tcBorders>
          </w:tcPr>
          <w:p w14:paraId="47F2D9FB" w14:textId="77777777" w:rsidR="00700818" w:rsidRPr="004453A7" w:rsidRDefault="00700818" w:rsidP="00040EEF">
            <w:pPr>
              <w:spacing w:line="240" w:lineRule="auto"/>
              <w:rPr>
                <w:lang w:val="lt-LT"/>
              </w:rPr>
            </w:pPr>
          </w:p>
          <w:p w14:paraId="4AA150F8" w14:textId="77777777" w:rsidR="000E2DA3" w:rsidRPr="004453A7" w:rsidRDefault="000E2DA3" w:rsidP="000E2DA3">
            <w:pPr>
              <w:spacing w:line="240" w:lineRule="auto"/>
              <w:jc w:val="center"/>
              <w:rPr>
                <w:lang w:val="lt-LT"/>
              </w:rPr>
            </w:pPr>
          </w:p>
        </w:tc>
        <w:tc>
          <w:tcPr>
            <w:tcW w:w="1292" w:type="dxa"/>
            <w:tcBorders>
              <w:top w:val="single" w:sz="4" w:space="0" w:color="auto"/>
              <w:left w:val="single" w:sz="4" w:space="0" w:color="auto"/>
              <w:bottom w:val="single" w:sz="4" w:space="0" w:color="auto"/>
              <w:right w:val="single" w:sz="4" w:space="0" w:color="auto"/>
            </w:tcBorders>
          </w:tcPr>
          <w:p w14:paraId="29AC0B51" w14:textId="77777777" w:rsidR="000E2DA3" w:rsidRPr="004453A7" w:rsidRDefault="000E2DA3" w:rsidP="00700818">
            <w:pPr>
              <w:spacing w:line="240" w:lineRule="auto"/>
              <w:jc w:val="center"/>
              <w:rPr>
                <w:lang w:val="lt-LT"/>
              </w:rPr>
            </w:pPr>
          </w:p>
          <w:p w14:paraId="483AF85E" w14:textId="77777777" w:rsidR="00700818" w:rsidRPr="004453A7" w:rsidRDefault="000E2DA3" w:rsidP="00700818">
            <w:pPr>
              <w:spacing w:line="240" w:lineRule="auto"/>
              <w:jc w:val="center"/>
              <w:rPr>
                <w:lang w:val="lt-LT"/>
              </w:rPr>
            </w:pPr>
            <w:r w:rsidRPr="004453A7">
              <w:rPr>
                <w:lang w:val="lt-LT"/>
              </w:rPr>
              <w:t>2,5</w:t>
            </w:r>
          </w:p>
        </w:tc>
        <w:tc>
          <w:tcPr>
            <w:tcW w:w="1548" w:type="dxa"/>
            <w:tcBorders>
              <w:top w:val="single" w:sz="4" w:space="0" w:color="auto"/>
              <w:left w:val="single" w:sz="4" w:space="0" w:color="auto"/>
              <w:bottom w:val="single" w:sz="4" w:space="0" w:color="auto"/>
              <w:right w:val="single" w:sz="4" w:space="0" w:color="auto"/>
            </w:tcBorders>
          </w:tcPr>
          <w:p w14:paraId="1957151A" w14:textId="77777777" w:rsidR="000E2DA3" w:rsidRPr="004453A7" w:rsidRDefault="000E2DA3" w:rsidP="00700818">
            <w:pPr>
              <w:spacing w:line="240" w:lineRule="auto"/>
              <w:jc w:val="center"/>
              <w:rPr>
                <w:lang w:val="lt-LT"/>
              </w:rPr>
            </w:pPr>
          </w:p>
          <w:p w14:paraId="3CD14FF3" w14:textId="77777777" w:rsidR="00700818" w:rsidRPr="004453A7" w:rsidRDefault="00700818" w:rsidP="000E2DA3">
            <w:pPr>
              <w:spacing w:line="240" w:lineRule="auto"/>
              <w:jc w:val="center"/>
              <w:rPr>
                <w:lang w:val="lt-LT"/>
              </w:rPr>
            </w:pPr>
            <w:r w:rsidRPr="004453A7">
              <w:rPr>
                <w:lang w:val="lt-LT"/>
              </w:rPr>
              <w:t>4</w:t>
            </w:r>
            <w:r w:rsidR="000E2DA3" w:rsidRPr="004453A7">
              <w:rPr>
                <w:lang w:val="lt-LT"/>
              </w:rPr>
              <w:t>,6</w:t>
            </w:r>
          </w:p>
        </w:tc>
      </w:tr>
      <w:tr w:rsidR="00040EEF" w:rsidRPr="005542E1" w14:paraId="683B3A68"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05CFDF08" w14:textId="77777777" w:rsidR="00040EEF" w:rsidRPr="009E1D6E" w:rsidRDefault="00040EEF" w:rsidP="00040EEF">
            <w:pPr>
              <w:spacing w:line="240" w:lineRule="auto"/>
              <w:rPr>
                <w:lang w:val="lt-LT"/>
              </w:rPr>
            </w:pPr>
            <w:r w:rsidRPr="009E1D6E">
              <w:rPr>
                <w:lang w:val="lt-LT"/>
              </w:rPr>
              <w:t>Reakcijos greitis (%, CI) praėjus 4 val. po gydymo pradžios</w:t>
            </w:r>
          </w:p>
        </w:tc>
        <w:tc>
          <w:tcPr>
            <w:tcW w:w="1292" w:type="dxa"/>
            <w:tcBorders>
              <w:top w:val="single" w:sz="4" w:space="0" w:color="auto"/>
              <w:left w:val="single" w:sz="4" w:space="0" w:color="auto"/>
              <w:bottom w:val="single" w:sz="4" w:space="0" w:color="auto"/>
              <w:right w:val="single" w:sz="4" w:space="0" w:color="auto"/>
            </w:tcBorders>
            <w:vAlign w:val="center"/>
          </w:tcPr>
          <w:p w14:paraId="12ABD8D3" w14:textId="77777777" w:rsidR="00040EEF" w:rsidRPr="00801AE4" w:rsidRDefault="00040EEF" w:rsidP="00040EEF">
            <w:pPr>
              <w:spacing w:line="240" w:lineRule="auto"/>
              <w:jc w:val="center"/>
              <w:rPr>
                <w:lang w:val="lt-LT"/>
              </w:rPr>
            </w:pPr>
          </w:p>
        </w:tc>
        <w:tc>
          <w:tcPr>
            <w:tcW w:w="1548" w:type="dxa"/>
            <w:tcBorders>
              <w:top w:val="single" w:sz="4" w:space="0" w:color="auto"/>
              <w:left w:val="single" w:sz="4" w:space="0" w:color="auto"/>
              <w:bottom w:val="single" w:sz="4" w:space="0" w:color="auto"/>
              <w:right w:val="single" w:sz="4" w:space="0" w:color="auto"/>
            </w:tcBorders>
            <w:vAlign w:val="center"/>
          </w:tcPr>
          <w:p w14:paraId="65A9E2DA" w14:textId="77777777" w:rsidR="00040EEF" w:rsidRPr="00F16A09" w:rsidRDefault="00040EEF" w:rsidP="00040EEF">
            <w:pPr>
              <w:spacing w:line="240" w:lineRule="auto"/>
              <w:jc w:val="center"/>
              <w:rPr>
                <w:lang w:val="lt-LT"/>
              </w:rPr>
            </w:pPr>
          </w:p>
        </w:tc>
        <w:tc>
          <w:tcPr>
            <w:tcW w:w="1844" w:type="dxa"/>
            <w:tcBorders>
              <w:top w:val="single" w:sz="4" w:space="0" w:color="auto"/>
              <w:left w:val="single" w:sz="4" w:space="0" w:color="auto"/>
              <w:bottom w:val="single" w:sz="4" w:space="0" w:color="auto"/>
              <w:right w:val="single" w:sz="4" w:space="0" w:color="auto"/>
            </w:tcBorders>
            <w:hideMark/>
          </w:tcPr>
          <w:p w14:paraId="4170BAFC" w14:textId="77777777" w:rsidR="00040EEF" w:rsidRPr="009E1D6E" w:rsidRDefault="000E2DA3" w:rsidP="00040EEF">
            <w:pPr>
              <w:spacing w:line="240" w:lineRule="auto"/>
              <w:rPr>
                <w:lang w:val="lt-LT"/>
              </w:rPr>
            </w:pPr>
            <w:r w:rsidRPr="009E1D6E">
              <w:rPr>
                <w:lang w:val="lt-LT"/>
              </w:rPr>
              <w:t>Reakcijos greitis (%, CI) praėjus 4 val. po gydymo pradžios</w:t>
            </w:r>
          </w:p>
        </w:tc>
        <w:tc>
          <w:tcPr>
            <w:tcW w:w="1292" w:type="dxa"/>
            <w:tcBorders>
              <w:top w:val="single" w:sz="4" w:space="0" w:color="auto"/>
              <w:left w:val="single" w:sz="4" w:space="0" w:color="auto"/>
              <w:bottom w:val="single" w:sz="4" w:space="0" w:color="auto"/>
              <w:right w:val="single" w:sz="4" w:space="0" w:color="auto"/>
            </w:tcBorders>
            <w:vAlign w:val="center"/>
          </w:tcPr>
          <w:p w14:paraId="1CC21DB5" w14:textId="77777777" w:rsidR="00040EEF" w:rsidRPr="004453A7" w:rsidRDefault="00040EEF" w:rsidP="00040EEF">
            <w:pPr>
              <w:spacing w:line="240" w:lineRule="auto"/>
              <w:jc w:val="center"/>
              <w:rPr>
                <w:lang w:val="lt-LT"/>
              </w:rPr>
            </w:pPr>
          </w:p>
        </w:tc>
        <w:tc>
          <w:tcPr>
            <w:tcW w:w="1548" w:type="dxa"/>
            <w:tcBorders>
              <w:top w:val="single" w:sz="4" w:space="0" w:color="auto"/>
              <w:left w:val="single" w:sz="4" w:space="0" w:color="auto"/>
              <w:bottom w:val="single" w:sz="4" w:space="0" w:color="auto"/>
              <w:right w:val="single" w:sz="4" w:space="0" w:color="auto"/>
            </w:tcBorders>
            <w:vAlign w:val="center"/>
          </w:tcPr>
          <w:p w14:paraId="5DFA5928" w14:textId="77777777" w:rsidR="00040EEF" w:rsidRPr="004453A7" w:rsidRDefault="00040EEF" w:rsidP="00040EEF">
            <w:pPr>
              <w:spacing w:line="240" w:lineRule="auto"/>
              <w:jc w:val="center"/>
              <w:rPr>
                <w:lang w:val="lt-LT"/>
              </w:rPr>
            </w:pPr>
          </w:p>
        </w:tc>
      </w:tr>
      <w:tr w:rsidR="00040EEF" w:rsidRPr="004453A7" w14:paraId="4CD81BA8"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433C90AE" w14:textId="77777777" w:rsidR="00040EEF" w:rsidRPr="009E1D6E" w:rsidRDefault="00040EEF" w:rsidP="00040EEF">
            <w:pPr>
              <w:spacing w:line="240" w:lineRule="auto"/>
              <w:rPr>
                <w:lang w:val="lt-LT"/>
              </w:rPr>
            </w:pPr>
            <w:r w:rsidRPr="009E1D6E">
              <w:rPr>
                <w:lang w:val="lt-LT"/>
              </w:rPr>
              <w:t>Visi priepuoliai (N = 74)</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5874871" w14:textId="77777777" w:rsidR="00040EEF" w:rsidRPr="006E0BDC" w:rsidRDefault="00F23657" w:rsidP="00040EEF">
            <w:pPr>
              <w:spacing w:line="240" w:lineRule="auto"/>
              <w:jc w:val="center"/>
              <w:rPr>
                <w:lang w:val="lt-LT"/>
              </w:rPr>
            </w:pPr>
            <w:r w:rsidRPr="00801AE4">
              <w:rPr>
                <w:lang w:val="lt-LT"/>
              </w:rPr>
              <w:t>80,</w:t>
            </w:r>
            <w:r w:rsidR="00040EEF" w:rsidRPr="006E0BDC">
              <w:rPr>
                <w:lang w:val="lt-LT"/>
              </w:rPr>
              <w:t>8</w:t>
            </w:r>
          </w:p>
          <w:p w14:paraId="31F2D9BD" w14:textId="77777777" w:rsidR="00040EEF" w:rsidRPr="00E8737A" w:rsidRDefault="00F23657" w:rsidP="00040EEF">
            <w:pPr>
              <w:spacing w:line="240" w:lineRule="auto"/>
              <w:jc w:val="center"/>
              <w:rPr>
                <w:lang w:val="lt-LT"/>
              </w:rPr>
            </w:pPr>
            <w:r w:rsidRPr="00F16A09">
              <w:rPr>
                <w:lang w:val="lt-LT"/>
              </w:rPr>
              <w:t>(63,1, 91,</w:t>
            </w:r>
            <w:r w:rsidR="00040EEF" w:rsidRPr="00E8737A">
              <w:rPr>
                <w:lang w:val="lt-LT"/>
              </w:rPr>
              <w:t>6)</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C97F476" w14:textId="77777777" w:rsidR="00040EEF" w:rsidRPr="00E8737A" w:rsidRDefault="00F23657" w:rsidP="00040EEF">
            <w:pPr>
              <w:spacing w:line="240" w:lineRule="auto"/>
              <w:jc w:val="center"/>
              <w:rPr>
                <w:lang w:val="lt-LT"/>
              </w:rPr>
            </w:pPr>
            <w:r w:rsidRPr="00E8737A">
              <w:rPr>
                <w:lang w:val="lt-LT"/>
              </w:rPr>
              <w:t>30,</w:t>
            </w:r>
            <w:r w:rsidR="00040EEF" w:rsidRPr="00E8737A">
              <w:rPr>
                <w:lang w:val="lt-LT"/>
              </w:rPr>
              <w:t>6</w:t>
            </w:r>
          </w:p>
          <w:p w14:paraId="7C8A33AC" w14:textId="77777777" w:rsidR="00040EEF" w:rsidRPr="00653B20" w:rsidRDefault="00F23657" w:rsidP="00040EEF">
            <w:pPr>
              <w:spacing w:line="240" w:lineRule="auto"/>
              <w:jc w:val="center"/>
              <w:rPr>
                <w:lang w:val="lt-LT"/>
              </w:rPr>
            </w:pPr>
            <w:r w:rsidRPr="00653B20">
              <w:rPr>
                <w:lang w:val="lt-LT"/>
              </w:rPr>
              <w:t>(16,3, 48,</w:t>
            </w:r>
            <w:r w:rsidR="00040EEF" w:rsidRPr="00653B20">
              <w:rPr>
                <w:lang w:val="lt-LT"/>
              </w:rPr>
              <w:t>1)</w:t>
            </w:r>
          </w:p>
        </w:tc>
        <w:tc>
          <w:tcPr>
            <w:tcW w:w="1844" w:type="dxa"/>
            <w:tcBorders>
              <w:top w:val="single" w:sz="4" w:space="0" w:color="auto"/>
              <w:left w:val="single" w:sz="4" w:space="0" w:color="auto"/>
              <w:bottom w:val="single" w:sz="4" w:space="0" w:color="auto"/>
              <w:right w:val="single" w:sz="4" w:space="0" w:color="auto"/>
            </w:tcBorders>
            <w:hideMark/>
          </w:tcPr>
          <w:p w14:paraId="5CED4166" w14:textId="77777777" w:rsidR="00040EEF" w:rsidRPr="009E1D6E" w:rsidRDefault="00DB2652" w:rsidP="00DB2652">
            <w:pPr>
              <w:spacing w:line="240" w:lineRule="auto"/>
              <w:rPr>
                <w:lang w:val="lt-LT"/>
              </w:rPr>
            </w:pPr>
            <w:r w:rsidRPr="009E1D6E">
              <w:rPr>
                <w:lang w:val="lt-LT"/>
              </w:rPr>
              <w:t>Visi priepuoliai (N = 56</w:t>
            </w:r>
            <w:r w:rsidR="00F23657" w:rsidRPr="009E1D6E">
              <w:rPr>
                <w:lang w:val="lt-LT"/>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4F2BFE6" w14:textId="77777777" w:rsidR="00040EEF" w:rsidRPr="004453A7" w:rsidRDefault="00F23657" w:rsidP="00040EEF">
            <w:pPr>
              <w:spacing w:line="240" w:lineRule="auto"/>
              <w:jc w:val="center"/>
              <w:rPr>
                <w:lang w:val="lt-LT"/>
              </w:rPr>
            </w:pPr>
            <w:r w:rsidRPr="004453A7">
              <w:rPr>
                <w:lang w:val="lt-LT"/>
              </w:rPr>
              <w:t>66,</w:t>
            </w:r>
            <w:r w:rsidR="00040EEF" w:rsidRPr="004453A7">
              <w:rPr>
                <w:lang w:val="lt-LT"/>
              </w:rPr>
              <w:t>7</w:t>
            </w:r>
          </w:p>
          <w:p w14:paraId="3FB885DD" w14:textId="77777777" w:rsidR="00040EEF" w:rsidRPr="004453A7" w:rsidRDefault="00F23657" w:rsidP="00040EEF">
            <w:pPr>
              <w:spacing w:line="240" w:lineRule="auto"/>
              <w:jc w:val="center"/>
              <w:rPr>
                <w:lang w:val="lt-LT"/>
              </w:rPr>
            </w:pPr>
            <w:r w:rsidRPr="004453A7">
              <w:rPr>
                <w:lang w:val="lt-LT"/>
              </w:rPr>
              <w:t>(46,0, 83,</w:t>
            </w:r>
            <w:r w:rsidR="00040EEF" w:rsidRPr="004453A7">
              <w:rPr>
                <w:lang w:val="lt-LT"/>
              </w:rPr>
              <w:t>5)</w:t>
            </w:r>
          </w:p>
        </w:tc>
        <w:tc>
          <w:tcPr>
            <w:tcW w:w="1548" w:type="dxa"/>
            <w:tcBorders>
              <w:top w:val="single" w:sz="4" w:space="0" w:color="auto"/>
              <w:left w:val="single" w:sz="4" w:space="0" w:color="auto"/>
              <w:bottom w:val="single" w:sz="4" w:space="0" w:color="auto"/>
              <w:right w:val="single" w:sz="4" w:space="0" w:color="auto"/>
            </w:tcBorders>
            <w:vAlign w:val="center"/>
            <w:hideMark/>
          </w:tcPr>
          <w:p w14:paraId="24F448AD" w14:textId="77777777" w:rsidR="00040EEF" w:rsidRPr="004453A7" w:rsidRDefault="00F23657" w:rsidP="00040EEF">
            <w:pPr>
              <w:spacing w:line="240" w:lineRule="auto"/>
              <w:jc w:val="center"/>
              <w:rPr>
                <w:lang w:val="lt-LT"/>
              </w:rPr>
            </w:pPr>
            <w:r w:rsidRPr="004453A7">
              <w:rPr>
                <w:lang w:val="lt-LT"/>
              </w:rPr>
              <w:t>46,</w:t>
            </w:r>
            <w:r w:rsidR="00040EEF" w:rsidRPr="004453A7">
              <w:rPr>
                <w:lang w:val="lt-LT"/>
              </w:rPr>
              <w:t>4</w:t>
            </w:r>
          </w:p>
          <w:p w14:paraId="4A94E313" w14:textId="77777777" w:rsidR="00040EEF" w:rsidRPr="004453A7" w:rsidRDefault="00F23657" w:rsidP="00040EEF">
            <w:pPr>
              <w:spacing w:line="240" w:lineRule="auto"/>
              <w:jc w:val="center"/>
              <w:rPr>
                <w:lang w:val="lt-LT"/>
              </w:rPr>
            </w:pPr>
            <w:r w:rsidRPr="004453A7">
              <w:rPr>
                <w:lang w:val="lt-LT"/>
              </w:rPr>
              <w:t>(27,5, 66,</w:t>
            </w:r>
            <w:r w:rsidR="00040EEF" w:rsidRPr="004453A7">
              <w:rPr>
                <w:lang w:val="lt-LT"/>
              </w:rPr>
              <w:t>1)</w:t>
            </w:r>
          </w:p>
        </w:tc>
      </w:tr>
      <w:tr w:rsidR="00040EEF" w:rsidRPr="004453A7" w14:paraId="4825FCB8"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19A9C803" w14:textId="77777777" w:rsidR="00040EEF" w:rsidRPr="004453A7" w:rsidRDefault="00040EEF" w:rsidP="00040EEF">
            <w:pPr>
              <w:spacing w:line="240" w:lineRule="auto"/>
              <w:rPr>
                <w:lang w:val="lt-LT"/>
              </w:rPr>
            </w:pPr>
            <w:r w:rsidRPr="004453A7">
              <w:rPr>
                <w:lang w:val="lt-LT"/>
              </w:rPr>
              <w:t>Vidutinis laikas iki simptomų palengvėjimo pradžios: visi simptomai (val.) Pilvo skausmas Odos patinimas Odos skausmas</w:t>
            </w:r>
          </w:p>
        </w:tc>
        <w:tc>
          <w:tcPr>
            <w:tcW w:w="1292" w:type="dxa"/>
            <w:tcBorders>
              <w:top w:val="single" w:sz="4" w:space="0" w:color="auto"/>
              <w:left w:val="single" w:sz="4" w:space="0" w:color="auto"/>
              <w:bottom w:val="single" w:sz="4" w:space="0" w:color="auto"/>
              <w:right w:val="single" w:sz="4" w:space="0" w:color="auto"/>
            </w:tcBorders>
          </w:tcPr>
          <w:p w14:paraId="216AD59C" w14:textId="77777777" w:rsidR="00040EEF" w:rsidRPr="004453A7" w:rsidRDefault="00040EEF" w:rsidP="00040EEF">
            <w:pPr>
              <w:spacing w:line="240" w:lineRule="auto"/>
              <w:jc w:val="center"/>
              <w:rPr>
                <w:lang w:val="lt-LT"/>
              </w:rPr>
            </w:pPr>
          </w:p>
          <w:p w14:paraId="1A919632" w14:textId="77777777" w:rsidR="00040EEF" w:rsidRPr="004453A7" w:rsidRDefault="00040EEF" w:rsidP="00040EEF">
            <w:pPr>
              <w:spacing w:line="240" w:lineRule="auto"/>
              <w:jc w:val="center"/>
              <w:rPr>
                <w:lang w:val="lt-LT"/>
              </w:rPr>
            </w:pPr>
          </w:p>
          <w:p w14:paraId="5E3BAB71" w14:textId="77777777" w:rsidR="00040EEF" w:rsidRPr="004453A7" w:rsidRDefault="00040EEF" w:rsidP="00040EEF">
            <w:pPr>
              <w:spacing w:line="240" w:lineRule="auto"/>
              <w:jc w:val="center"/>
              <w:rPr>
                <w:lang w:val="lt-LT"/>
              </w:rPr>
            </w:pPr>
          </w:p>
          <w:p w14:paraId="322CFF7E" w14:textId="77777777" w:rsidR="00040EEF" w:rsidRPr="004453A7" w:rsidRDefault="00040EEF" w:rsidP="00040EEF">
            <w:pPr>
              <w:spacing w:line="240" w:lineRule="auto"/>
              <w:jc w:val="center"/>
              <w:rPr>
                <w:lang w:val="lt-LT"/>
              </w:rPr>
            </w:pPr>
          </w:p>
          <w:p w14:paraId="03525EC4" w14:textId="77777777" w:rsidR="00040EEF" w:rsidRPr="004453A7" w:rsidRDefault="00040EEF" w:rsidP="00040EEF">
            <w:pPr>
              <w:spacing w:line="240" w:lineRule="auto"/>
              <w:jc w:val="center"/>
              <w:rPr>
                <w:lang w:val="lt-LT"/>
              </w:rPr>
            </w:pPr>
          </w:p>
          <w:p w14:paraId="0A0A3E74" w14:textId="77777777" w:rsidR="00040EEF" w:rsidRPr="004453A7" w:rsidRDefault="00F23657" w:rsidP="00040EEF">
            <w:pPr>
              <w:spacing w:line="240" w:lineRule="auto"/>
              <w:jc w:val="center"/>
              <w:rPr>
                <w:lang w:val="lt-LT"/>
              </w:rPr>
            </w:pPr>
            <w:r w:rsidRPr="004453A7">
              <w:rPr>
                <w:lang w:val="lt-LT"/>
              </w:rPr>
              <w:t>1,</w:t>
            </w:r>
            <w:r w:rsidR="00040EEF" w:rsidRPr="004453A7">
              <w:rPr>
                <w:lang w:val="lt-LT"/>
              </w:rPr>
              <w:t>6</w:t>
            </w:r>
          </w:p>
          <w:p w14:paraId="460A92ED" w14:textId="77777777" w:rsidR="00040EEF" w:rsidRPr="004453A7" w:rsidRDefault="00F23657" w:rsidP="00040EEF">
            <w:pPr>
              <w:spacing w:line="240" w:lineRule="auto"/>
              <w:jc w:val="center"/>
              <w:rPr>
                <w:lang w:val="lt-LT"/>
              </w:rPr>
            </w:pPr>
            <w:r w:rsidRPr="004453A7">
              <w:rPr>
                <w:lang w:val="lt-LT"/>
              </w:rPr>
              <w:t>2,6</w:t>
            </w:r>
          </w:p>
          <w:p w14:paraId="1EB37411" w14:textId="77777777" w:rsidR="00040EEF" w:rsidRPr="004453A7" w:rsidRDefault="00F23657" w:rsidP="00DB2652">
            <w:pPr>
              <w:spacing w:line="240" w:lineRule="auto"/>
              <w:jc w:val="center"/>
              <w:rPr>
                <w:lang w:val="lt-LT"/>
              </w:rPr>
            </w:pPr>
            <w:r w:rsidRPr="004453A7">
              <w:rPr>
                <w:lang w:val="lt-LT"/>
              </w:rPr>
              <w:t>1,</w:t>
            </w:r>
            <w:r w:rsidR="00040EEF" w:rsidRPr="004453A7">
              <w:rPr>
                <w:lang w:val="lt-LT"/>
              </w:rPr>
              <w:t>5</w:t>
            </w:r>
          </w:p>
        </w:tc>
        <w:tc>
          <w:tcPr>
            <w:tcW w:w="1548" w:type="dxa"/>
            <w:tcBorders>
              <w:top w:val="single" w:sz="4" w:space="0" w:color="auto"/>
              <w:left w:val="single" w:sz="4" w:space="0" w:color="auto"/>
              <w:bottom w:val="single" w:sz="4" w:space="0" w:color="auto"/>
              <w:right w:val="single" w:sz="4" w:space="0" w:color="auto"/>
            </w:tcBorders>
          </w:tcPr>
          <w:p w14:paraId="657882E5" w14:textId="77777777" w:rsidR="00040EEF" w:rsidRPr="004453A7" w:rsidRDefault="00040EEF" w:rsidP="00040EEF">
            <w:pPr>
              <w:spacing w:line="240" w:lineRule="auto"/>
              <w:jc w:val="center"/>
              <w:rPr>
                <w:lang w:val="lt-LT"/>
              </w:rPr>
            </w:pPr>
          </w:p>
          <w:p w14:paraId="5B427969" w14:textId="77777777" w:rsidR="00040EEF" w:rsidRPr="004453A7" w:rsidRDefault="00040EEF" w:rsidP="00040EEF">
            <w:pPr>
              <w:spacing w:line="240" w:lineRule="auto"/>
              <w:jc w:val="center"/>
              <w:rPr>
                <w:lang w:val="lt-LT"/>
              </w:rPr>
            </w:pPr>
          </w:p>
          <w:p w14:paraId="20389267" w14:textId="77777777" w:rsidR="00040EEF" w:rsidRPr="004453A7" w:rsidRDefault="00040EEF" w:rsidP="00040EEF">
            <w:pPr>
              <w:spacing w:line="240" w:lineRule="auto"/>
              <w:jc w:val="center"/>
              <w:rPr>
                <w:lang w:val="lt-LT"/>
              </w:rPr>
            </w:pPr>
          </w:p>
          <w:p w14:paraId="35554A6B" w14:textId="77777777" w:rsidR="00040EEF" w:rsidRPr="004453A7" w:rsidRDefault="00040EEF" w:rsidP="00040EEF">
            <w:pPr>
              <w:spacing w:line="240" w:lineRule="auto"/>
              <w:jc w:val="center"/>
              <w:rPr>
                <w:lang w:val="lt-LT"/>
              </w:rPr>
            </w:pPr>
          </w:p>
          <w:p w14:paraId="2414ABE9" w14:textId="77777777" w:rsidR="00040EEF" w:rsidRPr="004453A7" w:rsidRDefault="00040EEF" w:rsidP="00040EEF">
            <w:pPr>
              <w:spacing w:line="240" w:lineRule="auto"/>
              <w:jc w:val="center"/>
              <w:rPr>
                <w:lang w:val="lt-LT"/>
              </w:rPr>
            </w:pPr>
          </w:p>
          <w:p w14:paraId="4813D699" w14:textId="77777777" w:rsidR="00040EEF" w:rsidRPr="004453A7" w:rsidRDefault="00F23657" w:rsidP="00040EEF">
            <w:pPr>
              <w:spacing w:line="240" w:lineRule="auto"/>
              <w:jc w:val="center"/>
              <w:rPr>
                <w:lang w:val="lt-LT"/>
              </w:rPr>
            </w:pPr>
            <w:r w:rsidRPr="004453A7">
              <w:rPr>
                <w:lang w:val="lt-LT"/>
              </w:rPr>
              <w:t>3,</w:t>
            </w:r>
            <w:r w:rsidR="00040EEF" w:rsidRPr="004453A7">
              <w:rPr>
                <w:lang w:val="lt-LT"/>
              </w:rPr>
              <w:t>5</w:t>
            </w:r>
          </w:p>
          <w:p w14:paraId="3C1C73F7" w14:textId="77777777" w:rsidR="00040EEF" w:rsidRPr="004453A7" w:rsidRDefault="00F23657" w:rsidP="00040EEF">
            <w:pPr>
              <w:spacing w:line="240" w:lineRule="auto"/>
              <w:jc w:val="center"/>
              <w:rPr>
                <w:lang w:val="lt-LT"/>
              </w:rPr>
            </w:pPr>
            <w:r w:rsidRPr="004453A7">
              <w:rPr>
                <w:lang w:val="lt-LT"/>
              </w:rPr>
              <w:t>18,</w:t>
            </w:r>
            <w:r w:rsidR="00040EEF" w:rsidRPr="004453A7">
              <w:rPr>
                <w:lang w:val="lt-LT"/>
              </w:rPr>
              <w:t>1</w:t>
            </w:r>
          </w:p>
          <w:p w14:paraId="2A99900A" w14:textId="77777777" w:rsidR="00040EEF" w:rsidRPr="004453A7" w:rsidRDefault="00F23657" w:rsidP="00040EEF">
            <w:pPr>
              <w:spacing w:line="240" w:lineRule="auto"/>
              <w:jc w:val="center"/>
              <w:rPr>
                <w:lang w:val="lt-LT"/>
              </w:rPr>
            </w:pPr>
            <w:r w:rsidRPr="004453A7">
              <w:rPr>
                <w:lang w:val="lt-LT"/>
              </w:rPr>
              <w:t>12,</w:t>
            </w:r>
            <w:r w:rsidR="00040EEF" w:rsidRPr="004453A7">
              <w:rPr>
                <w:lang w:val="lt-LT"/>
              </w:rPr>
              <w:t>0</w:t>
            </w:r>
          </w:p>
        </w:tc>
        <w:tc>
          <w:tcPr>
            <w:tcW w:w="1844" w:type="dxa"/>
            <w:tcBorders>
              <w:top w:val="single" w:sz="4" w:space="0" w:color="auto"/>
              <w:left w:val="single" w:sz="4" w:space="0" w:color="auto"/>
              <w:bottom w:val="single" w:sz="4" w:space="0" w:color="auto"/>
              <w:right w:val="single" w:sz="4" w:space="0" w:color="auto"/>
            </w:tcBorders>
            <w:hideMark/>
          </w:tcPr>
          <w:p w14:paraId="6037AA25" w14:textId="77777777" w:rsidR="00040EEF" w:rsidRPr="004453A7" w:rsidRDefault="00DB2652" w:rsidP="00040EEF">
            <w:pPr>
              <w:spacing w:line="240" w:lineRule="auto"/>
              <w:rPr>
                <w:lang w:val="lt-LT"/>
              </w:rPr>
            </w:pPr>
            <w:r w:rsidRPr="004453A7">
              <w:rPr>
                <w:lang w:val="lt-LT"/>
              </w:rPr>
              <w:t>Vidutinis laikas iki simptomų palengvėjimo pradžios: visi simptomai (val.) Pilvo skausmas Odos patinimas Odos skausmas</w:t>
            </w:r>
          </w:p>
        </w:tc>
        <w:tc>
          <w:tcPr>
            <w:tcW w:w="1292" w:type="dxa"/>
            <w:tcBorders>
              <w:top w:val="single" w:sz="4" w:space="0" w:color="auto"/>
              <w:left w:val="single" w:sz="4" w:space="0" w:color="auto"/>
              <w:bottom w:val="single" w:sz="4" w:space="0" w:color="auto"/>
              <w:right w:val="single" w:sz="4" w:space="0" w:color="auto"/>
            </w:tcBorders>
          </w:tcPr>
          <w:p w14:paraId="52873777" w14:textId="77777777" w:rsidR="00040EEF" w:rsidRPr="004453A7" w:rsidRDefault="00040EEF" w:rsidP="00040EEF">
            <w:pPr>
              <w:spacing w:line="240" w:lineRule="auto"/>
              <w:jc w:val="center"/>
              <w:rPr>
                <w:lang w:val="lt-LT"/>
              </w:rPr>
            </w:pPr>
          </w:p>
          <w:p w14:paraId="2867AAE5" w14:textId="77777777" w:rsidR="00040EEF" w:rsidRPr="004453A7" w:rsidRDefault="00040EEF" w:rsidP="00040EEF">
            <w:pPr>
              <w:spacing w:line="240" w:lineRule="auto"/>
              <w:jc w:val="center"/>
              <w:rPr>
                <w:lang w:val="lt-LT"/>
              </w:rPr>
            </w:pPr>
          </w:p>
          <w:p w14:paraId="2C13E4CA" w14:textId="77777777" w:rsidR="00040EEF" w:rsidRPr="004453A7" w:rsidRDefault="00040EEF" w:rsidP="00040EEF">
            <w:pPr>
              <w:spacing w:line="240" w:lineRule="auto"/>
              <w:jc w:val="center"/>
              <w:rPr>
                <w:lang w:val="lt-LT"/>
              </w:rPr>
            </w:pPr>
          </w:p>
          <w:p w14:paraId="123CEBCF" w14:textId="77777777" w:rsidR="00040EEF" w:rsidRPr="004453A7" w:rsidRDefault="00040EEF" w:rsidP="00040EEF">
            <w:pPr>
              <w:spacing w:line="240" w:lineRule="auto"/>
              <w:jc w:val="center"/>
              <w:rPr>
                <w:lang w:val="lt-LT"/>
              </w:rPr>
            </w:pPr>
          </w:p>
          <w:p w14:paraId="462F102F" w14:textId="77777777" w:rsidR="00040EEF" w:rsidRPr="004453A7" w:rsidRDefault="00040EEF" w:rsidP="00040EEF">
            <w:pPr>
              <w:spacing w:line="240" w:lineRule="auto"/>
              <w:jc w:val="center"/>
              <w:rPr>
                <w:lang w:val="lt-LT"/>
              </w:rPr>
            </w:pPr>
          </w:p>
          <w:p w14:paraId="168CA674" w14:textId="77777777" w:rsidR="00040EEF" w:rsidRPr="004453A7" w:rsidRDefault="00F23657" w:rsidP="00040EEF">
            <w:pPr>
              <w:spacing w:line="240" w:lineRule="auto"/>
              <w:jc w:val="center"/>
              <w:rPr>
                <w:lang w:val="lt-LT"/>
              </w:rPr>
            </w:pPr>
            <w:r w:rsidRPr="004453A7">
              <w:rPr>
                <w:lang w:val="lt-LT"/>
              </w:rPr>
              <w:t>2,</w:t>
            </w:r>
            <w:r w:rsidR="00040EEF" w:rsidRPr="004453A7">
              <w:rPr>
                <w:lang w:val="lt-LT"/>
              </w:rPr>
              <w:t>0</w:t>
            </w:r>
          </w:p>
          <w:p w14:paraId="2CDA7FA4" w14:textId="77777777" w:rsidR="00040EEF" w:rsidRPr="004453A7" w:rsidRDefault="00F23657" w:rsidP="00040EEF">
            <w:pPr>
              <w:spacing w:line="240" w:lineRule="auto"/>
              <w:jc w:val="center"/>
              <w:rPr>
                <w:lang w:val="lt-LT"/>
              </w:rPr>
            </w:pPr>
            <w:r w:rsidRPr="004453A7">
              <w:rPr>
                <w:lang w:val="lt-LT"/>
              </w:rPr>
              <w:t>3,</w:t>
            </w:r>
            <w:r w:rsidR="00040EEF" w:rsidRPr="004453A7">
              <w:rPr>
                <w:lang w:val="lt-LT"/>
              </w:rPr>
              <w:t>1</w:t>
            </w:r>
          </w:p>
          <w:p w14:paraId="555F85B4" w14:textId="77777777" w:rsidR="00040EEF" w:rsidRPr="004453A7" w:rsidRDefault="00040EEF" w:rsidP="00F23657">
            <w:pPr>
              <w:spacing w:line="240" w:lineRule="auto"/>
              <w:jc w:val="center"/>
              <w:rPr>
                <w:lang w:val="lt-LT"/>
              </w:rPr>
            </w:pPr>
            <w:r w:rsidRPr="004453A7">
              <w:rPr>
                <w:lang w:val="lt-LT"/>
              </w:rPr>
              <w:t>1</w:t>
            </w:r>
            <w:r w:rsidR="00F23657" w:rsidRPr="004453A7">
              <w:rPr>
                <w:lang w:val="lt-LT"/>
              </w:rPr>
              <w:t>,</w:t>
            </w:r>
            <w:r w:rsidRPr="004453A7">
              <w:rPr>
                <w:lang w:val="lt-LT"/>
              </w:rPr>
              <w:t>6</w:t>
            </w:r>
          </w:p>
        </w:tc>
        <w:tc>
          <w:tcPr>
            <w:tcW w:w="1548" w:type="dxa"/>
            <w:tcBorders>
              <w:top w:val="single" w:sz="4" w:space="0" w:color="auto"/>
              <w:left w:val="single" w:sz="4" w:space="0" w:color="auto"/>
              <w:bottom w:val="single" w:sz="4" w:space="0" w:color="auto"/>
              <w:right w:val="single" w:sz="4" w:space="0" w:color="auto"/>
            </w:tcBorders>
          </w:tcPr>
          <w:p w14:paraId="4C991D09" w14:textId="77777777" w:rsidR="00040EEF" w:rsidRPr="004453A7" w:rsidRDefault="00040EEF" w:rsidP="00040EEF">
            <w:pPr>
              <w:spacing w:line="240" w:lineRule="auto"/>
              <w:jc w:val="center"/>
              <w:rPr>
                <w:lang w:val="lt-LT"/>
              </w:rPr>
            </w:pPr>
          </w:p>
          <w:p w14:paraId="28FBC986" w14:textId="77777777" w:rsidR="00040EEF" w:rsidRPr="004453A7" w:rsidRDefault="00040EEF" w:rsidP="00040EEF">
            <w:pPr>
              <w:spacing w:line="240" w:lineRule="auto"/>
              <w:jc w:val="center"/>
              <w:rPr>
                <w:lang w:val="lt-LT"/>
              </w:rPr>
            </w:pPr>
          </w:p>
          <w:p w14:paraId="5E6ED8B1" w14:textId="77777777" w:rsidR="00040EEF" w:rsidRPr="004453A7" w:rsidRDefault="00040EEF" w:rsidP="00040EEF">
            <w:pPr>
              <w:spacing w:line="240" w:lineRule="auto"/>
              <w:jc w:val="center"/>
              <w:rPr>
                <w:lang w:val="lt-LT"/>
              </w:rPr>
            </w:pPr>
          </w:p>
          <w:p w14:paraId="5D7BF549" w14:textId="77777777" w:rsidR="00040EEF" w:rsidRPr="004453A7" w:rsidRDefault="00040EEF" w:rsidP="00040EEF">
            <w:pPr>
              <w:spacing w:line="240" w:lineRule="auto"/>
              <w:jc w:val="center"/>
              <w:rPr>
                <w:lang w:val="lt-LT"/>
              </w:rPr>
            </w:pPr>
          </w:p>
          <w:p w14:paraId="777DDC70" w14:textId="77777777" w:rsidR="00040EEF" w:rsidRPr="004453A7" w:rsidRDefault="00040EEF" w:rsidP="00040EEF">
            <w:pPr>
              <w:spacing w:line="240" w:lineRule="auto"/>
              <w:jc w:val="center"/>
              <w:rPr>
                <w:lang w:val="lt-LT"/>
              </w:rPr>
            </w:pPr>
          </w:p>
          <w:p w14:paraId="327EBC9C" w14:textId="77777777" w:rsidR="00040EEF" w:rsidRPr="004453A7" w:rsidRDefault="00F23657" w:rsidP="00040EEF">
            <w:pPr>
              <w:spacing w:line="240" w:lineRule="auto"/>
              <w:jc w:val="center"/>
              <w:rPr>
                <w:lang w:val="lt-LT"/>
              </w:rPr>
            </w:pPr>
            <w:r w:rsidRPr="004453A7">
              <w:rPr>
                <w:lang w:val="lt-LT"/>
              </w:rPr>
              <w:t>3,</w:t>
            </w:r>
            <w:r w:rsidR="00040EEF" w:rsidRPr="004453A7">
              <w:rPr>
                <w:lang w:val="lt-LT"/>
              </w:rPr>
              <w:t>3</w:t>
            </w:r>
          </w:p>
          <w:p w14:paraId="43167354" w14:textId="77777777" w:rsidR="00040EEF" w:rsidRPr="004453A7" w:rsidRDefault="00F23657" w:rsidP="00040EEF">
            <w:pPr>
              <w:spacing w:line="240" w:lineRule="auto"/>
              <w:jc w:val="center"/>
              <w:rPr>
                <w:lang w:val="lt-LT"/>
              </w:rPr>
            </w:pPr>
            <w:r w:rsidRPr="004453A7">
              <w:rPr>
                <w:lang w:val="lt-LT"/>
              </w:rPr>
              <w:t>10,</w:t>
            </w:r>
            <w:r w:rsidR="00040EEF" w:rsidRPr="004453A7">
              <w:rPr>
                <w:lang w:val="lt-LT"/>
              </w:rPr>
              <w:t>2</w:t>
            </w:r>
          </w:p>
          <w:p w14:paraId="4F53425E" w14:textId="77777777" w:rsidR="00040EEF" w:rsidRPr="004453A7" w:rsidRDefault="00F23657" w:rsidP="00040EEF">
            <w:pPr>
              <w:spacing w:line="240" w:lineRule="auto"/>
              <w:jc w:val="center"/>
              <w:rPr>
                <w:lang w:val="lt-LT"/>
              </w:rPr>
            </w:pPr>
            <w:r w:rsidRPr="004453A7">
              <w:rPr>
                <w:lang w:val="lt-LT"/>
              </w:rPr>
              <w:t>9,</w:t>
            </w:r>
            <w:r w:rsidR="00040EEF" w:rsidRPr="004453A7">
              <w:rPr>
                <w:lang w:val="lt-LT"/>
              </w:rPr>
              <w:t>0</w:t>
            </w:r>
          </w:p>
        </w:tc>
      </w:tr>
      <w:tr w:rsidR="00040EEF" w:rsidRPr="005542E1" w14:paraId="4FB1284E"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745D003F" w14:textId="77777777" w:rsidR="00040EEF" w:rsidRPr="00F16A09" w:rsidRDefault="009E1D6E" w:rsidP="00E87C8C">
            <w:pPr>
              <w:spacing w:line="240" w:lineRule="auto"/>
              <w:rPr>
                <w:lang w:val="lt-LT"/>
              </w:rPr>
            </w:pPr>
            <w:r w:rsidRPr="009E1D6E">
              <w:rPr>
                <w:lang w:val="lt-LT"/>
              </w:rPr>
              <w:t>B</w:t>
            </w:r>
            <w:r w:rsidR="00040EEF" w:rsidRPr="009E1D6E">
              <w:rPr>
                <w:lang w:val="lt-LT"/>
              </w:rPr>
              <w:t>eveik visiško simptomų išnykimo</w:t>
            </w:r>
            <w:r w:rsidR="00E87C8C" w:rsidRPr="009E1D6E">
              <w:rPr>
                <w:lang w:val="lt-LT"/>
              </w:rPr>
              <w:t xml:space="preserve"> </w:t>
            </w:r>
            <w:r w:rsidRPr="00801AE4">
              <w:rPr>
                <w:lang w:val="lt-LT"/>
              </w:rPr>
              <w:t xml:space="preserve">mediana </w:t>
            </w:r>
            <w:r w:rsidR="00E87C8C" w:rsidRPr="006E0BDC">
              <w:rPr>
                <w:lang w:val="lt-LT"/>
              </w:rPr>
              <w:t>(val.</w:t>
            </w:r>
            <w:r w:rsidR="00040EEF" w:rsidRPr="00F16A09">
              <w:rPr>
                <w:lang w:val="lt-LT"/>
              </w:rPr>
              <w:t>)</w:t>
            </w:r>
          </w:p>
        </w:tc>
        <w:tc>
          <w:tcPr>
            <w:tcW w:w="1292" w:type="dxa"/>
            <w:tcBorders>
              <w:top w:val="single" w:sz="4" w:space="0" w:color="auto"/>
              <w:left w:val="single" w:sz="4" w:space="0" w:color="auto"/>
              <w:bottom w:val="single" w:sz="4" w:space="0" w:color="auto"/>
              <w:right w:val="single" w:sz="4" w:space="0" w:color="auto"/>
            </w:tcBorders>
          </w:tcPr>
          <w:p w14:paraId="2EDF762F" w14:textId="77777777" w:rsidR="00040EEF" w:rsidRPr="00F16A09" w:rsidRDefault="00040EEF" w:rsidP="00040EEF">
            <w:pPr>
              <w:spacing w:line="240" w:lineRule="auto"/>
              <w:rPr>
                <w:lang w:val="lt-LT"/>
              </w:rPr>
            </w:pPr>
          </w:p>
        </w:tc>
        <w:tc>
          <w:tcPr>
            <w:tcW w:w="1548" w:type="dxa"/>
            <w:tcBorders>
              <w:top w:val="single" w:sz="4" w:space="0" w:color="auto"/>
              <w:left w:val="single" w:sz="4" w:space="0" w:color="auto"/>
              <w:bottom w:val="single" w:sz="4" w:space="0" w:color="auto"/>
              <w:right w:val="single" w:sz="4" w:space="0" w:color="auto"/>
            </w:tcBorders>
          </w:tcPr>
          <w:p w14:paraId="4DC5C84F" w14:textId="77777777" w:rsidR="00040EEF" w:rsidRPr="00E8737A" w:rsidRDefault="00040EEF" w:rsidP="00040EEF">
            <w:pPr>
              <w:spacing w:line="240" w:lineRule="auto"/>
              <w:rPr>
                <w:lang w:val="lt-LT"/>
              </w:rPr>
            </w:pPr>
          </w:p>
        </w:tc>
        <w:tc>
          <w:tcPr>
            <w:tcW w:w="1844" w:type="dxa"/>
            <w:tcBorders>
              <w:top w:val="single" w:sz="4" w:space="0" w:color="auto"/>
              <w:left w:val="single" w:sz="4" w:space="0" w:color="auto"/>
              <w:bottom w:val="single" w:sz="4" w:space="0" w:color="auto"/>
              <w:right w:val="single" w:sz="4" w:space="0" w:color="auto"/>
            </w:tcBorders>
            <w:hideMark/>
          </w:tcPr>
          <w:p w14:paraId="37A2535E" w14:textId="77777777" w:rsidR="00040EEF" w:rsidRPr="00F16A09" w:rsidRDefault="009E1D6E" w:rsidP="00E87C8C">
            <w:pPr>
              <w:spacing w:line="240" w:lineRule="auto"/>
              <w:rPr>
                <w:lang w:val="lt-LT"/>
              </w:rPr>
            </w:pPr>
            <w:r w:rsidRPr="009E1D6E">
              <w:rPr>
                <w:lang w:val="lt-LT"/>
              </w:rPr>
              <w:t>B</w:t>
            </w:r>
            <w:r w:rsidR="00DB2652" w:rsidRPr="009E1D6E">
              <w:rPr>
                <w:lang w:val="lt-LT"/>
              </w:rPr>
              <w:t xml:space="preserve">eveik visiško simptomų išnykimo </w:t>
            </w:r>
            <w:r w:rsidRPr="009E1D6E">
              <w:rPr>
                <w:lang w:val="lt-LT"/>
              </w:rPr>
              <w:t xml:space="preserve">mediana </w:t>
            </w:r>
            <w:r w:rsidR="00DB2652" w:rsidRPr="00801AE4">
              <w:rPr>
                <w:lang w:val="lt-LT"/>
              </w:rPr>
              <w:t>(val</w:t>
            </w:r>
            <w:r w:rsidR="00E87C8C" w:rsidRPr="006E0BDC">
              <w:rPr>
                <w:lang w:val="lt-LT"/>
              </w:rPr>
              <w:t>.</w:t>
            </w:r>
            <w:r w:rsidR="00DB2652" w:rsidRPr="00F16A09">
              <w:rPr>
                <w:lang w:val="lt-LT"/>
              </w:rPr>
              <w:t>)</w:t>
            </w:r>
          </w:p>
        </w:tc>
        <w:tc>
          <w:tcPr>
            <w:tcW w:w="1292" w:type="dxa"/>
            <w:tcBorders>
              <w:top w:val="single" w:sz="4" w:space="0" w:color="auto"/>
              <w:left w:val="single" w:sz="4" w:space="0" w:color="auto"/>
              <w:bottom w:val="single" w:sz="4" w:space="0" w:color="auto"/>
              <w:right w:val="single" w:sz="4" w:space="0" w:color="auto"/>
            </w:tcBorders>
          </w:tcPr>
          <w:p w14:paraId="696520BA" w14:textId="77777777" w:rsidR="00040EEF" w:rsidRPr="004453A7" w:rsidRDefault="00040EEF" w:rsidP="00040EEF">
            <w:pPr>
              <w:spacing w:line="240" w:lineRule="auto"/>
              <w:rPr>
                <w:lang w:val="lt-LT"/>
              </w:rPr>
            </w:pPr>
          </w:p>
        </w:tc>
        <w:tc>
          <w:tcPr>
            <w:tcW w:w="1548" w:type="dxa"/>
            <w:tcBorders>
              <w:top w:val="single" w:sz="4" w:space="0" w:color="auto"/>
              <w:left w:val="single" w:sz="4" w:space="0" w:color="auto"/>
              <w:bottom w:val="single" w:sz="4" w:space="0" w:color="auto"/>
              <w:right w:val="single" w:sz="4" w:space="0" w:color="auto"/>
            </w:tcBorders>
          </w:tcPr>
          <w:p w14:paraId="67A568C4" w14:textId="77777777" w:rsidR="00040EEF" w:rsidRPr="004453A7" w:rsidRDefault="00040EEF" w:rsidP="00040EEF">
            <w:pPr>
              <w:spacing w:line="240" w:lineRule="auto"/>
              <w:rPr>
                <w:lang w:val="lt-LT"/>
              </w:rPr>
            </w:pPr>
          </w:p>
        </w:tc>
      </w:tr>
      <w:tr w:rsidR="00040EEF" w:rsidRPr="004453A7" w14:paraId="6F5D9C03"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5A6410E6" w14:textId="77777777" w:rsidR="00040EEF" w:rsidRPr="009E1D6E" w:rsidRDefault="00040EEF" w:rsidP="00040EEF">
            <w:pPr>
              <w:spacing w:line="240" w:lineRule="auto"/>
              <w:rPr>
                <w:lang w:val="lt-LT"/>
              </w:rPr>
            </w:pPr>
            <w:r w:rsidRPr="009E1D6E">
              <w:rPr>
                <w:lang w:val="lt-LT"/>
              </w:rPr>
              <w:t>Visi priepuoliai (N = 74)</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BE93C38" w14:textId="77777777" w:rsidR="00040EEF" w:rsidRPr="00F16A09" w:rsidRDefault="00040EEF" w:rsidP="00DB2652">
            <w:pPr>
              <w:spacing w:line="240" w:lineRule="auto"/>
              <w:jc w:val="center"/>
              <w:rPr>
                <w:lang w:val="lt-LT"/>
              </w:rPr>
            </w:pPr>
            <w:r w:rsidRPr="00801AE4">
              <w:rPr>
                <w:lang w:val="lt-LT"/>
              </w:rPr>
              <w:t>10</w:t>
            </w:r>
            <w:r w:rsidR="00DB2652" w:rsidRPr="006E0BDC">
              <w:rPr>
                <w:lang w:val="lt-LT"/>
              </w:rPr>
              <w:t>,</w:t>
            </w:r>
            <w:r w:rsidRPr="00F16A09">
              <w:rPr>
                <w:lang w:val="lt-LT"/>
              </w:rPr>
              <w:t>0</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DB80310" w14:textId="77777777" w:rsidR="00040EEF" w:rsidRPr="00E8737A" w:rsidRDefault="00040EEF" w:rsidP="00DB2652">
            <w:pPr>
              <w:spacing w:line="240" w:lineRule="auto"/>
              <w:jc w:val="center"/>
              <w:rPr>
                <w:lang w:val="lt-LT"/>
              </w:rPr>
            </w:pPr>
            <w:r w:rsidRPr="00F16A09">
              <w:rPr>
                <w:lang w:val="lt-LT"/>
              </w:rPr>
              <w:t>51</w:t>
            </w:r>
            <w:r w:rsidR="00DB2652" w:rsidRPr="00E8737A">
              <w:rPr>
                <w:lang w:val="lt-LT"/>
              </w:rPr>
              <w:t>,</w:t>
            </w:r>
            <w:r w:rsidRPr="00E8737A">
              <w:rPr>
                <w:lang w:val="lt-LT"/>
              </w:rPr>
              <w:t>0</w:t>
            </w:r>
          </w:p>
        </w:tc>
        <w:tc>
          <w:tcPr>
            <w:tcW w:w="1844" w:type="dxa"/>
            <w:tcBorders>
              <w:top w:val="single" w:sz="4" w:space="0" w:color="auto"/>
              <w:left w:val="single" w:sz="4" w:space="0" w:color="auto"/>
              <w:bottom w:val="single" w:sz="4" w:space="0" w:color="auto"/>
              <w:right w:val="single" w:sz="4" w:space="0" w:color="auto"/>
            </w:tcBorders>
            <w:hideMark/>
          </w:tcPr>
          <w:p w14:paraId="275A6B09" w14:textId="77777777" w:rsidR="00040EEF" w:rsidRPr="009E1D6E" w:rsidRDefault="00DB2652" w:rsidP="00040EEF">
            <w:pPr>
              <w:spacing w:line="240" w:lineRule="auto"/>
              <w:rPr>
                <w:lang w:val="lt-LT"/>
              </w:rPr>
            </w:pPr>
            <w:r w:rsidRPr="009E1D6E">
              <w:rPr>
                <w:lang w:val="lt-LT"/>
              </w:rPr>
              <w:t>Visi priepuoliai (N = 56)</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2C8F32A" w14:textId="77777777" w:rsidR="00040EEF" w:rsidRPr="004453A7" w:rsidRDefault="00DB2652" w:rsidP="00040EEF">
            <w:pPr>
              <w:spacing w:line="240" w:lineRule="auto"/>
              <w:jc w:val="center"/>
              <w:rPr>
                <w:lang w:val="lt-LT"/>
              </w:rPr>
            </w:pPr>
            <w:r w:rsidRPr="004453A7">
              <w:rPr>
                <w:lang w:val="lt-LT"/>
              </w:rPr>
              <w:t>8,</w:t>
            </w:r>
            <w:r w:rsidR="00040EEF" w:rsidRPr="004453A7">
              <w:rPr>
                <w:lang w:val="lt-LT"/>
              </w:rPr>
              <w:t>5</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2256342" w14:textId="77777777" w:rsidR="00040EEF" w:rsidRPr="004453A7" w:rsidRDefault="00040EEF" w:rsidP="00DB2652">
            <w:pPr>
              <w:spacing w:line="240" w:lineRule="auto"/>
              <w:jc w:val="center"/>
              <w:rPr>
                <w:lang w:val="lt-LT"/>
              </w:rPr>
            </w:pPr>
            <w:r w:rsidRPr="004453A7">
              <w:rPr>
                <w:lang w:val="lt-LT"/>
              </w:rPr>
              <w:t>19</w:t>
            </w:r>
            <w:r w:rsidR="00DB2652" w:rsidRPr="004453A7">
              <w:rPr>
                <w:lang w:val="lt-LT"/>
              </w:rPr>
              <w:t>,</w:t>
            </w:r>
            <w:r w:rsidRPr="004453A7">
              <w:rPr>
                <w:lang w:val="lt-LT"/>
              </w:rPr>
              <w:t>4</w:t>
            </w:r>
          </w:p>
        </w:tc>
      </w:tr>
      <w:tr w:rsidR="00040EEF" w:rsidRPr="005542E1" w14:paraId="14EAFFA7"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75371267" w14:textId="77777777" w:rsidR="00040EEF" w:rsidRPr="009E1D6E" w:rsidRDefault="009E1D6E" w:rsidP="00E87C8C">
            <w:pPr>
              <w:spacing w:line="240" w:lineRule="auto"/>
              <w:rPr>
                <w:lang w:val="lt-LT"/>
              </w:rPr>
            </w:pPr>
            <w:r w:rsidRPr="009E1D6E">
              <w:rPr>
                <w:lang w:val="lt-LT"/>
              </w:rPr>
              <w:t>S</w:t>
            </w:r>
            <w:r w:rsidR="00040EEF" w:rsidRPr="009E1D6E">
              <w:rPr>
                <w:lang w:val="lt-LT"/>
              </w:rPr>
              <w:t xml:space="preserve">imptomų regresijos, pagal pacientą </w:t>
            </w:r>
            <w:r w:rsidRPr="009E1D6E">
              <w:rPr>
                <w:lang w:val="lt-LT"/>
              </w:rPr>
              <w:t xml:space="preserve">mediana </w:t>
            </w:r>
            <w:r w:rsidR="00040EEF" w:rsidRPr="009E1D6E">
              <w:rPr>
                <w:lang w:val="lt-LT"/>
              </w:rPr>
              <w:t>(val</w:t>
            </w:r>
            <w:r w:rsidR="00E87C8C" w:rsidRPr="009E1D6E">
              <w:rPr>
                <w:lang w:val="lt-LT"/>
              </w:rPr>
              <w:t>.</w:t>
            </w:r>
            <w:r w:rsidR="00040EEF" w:rsidRPr="009E1D6E">
              <w:rPr>
                <w:lang w:val="lt-LT"/>
              </w:rPr>
              <w:t>)</w:t>
            </w:r>
          </w:p>
        </w:tc>
        <w:tc>
          <w:tcPr>
            <w:tcW w:w="1292" w:type="dxa"/>
            <w:tcBorders>
              <w:top w:val="single" w:sz="4" w:space="0" w:color="auto"/>
              <w:left w:val="single" w:sz="4" w:space="0" w:color="auto"/>
              <w:bottom w:val="single" w:sz="4" w:space="0" w:color="auto"/>
              <w:right w:val="single" w:sz="4" w:space="0" w:color="auto"/>
            </w:tcBorders>
            <w:vAlign w:val="center"/>
          </w:tcPr>
          <w:p w14:paraId="5CC9FF2A" w14:textId="77777777" w:rsidR="00040EEF" w:rsidRPr="00801AE4" w:rsidRDefault="00040EEF" w:rsidP="00040EEF">
            <w:pPr>
              <w:spacing w:line="240" w:lineRule="auto"/>
              <w:jc w:val="center"/>
              <w:rPr>
                <w:lang w:val="lt-LT"/>
              </w:rPr>
            </w:pPr>
          </w:p>
        </w:tc>
        <w:tc>
          <w:tcPr>
            <w:tcW w:w="1548" w:type="dxa"/>
            <w:tcBorders>
              <w:top w:val="single" w:sz="4" w:space="0" w:color="auto"/>
              <w:left w:val="single" w:sz="4" w:space="0" w:color="auto"/>
              <w:bottom w:val="single" w:sz="4" w:space="0" w:color="auto"/>
              <w:right w:val="single" w:sz="4" w:space="0" w:color="auto"/>
            </w:tcBorders>
            <w:vAlign w:val="center"/>
          </w:tcPr>
          <w:p w14:paraId="4C4ED0F0" w14:textId="77777777" w:rsidR="00040EEF" w:rsidRPr="00F16A09" w:rsidRDefault="00040EEF" w:rsidP="00040EEF">
            <w:pPr>
              <w:spacing w:line="240" w:lineRule="auto"/>
              <w:jc w:val="center"/>
              <w:rPr>
                <w:lang w:val="lt-LT"/>
              </w:rPr>
            </w:pPr>
          </w:p>
        </w:tc>
        <w:tc>
          <w:tcPr>
            <w:tcW w:w="1844" w:type="dxa"/>
            <w:tcBorders>
              <w:top w:val="single" w:sz="4" w:space="0" w:color="auto"/>
              <w:left w:val="single" w:sz="4" w:space="0" w:color="auto"/>
              <w:bottom w:val="single" w:sz="4" w:space="0" w:color="auto"/>
              <w:right w:val="single" w:sz="4" w:space="0" w:color="auto"/>
            </w:tcBorders>
            <w:hideMark/>
          </w:tcPr>
          <w:p w14:paraId="06B2697F" w14:textId="77777777" w:rsidR="00040EEF" w:rsidRPr="009E1D6E" w:rsidRDefault="009E1D6E" w:rsidP="00E87C8C">
            <w:pPr>
              <w:spacing w:line="240" w:lineRule="auto"/>
              <w:rPr>
                <w:lang w:val="lt-LT"/>
              </w:rPr>
            </w:pPr>
            <w:r w:rsidRPr="009E1D6E">
              <w:rPr>
                <w:lang w:val="lt-LT"/>
              </w:rPr>
              <w:t>S</w:t>
            </w:r>
            <w:r w:rsidR="00DB2652" w:rsidRPr="009E1D6E">
              <w:rPr>
                <w:lang w:val="lt-LT"/>
              </w:rPr>
              <w:t xml:space="preserve">imptomų regresijos, pagal pacientą </w:t>
            </w:r>
            <w:r w:rsidRPr="009E1D6E">
              <w:rPr>
                <w:lang w:val="lt-LT"/>
              </w:rPr>
              <w:t xml:space="preserve">mediana </w:t>
            </w:r>
            <w:r w:rsidR="00DB2652" w:rsidRPr="009E1D6E">
              <w:rPr>
                <w:lang w:val="lt-LT"/>
              </w:rPr>
              <w:t>(val</w:t>
            </w:r>
            <w:r w:rsidR="00E87C8C" w:rsidRPr="009E1D6E">
              <w:rPr>
                <w:lang w:val="lt-LT"/>
              </w:rPr>
              <w:t>.</w:t>
            </w:r>
            <w:r w:rsidR="00DB2652" w:rsidRPr="009E1D6E">
              <w:rPr>
                <w:lang w:val="lt-LT"/>
              </w:rPr>
              <w:t>)</w:t>
            </w:r>
          </w:p>
        </w:tc>
        <w:tc>
          <w:tcPr>
            <w:tcW w:w="1292" w:type="dxa"/>
            <w:tcBorders>
              <w:top w:val="single" w:sz="4" w:space="0" w:color="auto"/>
              <w:left w:val="single" w:sz="4" w:space="0" w:color="auto"/>
              <w:bottom w:val="single" w:sz="4" w:space="0" w:color="auto"/>
              <w:right w:val="single" w:sz="4" w:space="0" w:color="auto"/>
            </w:tcBorders>
            <w:vAlign w:val="center"/>
          </w:tcPr>
          <w:p w14:paraId="0585EC9B" w14:textId="77777777" w:rsidR="00040EEF" w:rsidRPr="004453A7" w:rsidRDefault="00040EEF" w:rsidP="00040EEF">
            <w:pPr>
              <w:spacing w:line="240" w:lineRule="auto"/>
              <w:jc w:val="center"/>
              <w:rPr>
                <w:lang w:val="lt-LT"/>
              </w:rPr>
            </w:pPr>
          </w:p>
        </w:tc>
        <w:tc>
          <w:tcPr>
            <w:tcW w:w="1548" w:type="dxa"/>
            <w:tcBorders>
              <w:top w:val="single" w:sz="4" w:space="0" w:color="auto"/>
              <w:left w:val="single" w:sz="4" w:space="0" w:color="auto"/>
              <w:bottom w:val="single" w:sz="4" w:space="0" w:color="auto"/>
              <w:right w:val="single" w:sz="4" w:space="0" w:color="auto"/>
            </w:tcBorders>
            <w:vAlign w:val="center"/>
          </w:tcPr>
          <w:p w14:paraId="7DD2A403" w14:textId="77777777" w:rsidR="00040EEF" w:rsidRPr="004453A7" w:rsidRDefault="00040EEF" w:rsidP="00040EEF">
            <w:pPr>
              <w:spacing w:line="240" w:lineRule="auto"/>
              <w:jc w:val="center"/>
              <w:rPr>
                <w:lang w:val="lt-LT"/>
              </w:rPr>
            </w:pPr>
          </w:p>
        </w:tc>
      </w:tr>
      <w:tr w:rsidR="00040EEF" w:rsidRPr="004453A7" w14:paraId="558591C5"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165E6730" w14:textId="77777777" w:rsidR="00040EEF" w:rsidRPr="004453A7" w:rsidRDefault="00040EEF" w:rsidP="00040EEF">
            <w:pPr>
              <w:spacing w:line="240" w:lineRule="auto"/>
              <w:rPr>
                <w:lang w:val="lt-LT"/>
              </w:rPr>
            </w:pPr>
            <w:r w:rsidRPr="004453A7">
              <w:rPr>
                <w:lang w:val="lt-LT"/>
              </w:rPr>
              <w:t>Visi priepuoliai (N = 74)</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EA954C9" w14:textId="77777777" w:rsidR="00040EEF" w:rsidRPr="004453A7" w:rsidRDefault="00DB2652" w:rsidP="00040EEF">
            <w:pPr>
              <w:spacing w:line="240" w:lineRule="auto"/>
              <w:jc w:val="center"/>
              <w:rPr>
                <w:lang w:val="lt-LT"/>
              </w:rPr>
            </w:pPr>
            <w:r w:rsidRPr="004453A7">
              <w:rPr>
                <w:lang w:val="lt-LT"/>
              </w:rPr>
              <w:t>0,</w:t>
            </w:r>
            <w:r w:rsidR="00040EEF" w:rsidRPr="004453A7">
              <w:rPr>
                <w:lang w:val="lt-LT"/>
              </w:rPr>
              <w:t>8</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1266D47" w14:textId="77777777" w:rsidR="00040EEF" w:rsidRPr="004453A7" w:rsidRDefault="00DB2652" w:rsidP="00040EEF">
            <w:pPr>
              <w:spacing w:line="240" w:lineRule="auto"/>
              <w:jc w:val="center"/>
              <w:rPr>
                <w:lang w:val="lt-LT"/>
              </w:rPr>
            </w:pPr>
            <w:r w:rsidRPr="004453A7">
              <w:rPr>
                <w:lang w:val="lt-LT"/>
              </w:rPr>
              <w:t>7,</w:t>
            </w:r>
            <w:r w:rsidR="00040EEF" w:rsidRPr="004453A7">
              <w:rPr>
                <w:lang w:val="lt-LT"/>
              </w:rPr>
              <w:t>9</w:t>
            </w:r>
          </w:p>
        </w:tc>
        <w:tc>
          <w:tcPr>
            <w:tcW w:w="1844" w:type="dxa"/>
            <w:tcBorders>
              <w:top w:val="single" w:sz="4" w:space="0" w:color="auto"/>
              <w:left w:val="single" w:sz="4" w:space="0" w:color="auto"/>
              <w:bottom w:val="single" w:sz="4" w:space="0" w:color="auto"/>
              <w:right w:val="single" w:sz="4" w:space="0" w:color="auto"/>
            </w:tcBorders>
            <w:hideMark/>
          </w:tcPr>
          <w:p w14:paraId="3A3AF07F" w14:textId="77777777" w:rsidR="00040EEF" w:rsidRPr="004453A7" w:rsidRDefault="00DB2652" w:rsidP="00040EEF">
            <w:pPr>
              <w:spacing w:line="240" w:lineRule="auto"/>
              <w:rPr>
                <w:lang w:val="lt-LT"/>
              </w:rPr>
            </w:pPr>
            <w:r w:rsidRPr="004453A7">
              <w:rPr>
                <w:lang w:val="lt-LT"/>
              </w:rPr>
              <w:t>Visi priepuoliai (N = 56)</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228F85B" w14:textId="77777777" w:rsidR="00040EEF" w:rsidRPr="004453A7" w:rsidRDefault="00040EEF" w:rsidP="00DB2652">
            <w:pPr>
              <w:spacing w:line="240" w:lineRule="auto"/>
              <w:jc w:val="center"/>
              <w:rPr>
                <w:lang w:val="lt-LT"/>
              </w:rPr>
            </w:pPr>
            <w:r w:rsidRPr="004453A7">
              <w:rPr>
                <w:lang w:val="lt-LT"/>
              </w:rPr>
              <w:t>0</w:t>
            </w:r>
            <w:r w:rsidR="00DB2652" w:rsidRPr="004453A7">
              <w:rPr>
                <w:lang w:val="lt-LT"/>
              </w:rPr>
              <w:t>,</w:t>
            </w:r>
            <w:r w:rsidRPr="004453A7">
              <w:rPr>
                <w:lang w:val="lt-LT"/>
              </w:rPr>
              <w:t>8</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8CC6D2F" w14:textId="77777777" w:rsidR="00040EEF" w:rsidRPr="004453A7" w:rsidRDefault="00DB2652" w:rsidP="00040EEF">
            <w:pPr>
              <w:spacing w:line="240" w:lineRule="auto"/>
              <w:jc w:val="center"/>
              <w:rPr>
                <w:lang w:val="lt-LT"/>
              </w:rPr>
            </w:pPr>
            <w:r w:rsidRPr="004453A7">
              <w:rPr>
                <w:lang w:val="lt-LT"/>
              </w:rPr>
              <w:t>16,</w:t>
            </w:r>
            <w:r w:rsidR="00040EEF" w:rsidRPr="004453A7">
              <w:rPr>
                <w:lang w:val="lt-LT"/>
              </w:rPr>
              <w:t>9</w:t>
            </w:r>
          </w:p>
        </w:tc>
      </w:tr>
      <w:tr w:rsidR="00040EEF" w:rsidRPr="005542E1" w14:paraId="402C0EE1"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0036207E" w14:textId="77777777" w:rsidR="00040EEF" w:rsidRPr="009E1D6E" w:rsidRDefault="009E1D6E" w:rsidP="00040EEF">
            <w:pPr>
              <w:spacing w:line="240" w:lineRule="auto"/>
              <w:rPr>
                <w:lang w:val="lt-LT"/>
              </w:rPr>
            </w:pPr>
            <w:r w:rsidRPr="009E1D6E">
              <w:rPr>
                <w:lang w:val="lt-LT"/>
              </w:rPr>
              <w:t>G</w:t>
            </w:r>
            <w:r w:rsidR="00040EEF" w:rsidRPr="009E1D6E">
              <w:rPr>
                <w:lang w:val="lt-LT"/>
              </w:rPr>
              <w:t>alutinio pacientų sveikatos pagerėjimo, pagal gydytoją</w:t>
            </w:r>
            <w:r w:rsidR="00DB2652" w:rsidRPr="009E1D6E">
              <w:rPr>
                <w:lang w:val="lt-LT"/>
              </w:rPr>
              <w:t xml:space="preserve"> </w:t>
            </w:r>
            <w:r w:rsidRPr="009E1D6E">
              <w:rPr>
                <w:lang w:val="lt-LT"/>
              </w:rPr>
              <w:t xml:space="preserve">mediana </w:t>
            </w:r>
            <w:r w:rsidR="00DB2652" w:rsidRPr="009E1D6E">
              <w:rPr>
                <w:lang w:val="lt-LT"/>
              </w:rPr>
              <w:t>(val.)</w:t>
            </w:r>
          </w:p>
        </w:tc>
        <w:tc>
          <w:tcPr>
            <w:tcW w:w="1292" w:type="dxa"/>
            <w:tcBorders>
              <w:top w:val="single" w:sz="4" w:space="0" w:color="auto"/>
              <w:left w:val="single" w:sz="4" w:space="0" w:color="auto"/>
              <w:bottom w:val="single" w:sz="4" w:space="0" w:color="auto"/>
              <w:right w:val="single" w:sz="4" w:space="0" w:color="auto"/>
            </w:tcBorders>
            <w:vAlign w:val="center"/>
          </w:tcPr>
          <w:p w14:paraId="378920CB" w14:textId="77777777" w:rsidR="00040EEF" w:rsidRPr="009E1D6E" w:rsidRDefault="00040EEF" w:rsidP="00040EEF">
            <w:pPr>
              <w:spacing w:line="240" w:lineRule="auto"/>
              <w:jc w:val="center"/>
              <w:rPr>
                <w:lang w:val="lt-LT"/>
              </w:rPr>
            </w:pPr>
          </w:p>
        </w:tc>
        <w:tc>
          <w:tcPr>
            <w:tcW w:w="1548" w:type="dxa"/>
            <w:tcBorders>
              <w:top w:val="single" w:sz="4" w:space="0" w:color="auto"/>
              <w:left w:val="single" w:sz="4" w:space="0" w:color="auto"/>
              <w:bottom w:val="single" w:sz="4" w:space="0" w:color="auto"/>
              <w:right w:val="single" w:sz="4" w:space="0" w:color="auto"/>
            </w:tcBorders>
            <w:vAlign w:val="center"/>
          </w:tcPr>
          <w:p w14:paraId="22BBED3B" w14:textId="77777777" w:rsidR="00040EEF" w:rsidRPr="009E1D6E" w:rsidRDefault="00040EEF" w:rsidP="00040EEF">
            <w:pPr>
              <w:spacing w:line="240" w:lineRule="auto"/>
              <w:jc w:val="center"/>
              <w:rPr>
                <w:lang w:val="lt-LT"/>
              </w:rPr>
            </w:pPr>
          </w:p>
        </w:tc>
        <w:tc>
          <w:tcPr>
            <w:tcW w:w="1844" w:type="dxa"/>
            <w:tcBorders>
              <w:top w:val="single" w:sz="4" w:space="0" w:color="auto"/>
              <w:left w:val="single" w:sz="4" w:space="0" w:color="auto"/>
              <w:bottom w:val="single" w:sz="4" w:space="0" w:color="auto"/>
              <w:right w:val="single" w:sz="4" w:space="0" w:color="auto"/>
            </w:tcBorders>
            <w:hideMark/>
          </w:tcPr>
          <w:p w14:paraId="1E88BE5D" w14:textId="77777777" w:rsidR="00040EEF" w:rsidRPr="009E1D6E" w:rsidRDefault="009E1D6E" w:rsidP="00040EEF">
            <w:pPr>
              <w:spacing w:line="240" w:lineRule="auto"/>
              <w:rPr>
                <w:lang w:val="lt-LT"/>
              </w:rPr>
            </w:pPr>
            <w:r w:rsidRPr="009E1D6E">
              <w:rPr>
                <w:lang w:val="lt-LT"/>
              </w:rPr>
              <w:t>G</w:t>
            </w:r>
            <w:r w:rsidR="00DB2652" w:rsidRPr="009E1D6E">
              <w:rPr>
                <w:lang w:val="lt-LT"/>
              </w:rPr>
              <w:t xml:space="preserve">alutinio pacientų sveikatos pagerėjimo, pagal gydytoją </w:t>
            </w:r>
            <w:r w:rsidRPr="009E1D6E">
              <w:rPr>
                <w:lang w:val="lt-LT"/>
              </w:rPr>
              <w:t xml:space="preserve">mediana </w:t>
            </w:r>
            <w:r w:rsidR="00DB2652" w:rsidRPr="009E1D6E">
              <w:rPr>
                <w:lang w:val="lt-LT"/>
              </w:rPr>
              <w:t>(val.)</w:t>
            </w:r>
          </w:p>
        </w:tc>
        <w:tc>
          <w:tcPr>
            <w:tcW w:w="1292" w:type="dxa"/>
            <w:tcBorders>
              <w:top w:val="single" w:sz="4" w:space="0" w:color="auto"/>
              <w:left w:val="single" w:sz="4" w:space="0" w:color="auto"/>
              <w:bottom w:val="single" w:sz="4" w:space="0" w:color="auto"/>
              <w:right w:val="single" w:sz="4" w:space="0" w:color="auto"/>
            </w:tcBorders>
            <w:vAlign w:val="center"/>
          </w:tcPr>
          <w:p w14:paraId="7EFBA5A9" w14:textId="77777777" w:rsidR="00040EEF" w:rsidRPr="004453A7" w:rsidRDefault="00040EEF" w:rsidP="00040EEF">
            <w:pPr>
              <w:spacing w:line="240" w:lineRule="auto"/>
              <w:jc w:val="center"/>
              <w:rPr>
                <w:lang w:val="lt-LT"/>
              </w:rPr>
            </w:pPr>
          </w:p>
        </w:tc>
        <w:tc>
          <w:tcPr>
            <w:tcW w:w="1548" w:type="dxa"/>
            <w:tcBorders>
              <w:top w:val="single" w:sz="4" w:space="0" w:color="auto"/>
              <w:left w:val="single" w:sz="4" w:space="0" w:color="auto"/>
              <w:bottom w:val="single" w:sz="4" w:space="0" w:color="auto"/>
              <w:right w:val="single" w:sz="4" w:space="0" w:color="auto"/>
            </w:tcBorders>
            <w:vAlign w:val="center"/>
          </w:tcPr>
          <w:p w14:paraId="170F4739" w14:textId="77777777" w:rsidR="00040EEF" w:rsidRPr="004453A7" w:rsidRDefault="00040EEF" w:rsidP="00040EEF">
            <w:pPr>
              <w:spacing w:line="240" w:lineRule="auto"/>
              <w:jc w:val="center"/>
              <w:rPr>
                <w:lang w:val="lt-LT"/>
              </w:rPr>
            </w:pPr>
          </w:p>
        </w:tc>
      </w:tr>
      <w:tr w:rsidR="00040EEF" w:rsidRPr="004453A7" w14:paraId="222A9CCA" w14:textId="77777777" w:rsidTr="00040EEF">
        <w:tc>
          <w:tcPr>
            <w:tcW w:w="1809" w:type="dxa"/>
            <w:tcBorders>
              <w:top w:val="single" w:sz="4" w:space="0" w:color="auto"/>
              <w:left w:val="single" w:sz="4" w:space="0" w:color="auto"/>
              <w:bottom w:val="single" w:sz="4" w:space="0" w:color="auto"/>
              <w:right w:val="single" w:sz="4" w:space="0" w:color="auto"/>
            </w:tcBorders>
            <w:hideMark/>
          </w:tcPr>
          <w:p w14:paraId="754397EA" w14:textId="77777777" w:rsidR="00040EEF" w:rsidRPr="004453A7" w:rsidRDefault="00040EEF" w:rsidP="00040EEF">
            <w:pPr>
              <w:spacing w:line="240" w:lineRule="auto"/>
              <w:rPr>
                <w:highlight w:val="green"/>
                <w:lang w:val="lt-LT"/>
              </w:rPr>
            </w:pPr>
            <w:r w:rsidRPr="009E1D6E">
              <w:rPr>
                <w:lang w:val="lt-LT"/>
              </w:rPr>
              <w:t>Visi priepuoliai (N = 74)</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D27E578" w14:textId="77777777" w:rsidR="00040EEF" w:rsidRPr="004453A7" w:rsidRDefault="00DB2652" w:rsidP="00040EEF">
            <w:pPr>
              <w:spacing w:line="240" w:lineRule="auto"/>
              <w:jc w:val="center"/>
              <w:rPr>
                <w:lang w:val="lt-LT"/>
              </w:rPr>
            </w:pPr>
            <w:r w:rsidRPr="004453A7">
              <w:rPr>
                <w:lang w:val="lt-LT"/>
              </w:rPr>
              <w:t>1,</w:t>
            </w:r>
            <w:r w:rsidR="00040EEF" w:rsidRPr="004453A7">
              <w:rPr>
                <w:lang w:val="lt-LT"/>
              </w:rPr>
              <w:t>5</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E9AF101" w14:textId="77777777" w:rsidR="00040EEF" w:rsidRPr="004453A7" w:rsidRDefault="00DB2652" w:rsidP="00040EEF">
            <w:pPr>
              <w:spacing w:line="240" w:lineRule="auto"/>
              <w:jc w:val="center"/>
              <w:rPr>
                <w:lang w:val="lt-LT"/>
              </w:rPr>
            </w:pPr>
            <w:r w:rsidRPr="004453A7">
              <w:rPr>
                <w:lang w:val="lt-LT"/>
              </w:rPr>
              <w:t>6,</w:t>
            </w:r>
            <w:r w:rsidR="00040EEF" w:rsidRPr="004453A7">
              <w:rPr>
                <w:lang w:val="lt-LT"/>
              </w:rPr>
              <w:t>9</w:t>
            </w:r>
          </w:p>
        </w:tc>
        <w:tc>
          <w:tcPr>
            <w:tcW w:w="1844" w:type="dxa"/>
            <w:tcBorders>
              <w:top w:val="single" w:sz="4" w:space="0" w:color="auto"/>
              <w:left w:val="single" w:sz="4" w:space="0" w:color="auto"/>
              <w:bottom w:val="single" w:sz="4" w:space="0" w:color="auto"/>
              <w:right w:val="single" w:sz="4" w:space="0" w:color="auto"/>
            </w:tcBorders>
            <w:hideMark/>
          </w:tcPr>
          <w:p w14:paraId="591C86FB" w14:textId="77777777" w:rsidR="00040EEF" w:rsidRPr="004453A7" w:rsidRDefault="00DB2652" w:rsidP="00040EEF">
            <w:pPr>
              <w:spacing w:line="240" w:lineRule="auto"/>
              <w:rPr>
                <w:lang w:val="lt-LT"/>
              </w:rPr>
            </w:pPr>
            <w:r w:rsidRPr="004453A7">
              <w:rPr>
                <w:lang w:val="lt-LT"/>
              </w:rPr>
              <w:t>Visi priepuoliai (N = 56)</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673404C" w14:textId="77777777" w:rsidR="00040EEF" w:rsidRPr="004453A7" w:rsidRDefault="00DB2652" w:rsidP="00040EEF">
            <w:pPr>
              <w:spacing w:line="240" w:lineRule="auto"/>
              <w:jc w:val="center"/>
              <w:rPr>
                <w:lang w:val="lt-LT"/>
              </w:rPr>
            </w:pPr>
            <w:r w:rsidRPr="004453A7">
              <w:rPr>
                <w:lang w:val="lt-LT"/>
              </w:rPr>
              <w:t>1,</w:t>
            </w:r>
            <w:r w:rsidR="00040EEF" w:rsidRPr="004453A7">
              <w:rPr>
                <w:lang w:val="lt-LT"/>
              </w:rPr>
              <w:t>0</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E7679C6" w14:textId="77777777" w:rsidR="00040EEF" w:rsidRPr="004453A7" w:rsidRDefault="00DB2652" w:rsidP="00040EEF">
            <w:pPr>
              <w:spacing w:line="240" w:lineRule="auto"/>
              <w:jc w:val="center"/>
              <w:rPr>
                <w:lang w:val="lt-LT"/>
              </w:rPr>
            </w:pPr>
            <w:r w:rsidRPr="004453A7">
              <w:rPr>
                <w:lang w:val="lt-LT"/>
              </w:rPr>
              <w:t>5,</w:t>
            </w:r>
            <w:r w:rsidR="00040EEF" w:rsidRPr="004453A7">
              <w:rPr>
                <w:lang w:val="lt-LT"/>
              </w:rPr>
              <w:t>7</w:t>
            </w:r>
          </w:p>
        </w:tc>
      </w:tr>
    </w:tbl>
    <w:p w14:paraId="57CDAE99" w14:textId="77777777" w:rsidR="00E01BF1" w:rsidRPr="004453A7" w:rsidRDefault="00E01BF1" w:rsidP="00E01BF1">
      <w:pPr>
        <w:spacing w:line="240" w:lineRule="auto"/>
        <w:rPr>
          <w:lang w:val="lt-LT"/>
        </w:rPr>
      </w:pPr>
    </w:p>
    <w:p w14:paraId="08B00CC9" w14:textId="77777777" w:rsidR="00E01BF1" w:rsidRPr="00DC1A53" w:rsidRDefault="0063254E" w:rsidP="00E01BF1">
      <w:pPr>
        <w:spacing w:line="240" w:lineRule="auto"/>
        <w:rPr>
          <w:bCs/>
          <w:u w:val="single"/>
          <w:lang w:val="lt-LT"/>
        </w:rPr>
      </w:pPr>
      <w:r w:rsidRPr="00DC1A53">
        <w:rPr>
          <w:bCs/>
          <w:u w:val="single"/>
          <w:lang w:val="lt-LT"/>
        </w:rPr>
        <w:t>4 lentelė. FAST-3 tyrimo veiksmingumo rezultatai</w:t>
      </w:r>
    </w:p>
    <w:p w14:paraId="64E72F64" w14:textId="77777777" w:rsidR="00E87C8C" w:rsidRPr="00DC1A53" w:rsidRDefault="00E87C8C" w:rsidP="00E01BF1">
      <w:pPr>
        <w:spacing w:line="240" w:lineRule="auto"/>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660"/>
        <w:gridCol w:w="1935"/>
        <w:gridCol w:w="1523"/>
        <w:gridCol w:w="1486"/>
      </w:tblGrid>
      <w:tr w:rsidR="00E01BF1" w:rsidRPr="005542E1" w14:paraId="13B9C848" w14:textId="77777777" w:rsidTr="00E01BF1">
        <w:tc>
          <w:tcPr>
            <w:tcW w:w="9287" w:type="dxa"/>
            <w:gridSpan w:val="5"/>
            <w:tcBorders>
              <w:top w:val="single" w:sz="4" w:space="0" w:color="auto"/>
              <w:left w:val="single" w:sz="4" w:space="0" w:color="auto"/>
              <w:bottom w:val="single" w:sz="4" w:space="0" w:color="auto"/>
              <w:right w:val="single" w:sz="4" w:space="0" w:color="auto"/>
            </w:tcBorders>
            <w:hideMark/>
          </w:tcPr>
          <w:p w14:paraId="14120E42" w14:textId="77777777" w:rsidR="00E01BF1" w:rsidRPr="00DC1A53" w:rsidRDefault="0063254E">
            <w:pPr>
              <w:spacing w:line="240" w:lineRule="auto"/>
              <w:jc w:val="center"/>
              <w:rPr>
                <w:bCs/>
                <w:lang w:val="lt-LT"/>
              </w:rPr>
            </w:pPr>
            <w:r w:rsidRPr="00DC1A53">
              <w:rPr>
                <w:bCs/>
                <w:lang w:val="lt-LT"/>
              </w:rPr>
              <w:t>Veiksmingumo rezultatai: FAST-3; Kontroliuojama fazė -- ITT populiacija</w:t>
            </w:r>
          </w:p>
        </w:tc>
      </w:tr>
      <w:tr w:rsidR="00E01BF1" w:rsidRPr="00DC1A53" w14:paraId="222BEFDF" w14:textId="77777777" w:rsidTr="00E01BF1">
        <w:tc>
          <w:tcPr>
            <w:tcW w:w="2518" w:type="dxa"/>
            <w:tcBorders>
              <w:top w:val="single" w:sz="4" w:space="0" w:color="auto"/>
              <w:left w:val="single" w:sz="4" w:space="0" w:color="auto"/>
              <w:bottom w:val="single" w:sz="4" w:space="0" w:color="auto"/>
              <w:right w:val="single" w:sz="4" w:space="0" w:color="auto"/>
            </w:tcBorders>
            <w:hideMark/>
          </w:tcPr>
          <w:p w14:paraId="59451E83" w14:textId="77777777" w:rsidR="00E01BF1" w:rsidRPr="00DC1A53" w:rsidRDefault="0063254E">
            <w:pPr>
              <w:spacing w:line="240" w:lineRule="auto"/>
              <w:rPr>
                <w:bCs/>
                <w:lang w:val="lt-LT"/>
              </w:rPr>
            </w:pPr>
            <w:r w:rsidRPr="00DC1A53">
              <w:rPr>
                <w:bCs/>
                <w:lang w:val="lt-LT"/>
              </w:rPr>
              <w:t>Vertinimo kriterijus</w:t>
            </w:r>
          </w:p>
        </w:tc>
        <w:tc>
          <w:tcPr>
            <w:tcW w:w="1701" w:type="dxa"/>
            <w:tcBorders>
              <w:top w:val="single" w:sz="4" w:space="0" w:color="auto"/>
              <w:left w:val="single" w:sz="4" w:space="0" w:color="auto"/>
              <w:bottom w:val="single" w:sz="4" w:space="0" w:color="auto"/>
              <w:right w:val="single" w:sz="4" w:space="0" w:color="auto"/>
            </w:tcBorders>
            <w:hideMark/>
          </w:tcPr>
          <w:p w14:paraId="4BB075CF" w14:textId="77777777" w:rsidR="00E01BF1" w:rsidRPr="00DC1A53" w:rsidRDefault="0063254E">
            <w:pPr>
              <w:spacing w:line="240" w:lineRule="auto"/>
              <w:jc w:val="center"/>
              <w:rPr>
                <w:bCs/>
                <w:lang w:val="lt-LT"/>
              </w:rPr>
            </w:pPr>
            <w:r w:rsidRPr="00DC1A53">
              <w:rPr>
                <w:bCs/>
                <w:lang w:val="lt-LT"/>
              </w:rPr>
              <w:t>Statistika</w:t>
            </w:r>
          </w:p>
        </w:tc>
        <w:tc>
          <w:tcPr>
            <w:tcW w:w="1985" w:type="dxa"/>
            <w:tcBorders>
              <w:top w:val="single" w:sz="4" w:space="0" w:color="auto"/>
              <w:left w:val="single" w:sz="4" w:space="0" w:color="auto"/>
              <w:bottom w:val="single" w:sz="4" w:space="0" w:color="auto"/>
              <w:right w:val="single" w:sz="4" w:space="0" w:color="auto"/>
            </w:tcBorders>
            <w:hideMark/>
          </w:tcPr>
          <w:p w14:paraId="4BA46775" w14:textId="77777777" w:rsidR="00E01BF1" w:rsidRPr="00DC1A53" w:rsidRDefault="0063254E">
            <w:pPr>
              <w:spacing w:line="240" w:lineRule="auto"/>
              <w:jc w:val="center"/>
              <w:rPr>
                <w:bCs/>
                <w:lang w:val="lt-LT"/>
              </w:rPr>
            </w:pPr>
            <w:r w:rsidRPr="00DC1A53">
              <w:rPr>
                <w:bCs/>
                <w:lang w:val="lt-LT"/>
              </w:rPr>
              <w:t>Ik</w:t>
            </w:r>
            <w:r w:rsidR="00E01BF1" w:rsidRPr="00DC1A53">
              <w:rPr>
                <w:bCs/>
                <w:lang w:val="lt-LT"/>
              </w:rPr>
              <w:t>atibant</w:t>
            </w:r>
            <w:r w:rsidRPr="00DC1A53">
              <w:rPr>
                <w:bCs/>
                <w:lang w:val="lt-LT"/>
              </w:rPr>
              <w:t>as</w:t>
            </w:r>
          </w:p>
        </w:tc>
        <w:tc>
          <w:tcPr>
            <w:tcW w:w="1559" w:type="dxa"/>
            <w:tcBorders>
              <w:top w:val="single" w:sz="4" w:space="0" w:color="auto"/>
              <w:left w:val="single" w:sz="4" w:space="0" w:color="auto"/>
              <w:bottom w:val="single" w:sz="4" w:space="0" w:color="auto"/>
              <w:right w:val="single" w:sz="4" w:space="0" w:color="auto"/>
            </w:tcBorders>
            <w:hideMark/>
          </w:tcPr>
          <w:p w14:paraId="7D21C47F" w14:textId="77777777" w:rsidR="00E01BF1" w:rsidRPr="00DC1A53" w:rsidRDefault="00E01BF1" w:rsidP="0063254E">
            <w:pPr>
              <w:spacing w:line="240" w:lineRule="auto"/>
              <w:jc w:val="center"/>
              <w:rPr>
                <w:bCs/>
                <w:lang w:val="lt-LT"/>
              </w:rPr>
            </w:pPr>
            <w:r w:rsidRPr="00DC1A53">
              <w:rPr>
                <w:bCs/>
                <w:lang w:val="lt-LT"/>
              </w:rPr>
              <w:t>Placeb</w:t>
            </w:r>
            <w:r w:rsidR="0063254E" w:rsidRPr="00DC1A53">
              <w:rPr>
                <w:bCs/>
                <w:lang w:val="lt-LT"/>
              </w:rPr>
              <w:t>as</w:t>
            </w:r>
          </w:p>
        </w:tc>
        <w:tc>
          <w:tcPr>
            <w:tcW w:w="1524" w:type="dxa"/>
            <w:tcBorders>
              <w:top w:val="single" w:sz="4" w:space="0" w:color="auto"/>
              <w:left w:val="single" w:sz="4" w:space="0" w:color="auto"/>
              <w:bottom w:val="single" w:sz="4" w:space="0" w:color="auto"/>
              <w:right w:val="single" w:sz="4" w:space="0" w:color="auto"/>
            </w:tcBorders>
            <w:hideMark/>
          </w:tcPr>
          <w:p w14:paraId="137C49E7" w14:textId="77777777" w:rsidR="00E01BF1" w:rsidRPr="00DC1A53" w:rsidRDefault="00E01BF1" w:rsidP="0063254E">
            <w:pPr>
              <w:spacing w:line="240" w:lineRule="auto"/>
              <w:jc w:val="center"/>
              <w:rPr>
                <w:bCs/>
                <w:lang w:val="lt-LT"/>
              </w:rPr>
            </w:pPr>
            <w:r w:rsidRPr="00DC1A53">
              <w:rPr>
                <w:bCs/>
                <w:lang w:val="lt-LT"/>
              </w:rPr>
              <w:t>p</w:t>
            </w:r>
            <w:r w:rsidR="0063254E" w:rsidRPr="00DC1A53">
              <w:rPr>
                <w:bCs/>
                <w:lang w:val="lt-LT"/>
              </w:rPr>
              <w:t>-reikšmė</w:t>
            </w:r>
          </w:p>
        </w:tc>
      </w:tr>
      <w:tr w:rsidR="00E01BF1" w:rsidRPr="004453A7" w14:paraId="76553CC5" w14:textId="77777777" w:rsidTr="00E01BF1">
        <w:tc>
          <w:tcPr>
            <w:tcW w:w="2518" w:type="dxa"/>
            <w:tcBorders>
              <w:top w:val="single" w:sz="4" w:space="0" w:color="auto"/>
              <w:left w:val="single" w:sz="4" w:space="0" w:color="auto"/>
              <w:bottom w:val="single" w:sz="4" w:space="0" w:color="auto"/>
              <w:right w:val="single" w:sz="4" w:space="0" w:color="auto"/>
            </w:tcBorders>
          </w:tcPr>
          <w:p w14:paraId="0A9E0665" w14:textId="77777777" w:rsidR="00E01BF1" w:rsidRPr="004453A7" w:rsidRDefault="00E01BF1">
            <w:pPr>
              <w:spacing w:line="240" w:lineRule="auto"/>
              <w:rPr>
                <w:lang w:val="lt-LT"/>
              </w:rPr>
            </w:pPr>
          </w:p>
        </w:tc>
        <w:tc>
          <w:tcPr>
            <w:tcW w:w="1701" w:type="dxa"/>
            <w:tcBorders>
              <w:top w:val="single" w:sz="4" w:space="0" w:color="auto"/>
              <w:left w:val="single" w:sz="4" w:space="0" w:color="auto"/>
              <w:bottom w:val="single" w:sz="4" w:space="0" w:color="auto"/>
              <w:right w:val="single" w:sz="4" w:space="0" w:color="auto"/>
            </w:tcBorders>
          </w:tcPr>
          <w:p w14:paraId="6B6815FF" w14:textId="77777777" w:rsidR="00E01BF1" w:rsidRPr="004453A7" w:rsidRDefault="00E01BF1">
            <w:pPr>
              <w:spacing w:line="240" w:lineRule="auto"/>
              <w:jc w:val="center"/>
              <w:rPr>
                <w:lang w:val="lt-LT"/>
              </w:rPr>
            </w:pPr>
          </w:p>
        </w:tc>
        <w:tc>
          <w:tcPr>
            <w:tcW w:w="1985" w:type="dxa"/>
            <w:tcBorders>
              <w:top w:val="single" w:sz="4" w:space="0" w:color="auto"/>
              <w:left w:val="single" w:sz="4" w:space="0" w:color="auto"/>
              <w:bottom w:val="single" w:sz="4" w:space="0" w:color="auto"/>
              <w:right w:val="single" w:sz="4" w:space="0" w:color="auto"/>
            </w:tcBorders>
            <w:hideMark/>
          </w:tcPr>
          <w:p w14:paraId="1320D884" w14:textId="77777777" w:rsidR="00E01BF1" w:rsidRPr="004453A7" w:rsidRDefault="00E01BF1">
            <w:pPr>
              <w:spacing w:line="240" w:lineRule="auto"/>
              <w:jc w:val="center"/>
              <w:rPr>
                <w:lang w:val="lt-LT"/>
              </w:rPr>
            </w:pPr>
            <w:r w:rsidRPr="004453A7">
              <w:rPr>
                <w:lang w:val="lt-LT"/>
              </w:rPr>
              <w:t>(n = 43)</w:t>
            </w:r>
          </w:p>
        </w:tc>
        <w:tc>
          <w:tcPr>
            <w:tcW w:w="1559" w:type="dxa"/>
            <w:tcBorders>
              <w:top w:val="single" w:sz="4" w:space="0" w:color="auto"/>
              <w:left w:val="single" w:sz="4" w:space="0" w:color="auto"/>
              <w:bottom w:val="single" w:sz="4" w:space="0" w:color="auto"/>
              <w:right w:val="single" w:sz="4" w:space="0" w:color="auto"/>
            </w:tcBorders>
            <w:hideMark/>
          </w:tcPr>
          <w:p w14:paraId="6E1F039C" w14:textId="77777777" w:rsidR="00E01BF1" w:rsidRPr="004453A7" w:rsidRDefault="00E01BF1">
            <w:pPr>
              <w:spacing w:line="240" w:lineRule="auto"/>
              <w:jc w:val="center"/>
              <w:rPr>
                <w:lang w:val="lt-LT"/>
              </w:rPr>
            </w:pPr>
            <w:r w:rsidRPr="004453A7">
              <w:rPr>
                <w:lang w:val="lt-LT"/>
              </w:rPr>
              <w:t>(n = 45)</w:t>
            </w:r>
          </w:p>
        </w:tc>
        <w:tc>
          <w:tcPr>
            <w:tcW w:w="1524" w:type="dxa"/>
            <w:tcBorders>
              <w:top w:val="single" w:sz="4" w:space="0" w:color="auto"/>
              <w:left w:val="single" w:sz="4" w:space="0" w:color="auto"/>
              <w:bottom w:val="single" w:sz="4" w:space="0" w:color="auto"/>
              <w:right w:val="single" w:sz="4" w:space="0" w:color="auto"/>
            </w:tcBorders>
          </w:tcPr>
          <w:p w14:paraId="36DA78B3" w14:textId="77777777" w:rsidR="00E01BF1" w:rsidRPr="004453A7" w:rsidRDefault="00E01BF1">
            <w:pPr>
              <w:spacing w:line="240" w:lineRule="auto"/>
              <w:jc w:val="center"/>
              <w:rPr>
                <w:lang w:val="lt-LT"/>
              </w:rPr>
            </w:pPr>
          </w:p>
        </w:tc>
      </w:tr>
      <w:tr w:rsidR="00E01BF1" w:rsidRPr="004453A7" w14:paraId="51F1BFFB" w14:textId="77777777" w:rsidTr="00E01BF1">
        <w:tc>
          <w:tcPr>
            <w:tcW w:w="2518" w:type="dxa"/>
            <w:tcBorders>
              <w:top w:val="single" w:sz="4" w:space="0" w:color="auto"/>
              <w:left w:val="single" w:sz="4" w:space="0" w:color="auto"/>
              <w:bottom w:val="single" w:sz="4" w:space="0" w:color="auto"/>
              <w:right w:val="single" w:sz="4" w:space="0" w:color="auto"/>
            </w:tcBorders>
            <w:shd w:val="clear" w:color="auto" w:fill="D9D9D9"/>
            <w:hideMark/>
          </w:tcPr>
          <w:p w14:paraId="3F09584A" w14:textId="77777777" w:rsidR="00E01BF1" w:rsidRPr="004453A7" w:rsidRDefault="0063254E">
            <w:pPr>
              <w:spacing w:line="240" w:lineRule="auto"/>
              <w:rPr>
                <w:lang w:val="lt-LT"/>
              </w:rPr>
            </w:pPr>
            <w:r w:rsidRPr="004453A7">
              <w:rPr>
                <w:lang w:val="lt-LT"/>
              </w:rPr>
              <w:t>Pagrindinis 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48CD923" w14:textId="77777777" w:rsidR="00E01BF1" w:rsidRPr="004453A7" w:rsidRDefault="00E01BF1">
            <w:pPr>
              <w:spacing w:line="240" w:lineRule="auto"/>
              <w:rPr>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0A72EDC8" w14:textId="77777777" w:rsidR="00E01BF1" w:rsidRPr="004453A7" w:rsidRDefault="00E01BF1">
            <w:pPr>
              <w:spacing w:line="240" w:lineRule="auto"/>
              <w:rPr>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618D1DE" w14:textId="77777777" w:rsidR="00E01BF1" w:rsidRPr="004453A7" w:rsidRDefault="00E01BF1">
            <w:pPr>
              <w:spacing w:line="240" w:lineRule="auto"/>
              <w:rPr>
                <w:lang w:val="lt-LT"/>
              </w:rPr>
            </w:pPr>
          </w:p>
        </w:tc>
        <w:tc>
          <w:tcPr>
            <w:tcW w:w="1524" w:type="dxa"/>
            <w:tcBorders>
              <w:top w:val="single" w:sz="4" w:space="0" w:color="auto"/>
              <w:left w:val="single" w:sz="4" w:space="0" w:color="auto"/>
              <w:bottom w:val="single" w:sz="4" w:space="0" w:color="auto"/>
              <w:right w:val="single" w:sz="4" w:space="0" w:color="auto"/>
            </w:tcBorders>
            <w:shd w:val="clear" w:color="auto" w:fill="D9D9D9"/>
          </w:tcPr>
          <w:p w14:paraId="3138250A" w14:textId="77777777" w:rsidR="00E01BF1" w:rsidRPr="004453A7" w:rsidRDefault="00E01BF1">
            <w:pPr>
              <w:spacing w:line="240" w:lineRule="auto"/>
              <w:rPr>
                <w:lang w:val="lt-LT"/>
              </w:rPr>
            </w:pPr>
          </w:p>
        </w:tc>
      </w:tr>
      <w:tr w:rsidR="00E01BF1" w:rsidRPr="004453A7" w14:paraId="6E76086F" w14:textId="77777777" w:rsidTr="00E01BF1">
        <w:tc>
          <w:tcPr>
            <w:tcW w:w="2518" w:type="dxa"/>
            <w:tcBorders>
              <w:top w:val="single" w:sz="4" w:space="0" w:color="auto"/>
              <w:left w:val="single" w:sz="4" w:space="0" w:color="auto"/>
              <w:bottom w:val="single" w:sz="4" w:space="0" w:color="auto"/>
              <w:right w:val="single" w:sz="4" w:space="0" w:color="auto"/>
            </w:tcBorders>
            <w:hideMark/>
          </w:tcPr>
          <w:p w14:paraId="425EE7BC" w14:textId="77777777" w:rsidR="00E01BF1" w:rsidRPr="00612370" w:rsidRDefault="0063254E" w:rsidP="00DC1A53">
            <w:pPr>
              <w:spacing w:line="240" w:lineRule="auto"/>
              <w:rPr>
                <w:lang w:val="lt-LT"/>
              </w:rPr>
            </w:pPr>
            <w:r w:rsidRPr="00612370">
              <w:rPr>
                <w:lang w:val="lt-LT"/>
              </w:rPr>
              <w:t>Laikas</w:t>
            </w:r>
            <w:r w:rsidR="00346387" w:rsidRPr="00612370">
              <w:rPr>
                <w:lang w:val="lt-LT"/>
              </w:rPr>
              <w:t xml:space="preserve"> iki </w:t>
            </w:r>
            <w:r w:rsidRPr="00612370">
              <w:rPr>
                <w:lang w:val="lt-LT"/>
              </w:rPr>
              <w:t>simptom</w:t>
            </w:r>
            <w:r w:rsidR="00346387" w:rsidRPr="00612370">
              <w:rPr>
                <w:lang w:val="lt-LT"/>
              </w:rPr>
              <w:t>ų</w:t>
            </w:r>
            <w:r w:rsidRPr="00612370">
              <w:rPr>
                <w:lang w:val="lt-LT"/>
              </w:rPr>
              <w:t xml:space="preserve"> </w:t>
            </w:r>
            <w:r w:rsidR="00346387" w:rsidRPr="00612370">
              <w:rPr>
                <w:lang w:val="lt-LT"/>
              </w:rPr>
              <w:t>palengvėjimo pradžios</w:t>
            </w:r>
            <w:r w:rsidRPr="00612370">
              <w:rPr>
                <w:lang w:val="lt-LT"/>
              </w:rPr>
              <w:t xml:space="preserve"> Sudėtinė VAS (val.)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ECF22F" w14:textId="77777777" w:rsidR="00E01BF1" w:rsidRPr="004453A7" w:rsidRDefault="00E01BF1">
            <w:pPr>
              <w:spacing w:line="240" w:lineRule="auto"/>
              <w:jc w:val="center"/>
              <w:rPr>
                <w:lang w:val="lt-LT"/>
              </w:rPr>
            </w:pPr>
            <w:r w:rsidRPr="004453A7">
              <w:rPr>
                <w:lang w:val="lt-LT"/>
              </w:rPr>
              <w:t>Median</w:t>
            </w:r>
            <w:r w:rsidR="0063254E" w:rsidRPr="004453A7">
              <w:rPr>
                <w:lang w:val="lt-LT"/>
              </w:rPr>
              <w: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13DB94" w14:textId="77777777" w:rsidR="00E01BF1" w:rsidRPr="004453A7" w:rsidRDefault="0063254E">
            <w:pPr>
              <w:spacing w:line="240" w:lineRule="auto"/>
              <w:jc w:val="center"/>
              <w:rPr>
                <w:lang w:val="lt-LT"/>
              </w:rPr>
            </w:pPr>
            <w:r w:rsidRPr="004453A7">
              <w:rPr>
                <w:lang w:val="lt-LT"/>
              </w:rPr>
              <w:t>2,</w:t>
            </w:r>
            <w:r w:rsidR="00E01BF1" w:rsidRPr="004453A7">
              <w:rPr>
                <w:lang w:val="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DB82D4" w14:textId="77777777" w:rsidR="00E01BF1" w:rsidRPr="004453A7" w:rsidRDefault="00E01BF1" w:rsidP="0063254E">
            <w:pPr>
              <w:spacing w:line="240" w:lineRule="auto"/>
              <w:jc w:val="center"/>
              <w:rPr>
                <w:lang w:val="lt-LT"/>
              </w:rPr>
            </w:pPr>
            <w:r w:rsidRPr="004453A7">
              <w:rPr>
                <w:lang w:val="lt-LT"/>
              </w:rPr>
              <w:t>19</w:t>
            </w:r>
            <w:r w:rsidR="0063254E" w:rsidRPr="004453A7">
              <w:rPr>
                <w:lang w:val="lt-LT"/>
              </w:rPr>
              <w:t>,</w:t>
            </w:r>
            <w:r w:rsidRPr="004453A7">
              <w:rPr>
                <w:lang w:val="lt-LT"/>
              </w:rPr>
              <w:t>8</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A36AC20" w14:textId="77777777" w:rsidR="00E01BF1" w:rsidRPr="004453A7" w:rsidRDefault="00E01BF1">
            <w:pPr>
              <w:spacing w:line="240" w:lineRule="auto"/>
              <w:jc w:val="center"/>
              <w:rPr>
                <w:lang w:val="lt-LT"/>
              </w:rPr>
            </w:pPr>
            <w:r w:rsidRPr="004453A7">
              <w:rPr>
                <w:lang w:val="lt-LT"/>
              </w:rPr>
              <w:t>&lt;</w:t>
            </w:r>
            <w:r w:rsidR="0063254E" w:rsidRPr="004453A7">
              <w:rPr>
                <w:lang w:val="lt-LT"/>
              </w:rPr>
              <w:t>0,</w:t>
            </w:r>
            <w:r w:rsidRPr="004453A7">
              <w:rPr>
                <w:lang w:val="lt-LT"/>
              </w:rPr>
              <w:t>001</w:t>
            </w:r>
          </w:p>
        </w:tc>
      </w:tr>
      <w:tr w:rsidR="00E01BF1" w:rsidRPr="004453A7" w14:paraId="124D4948" w14:textId="77777777" w:rsidTr="00E01BF1">
        <w:tc>
          <w:tcPr>
            <w:tcW w:w="2518" w:type="dxa"/>
            <w:tcBorders>
              <w:top w:val="single" w:sz="4" w:space="0" w:color="auto"/>
              <w:left w:val="single" w:sz="4" w:space="0" w:color="auto"/>
              <w:bottom w:val="single" w:sz="4" w:space="0" w:color="auto"/>
              <w:right w:val="single" w:sz="4" w:space="0" w:color="auto"/>
            </w:tcBorders>
            <w:shd w:val="clear" w:color="auto" w:fill="D9D9D9"/>
            <w:hideMark/>
          </w:tcPr>
          <w:p w14:paraId="412E8F19" w14:textId="77777777" w:rsidR="00E01BF1" w:rsidRPr="00612370" w:rsidRDefault="0063254E">
            <w:pPr>
              <w:spacing w:line="240" w:lineRule="auto"/>
              <w:rPr>
                <w:lang w:val="lt-LT"/>
              </w:rPr>
            </w:pPr>
            <w:r w:rsidRPr="00612370">
              <w:rPr>
                <w:lang w:val="lt-LT"/>
              </w:rPr>
              <w:t>Kiti vertinimo kriterijai</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23486D4" w14:textId="77777777" w:rsidR="00E01BF1" w:rsidRPr="004453A7" w:rsidRDefault="00E01BF1">
            <w:pPr>
              <w:spacing w:line="240" w:lineRule="auto"/>
              <w:rPr>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24253734" w14:textId="77777777" w:rsidR="00E01BF1" w:rsidRPr="004453A7" w:rsidRDefault="00E01BF1">
            <w:pPr>
              <w:spacing w:line="240" w:lineRule="auto"/>
              <w:rPr>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42C3849B" w14:textId="77777777" w:rsidR="00E01BF1" w:rsidRPr="004453A7" w:rsidRDefault="00E01BF1">
            <w:pPr>
              <w:spacing w:line="240" w:lineRule="auto"/>
              <w:rPr>
                <w:lang w:val="lt-LT"/>
              </w:rPr>
            </w:pPr>
          </w:p>
        </w:tc>
        <w:tc>
          <w:tcPr>
            <w:tcW w:w="1524" w:type="dxa"/>
            <w:tcBorders>
              <w:top w:val="single" w:sz="4" w:space="0" w:color="auto"/>
              <w:left w:val="single" w:sz="4" w:space="0" w:color="auto"/>
              <w:bottom w:val="single" w:sz="4" w:space="0" w:color="auto"/>
              <w:right w:val="single" w:sz="4" w:space="0" w:color="auto"/>
            </w:tcBorders>
            <w:shd w:val="clear" w:color="auto" w:fill="D9D9D9"/>
          </w:tcPr>
          <w:p w14:paraId="61C3096B" w14:textId="77777777" w:rsidR="00E01BF1" w:rsidRPr="004453A7" w:rsidRDefault="00E01BF1">
            <w:pPr>
              <w:spacing w:line="240" w:lineRule="auto"/>
              <w:rPr>
                <w:lang w:val="lt-LT"/>
              </w:rPr>
            </w:pPr>
          </w:p>
        </w:tc>
      </w:tr>
      <w:tr w:rsidR="00E01BF1" w:rsidRPr="004453A7" w14:paraId="337E19B8" w14:textId="77777777" w:rsidTr="00E01BF1">
        <w:tc>
          <w:tcPr>
            <w:tcW w:w="2518" w:type="dxa"/>
            <w:tcBorders>
              <w:top w:val="single" w:sz="4" w:space="0" w:color="auto"/>
              <w:left w:val="single" w:sz="4" w:space="0" w:color="auto"/>
              <w:bottom w:val="single" w:sz="4" w:space="0" w:color="auto"/>
              <w:right w:val="single" w:sz="4" w:space="0" w:color="auto"/>
            </w:tcBorders>
            <w:hideMark/>
          </w:tcPr>
          <w:p w14:paraId="3A0108DA" w14:textId="77777777" w:rsidR="00E01BF1" w:rsidRPr="00612370" w:rsidRDefault="0063254E">
            <w:pPr>
              <w:spacing w:line="240" w:lineRule="auto"/>
              <w:rPr>
                <w:lang w:val="lt-LT"/>
              </w:rPr>
            </w:pPr>
            <w:r w:rsidRPr="00612370">
              <w:rPr>
                <w:lang w:val="lt-LT"/>
              </w:rPr>
              <w:t>Laikas, kada pagrindinis simptomas ėmė nykti (val.)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BD67CA" w14:textId="77777777" w:rsidR="00E01BF1" w:rsidRPr="004453A7" w:rsidRDefault="00E01BF1">
            <w:pPr>
              <w:spacing w:line="240" w:lineRule="auto"/>
              <w:jc w:val="center"/>
              <w:rPr>
                <w:lang w:val="lt-LT"/>
              </w:rPr>
            </w:pPr>
            <w:r w:rsidRPr="004453A7">
              <w:rPr>
                <w:lang w:val="lt-LT"/>
              </w:rPr>
              <w:t>Median</w:t>
            </w:r>
            <w:r w:rsidR="0063254E" w:rsidRPr="004453A7">
              <w:rPr>
                <w:lang w:val="lt-LT"/>
              </w:rPr>
              <w: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438D00" w14:textId="77777777" w:rsidR="00E01BF1" w:rsidRPr="004453A7" w:rsidRDefault="0063254E">
            <w:pPr>
              <w:spacing w:line="240" w:lineRule="auto"/>
              <w:jc w:val="center"/>
              <w:rPr>
                <w:lang w:val="lt-LT"/>
              </w:rPr>
            </w:pPr>
            <w:r w:rsidRPr="004453A7">
              <w:rPr>
                <w:lang w:val="lt-LT"/>
              </w:rPr>
              <w:t>1,</w:t>
            </w:r>
            <w:r w:rsidR="00E01BF1" w:rsidRPr="004453A7">
              <w:rPr>
                <w:lang w:val="lt-LT"/>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84D999" w14:textId="77777777" w:rsidR="00E01BF1" w:rsidRPr="004453A7" w:rsidRDefault="0063254E">
            <w:pPr>
              <w:spacing w:line="240" w:lineRule="auto"/>
              <w:jc w:val="center"/>
              <w:rPr>
                <w:lang w:val="lt-LT"/>
              </w:rPr>
            </w:pPr>
            <w:r w:rsidRPr="004453A7">
              <w:rPr>
                <w:lang w:val="lt-LT"/>
              </w:rPr>
              <w:t>18,</w:t>
            </w:r>
            <w:r w:rsidR="00E01BF1" w:rsidRPr="004453A7">
              <w:rPr>
                <w:lang w:val="lt-LT"/>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E9C7695" w14:textId="77777777" w:rsidR="00E01BF1" w:rsidRPr="004453A7" w:rsidRDefault="0063254E">
            <w:pPr>
              <w:spacing w:line="240" w:lineRule="auto"/>
              <w:jc w:val="center"/>
              <w:rPr>
                <w:lang w:val="lt-LT"/>
              </w:rPr>
            </w:pPr>
            <w:r w:rsidRPr="004453A7">
              <w:rPr>
                <w:lang w:val="lt-LT"/>
              </w:rPr>
              <w:t>&lt;0,</w:t>
            </w:r>
            <w:r w:rsidR="00E01BF1" w:rsidRPr="004453A7">
              <w:rPr>
                <w:lang w:val="lt-LT"/>
              </w:rPr>
              <w:t>001</w:t>
            </w:r>
          </w:p>
        </w:tc>
      </w:tr>
      <w:tr w:rsidR="00E01BF1" w:rsidRPr="004453A7" w14:paraId="52469142" w14:textId="77777777" w:rsidTr="00E01BF1">
        <w:tc>
          <w:tcPr>
            <w:tcW w:w="2518" w:type="dxa"/>
            <w:tcBorders>
              <w:top w:val="single" w:sz="4" w:space="0" w:color="auto"/>
              <w:left w:val="single" w:sz="4" w:space="0" w:color="auto"/>
              <w:bottom w:val="single" w:sz="4" w:space="0" w:color="auto"/>
              <w:right w:val="single" w:sz="4" w:space="0" w:color="auto"/>
            </w:tcBorders>
            <w:hideMark/>
          </w:tcPr>
          <w:p w14:paraId="07AD7313" w14:textId="77777777" w:rsidR="00E01BF1" w:rsidRPr="00612370" w:rsidRDefault="0063254E" w:rsidP="00E87C8C">
            <w:pPr>
              <w:spacing w:line="240" w:lineRule="auto"/>
              <w:rPr>
                <w:lang w:val="lt-LT"/>
              </w:rPr>
            </w:pPr>
            <w:r w:rsidRPr="00612370">
              <w:rPr>
                <w:lang w:val="lt-LT"/>
              </w:rPr>
              <w:t xml:space="preserve">Sudėtinės VAS </w:t>
            </w:r>
            <w:r w:rsidR="00E87C8C" w:rsidRPr="00612370">
              <w:rPr>
                <w:lang w:val="lt-LT"/>
              </w:rPr>
              <w:t>veiksmingumo rodiklių pokyčiai po</w:t>
            </w:r>
            <w:r w:rsidRPr="00612370">
              <w:rPr>
                <w:lang w:val="lt-LT"/>
              </w:rPr>
              <w:t xml:space="preserve"> 2 valandų </w:t>
            </w:r>
            <w:r w:rsidR="00E87C8C" w:rsidRPr="00612370">
              <w:rPr>
                <w:lang w:val="lt-LT"/>
              </w:rPr>
              <w:t>nuo</w:t>
            </w:r>
            <w:r w:rsidRPr="00612370">
              <w:rPr>
                <w:lang w:val="lt-LT"/>
              </w:rPr>
              <w:t xml:space="preserve"> gydymo pradžios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246177" w14:textId="77777777" w:rsidR="00E01BF1" w:rsidRPr="004453A7" w:rsidRDefault="0063254E">
            <w:pPr>
              <w:spacing w:line="240" w:lineRule="auto"/>
              <w:jc w:val="center"/>
              <w:rPr>
                <w:lang w:val="lt-LT"/>
              </w:rPr>
            </w:pPr>
            <w:r w:rsidRPr="004453A7">
              <w:rPr>
                <w:lang w:val="lt-LT"/>
              </w:rPr>
              <w:t>Vidurkis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BBE999" w14:textId="77777777" w:rsidR="00E01BF1" w:rsidRPr="004453A7" w:rsidRDefault="00E01BF1" w:rsidP="0063254E">
            <w:pPr>
              <w:spacing w:line="240" w:lineRule="auto"/>
              <w:jc w:val="center"/>
              <w:rPr>
                <w:lang w:val="lt-LT"/>
              </w:rPr>
            </w:pPr>
            <w:r w:rsidRPr="004453A7">
              <w:rPr>
                <w:lang w:val="lt-LT"/>
              </w:rPr>
              <w:t>-19</w:t>
            </w:r>
            <w:r w:rsidR="0063254E" w:rsidRPr="004453A7">
              <w:rPr>
                <w:lang w:val="lt-LT"/>
              </w:rPr>
              <w:t>,</w:t>
            </w:r>
            <w:r w:rsidRPr="004453A7">
              <w:rPr>
                <w:lang w:val="lt-LT"/>
              </w:rPr>
              <w:t>74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FD647B" w14:textId="77777777" w:rsidR="00E01BF1" w:rsidRPr="004453A7" w:rsidRDefault="00E01BF1">
            <w:pPr>
              <w:spacing w:line="240" w:lineRule="auto"/>
              <w:jc w:val="center"/>
              <w:rPr>
                <w:lang w:val="lt-LT"/>
              </w:rPr>
            </w:pPr>
            <w:r w:rsidRPr="004453A7">
              <w:rPr>
                <w:lang w:val="lt-LT"/>
              </w:rPr>
              <w:t>-</w:t>
            </w:r>
            <w:r w:rsidR="0063254E" w:rsidRPr="004453A7">
              <w:rPr>
                <w:lang w:val="lt-LT"/>
              </w:rPr>
              <w:t>7,</w:t>
            </w:r>
            <w:r w:rsidRPr="004453A7">
              <w:rPr>
                <w:lang w:val="lt-LT"/>
              </w:rPr>
              <w:t>49</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D048A9E" w14:textId="77777777" w:rsidR="00E01BF1" w:rsidRPr="004453A7" w:rsidRDefault="0063254E">
            <w:pPr>
              <w:spacing w:line="240" w:lineRule="auto"/>
              <w:jc w:val="center"/>
              <w:rPr>
                <w:lang w:val="lt-LT"/>
              </w:rPr>
            </w:pPr>
            <w:r w:rsidRPr="004453A7">
              <w:rPr>
                <w:lang w:val="lt-LT"/>
              </w:rPr>
              <w:t>&lt;0,</w:t>
            </w:r>
            <w:r w:rsidR="00E01BF1" w:rsidRPr="004453A7">
              <w:rPr>
                <w:lang w:val="lt-LT"/>
              </w:rPr>
              <w:t>001</w:t>
            </w:r>
          </w:p>
        </w:tc>
      </w:tr>
      <w:tr w:rsidR="00E01BF1" w:rsidRPr="004453A7" w14:paraId="50483E0E" w14:textId="77777777" w:rsidTr="00E01BF1">
        <w:tc>
          <w:tcPr>
            <w:tcW w:w="2518" w:type="dxa"/>
            <w:tcBorders>
              <w:top w:val="single" w:sz="4" w:space="0" w:color="auto"/>
              <w:left w:val="single" w:sz="4" w:space="0" w:color="auto"/>
              <w:bottom w:val="single" w:sz="4" w:space="0" w:color="auto"/>
              <w:right w:val="single" w:sz="4" w:space="0" w:color="auto"/>
            </w:tcBorders>
            <w:hideMark/>
          </w:tcPr>
          <w:p w14:paraId="783F8437" w14:textId="77777777" w:rsidR="00E01BF1" w:rsidRPr="004453A7" w:rsidRDefault="0063254E" w:rsidP="00E87C8C">
            <w:pPr>
              <w:spacing w:line="240" w:lineRule="auto"/>
              <w:rPr>
                <w:lang w:val="lt-LT"/>
              </w:rPr>
            </w:pPr>
            <w:r w:rsidRPr="004453A7">
              <w:rPr>
                <w:lang w:val="lt-LT"/>
              </w:rPr>
              <w:t xml:space="preserve">Sudėtinės VAS veiksmingumo rodiklių pokyčiai pagal paciento įvertinimą </w:t>
            </w:r>
            <w:r w:rsidR="00E87C8C">
              <w:rPr>
                <w:lang w:val="lt-LT"/>
              </w:rPr>
              <w:t>po</w:t>
            </w:r>
            <w:r w:rsidRPr="004453A7">
              <w:rPr>
                <w:lang w:val="lt-LT"/>
              </w:rPr>
              <w:t xml:space="preserve"> 2 valandų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C019C2" w14:textId="77777777" w:rsidR="00E01BF1" w:rsidRPr="004453A7" w:rsidRDefault="0063254E">
            <w:pPr>
              <w:spacing w:line="240" w:lineRule="auto"/>
              <w:jc w:val="center"/>
              <w:rPr>
                <w:lang w:val="lt-LT"/>
              </w:rPr>
            </w:pPr>
            <w:r w:rsidRPr="004453A7">
              <w:rPr>
                <w:lang w:val="lt-LT"/>
              </w:rPr>
              <w:t>Vidurkis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A8F0FB" w14:textId="77777777" w:rsidR="00E01BF1" w:rsidRPr="004453A7" w:rsidRDefault="0063254E">
            <w:pPr>
              <w:spacing w:line="240" w:lineRule="auto"/>
              <w:jc w:val="center"/>
              <w:rPr>
                <w:lang w:val="lt-LT"/>
              </w:rPr>
            </w:pPr>
            <w:r w:rsidRPr="004453A7">
              <w:rPr>
                <w:lang w:val="lt-LT"/>
              </w:rPr>
              <w:t>-0,</w:t>
            </w:r>
            <w:r w:rsidR="00E01BF1" w:rsidRPr="004453A7">
              <w:rPr>
                <w:lang w:val="lt-LT"/>
              </w:rPr>
              <w:t>53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31AE4A" w14:textId="77777777" w:rsidR="00E01BF1" w:rsidRPr="004453A7" w:rsidRDefault="0063254E">
            <w:pPr>
              <w:spacing w:line="240" w:lineRule="auto"/>
              <w:jc w:val="center"/>
              <w:rPr>
                <w:lang w:val="lt-LT"/>
              </w:rPr>
            </w:pPr>
            <w:r w:rsidRPr="004453A7">
              <w:rPr>
                <w:lang w:val="lt-LT"/>
              </w:rPr>
              <w:t>-0,</w:t>
            </w:r>
            <w:r w:rsidR="00E01BF1" w:rsidRPr="004453A7">
              <w:rPr>
                <w:lang w:val="lt-LT"/>
              </w:rPr>
              <w:t>22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FF8364E" w14:textId="77777777" w:rsidR="00E01BF1" w:rsidRPr="004453A7" w:rsidRDefault="0063254E">
            <w:pPr>
              <w:spacing w:line="240" w:lineRule="auto"/>
              <w:jc w:val="center"/>
              <w:rPr>
                <w:lang w:val="lt-LT"/>
              </w:rPr>
            </w:pPr>
            <w:r w:rsidRPr="004453A7">
              <w:rPr>
                <w:lang w:val="lt-LT"/>
              </w:rPr>
              <w:t>&lt;0,</w:t>
            </w:r>
            <w:r w:rsidR="00E01BF1" w:rsidRPr="004453A7">
              <w:rPr>
                <w:lang w:val="lt-LT"/>
              </w:rPr>
              <w:t>001</w:t>
            </w:r>
          </w:p>
        </w:tc>
      </w:tr>
      <w:tr w:rsidR="00E01BF1" w:rsidRPr="004453A7" w14:paraId="45DC01F2" w14:textId="77777777" w:rsidTr="00E01BF1">
        <w:tc>
          <w:tcPr>
            <w:tcW w:w="2518" w:type="dxa"/>
            <w:tcBorders>
              <w:top w:val="single" w:sz="4" w:space="0" w:color="auto"/>
              <w:left w:val="single" w:sz="4" w:space="0" w:color="auto"/>
              <w:bottom w:val="single" w:sz="4" w:space="0" w:color="auto"/>
              <w:right w:val="single" w:sz="4" w:space="0" w:color="auto"/>
            </w:tcBorders>
            <w:hideMark/>
          </w:tcPr>
          <w:p w14:paraId="7E817241" w14:textId="77777777" w:rsidR="00E01BF1" w:rsidRPr="004453A7" w:rsidRDefault="0063254E" w:rsidP="00E87C8C">
            <w:pPr>
              <w:spacing w:line="240" w:lineRule="auto"/>
              <w:rPr>
                <w:lang w:val="lt-LT"/>
              </w:rPr>
            </w:pPr>
            <w:r w:rsidRPr="004453A7">
              <w:rPr>
                <w:lang w:val="lt-LT"/>
              </w:rPr>
              <w:t xml:space="preserve">Sudėtinės VAS veiksmingumo rodiklių pokyčiai pagal tyrėjo įvertinimą </w:t>
            </w:r>
            <w:r w:rsidR="00E87C8C">
              <w:rPr>
                <w:lang w:val="lt-LT"/>
              </w:rPr>
              <w:t>po</w:t>
            </w:r>
            <w:r w:rsidRPr="004453A7">
              <w:rPr>
                <w:lang w:val="lt-LT"/>
              </w:rPr>
              <w:t xml:space="preserve"> 2 valandų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091948" w14:textId="77777777" w:rsidR="00E01BF1" w:rsidRPr="004453A7" w:rsidRDefault="0063254E">
            <w:pPr>
              <w:spacing w:line="240" w:lineRule="auto"/>
              <w:jc w:val="center"/>
              <w:rPr>
                <w:lang w:val="lt-LT"/>
              </w:rPr>
            </w:pPr>
            <w:r w:rsidRPr="004453A7">
              <w:rPr>
                <w:lang w:val="lt-LT"/>
              </w:rPr>
              <w:t>Vidurkis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1BA7C3" w14:textId="77777777" w:rsidR="00E01BF1" w:rsidRPr="004453A7" w:rsidRDefault="0063254E">
            <w:pPr>
              <w:spacing w:line="240" w:lineRule="auto"/>
              <w:jc w:val="center"/>
              <w:rPr>
                <w:lang w:val="lt-LT"/>
              </w:rPr>
            </w:pPr>
            <w:r w:rsidRPr="004453A7">
              <w:rPr>
                <w:lang w:val="lt-LT"/>
              </w:rPr>
              <w:t>-0,</w:t>
            </w:r>
            <w:r w:rsidR="00E01BF1" w:rsidRPr="004453A7">
              <w:rPr>
                <w:lang w:val="lt-LT"/>
              </w:rPr>
              <w:t>44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FFBE0E" w14:textId="77777777" w:rsidR="00E01BF1" w:rsidRPr="004453A7" w:rsidRDefault="0063254E">
            <w:pPr>
              <w:spacing w:line="240" w:lineRule="auto"/>
              <w:jc w:val="center"/>
              <w:rPr>
                <w:lang w:val="lt-LT"/>
              </w:rPr>
            </w:pPr>
            <w:r w:rsidRPr="004453A7">
              <w:rPr>
                <w:lang w:val="lt-LT"/>
              </w:rPr>
              <w:t>-0,</w:t>
            </w:r>
            <w:r w:rsidR="00E01BF1" w:rsidRPr="004453A7">
              <w:rPr>
                <w:lang w:val="lt-LT"/>
              </w:rPr>
              <w:t>19</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C2AED3C" w14:textId="77777777" w:rsidR="00E01BF1" w:rsidRPr="004453A7" w:rsidRDefault="0063254E">
            <w:pPr>
              <w:spacing w:line="240" w:lineRule="auto"/>
              <w:jc w:val="center"/>
              <w:rPr>
                <w:lang w:val="lt-LT"/>
              </w:rPr>
            </w:pPr>
            <w:r w:rsidRPr="004453A7">
              <w:rPr>
                <w:lang w:val="lt-LT"/>
              </w:rPr>
              <w:t>&lt;0,</w:t>
            </w:r>
            <w:r w:rsidR="00E01BF1" w:rsidRPr="004453A7">
              <w:rPr>
                <w:lang w:val="lt-LT"/>
              </w:rPr>
              <w:t>001</w:t>
            </w:r>
          </w:p>
        </w:tc>
      </w:tr>
      <w:tr w:rsidR="00E01BF1" w:rsidRPr="004453A7" w14:paraId="3B06E1A8" w14:textId="77777777" w:rsidTr="00E01BF1">
        <w:tc>
          <w:tcPr>
            <w:tcW w:w="2518" w:type="dxa"/>
            <w:tcBorders>
              <w:top w:val="single" w:sz="4" w:space="0" w:color="auto"/>
              <w:left w:val="single" w:sz="4" w:space="0" w:color="auto"/>
              <w:bottom w:val="single" w:sz="4" w:space="0" w:color="auto"/>
              <w:right w:val="single" w:sz="4" w:space="0" w:color="auto"/>
            </w:tcBorders>
            <w:hideMark/>
          </w:tcPr>
          <w:p w14:paraId="2443712A" w14:textId="77777777" w:rsidR="00E01BF1" w:rsidRPr="004453A7" w:rsidRDefault="0063254E">
            <w:pPr>
              <w:spacing w:line="240" w:lineRule="auto"/>
              <w:rPr>
                <w:lang w:val="lt-LT"/>
              </w:rPr>
            </w:pPr>
            <w:r w:rsidRPr="004453A7">
              <w:rPr>
                <w:lang w:val="lt-LT"/>
              </w:rPr>
              <w:t>Laikas, kada simptomai beveik visiškai išnyksta (val.)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592057" w14:textId="77777777" w:rsidR="00E01BF1" w:rsidRPr="004453A7" w:rsidRDefault="00E01BF1">
            <w:pPr>
              <w:spacing w:line="240" w:lineRule="auto"/>
              <w:jc w:val="center"/>
              <w:rPr>
                <w:lang w:val="lt-LT"/>
              </w:rPr>
            </w:pPr>
            <w:r w:rsidRPr="004453A7">
              <w:rPr>
                <w:lang w:val="lt-LT"/>
              </w:rPr>
              <w:t>Median</w:t>
            </w:r>
            <w:r w:rsidR="0063254E" w:rsidRPr="004453A7">
              <w:rPr>
                <w:lang w:val="lt-LT"/>
              </w:rPr>
              <w: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3A7967" w14:textId="77777777" w:rsidR="00E01BF1" w:rsidRPr="004453A7" w:rsidRDefault="0063254E">
            <w:pPr>
              <w:spacing w:line="240" w:lineRule="auto"/>
              <w:jc w:val="center"/>
              <w:rPr>
                <w:lang w:val="lt-LT"/>
              </w:rPr>
            </w:pPr>
            <w:r w:rsidRPr="004453A7">
              <w:rPr>
                <w:lang w:val="lt-LT"/>
              </w:rPr>
              <w:t>8,</w:t>
            </w:r>
            <w:r w:rsidR="00E01BF1" w:rsidRPr="004453A7">
              <w:rPr>
                <w:lang w:val="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504F6A" w14:textId="77777777" w:rsidR="00E01BF1" w:rsidRPr="004453A7" w:rsidRDefault="00E01BF1">
            <w:pPr>
              <w:spacing w:line="240" w:lineRule="auto"/>
              <w:jc w:val="center"/>
              <w:rPr>
                <w:lang w:val="lt-LT"/>
              </w:rPr>
            </w:pPr>
            <w:r w:rsidRPr="004453A7">
              <w:rPr>
                <w:lang w:val="lt-LT"/>
              </w:rPr>
              <w:t>3</w:t>
            </w:r>
            <w:r w:rsidR="0063254E" w:rsidRPr="004453A7">
              <w:rPr>
                <w:lang w:val="lt-LT"/>
              </w:rPr>
              <w:t>6,</w:t>
            </w:r>
            <w:r w:rsidRPr="004453A7">
              <w:rPr>
                <w:lang w:val="lt-LT"/>
              </w:rPr>
              <w:t>0</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2037E08" w14:textId="77777777" w:rsidR="00E01BF1" w:rsidRPr="004453A7" w:rsidRDefault="0063254E">
            <w:pPr>
              <w:spacing w:line="240" w:lineRule="auto"/>
              <w:jc w:val="center"/>
              <w:rPr>
                <w:lang w:val="lt-LT"/>
              </w:rPr>
            </w:pPr>
            <w:r w:rsidRPr="004453A7">
              <w:rPr>
                <w:lang w:val="lt-LT"/>
              </w:rPr>
              <w:t>0,</w:t>
            </w:r>
            <w:r w:rsidR="00E01BF1" w:rsidRPr="004453A7">
              <w:rPr>
                <w:lang w:val="lt-LT"/>
              </w:rPr>
              <w:t>012</w:t>
            </w:r>
          </w:p>
        </w:tc>
      </w:tr>
      <w:tr w:rsidR="00E01BF1" w:rsidRPr="004453A7" w14:paraId="59152BA2" w14:textId="77777777" w:rsidTr="00E01BF1">
        <w:tc>
          <w:tcPr>
            <w:tcW w:w="2518" w:type="dxa"/>
            <w:tcBorders>
              <w:top w:val="single" w:sz="4" w:space="0" w:color="auto"/>
              <w:left w:val="single" w:sz="4" w:space="0" w:color="auto"/>
              <w:bottom w:val="single" w:sz="4" w:space="0" w:color="auto"/>
              <w:right w:val="single" w:sz="4" w:space="0" w:color="auto"/>
            </w:tcBorders>
            <w:hideMark/>
          </w:tcPr>
          <w:p w14:paraId="120BC153" w14:textId="77777777" w:rsidR="00E01BF1" w:rsidRPr="004453A7" w:rsidRDefault="0063254E">
            <w:pPr>
              <w:spacing w:line="240" w:lineRule="auto"/>
              <w:rPr>
                <w:lang w:val="lt-LT"/>
              </w:rPr>
            </w:pPr>
            <w:r w:rsidRPr="004453A7">
              <w:rPr>
                <w:lang w:val="lt-LT"/>
              </w:rPr>
              <w:t>Laikas, kada pagerėja pagrindinis simptomas pagal paciento įvertinimą (val.)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045814" w14:textId="77777777" w:rsidR="00E01BF1" w:rsidRPr="004453A7" w:rsidRDefault="00E01BF1">
            <w:pPr>
              <w:spacing w:line="240" w:lineRule="auto"/>
              <w:jc w:val="center"/>
              <w:rPr>
                <w:lang w:val="lt-LT"/>
              </w:rPr>
            </w:pPr>
            <w:r w:rsidRPr="004453A7">
              <w:rPr>
                <w:lang w:val="lt-LT"/>
              </w:rPr>
              <w:t>Median</w:t>
            </w:r>
            <w:r w:rsidR="0063254E" w:rsidRPr="004453A7">
              <w:rPr>
                <w:lang w:val="lt-LT"/>
              </w:rPr>
              <w: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B3E9AF" w14:textId="77777777" w:rsidR="00E01BF1" w:rsidRPr="004453A7" w:rsidRDefault="0063254E">
            <w:pPr>
              <w:spacing w:line="240" w:lineRule="auto"/>
              <w:jc w:val="center"/>
              <w:rPr>
                <w:lang w:val="lt-LT"/>
              </w:rPr>
            </w:pPr>
            <w:r w:rsidRPr="004453A7">
              <w:rPr>
                <w:lang w:val="lt-LT"/>
              </w:rPr>
              <w:t>0,</w:t>
            </w:r>
            <w:r w:rsidR="00E01BF1" w:rsidRPr="004453A7">
              <w:rPr>
                <w:lang w:val="lt-LT"/>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18A00F" w14:textId="77777777" w:rsidR="00E01BF1" w:rsidRPr="004453A7" w:rsidRDefault="0063254E">
            <w:pPr>
              <w:spacing w:line="240" w:lineRule="auto"/>
              <w:jc w:val="center"/>
              <w:rPr>
                <w:lang w:val="lt-LT"/>
              </w:rPr>
            </w:pPr>
            <w:r w:rsidRPr="004453A7">
              <w:rPr>
                <w:lang w:val="lt-LT"/>
              </w:rPr>
              <w:t>3,</w:t>
            </w:r>
            <w:r w:rsidR="00E01BF1" w:rsidRPr="004453A7">
              <w:rPr>
                <w:lang w:val="lt-LT"/>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9C15637" w14:textId="77777777" w:rsidR="00E01BF1" w:rsidRPr="004453A7" w:rsidRDefault="00E01BF1" w:rsidP="0063254E">
            <w:pPr>
              <w:spacing w:line="240" w:lineRule="auto"/>
              <w:jc w:val="center"/>
              <w:rPr>
                <w:lang w:val="lt-LT"/>
              </w:rPr>
            </w:pPr>
            <w:r w:rsidRPr="004453A7">
              <w:rPr>
                <w:lang w:val="lt-LT"/>
              </w:rPr>
              <w:t>&lt;0</w:t>
            </w:r>
            <w:r w:rsidR="0063254E" w:rsidRPr="004453A7">
              <w:rPr>
                <w:lang w:val="lt-LT"/>
              </w:rPr>
              <w:t>,</w:t>
            </w:r>
            <w:r w:rsidRPr="004453A7">
              <w:rPr>
                <w:lang w:val="lt-LT"/>
              </w:rPr>
              <w:t>001</w:t>
            </w:r>
          </w:p>
        </w:tc>
      </w:tr>
      <w:tr w:rsidR="00E01BF1" w:rsidRPr="004453A7" w14:paraId="741A72CB" w14:textId="77777777" w:rsidTr="00E01BF1">
        <w:tc>
          <w:tcPr>
            <w:tcW w:w="2518" w:type="dxa"/>
            <w:tcBorders>
              <w:top w:val="single" w:sz="4" w:space="0" w:color="auto"/>
              <w:left w:val="single" w:sz="4" w:space="0" w:color="auto"/>
              <w:bottom w:val="single" w:sz="4" w:space="0" w:color="auto"/>
              <w:right w:val="single" w:sz="4" w:space="0" w:color="auto"/>
            </w:tcBorders>
            <w:hideMark/>
          </w:tcPr>
          <w:p w14:paraId="1C37D3C6" w14:textId="77777777" w:rsidR="00E01BF1" w:rsidRPr="004453A7" w:rsidRDefault="0063254E">
            <w:pPr>
              <w:spacing w:line="240" w:lineRule="auto"/>
              <w:rPr>
                <w:lang w:val="lt-LT"/>
              </w:rPr>
            </w:pPr>
            <w:r w:rsidRPr="004453A7">
              <w:rPr>
                <w:lang w:val="lt-LT"/>
              </w:rPr>
              <w:t>Laikas, kada pagerėja pagrindinis aiškiai matomas simptomas pagal tyrėjo įvertinimą (val.)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C41851" w14:textId="77777777" w:rsidR="00E01BF1" w:rsidRPr="004453A7" w:rsidRDefault="00E01BF1">
            <w:pPr>
              <w:spacing w:line="240" w:lineRule="auto"/>
              <w:jc w:val="center"/>
              <w:rPr>
                <w:lang w:val="lt-LT"/>
              </w:rPr>
            </w:pPr>
            <w:r w:rsidRPr="004453A7">
              <w:rPr>
                <w:lang w:val="lt-LT"/>
              </w:rPr>
              <w:t>Median</w:t>
            </w:r>
            <w:r w:rsidR="0063254E" w:rsidRPr="004453A7">
              <w:rPr>
                <w:lang w:val="lt-LT"/>
              </w:rPr>
              <w: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E5968C" w14:textId="77777777" w:rsidR="00E01BF1" w:rsidRPr="004453A7" w:rsidRDefault="0063254E">
            <w:pPr>
              <w:spacing w:line="240" w:lineRule="auto"/>
              <w:jc w:val="center"/>
              <w:rPr>
                <w:lang w:val="lt-LT"/>
              </w:rPr>
            </w:pPr>
            <w:r w:rsidRPr="004453A7">
              <w:rPr>
                <w:lang w:val="lt-LT"/>
              </w:rPr>
              <w:t>0,</w:t>
            </w:r>
            <w:r w:rsidR="00E01BF1" w:rsidRPr="004453A7">
              <w:rPr>
                <w:lang w:val="lt-LT"/>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CD3866" w14:textId="77777777" w:rsidR="00E01BF1" w:rsidRPr="004453A7" w:rsidRDefault="0063254E">
            <w:pPr>
              <w:spacing w:line="240" w:lineRule="auto"/>
              <w:jc w:val="center"/>
              <w:rPr>
                <w:lang w:val="lt-LT"/>
              </w:rPr>
            </w:pPr>
            <w:r w:rsidRPr="004453A7">
              <w:rPr>
                <w:lang w:val="lt-LT"/>
              </w:rPr>
              <w:t>3,</w:t>
            </w:r>
            <w:r w:rsidR="00E01BF1" w:rsidRPr="004453A7">
              <w:rPr>
                <w:lang w:val="lt-LT"/>
              </w:rPr>
              <w:t>4</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EF97C17" w14:textId="77777777" w:rsidR="00E01BF1" w:rsidRPr="004453A7" w:rsidRDefault="0063254E">
            <w:pPr>
              <w:spacing w:line="240" w:lineRule="auto"/>
              <w:jc w:val="center"/>
              <w:rPr>
                <w:lang w:val="lt-LT"/>
              </w:rPr>
            </w:pPr>
            <w:r w:rsidRPr="004453A7">
              <w:rPr>
                <w:lang w:val="lt-LT"/>
              </w:rPr>
              <w:t>&lt;0,</w:t>
            </w:r>
            <w:r w:rsidR="00E01BF1" w:rsidRPr="004453A7">
              <w:rPr>
                <w:lang w:val="lt-LT"/>
              </w:rPr>
              <w:t>001</w:t>
            </w:r>
          </w:p>
        </w:tc>
      </w:tr>
    </w:tbl>
    <w:p w14:paraId="35B2BA13" w14:textId="77777777" w:rsidR="00E01BF1" w:rsidRPr="004453A7" w:rsidRDefault="00E01BF1" w:rsidP="00E01BF1">
      <w:pPr>
        <w:spacing w:line="240" w:lineRule="auto"/>
        <w:rPr>
          <w:lang w:val="lt-LT"/>
        </w:rPr>
      </w:pPr>
    </w:p>
    <w:p w14:paraId="24994D23" w14:textId="77777777" w:rsidR="00CD5F9F" w:rsidRPr="004453A7" w:rsidRDefault="00E01BF1" w:rsidP="00F34163">
      <w:pPr>
        <w:rPr>
          <w:lang w:val="lt-LT"/>
        </w:rPr>
      </w:pPr>
      <w:r w:rsidRPr="004453A7">
        <w:rPr>
          <w:lang w:val="lt-LT"/>
        </w:rPr>
        <w:t>Šiuose kontroliuojamuose III fazės klinikiniuose tyrimuose iš viso gydyta 66 pacient</w:t>
      </w:r>
      <w:r w:rsidR="0063254E" w:rsidRPr="004453A7">
        <w:rPr>
          <w:lang w:val="lt-LT"/>
        </w:rPr>
        <w:t>ai</w:t>
      </w:r>
      <w:r w:rsidRPr="004453A7">
        <w:rPr>
          <w:lang w:val="lt-LT"/>
        </w:rPr>
        <w:t>, patirian</w:t>
      </w:r>
      <w:r w:rsidR="0063254E" w:rsidRPr="004453A7">
        <w:rPr>
          <w:lang w:val="lt-LT"/>
        </w:rPr>
        <w:t>tys</w:t>
      </w:r>
      <w:r w:rsidRPr="004453A7">
        <w:rPr>
          <w:lang w:val="lt-LT"/>
        </w:rPr>
        <w:t xml:space="preserve"> PAE gerklų priepuolius. Rezultatai buvo panašūs į rezultatus, kada buvo gydomi pacientai su nelaringiniais PAE priepuoliais lyginant laiką, pažymintį simptomų nykimo pradžią. </w:t>
      </w:r>
    </w:p>
    <w:p w14:paraId="2830F036" w14:textId="77777777" w:rsidR="00CD5F9F" w:rsidRPr="004453A7" w:rsidRDefault="00CD5F9F" w:rsidP="00F34163">
      <w:pPr>
        <w:rPr>
          <w:lang w:val="lt-LT"/>
        </w:rPr>
      </w:pPr>
    </w:p>
    <w:p w14:paraId="787C1FCE" w14:textId="77777777" w:rsidR="00CD5F9F" w:rsidRPr="004453A7" w:rsidRDefault="00E01BF1" w:rsidP="00F34163">
      <w:pPr>
        <w:rPr>
          <w:i/>
          <w:lang w:val="lt-LT"/>
        </w:rPr>
      </w:pPr>
      <w:r w:rsidRPr="004453A7">
        <w:rPr>
          <w:i/>
          <w:lang w:val="lt-LT"/>
        </w:rPr>
        <w:t xml:space="preserve">Vaikų populiacija </w:t>
      </w:r>
    </w:p>
    <w:p w14:paraId="4CDD1A05" w14:textId="77777777" w:rsidR="0063254E" w:rsidRPr="004453A7" w:rsidRDefault="00E01BF1" w:rsidP="00F34163">
      <w:pPr>
        <w:rPr>
          <w:lang w:val="lt-LT"/>
        </w:rPr>
      </w:pPr>
      <w:r w:rsidRPr="004453A7">
        <w:rPr>
          <w:lang w:val="lt-LT"/>
        </w:rPr>
        <w:t>Atvirame, ne</w:t>
      </w:r>
      <w:r w:rsidR="0063254E" w:rsidRPr="004453A7">
        <w:rPr>
          <w:lang w:val="lt-LT"/>
        </w:rPr>
        <w:t>atsitiktinės atrankos</w:t>
      </w:r>
      <w:r w:rsidRPr="004453A7">
        <w:rPr>
          <w:lang w:val="lt-LT"/>
        </w:rPr>
        <w:t xml:space="preserve">, vienos grupės tyrime (HGT-FIR-086) iš viso dalyvavo 32 pacientai. Visi pacientai vartojo ne mažiau </w:t>
      </w:r>
      <w:r w:rsidR="0063254E" w:rsidRPr="004453A7">
        <w:rPr>
          <w:lang w:val="lt-LT"/>
        </w:rPr>
        <w:t>kaip vieną ikatibanto dozę (0,4 </w:t>
      </w:r>
      <w:r w:rsidRPr="004453A7">
        <w:rPr>
          <w:lang w:val="lt-LT"/>
        </w:rPr>
        <w:t xml:space="preserve">mg/kg </w:t>
      </w:r>
      <w:r w:rsidR="0063254E" w:rsidRPr="004453A7">
        <w:rPr>
          <w:lang w:val="lt-LT"/>
        </w:rPr>
        <w:t>kūno svorio, iki didžiausios 30 </w:t>
      </w:r>
      <w:r w:rsidRPr="004453A7">
        <w:rPr>
          <w:lang w:val="lt-LT"/>
        </w:rPr>
        <w:t xml:space="preserve">mg dozės), o dauguma pacientų buvo stebimi mažiausiai 6 mėnesius. Vienuolikai pacientų lytinis brendimas dar nebuvo prasidėjęs, o 21 pacientui lytinis brendimas buvo jau prasidėjęs arba jie buvo jau lytiškai subrendę. </w:t>
      </w:r>
    </w:p>
    <w:p w14:paraId="593C1924" w14:textId="77777777" w:rsidR="0063254E" w:rsidRPr="004453A7" w:rsidRDefault="0063254E" w:rsidP="00F34163">
      <w:pPr>
        <w:rPr>
          <w:lang w:val="lt-LT"/>
        </w:rPr>
      </w:pPr>
    </w:p>
    <w:p w14:paraId="719D666C" w14:textId="77777777" w:rsidR="0063254E" w:rsidRPr="004453A7" w:rsidRDefault="00E01BF1" w:rsidP="00F34163">
      <w:pPr>
        <w:rPr>
          <w:lang w:val="lt-LT"/>
        </w:rPr>
      </w:pPr>
      <w:r w:rsidRPr="004453A7">
        <w:rPr>
          <w:lang w:val="lt-LT"/>
        </w:rPr>
        <w:t>Vertinamąją grupę sudarė 22 pacientai, kurie buvo gydyti ikatibantu (11 pacientų, kuriems lytinis brendimas dar nebuvo prasidėjęs ir 11 pacientų, kuriems lytinis brendimas buvo jau prasidėjęs arba kurie buvo jau lytiškai subrendę)</w:t>
      </w:r>
      <w:r w:rsidR="0063254E" w:rsidRPr="004453A7">
        <w:rPr>
          <w:lang w:val="lt-LT"/>
        </w:rPr>
        <w:t xml:space="preserve"> </w:t>
      </w:r>
      <w:r w:rsidRPr="004453A7">
        <w:rPr>
          <w:lang w:val="lt-LT"/>
        </w:rPr>
        <w:t xml:space="preserve">PAE priepuolio metu. </w:t>
      </w:r>
    </w:p>
    <w:p w14:paraId="3E6F301A" w14:textId="77777777" w:rsidR="0063254E" w:rsidRPr="004453A7" w:rsidRDefault="0063254E" w:rsidP="00F34163">
      <w:pPr>
        <w:rPr>
          <w:lang w:val="lt-LT"/>
        </w:rPr>
      </w:pPr>
    </w:p>
    <w:p w14:paraId="4A951A74" w14:textId="77777777" w:rsidR="0063254E" w:rsidRPr="004453A7" w:rsidRDefault="00E01BF1" w:rsidP="00F34163">
      <w:pPr>
        <w:rPr>
          <w:lang w:val="lt-LT"/>
        </w:rPr>
      </w:pPr>
      <w:r w:rsidRPr="004453A7">
        <w:rPr>
          <w:lang w:val="lt-LT"/>
        </w:rPr>
        <w:t xml:space="preserve">Pirminė vertinamoji baigtis buvo laikas iki simptomų palengvėjimo pradžios (angl. </w:t>
      </w:r>
      <w:r w:rsidRPr="004453A7">
        <w:rPr>
          <w:i/>
          <w:lang w:val="lt-LT"/>
        </w:rPr>
        <w:t>time to onset of symptom relief, TOSR</w:t>
      </w:r>
      <w:r w:rsidRPr="004453A7">
        <w:rPr>
          <w:lang w:val="lt-LT"/>
        </w:rPr>
        <w:t>), matuojama naudojant suvestinį tyrėjo praneštų simptomų įvertinimo rezultatą. Laikas iki simptomo palengvėjimo buvo apibrėžtas kaip laiko trukmė (valandomis), kurios pr</w:t>
      </w:r>
      <w:r w:rsidR="0063254E" w:rsidRPr="004453A7">
        <w:rPr>
          <w:lang w:val="lt-LT"/>
        </w:rPr>
        <w:t>ireikė simptomams palengvėti 20 </w:t>
      </w:r>
      <w:r w:rsidRPr="004453A7">
        <w:rPr>
          <w:lang w:val="lt-LT"/>
        </w:rPr>
        <w:t xml:space="preserve">%. </w:t>
      </w:r>
    </w:p>
    <w:p w14:paraId="5524B925" w14:textId="77777777" w:rsidR="0063254E" w:rsidRPr="004453A7" w:rsidRDefault="0063254E" w:rsidP="00F34163">
      <w:pPr>
        <w:rPr>
          <w:lang w:val="lt-LT"/>
        </w:rPr>
      </w:pPr>
    </w:p>
    <w:p w14:paraId="7CDF9495" w14:textId="77777777" w:rsidR="003F333C" w:rsidRPr="004453A7" w:rsidRDefault="00E01BF1" w:rsidP="00F34163">
      <w:pPr>
        <w:rPr>
          <w:lang w:val="lt-LT"/>
        </w:rPr>
      </w:pPr>
      <w:r w:rsidRPr="004453A7">
        <w:rPr>
          <w:lang w:val="lt-LT"/>
        </w:rPr>
        <w:t>Visų tiriamųjų laiko iki simptomų palengvėjimo pradžios media</w:t>
      </w:r>
      <w:r w:rsidR="0063254E" w:rsidRPr="004453A7">
        <w:rPr>
          <w:lang w:val="lt-LT"/>
        </w:rPr>
        <w:t>na buvo 1,0 valanda (95 </w:t>
      </w:r>
      <w:r w:rsidRPr="004453A7">
        <w:rPr>
          <w:lang w:val="lt-LT"/>
        </w:rPr>
        <w:t>% pasikliautinasis intervalas, 1,0–1,1 val</w:t>
      </w:r>
      <w:r w:rsidR="000460DE">
        <w:rPr>
          <w:lang w:val="lt-LT"/>
        </w:rPr>
        <w:t>.</w:t>
      </w:r>
      <w:r w:rsidRPr="004453A7">
        <w:rPr>
          <w:lang w:val="lt-LT"/>
        </w:rPr>
        <w:t>). Praėjus 1 ir 2 valandoms p</w:t>
      </w:r>
      <w:r w:rsidR="0063254E" w:rsidRPr="004453A7">
        <w:rPr>
          <w:lang w:val="lt-LT"/>
        </w:rPr>
        <w:t>o gydymo atitinkamai maždaug 50 % ir 90 </w:t>
      </w:r>
      <w:r w:rsidRPr="004453A7">
        <w:rPr>
          <w:lang w:val="lt-LT"/>
        </w:rPr>
        <w:t xml:space="preserve">% pacientų pasireiškė simptomų palengvėjimo pradžia. </w:t>
      </w:r>
    </w:p>
    <w:p w14:paraId="285417A9" w14:textId="77777777" w:rsidR="003F333C" w:rsidRPr="004453A7" w:rsidRDefault="003F333C" w:rsidP="00F34163">
      <w:pPr>
        <w:rPr>
          <w:lang w:val="lt-LT"/>
        </w:rPr>
      </w:pPr>
    </w:p>
    <w:p w14:paraId="3D1C67DD" w14:textId="77777777" w:rsidR="00E01BF1" w:rsidRPr="004453A7" w:rsidRDefault="00E01BF1" w:rsidP="00F34163">
      <w:pPr>
        <w:rPr>
          <w:lang w:val="lt-LT"/>
        </w:rPr>
      </w:pPr>
      <w:r w:rsidRPr="004453A7">
        <w:rPr>
          <w:lang w:val="lt-LT"/>
        </w:rPr>
        <w:t>Apskritai laiko iki mažiausių simptomų mediana (anksčiausias laikas po gydymo, kai visi simptomai buvo arba nesunkūs, arba jų visa</w:t>
      </w:r>
      <w:r w:rsidR="003F333C" w:rsidRPr="004453A7">
        <w:rPr>
          <w:lang w:val="lt-LT"/>
        </w:rPr>
        <w:t>i nebuvo) buvo 1,1 valandos (95 </w:t>
      </w:r>
      <w:r w:rsidRPr="004453A7">
        <w:rPr>
          <w:lang w:val="lt-LT"/>
        </w:rPr>
        <w:t>% pasikliautinasis intervalas, 1,0– 2,0 valandos)</w:t>
      </w:r>
    </w:p>
    <w:p w14:paraId="05C96F57" w14:textId="77777777" w:rsidR="00E328E6" w:rsidRPr="004453A7" w:rsidRDefault="00E328E6" w:rsidP="00F34163">
      <w:pPr>
        <w:pStyle w:val="Antrat4"/>
        <w:rPr>
          <w:rFonts w:ascii="Times New Roman" w:hAnsi="Times New Roman"/>
          <w:sz w:val="22"/>
          <w:lang w:val="lt-LT"/>
        </w:rPr>
      </w:pPr>
    </w:p>
    <w:p w14:paraId="1BC11F38"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5.2</w:t>
      </w:r>
      <w:r w:rsidRPr="004453A7">
        <w:rPr>
          <w:rFonts w:ascii="Times New Roman" w:hAnsi="Times New Roman"/>
          <w:sz w:val="22"/>
          <w:lang w:val="lt-LT"/>
        </w:rPr>
        <w:tab/>
        <w:t>Farmakokinetinės savybės</w:t>
      </w:r>
    </w:p>
    <w:p w14:paraId="5AD76D2D" w14:textId="77777777" w:rsidR="00F34163" w:rsidRPr="004453A7" w:rsidRDefault="00F34163" w:rsidP="00F34163">
      <w:pPr>
        <w:tabs>
          <w:tab w:val="clear" w:pos="567"/>
        </w:tabs>
        <w:spacing w:line="240" w:lineRule="auto"/>
        <w:rPr>
          <w:szCs w:val="24"/>
          <w:lang w:val="lt-LT"/>
        </w:rPr>
      </w:pPr>
    </w:p>
    <w:p w14:paraId="15843C47" w14:textId="77777777" w:rsidR="00CD5F9F" w:rsidRPr="004453A7" w:rsidRDefault="00E01BF1" w:rsidP="00F34163">
      <w:pPr>
        <w:ind w:right="-142"/>
        <w:rPr>
          <w:lang w:val="lt-LT"/>
        </w:rPr>
      </w:pPr>
      <w:r w:rsidRPr="004453A7">
        <w:rPr>
          <w:lang w:val="lt-LT"/>
        </w:rPr>
        <w:t>Farmakokinetinės ikatibanto savybės buvo ištirtos tyrimuose atliekant tiek intravenin</w:t>
      </w:r>
      <w:r w:rsidR="00E328E6" w:rsidRPr="004453A7">
        <w:rPr>
          <w:lang w:val="lt-LT"/>
        </w:rPr>
        <w:t>es, tiek poodines injekcijas sveikiems savanoriams</w:t>
      </w:r>
      <w:r w:rsidRPr="004453A7">
        <w:rPr>
          <w:lang w:val="lt-LT"/>
        </w:rPr>
        <w:t xml:space="preserve"> ir pacientams. Farmakokinetinis ikatibanto profilis pacientams su PAE yra panašus į sveikų savanorių. </w:t>
      </w:r>
    </w:p>
    <w:p w14:paraId="0D093CF9" w14:textId="77777777" w:rsidR="00CD5F9F" w:rsidRPr="004453A7" w:rsidRDefault="00CD5F9F" w:rsidP="00F34163">
      <w:pPr>
        <w:ind w:right="-142"/>
        <w:rPr>
          <w:lang w:val="lt-LT"/>
        </w:rPr>
      </w:pPr>
    </w:p>
    <w:p w14:paraId="3674D361" w14:textId="77777777" w:rsidR="002D5832" w:rsidRPr="004453A7" w:rsidRDefault="00E01BF1" w:rsidP="00F34163">
      <w:pPr>
        <w:ind w:right="-142"/>
        <w:rPr>
          <w:u w:val="single"/>
          <w:lang w:val="lt-LT"/>
        </w:rPr>
      </w:pPr>
      <w:r w:rsidRPr="004453A7">
        <w:rPr>
          <w:u w:val="single"/>
          <w:lang w:val="lt-LT"/>
        </w:rPr>
        <w:t xml:space="preserve">Absorbcija </w:t>
      </w:r>
    </w:p>
    <w:p w14:paraId="3ADE0F8C" w14:textId="77777777" w:rsidR="002D5832" w:rsidRPr="004453A7" w:rsidRDefault="00E01BF1" w:rsidP="00F34163">
      <w:pPr>
        <w:ind w:right="-142"/>
        <w:rPr>
          <w:lang w:val="lt-LT"/>
        </w:rPr>
      </w:pPr>
      <w:r w:rsidRPr="004453A7">
        <w:rPr>
          <w:lang w:val="lt-LT"/>
        </w:rPr>
        <w:t>Po poodinės injekcijos absoliutusis ik</w:t>
      </w:r>
      <w:r w:rsidR="002D5832" w:rsidRPr="004453A7">
        <w:rPr>
          <w:lang w:val="lt-LT"/>
        </w:rPr>
        <w:t>atibanto bio</w:t>
      </w:r>
      <w:r w:rsidR="000460DE">
        <w:rPr>
          <w:lang w:val="lt-LT"/>
        </w:rPr>
        <w:t xml:space="preserve">loginis </w:t>
      </w:r>
      <w:r w:rsidR="002D5832" w:rsidRPr="004453A7">
        <w:rPr>
          <w:lang w:val="lt-LT"/>
        </w:rPr>
        <w:t>prieinamumas yra 97 </w:t>
      </w:r>
      <w:r w:rsidRPr="004453A7">
        <w:rPr>
          <w:lang w:val="lt-LT"/>
        </w:rPr>
        <w:t xml:space="preserve">%. </w:t>
      </w:r>
      <w:r w:rsidR="00993B78">
        <w:rPr>
          <w:lang w:val="lt-LT"/>
        </w:rPr>
        <w:t>Laikas iki didžiausios</w:t>
      </w:r>
      <w:r w:rsidRPr="004453A7">
        <w:rPr>
          <w:lang w:val="lt-LT"/>
        </w:rPr>
        <w:t xml:space="preserve"> koncentracijos yra apie 30 minučių. </w:t>
      </w:r>
    </w:p>
    <w:p w14:paraId="7407497E" w14:textId="77777777" w:rsidR="00E328E6" w:rsidRPr="004453A7" w:rsidRDefault="00E328E6" w:rsidP="00F34163">
      <w:pPr>
        <w:ind w:right="-142"/>
        <w:rPr>
          <w:lang w:val="lt-LT"/>
        </w:rPr>
      </w:pPr>
    </w:p>
    <w:p w14:paraId="569B6C98" w14:textId="77777777" w:rsidR="00E328E6" w:rsidRPr="004453A7" w:rsidRDefault="00E01BF1" w:rsidP="00F34163">
      <w:pPr>
        <w:ind w:right="-142"/>
        <w:rPr>
          <w:u w:val="single"/>
          <w:lang w:val="lt-LT"/>
        </w:rPr>
      </w:pPr>
      <w:r w:rsidRPr="004453A7">
        <w:rPr>
          <w:u w:val="single"/>
          <w:lang w:val="lt-LT"/>
        </w:rPr>
        <w:t xml:space="preserve">Pasiskirstymas </w:t>
      </w:r>
    </w:p>
    <w:p w14:paraId="23A1ECF2" w14:textId="77777777" w:rsidR="002D5832" w:rsidRPr="004453A7" w:rsidRDefault="00E01BF1" w:rsidP="00F34163">
      <w:pPr>
        <w:ind w:right="-142"/>
        <w:rPr>
          <w:lang w:val="lt-LT"/>
        </w:rPr>
      </w:pPr>
      <w:r w:rsidRPr="004453A7">
        <w:rPr>
          <w:lang w:val="lt-LT"/>
        </w:rPr>
        <w:t>Ikatibanto pasiskirs</w:t>
      </w:r>
      <w:r w:rsidR="002D5832" w:rsidRPr="004453A7">
        <w:rPr>
          <w:lang w:val="lt-LT"/>
        </w:rPr>
        <w:t>tymo tūris (Vss) yra apie 20–25 </w:t>
      </w:r>
      <w:r w:rsidRPr="004453A7">
        <w:rPr>
          <w:lang w:val="lt-LT"/>
        </w:rPr>
        <w:t>l. Jungima</w:t>
      </w:r>
      <w:r w:rsidR="00E328E6" w:rsidRPr="004453A7">
        <w:rPr>
          <w:lang w:val="lt-LT"/>
        </w:rPr>
        <w:t>sis prie plazmos baltymų yra 44 </w:t>
      </w:r>
      <w:r w:rsidRPr="004453A7">
        <w:rPr>
          <w:lang w:val="lt-LT"/>
        </w:rPr>
        <w:t xml:space="preserve">%. </w:t>
      </w:r>
    </w:p>
    <w:p w14:paraId="160BBEB5" w14:textId="77777777" w:rsidR="00E328E6" w:rsidRPr="004453A7" w:rsidRDefault="00E328E6" w:rsidP="00F34163">
      <w:pPr>
        <w:ind w:right="-142"/>
        <w:rPr>
          <w:lang w:val="lt-LT"/>
        </w:rPr>
      </w:pPr>
    </w:p>
    <w:p w14:paraId="5B9FE178" w14:textId="77777777" w:rsidR="00E328E6" w:rsidRPr="004453A7" w:rsidRDefault="00E01BF1" w:rsidP="00F34163">
      <w:pPr>
        <w:ind w:right="-142"/>
        <w:rPr>
          <w:u w:val="single"/>
          <w:lang w:val="lt-LT"/>
        </w:rPr>
      </w:pPr>
      <w:r w:rsidRPr="004453A7">
        <w:rPr>
          <w:u w:val="single"/>
          <w:lang w:val="lt-LT"/>
        </w:rPr>
        <w:t xml:space="preserve">Biotransformacija </w:t>
      </w:r>
    </w:p>
    <w:p w14:paraId="1F99AFE2" w14:textId="77777777" w:rsidR="00E328E6" w:rsidRPr="004453A7" w:rsidRDefault="00E01BF1" w:rsidP="00F34163">
      <w:pPr>
        <w:ind w:right="-142"/>
        <w:rPr>
          <w:lang w:val="lt-LT"/>
        </w:rPr>
      </w:pPr>
      <w:r w:rsidRPr="004453A7">
        <w:rPr>
          <w:lang w:val="lt-LT"/>
        </w:rPr>
        <w:t>Proteoliziniai fermentai ikatibantą ekstensyviai metabolizuoja į neaktyvius metabolitus, kurie pirmiausiai pašalinami per šlapimą.</w:t>
      </w:r>
    </w:p>
    <w:p w14:paraId="65FD2B2B" w14:textId="77777777" w:rsidR="00E328E6" w:rsidRPr="004453A7" w:rsidRDefault="00E328E6" w:rsidP="00F34163">
      <w:pPr>
        <w:ind w:right="-142"/>
        <w:rPr>
          <w:lang w:val="lt-LT"/>
        </w:rPr>
      </w:pPr>
    </w:p>
    <w:p w14:paraId="3C6E080F" w14:textId="77777777" w:rsidR="00E01BF1" w:rsidRPr="004453A7" w:rsidRDefault="00E01BF1" w:rsidP="00F34163">
      <w:pPr>
        <w:ind w:right="-142"/>
        <w:rPr>
          <w:lang w:val="lt-LT"/>
        </w:rPr>
      </w:pPr>
      <w:r w:rsidRPr="004453A7">
        <w:rPr>
          <w:i/>
          <w:lang w:val="lt-LT"/>
        </w:rPr>
        <w:t>In vitro</w:t>
      </w:r>
      <w:r w:rsidRPr="004453A7">
        <w:rPr>
          <w:lang w:val="lt-LT"/>
        </w:rPr>
        <w:t xml:space="preserve"> tyrimų metu buvo patvirtinta, kad ikatibantas nėra degraduojamas oksidaciniais mechanizmais</w:t>
      </w:r>
      <w:r w:rsidR="00E328E6" w:rsidRPr="004453A7">
        <w:rPr>
          <w:lang w:val="lt-LT"/>
        </w:rPr>
        <w:t>,</w:t>
      </w:r>
      <w:r w:rsidRPr="004453A7">
        <w:rPr>
          <w:lang w:val="lt-LT"/>
        </w:rPr>
        <w:t xml:space="preserve"> nėra pagrindinių citochromo P450 (CYP) izofermentų (CYP 1A2, 2A6, 2B6, 2C8, 2C9, 2C19, 2D6, 2E1, ir 3A4) inhibitorius bei </w:t>
      </w:r>
      <w:r w:rsidR="00E328E6" w:rsidRPr="004453A7">
        <w:rPr>
          <w:lang w:val="lt-LT"/>
        </w:rPr>
        <w:t>nėra CYP 1A2 ir 3A4 induktorius.</w:t>
      </w:r>
    </w:p>
    <w:p w14:paraId="6437EF74" w14:textId="77777777" w:rsidR="00E328E6" w:rsidRPr="004453A7" w:rsidRDefault="00E328E6" w:rsidP="00F34163">
      <w:pPr>
        <w:ind w:right="-142"/>
        <w:rPr>
          <w:lang w:val="lt-LT"/>
        </w:rPr>
      </w:pPr>
    </w:p>
    <w:p w14:paraId="50EA2455" w14:textId="77777777" w:rsidR="00E328E6" w:rsidRPr="004453A7" w:rsidRDefault="00E01BF1" w:rsidP="00F34163">
      <w:pPr>
        <w:ind w:right="-142"/>
        <w:rPr>
          <w:u w:val="single"/>
          <w:lang w:val="lt-LT"/>
        </w:rPr>
      </w:pPr>
      <w:r w:rsidRPr="004453A7">
        <w:rPr>
          <w:u w:val="single"/>
          <w:lang w:val="lt-LT"/>
        </w:rPr>
        <w:t xml:space="preserve">Eliminacija </w:t>
      </w:r>
    </w:p>
    <w:p w14:paraId="4180BFFF" w14:textId="77777777" w:rsidR="002D5832" w:rsidRPr="004453A7" w:rsidRDefault="00E01BF1" w:rsidP="00F34163">
      <w:pPr>
        <w:ind w:right="-142"/>
        <w:rPr>
          <w:lang w:val="lt-LT"/>
        </w:rPr>
      </w:pPr>
      <w:r w:rsidRPr="004453A7">
        <w:rPr>
          <w:lang w:val="lt-LT"/>
        </w:rPr>
        <w:t xml:space="preserve">Didžiausias ikatibanto kiekis </w:t>
      </w:r>
      <w:r w:rsidR="000460DE">
        <w:rPr>
          <w:lang w:val="lt-LT"/>
        </w:rPr>
        <w:t xml:space="preserve">eliminuojamas jį </w:t>
      </w:r>
      <w:r w:rsidRPr="004453A7">
        <w:rPr>
          <w:lang w:val="lt-LT"/>
        </w:rPr>
        <w:t>metabolizuoja</w:t>
      </w:r>
      <w:r w:rsidR="000460DE">
        <w:rPr>
          <w:lang w:val="lt-LT"/>
        </w:rPr>
        <w:t>nt</w:t>
      </w:r>
      <w:r w:rsidRPr="004453A7">
        <w:rPr>
          <w:lang w:val="lt-LT"/>
        </w:rPr>
        <w:t>, o mažiau nei 10</w:t>
      </w:r>
      <w:r w:rsidR="002D5832" w:rsidRPr="004453A7">
        <w:rPr>
          <w:lang w:val="lt-LT"/>
        </w:rPr>
        <w:t> </w:t>
      </w:r>
      <w:r w:rsidRPr="004453A7">
        <w:rPr>
          <w:lang w:val="lt-LT"/>
        </w:rPr>
        <w:t>% dozės pašalinama</w:t>
      </w:r>
      <w:r w:rsidR="00E328E6" w:rsidRPr="004453A7">
        <w:rPr>
          <w:lang w:val="lt-LT"/>
        </w:rPr>
        <w:t xml:space="preserve"> su </w:t>
      </w:r>
      <w:r w:rsidRPr="004453A7">
        <w:rPr>
          <w:lang w:val="lt-LT"/>
        </w:rPr>
        <w:t>šlapim</w:t>
      </w:r>
      <w:r w:rsidR="00E328E6" w:rsidRPr="004453A7">
        <w:rPr>
          <w:lang w:val="lt-LT"/>
        </w:rPr>
        <w:t>u</w:t>
      </w:r>
      <w:r w:rsidRPr="004453A7">
        <w:rPr>
          <w:lang w:val="lt-LT"/>
        </w:rPr>
        <w:t xml:space="preserve"> kaip nepakitęs vai</w:t>
      </w:r>
      <w:r w:rsidR="002D5832" w:rsidRPr="004453A7">
        <w:rPr>
          <w:lang w:val="lt-LT"/>
        </w:rPr>
        <w:t>st</w:t>
      </w:r>
      <w:r w:rsidR="00993B78">
        <w:rPr>
          <w:lang w:val="lt-LT"/>
        </w:rPr>
        <w:t>inis preparatas</w:t>
      </w:r>
      <w:r w:rsidR="002D5832" w:rsidRPr="004453A7">
        <w:rPr>
          <w:lang w:val="lt-LT"/>
        </w:rPr>
        <w:t>. Klirensas yra apie 15 -20 </w:t>
      </w:r>
      <w:r w:rsidRPr="004453A7">
        <w:rPr>
          <w:lang w:val="lt-LT"/>
        </w:rPr>
        <w:t xml:space="preserve">l/val. nepriklausomai nuo dozės. Pusinės eliminacijos </w:t>
      </w:r>
      <w:r w:rsidR="000460DE">
        <w:rPr>
          <w:lang w:val="lt-LT"/>
        </w:rPr>
        <w:t>laikas</w:t>
      </w:r>
      <w:r w:rsidRPr="004453A7">
        <w:rPr>
          <w:lang w:val="lt-LT"/>
        </w:rPr>
        <w:t xml:space="preserve"> plazmoje yra maždaug 1–2 valandos. </w:t>
      </w:r>
    </w:p>
    <w:p w14:paraId="035281CB" w14:textId="77777777" w:rsidR="00E328E6" w:rsidRPr="004453A7" w:rsidRDefault="00E328E6" w:rsidP="00F34163">
      <w:pPr>
        <w:ind w:right="-142"/>
        <w:rPr>
          <w:lang w:val="lt-LT"/>
        </w:rPr>
      </w:pPr>
    </w:p>
    <w:p w14:paraId="0F49E84B" w14:textId="77777777" w:rsidR="002D5832" w:rsidRPr="004453A7" w:rsidRDefault="00E01BF1" w:rsidP="00F34163">
      <w:pPr>
        <w:ind w:right="-142"/>
        <w:rPr>
          <w:u w:val="single"/>
          <w:lang w:val="lt-LT"/>
        </w:rPr>
      </w:pPr>
      <w:r w:rsidRPr="004453A7">
        <w:rPr>
          <w:u w:val="single"/>
          <w:lang w:val="lt-LT"/>
        </w:rPr>
        <w:t xml:space="preserve">Ypatingos populiacijos </w:t>
      </w:r>
    </w:p>
    <w:p w14:paraId="21614AC9" w14:textId="77777777" w:rsidR="00E328E6" w:rsidRPr="004453A7" w:rsidRDefault="00E328E6" w:rsidP="00F34163">
      <w:pPr>
        <w:ind w:right="-142"/>
        <w:rPr>
          <w:lang w:val="lt-LT"/>
        </w:rPr>
      </w:pPr>
    </w:p>
    <w:p w14:paraId="2C7EBAB7" w14:textId="77777777" w:rsidR="00E328E6" w:rsidRPr="004453A7" w:rsidRDefault="00E01BF1" w:rsidP="00F34163">
      <w:pPr>
        <w:ind w:right="-142"/>
        <w:rPr>
          <w:i/>
          <w:lang w:val="lt-LT"/>
        </w:rPr>
      </w:pPr>
      <w:r w:rsidRPr="004453A7">
        <w:rPr>
          <w:i/>
          <w:lang w:val="lt-LT"/>
        </w:rPr>
        <w:t xml:space="preserve">Senyvi pacientai </w:t>
      </w:r>
    </w:p>
    <w:p w14:paraId="14CDD314" w14:textId="77777777" w:rsidR="002D5832" w:rsidRPr="004453A7" w:rsidRDefault="00E01BF1" w:rsidP="00F34163">
      <w:pPr>
        <w:ind w:right="-142"/>
        <w:rPr>
          <w:lang w:val="lt-LT"/>
        </w:rPr>
      </w:pPr>
      <w:r w:rsidRPr="004453A7">
        <w:rPr>
          <w:lang w:val="lt-LT"/>
        </w:rPr>
        <w:t>Duomenys rodo</w:t>
      </w:r>
      <w:r w:rsidR="00C5557B" w:rsidRPr="004453A7">
        <w:rPr>
          <w:lang w:val="lt-LT"/>
        </w:rPr>
        <w:t>, kad su amžiumi susijęs klirenso sumažėjimas lemia apie</w:t>
      </w:r>
      <w:r w:rsidR="00E328E6" w:rsidRPr="004453A7">
        <w:rPr>
          <w:lang w:val="lt-LT"/>
        </w:rPr>
        <w:t xml:space="preserve"> </w:t>
      </w:r>
      <w:r w:rsidR="00C5557B" w:rsidRPr="004453A7">
        <w:rPr>
          <w:lang w:val="lt-LT"/>
        </w:rPr>
        <w:t xml:space="preserve">50-60 % didesnę ekspoziciją vyresnio amžiaus žmonėms </w:t>
      </w:r>
      <w:r w:rsidR="002D5832" w:rsidRPr="004453A7">
        <w:rPr>
          <w:lang w:val="lt-LT"/>
        </w:rPr>
        <w:t>(75-80 </w:t>
      </w:r>
      <w:r w:rsidRPr="004453A7">
        <w:rPr>
          <w:lang w:val="lt-LT"/>
        </w:rPr>
        <w:t>m</w:t>
      </w:r>
      <w:r w:rsidR="00C5557B" w:rsidRPr="004453A7">
        <w:rPr>
          <w:lang w:val="lt-LT"/>
        </w:rPr>
        <w:t>etų) pa</w:t>
      </w:r>
      <w:r w:rsidRPr="004453A7">
        <w:rPr>
          <w:lang w:val="lt-LT"/>
        </w:rPr>
        <w:t>lygin</w:t>
      </w:r>
      <w:r w:rsidR="00C5557B" w:rsidRPr="004453A7">
        <w:rPr>
          <w:lang w:val="lt-LT"/>
        </w:rPr>
        <w:t>ti su 40 metų</w:t>
      </w:r>
      <w:r w:rsidRPr="004453A7">
        <w:rPr>
          <w:lang w:val="lt-LT"/>
        </w:rPr>
        <w:t xml:space="preserve"> pacientais. </w:t>
      </w:r>
    </w:p>
    <w:p w14:paraId="37275C84" w14:textId="77777777" w:rsidR="00C5557B" w:rsidRPr="004453A7" w:rsidRDefault="00C5557B" w:rsidP="00F34163">
      <w:pPr>
        <w:ind w:right="-142"/>
        <w:rPr>
          <w:lang w:val="lt-LT"/>
        </w:rPr>
      </w:pPr>
    </w:p>
    <w:p w14:paraId="7C14FAE8" w14:textId="77777777" w:rsidR="00C5557B" w:rsidRPr="00DC1A53" w:rsidRDefault="00E01BF1" w:rsidP="00F34163">
      <w:pPr>
        <w:ind w:right="-142"/>
        <w:rPr>
          <w:i/>
          <w:iCs/>
          <w:lang w:val="lt-LT"/>
        </w:rPr>
      </w:pPr>
      <w:r w:rsidRPr="00DC1A53">
        <w:rPr>
          <w:i/>
          <w:iCs/>
          <w:lang w:val="lt-LT"/>
        </w:rPr>
        <w:t xml:space="preserve">Lytis </w:t>
      </w:r>
    </w:p>
    <w:p w14:paraId="4BEA9702" w14:textId="77777777" w:rsidR="002D5832" w:rsidRPr="004453A7" w:rsidRDefault="00E01BF1" w:rsidP="00F34163">
      <w:pPr>
        <w:ind w:right="-142"/>
        <w:rPr>
          <w:lang w:val="lt-LT"/>
        </w:rPr>
      </w:pPr>
      <w:r w:rsidRPr="004453A7">
        <w:rPr>
          <w:lang w:val="lt-LT"/>
        </w:rPr>
        <w:t xml:space="preserve">Duomenys rodo, kad nėra skirtumo tarp klirenso vyrams ir moterims atitinkamai pakoregavus kūno svorį. </w:t>
      </w:r>
    </w:p>
    <w:p w14:paraId="01B003F8" w14:textId="77777777" w:rsidR="00C5557B" w:rsidRPr="004453A7" w:rsidRDefault="00C5557B" w:rsidP="00F34163">
      <w:pPr>
        <w:ind w:right="-142"/>
        <w:rPr>
          <w:lang w:val="lt-LT"/>
        </w:rPr>
      </w:pPr>
    </w:p>
    <w:p w14:paraId="5894E535" w14:textId="77777777" w:rsidR="00C5557B" w:rsidRPr="004453A7" w:rsidRDefault="00E01BF1" w:rsidP="00F34163">
      <w:pPr>
        <w:ind w:right="-142"/>
        <w:rPr>
          <w:lang w:val="lt-LT"/>
        </w:rPr>
      </w:pPr>
      <w:r w:rsidRPr="004453A7">
        <w:rPr>
          <w:i/>
          <w:lang w:val="lt-LT"/>
        </w:rPr>
        <w:t>Sutrikusi inkstų ir kepenų funkcija</w:t>
      </w:r>
      <w:r w:rsidRPr="004453A7">
        <w:rPr>
          <w:lang w:val="lt-LT"/>
        </w:rPr>
        <w:t xml:space="preserve"> </w:t>
      </w:r>
    </w:p>
    <w:p w14:paraId="632A1139" w14:textId="77777777" w:rsidR="002D5832" w:rsidRPr="004453A7" w:rsidRDefault="00E01BF1" w:rsidP="00F34163">
      <w:pPr>
        <w:ind w:right="-142"/>
        <w:rPr>
          <w:lang w:val="lt-LT"/>
        </w:rPr>
      </w:pPr>
      <w:r w:rsidRPr="004453A7">
        <w:rPr>
          <w:lang w:val="lt-LT"/>
        </w:rPr>
        <w:t xml:space="preserve">Riboti duomenys rodo, jog inkstų ar kepenų </w:t>
      </w:r>
      <w:r w:rsidR="00993B78">
        <w:rPr>
          <w:lang w:val="lt-LT"/>
        </w:rPr>
        <w:t>funkcijos</w:t>
      </w:r>
      <w:r w:rsidRPr="004453A7">
        <w:rPr>
          <w:lang w:val="lt-LT"/>
        </w:rPr>
        <w:t xml:space="preserve"> sutrikimai neturi įtakos ikatibanto ekspozicijai. </w:t>
      </w:r>
    </w:p>
    <w:p w14:paraId="5FE3A8EC" w14:textId="77777777" w:rsidR="00C5557B" w:rsidRPr="004453A7" w:rsidRDefault="00C5557B" w:rsidP="00F34163">
      <w:pPr>
        <w:ind w:right="-142"/>
        <w:rPr>
          <w:lang w:val="lt-LT"/>
        </w:rPr>
      </w:pPr>
    </w:p>
    <w:p w14:paraId="3BD4512F" w14:textId="77777777" w:rsidR="00C5557B" w:rsidRPr="00DC1A53" w:rsidRDefault="00E01BF1" w:rsidP="00F34163">
      <w:pPr>
        <w:ind w:right="-142"/>
        <w:rPr>
          <w:i/>
          <w:iCs/>
          <w:lang w:val="lt-LT"/>
        </w:rPr>
      </w:pPr>
      <w:r w:rsidRPr="00DC1A53">
        <w:rPr>
          <w:i/>
          <w:iCs/>
          <w:lang w:val="lt-LT"/>
        </w:rPr>
        <w:t xml:space="preserve">Rasė </w:t>
      </w:r>
    </w:p>
    <w:p w14:paraId="5B3B3DAE" w14:textId="77777777" w:rsidR="002D5832" w:rsidRPr="004453A7" w:rsidRDefault="00E01BF1" w:rsidP="00F34163">
      <w:pPr>
        <w:ind w:right="-142"/>
        <w:rPr>
          <w:lang w:val="lt-LT"/>
        </w:rPr>
      </w:pPr>
      <w:r w:rsidRPr="004453A7">
        <w:rPr>
          <w:lang w:val="lt-LT"/>
        </w:rPr>
        <w:t xml:space="preserve">Informacijos apie atskiras rases yra nedaug. Turimi ekspozicijos duomenys rodo, kad nėra klirenso skirtumo tarp nebaltaodžių (n = 40) ir baltaodžių (n = 132) tiriamųjų. </w:t>
      </w:r>
    </w:p>
    <w:p w14:paraId="0ABA329A" w14:textId="77777777" w:rsidR="00C5557B" w:rsidRPr="004453A7" w:rsidRDefault="00E01BF1" w:rsidP="00F34163">
      <w:pPr>
        <w:ind w:right="-142"/>
        <w:rPr>
          <w:i/>
          <w:lang w:val="lt-LT"/>
        </w:rPr>
      </w:pPr>
      <w:r w:rsidRPr="004453A7">
        <w:rPr>
          <w:i/>
          <w:lang w:val="lt-LT"/>
        </w:rPr>
        <w:t xml:space="preserve">Vaikų populiacija </w:t>
      </w:r>
    </w:p>
    <w:p w14:paraId="2433F120" w14:textId="77777777" w:rsidR="00E01BF1" w:rsidRPr="004453A7" w:rsidRDefault="00E01BF1" w:rsidP="00F34163">
      <w:pPr>
        <w:ind w:right="-142"/>
        <w:rPr>
          <w:lang w:val="lt-LT"/>
        </w:rPr>
      </w:pPr>
      <w:r w:rsidRPr="004453A7">
        <w:rPr>
          <w:lang w:val="lt-LT"/>
        </w:rPr>
        <w:t>Ikatibanto farmakokinetika buvo apibūdinta PAE sergantiems pacientams vaikams HGT-FIR-086 tyrime (žr. 5.1 skyrių). Suleidus vieną vaist</w:t>
      </w:r>
      <w:r w:rsidR="002D5832" w:rsidRPr="004453A7">
        <w:rPr>
          <w:lang w:val="lt-LT"/>
        </w:rPr>
        <w:t>inio preparato dozę po oda (0,4 mg/kg, bet ne daugiau kaip 30 </w:t>
      </w:r>
      <w:r w:rsidRPr="004453A7">
        <w:rPr>
          <w:lang w:val="lt-LT"/>
        </w:rPr>
        <w:t xml:space="preserve">mg), laikas iki didžiausios koncentracijos </w:t>
      </w:r>
      <w:r w:rsidR="00C5557B" w:rsidRPr="004453A7">
        <w:rPr>
          <w:lang w:val="lt-LT"/>
        </w:rPr>
        <w:t xml:space="preserve">susidarymo </w:t>
      </w:r>
      <w:r w:rsidRPr="004453A7">
        <w:rPr>
          <w:lang w:val="lt-LT"/>
        </w:rPr>
        <w:t>yra maždaug 30 minučių, o galutinis pusinės eliminacijos laikas yra maždaug 2 valandos. Nebuvo stebėta ekspozicijos ikatibantu skirtumo tarp pacientų, kuriems buvo PAE priepuolis, ir tų, kuriems jo nebuvo. Farmakokinetinis populiacijos modeliavimas naudojant ir suaugusiųjų, ir vaikų duomenis parodė, kad ikatibanto klirensas yra susijęs su svoriu, kai mažesnės klirenso vertės pastebimos mažesnio svorio vaikų, sergančių PAE, populiacijai. Remiantis nuo svorio priklausomu dozės modeliavimu</w:t>
      </w:r>
      <w:r w:rsidR="00C5557B" w:rsidRPr="004453A7">
        <w:rPr>
          <w:lang w:val="lt-LT"/>
        </w:rPr>
        <w:t>,</w:t>
      </w:r>
      <w:r w:rsidRPr="004453A7">
        <w:rPr>
          <w:lang w:val="lt-LT"/>
        </w:rPr>
        <w:t xml:space="preserve"> PAE</w:t>
      </w:r>
      <w:r w:rsidR="00C5557B" w:rsidRPr="004453A7">
        <w:rPr>
          <w:lang w:val="lt-LT"/>
        </w:rPr>
        <w:t xml:space="preserve"> sergančių vaikų</w:t>
      </w:r>
      <w:r w:rsidRPr="004453A7">
        <w:rPr>
          <w:lang w:val="lt-LT"/>
        </w:rPr>
        <w:t xml:space="preserve"> populiacijos tikėtina ekspozicija ikatibantu (žr. 4.2 skyrių) yra mažesnė nei klinikinių tyrimų metu stebėta suaugusių pacientų, sergančių PAE, ekspozicija</w:t>
      </w:r>
      <w:r w:rsidR="00C5557B" w:rsidRPr="004453A7">
        <w:rPr>
          <w:lang w:val="lt-LT"/>
        </w:rPr>
        <w:t>.</w:t>
      </w:r>
    </w:p>
    <w:p w14:paraId="77B60E6C" w14:textId="77777777" w:rsidR="001A2C38" w:rsidRPr="004453A7" w:rsidRDefault="001A2C38" w:rsidP="00F34163">
      <w:pPr>
        <w:pStyle w:val="Antrat4"/>
        <w:rPr>
          <w:rFonts w:ascii="Times New Roman" w:hAnsi="Times New Roman"/>
          <w:sz w:val="22"/>
          <w:lang w:val="lt-LT"/>
        </w:rPr>
      </w:pPr>
    </w:p>
    <w:p w14:paraId="1E542F1C"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5.3</w:t>
      </w:r>
      <w:r w:rsidRPr="004453A7">
        <w:rPr>
          <w:rFonts w:ascii="Times New Roman" w:hAnsi="Times New Roman"/>
          <w:sz w:val="22"/>
          <w:lang w:val="lt-LT"/>
        </w:rPr>
        <w:tab/>
        <w:t>Ikiklinikinių saugumo tyrimų duomenys</w:t>
      </w:r>
    </w:p>
    <w:p w14:paraId="1EA011FA" w14:textId="77777777" w:rsidR="00F34163" w:rsidRPr="004453A7" w:rsidRDefault="00F34163" w:rsidP="00F34163">
      <w:pPr>
        <w:tabs>
          <w:tab w:val="clear" w:pos="567"/>
        </w:tabs>
        <w:spacing w:line="240" w:lineRule="auto"/>
        <w:rPr>
          <w:szCs w:val="24"/>
          <w:lang w:val="lt-LT"/>
        </w:rPr>
      </w:pPr>
    </w:p>
    <w:p w14:paraId="7DDE5E43" w14:textId="77777777" w:rsidR="001A2C38" w:rsidRPr="004453A7" w:rsidRDefault="00E01BF1" w:rsidP="00F34163">
      <w:pPr>
        <w:tabs>
          <w:tab w:val="clear" w:pos="567"/>
        </w:tabs>
        <w:spacing w:line="240" w:lineRule="auto"/>
        <w:rPr>
          <w:lang w:val="lt-LT"/>
        </w:rPr>
      </w:pPr>
      <w:r w:rsidRPr="004453A7">
        <w:rPr>
          <w:lang w:val="lt-LT"/>
        </w:rPr>
        <w:t xml:space="preserve">Buvo atlikti kartotinių dozių iki 6 mėnesių trukmės tyrimai su žiurkėmis ir 9 mėnesių trukmės tyrimai su šunimis. Tiek žiurkėms, tiek šunims stebėtas nuo dozės priklausomas cirkuliuojančių lytinių hormonų kiekio sumažėjimas, o </w:t>
      </w:r>
      <w:r w:rsidR="001A2C38" w:rsidRPr="004453A7">
        <w:rPr>
          <w:lang w:val="lt-LT"/>
        </w:rPr>
        <w:t xml:space="preserve">kartotinis </w:t>
      </w:r>
      <w:r w:rsidRPr="004453A7">
        <w:rPr>
          <w:lang w:val="lt-LT"/>
        </w:rPr>
        <w:t xml:space="preserve">ikatibanto </w:t>
      </w:r>
      <w:r w:rsidR="001A2C38" w:rsidRPr="004453A7">
        <w:rPr>
          <w:lang w:val="lt-LT"/>
        </w:rPr>
        <w:t>leidimas</w:t>
      </w:r>
      <w:r w:rsidRPr="004453A7">
        <w:rPr>
          <w:lang w:val="lt-LT"/>
        </w:rPr>
        <w:t xml:space="preserve"> grįžtamai sulėtino lytinę brandą. </w:t>
      </w:r>
    </w:p>
    <w:p w14:paraId="56D32441" w14:textId="77777777" w:rsidR="001A2C38" w:rsidRPr="004453A7" w:rsidRDefault="001A2C38" w:rsidP="00F34163">
      <w:pPr>
        <w:tabs>
          <w:tab w:val="clear" w:pos="567"/>
        </w:tabs>
        <w:spacing w:line="240" w:lineRule="auto"/>
        <w:rPr>
          <w:lang w:val="lt-LT"/>
        </w:rPr>
      </w:pPr>
    </w:p>
    <w:p w14:paraId="7D22AB73" w14:textId="77777777" w:rsidR="001A2C38" w:rsidRPr="004453A7" w:rsidRDefault="00E01BF1" w:rsidP="00F34163">
      <w:pPr>
        <w:tabs>
          <w:tab w:val="clear" w:pos="567"/>
        </w:tabs>
        <w:spacing w:line="240" w:lineRule="auto"/>
        <w:rPr>
          <w:lang w:val="lt-LT"/>
        </w:rPr>
      </w:pPr>
      <w:r w:rsidRPr="004453A7">
        <w:rPr>
          <w:lang w:val="lt-LT"/>
        </w:rPr>
        <w:t xml:space="preserve">Maksimali dienos ekspozicinė dozė, nustatyta remiantis plotu po koncentracijos </w:t>
      </w:r>
      <w:r w:rsidR="001A2C38" w:rsidRPr="004453A7">
        <w:rPr>
          <w:lang w:val="lt-LT"/>
        </w:rPr>
        <w:t>ir laiko sankirtos</w:t>
      </w:r>
      <w:r w:rsidRPr="004453A7">
        <w:rPr>
          <w:lang w:val="lt-LT"/>
        </w:rPr>
        <w:t xml:space="preserve"> kreive (AUC) ties šalutinio poveikio nebuvimo riba (angl. </w:t>
      </w:r>
      <w:r w:rsidRPr="004453A7">
        <w:rPr>
          <w:i/>
          <w:lang w:val="lt-LT"/>
        </w:rPr>
        <w:t>NOAEL</w:t>
      </w:r>
      <w:r w:rsidRPr="004453A7">
        <w:rPr>
          <w:lang w:val="lt-LT"/>
        </w:rPr>
        <w:t>) 9 mėnesių tyrime su šunimis buvo 2,3 karto didesnė, lyginant su suaugusių žmonių AUC p</w:t>
      </w:r>
      <w:r w:rsidR="001A2C38" w:rsidRPr="004453A7">
        <w:rPr>
          <w:lang w:val="lt-LT"/>
        </w:rPr>
        <w:t>o 30 </w:t>
      </w:r>
      <w:r w:rsidRPr="004453A7">
        <w:rPr>
          <w:lang w:val="lt-LT"/>
        </w:rPr>
        <w:t xml:space="preserve">mg injekcijos po oda. NOAEL tyrimuose su žiurkėmis matuojamas nebuvo, tačiau visi to tyrimo rezultatai rodo, kad poveikis tiriamosioms žiurkėms buvo visiškai arba dalinai grįžtamas. Visų su žiurkėmis tirtų dozių atvejais stebėta antinksčių hipertrofija. Nutraukus gydymą ikatibantu, antinksčių hipertrofija išnyko. Klinikinė šių pokyčių antinksčiuose reikšmė yra nežinoma. </w:t>
      </w:r>
    </w:p>
    <w:p w14:paraId="361852D0" w14:textId="77777777" w:rsidR="001A2C38" w:rsidRPr="004453A7" w:rsidRDefault="001A2C38" w:rsidP="00F34163">
      <w:pPr>
        <w:tabs>
          <w:tab w:val="clear" w:pos="567"/>
        </w:tabs>
        <w:spacing w:line="240" w:lineRule="auto"/>
        <w:rPr>
          <w:lang w:val="lt-LT"/>
        </w:rPr>
      </w:pPr>
    </w:p>
    <w:p w14:paraId="5E2DCF1A" w14:textId="77777777" w:rsidR="00CD5F9F" w:rsidRPr="004453A7" w:rsidRDefault="00E01BF1" w:rsidP="00F34163">
      <w:pPr>
        <w:tabs>
          <w:tab w:val="clear" w:pos="567"/>
        </w:tabs>
        <w:spacing w:line="240" w:lineRule="auto"/>
        <w:rPr>
          <w:lang w:val="lt-LT"/>
        </w:rPr>
      </w:pPr>
      <w:r w:rsidRPr="004453A7">
        <w:rPr>
          <w:lang w:val="lt-LT"/>
        </w:rPr>
        <w:t>Ikatibantas neturėjo poveiki</w:t>
      </w:r>
      <w:r w:rsidR="001A2C38" w:rsidRPr="004453A7">
        <w:rPr>
          <w:lang w:val="lt-LT"/>
        </w:rPr>
        <w:t>o pelių (didžiausia dozė – 80,8 </w:t>
      </w:r>
      <w:r w:rsidRPr="004453A7">
        <w:rPr>
          <w:lang w:val="lt-LT"/>
        </w:rPr>
        <w:t>mg/kg/parą) i</w:t>
      </w:r>
      <w:r w:rsidR="002D5832" w:rsidRPr="004453A7">
        <w:rPr>
          <w:lang w:val="lt-LT"/>
        </w:rPr>
        <w:t>r žiurkių (didžiausia dozė – 10 </w:t>
      </w:r>
      <w:r w:rsidRPr="004453A7">
        <w:rPr>
          <w:lang w:val="lt-LT"/>
        </w:rPr>
        <w:t>mg/kg/parą) patinų vaisingumui.</w:t>
      </w:r>
    </w:p>
    <w:p w14:paraId="1E6EF49C" w14:textId="77777777" w:rsidR="001A2C38" w:rsidRPr="004453A7" w:rsidRDefault="001A2C38" w:rsidP="00F34163">
      <w:pPr>
        <w:tabs>
          <w:tab w:val="clear" w:pos="567"/>
        </w:tabs>
        <w:spacing w:line="240" w:lineRule="auto"/>
        <w:rPr>
          <w:lang w:val="lt-LT"/>
        </w:rPr>
      </w:pPr>
    </w:p>
    <w:p w14:paraId="21AAC82F" w14:textId="77777777" w:rsidR="001A2C38" w:rsidRPr="004453A7" w:rsidRDefault="00CD5F9F" w:rsidP="00F34163">
      <w:pPr>
        <w:tabs>
          <w:tab w:val="clear" w:pos="567"/>
        </w:tabs>
        <w:spacing w:line="240" w:lineRule="auto"/>
        <w:rPr>
          <w:lang w:val="lt-LT"/>
        </w:rPr>
      </w:pPr>
      <w:r w:rsidRPr="004453A7">
        <w:rPr>
          <w:lang w:val="lt-LT"/>
        </w:rPr>
        <w:t>2 metų trukmės tyrim</w:t>
      </w:r>
      <w:r w:rsidR="001A2C38" w:rsidRPr="004453A7">
        <w:rPr>
          <w:lang w:val="lt-LT"/>
        </w:rPr>
        <w:t>o</w:t>
      </w:r>
      <w:r w:rsidRPr="004453A7">
        <w:rPr>
          <w:lang w:val="lt-LT"/>
        </w:rPr>
        <w:t xml:space="preserve">, kuriuo buvo siekiama įvertinti ikatibanto kancerogeninį potencialą žiurkėms, </w:t>
      </w:r>
      <w:r w:rsidR="001A2C38" w:rsidRPr="004453A7">
        <w:rPr>
          <w:lang w:val="lt-LT"/>
        </w:rPr>
        <w:t xml:space="preserve">metu </w:t>
      </w:r>
      <w:r w:rsidRPr="004453A7">
        <w:rPr>
          <w:lang w:val="lt-LT"/>
        </w:rPr>
        <w:t xml:space="preserve">kiekvieną dieną skiriant dozes, sukeliančias iki maždaug 2 kartų didesnę ekspoziciją negu terapinės dozės sukeliama ekspozicija žmonėms, poveikio auglių dažnumui ir morfologijai nenustatyta. Rezultatai nerodo kancerogeninio potencialo ikatibantui. </w:t>
      </w:r>
    </w:p>
    <w:p w14:paraId="2FCE7FCD" w14:textId="77777777" w:rsidR="001A2C38" w:rsidRPr="004453A7" w:rsidRDefault="001A2C38" w:rsidP="00F34163">
      <w:pPr>
        <w:tabs>
          <w:tab w:val="clear" w:pos="567"/>
        </w:tabs>
        <w:spacing w:line="240" w:lineRule="auto"/>
        <w:rPr>
          <w:lang w:val="lt-LT"/>
        </w:rPr>
      </w:pPr>
    </w:p>
    <w:p w14:paraId="2009B550" w14:textId="77777777" w:rsidR="001A2C38" w:rsidRPr="004453A7" w:rsidRDefault="00CD5F9F" w:rsidP="00F34163">
      <w:pPr>
        <w:tabs>
          <w:tab w:val="clear" w:pos="567"/>
        </w:tabs>
        <w:spacing w:line="240" w:lineRule="auto"/>
        <w:rPr>
          <w:lang w:val="lt-LT"/>
        </w:rPr>
      </w:pPr>
      <w:r w:rsidRPr="004453A7">
        <w:rPr>
          <w:lang w:val="lt-LT"/>
        </w:rPr>
        <w:t xml:space="preserve">Standartiniais </w:t>
      </w:r>
      <w:r w:rsidRPr="004453A7">
        <w:rPr>
          <w:i/>
          <w:lang w:val="lt-LT"/>
        </w:rPr>
        <w:t>in vitro</w:t>
      </w:r>
      <w:r w:rsidRPr="004453A7">
        <w:rPr>
          <w:lang w:val="lt-LT"/>
        </w:rPr>
        <w:t xml:space="preserve"> ir </w:t>
      </w:r>
      <w:r w:rsidRPr="004453A7">
        <w:rPr>
          <w:i/>
          <w:lang w:val="lt-LT"/>
        </w:rPr>
        <w:t>in vivo</w:t>
      </w:r>
      <w:r w:rsidRPr="004453A7">
        <w:rPr>
          <w:lang w:val="lt-LT"/>
        </w:rPr>
        <w:t xml:space="preserve"> tyrimais, ikatibantas nebuvo genotoksiškas. </w:t>
      </w:r>
    </w:p>
    <w:p w14:paraId="2F7D8FBC" w14:textId="77777777" w:rsidR="001A2C38" w:rsidRPr="004453A7" w:rsidRDefault="001A2C38" w:rsidP="00F34163">
      <w:pPr>
        <w:tabs>
          <w:tab w:val="clear" w:pos="567"/>
        </w:tabs>
        <w:spacing w:line="240" w:lineRule="auto"/>
        <w:rPr>
          <w:lang w:val="lt-LT"/>
        </w:rPr>
      </w:pPr>
    </w:p>
    <w:p w14:paraId="7EFFF8AF" w14:textId="77777777" w:rsidR="001A2C38" w:rsidRPr="004453A7" w:rsidRDefault="00CD5F9F" w:rsidP="00F34163">
      <w:pPr>
        <w:tabs>
          <w:tab w:val="clear" w:pos="567"/>
        </w:tabs>
        <w:spacing w:line="240" w:lineRule="auto"/>
        <w:rPr>
          <w:lang w:val="lt-LT"/>
        </w:rPr>
      </w:pPr>
      <w:r w:rsidRPr="004453A7">
        <w:rPr>
          <w:lang w:val="lt-LT"/>
        </w:rPr>
        <w:t xml:space="preserve">Ikatibantas nebuvo teratogeniškas </w:t>
      </w:r>
      <w:r w:rsidR="001A2C38" w:rsidRPr="004453A7">
        <w:rPr>
          <w:lang w:val="lt-LT"/>
        </w:rPr>
        <w:t>leidžiant</w:t>
      </w:r>
      <w:r w:rsidRPr="004453A7">
        <w:rPr>
          <w:lang w:val="lt-LT"/>
        </w:rPr>
        <w:t xml:space="preserve"> poodinės injekcijos būdu žiurkėms ankstyvojo embriono vystymosi ir vaisiaus vys</w:t>
      </w:r>
      <w:r w:rsidR="002D5832" w:rsidRPr="004453A7">
        <w:rPr>
          <w:lang w:val="lt-LT"/>
        </w:rPr>
        <w:t>tymosi metu (didžiausia dozė 25 </w:t>
      </w:r>
      <w:r w:rsidRPr="004453A7">
        <w:rPr>
          <w:lang w:val="lt-LT"/>
        </w:rPr>
        <w:t xml:space="preserve">mg/kg/per parą) ir triušiams (didžiausia </w:t>
      </w:r>
      <w:r w:rsidR="002D5832" w:rsidRPr="004453A7">
        <w:rPr>
          <w:lang w:val="lt-LT"/>
        </w:rPr>
        <w:t>dozė 10 </w:t>
      </w:r>
      <w:r w:rsidRPr="004453A7">
        <w:rPr>
          <w:lang w:val="lt-LT"/>
        </w:rPr>
        <w:t>mg/kg/per parą). Ikatibantas yra stipriai veikiantis bradikinino an</w:t>
      </w:r>
      <w:r w:rsidR="001A2C38" w:rsidRPr="004453A7">
        <w:rPr>
          <w:lang w:val="lt-LT"/>
        </w:rPr>
        <w:t>tagonistas, todėl, esant didelė</w:t>
      </w:r>
      <w:r w:rsidRPr="004453A7">
        <w:rPr>
          <w:lang w:val="lt-LT"/>
        </w:rPr>
        <w:t>ms dozė</w:t>
      </w:r>
      <w:r w:rsidR="001A2C38" w:rsidRPr="004453A7">
        <w:rPr>
          <w:lang w:val="lt-LT"/>
        </w:rPr>
        <w:t>ms</w:t>
      </w:r>
      <w:r w:rsidRPr="004453A7">
        <w:rPr>
          <w:lang w:val="lt-LT"/>
        </w:rPr>
        <w:t xml:space="preserve">, </w:t>
      </w:r>
      <w:r w:rsidR="001A2C38" w:rsidRPr="004453A7">
        <w:rPr>
          <w:lang w:val="lt-LT"/>
        </w:rPr>
        <w:t>vartojimas</w:t>
      </w:r>
      <w:r w:rsidRPr="004453A7">
        <w:rPr>
          <w:lang w:val="lt-LT"/>
        </w:rPr>
        <w:t xml:space="preserve"> gali paveikti implantacijos gimdoje procesą ir, atitinkamai, paveikti gimdos stabilumą ankstyvojo nėštumo laikotarpiu. Šis poveikis gimdai taip pat išryškėja vėlyvojoje nėštumo stadijoje, kai pasireiškia tokolitinis ikatibanto poveikis, dėl kurio žiurkės jauniklius atsiveda vėliau, padaugėja vaisiaus išsekimo ir perinatalinės </w:t>
      </w:r>
      <w:r w:rsidR="001A2C38" w:rsidRPr="004453A7">
        <w:rPr>
          <w:lang w:val="lt-LT"/>
        </w:rPr>
        <w:t>žūties</w:t>
      </w:r>
      <w:r w:rsidRPr="004453A7">
        <w:rPr>
          <w:lang w:val="lt-LT"/>
        </w:rPr>
        <w:t xml:space="preserve"> a</w:t>
      </w:r>
      <w:r w:rsidR="002D5832" w:rsidRPr="004453A7">
        <w:rPr>
          <w:lang w:val="lt-LT"/>
        </w:rPr>
        <w:t>tvejų esant didelėms dozėms (10 </w:t>
      </w:r>
      <w:r w:rsidRPr="004453A7">
        <w:rPr>
          <w:lang w:val="lt-LT"/>
        </w:rPr>
        <w:t xml:space="preserve">mg/kg/per parą). </w:t>
      </w:r>
    </w:p>
    <w:p w14:paraId="3CF4462A" w14:textId="77777777" w:rsidR="001A2C38" w:rsidRDefault="001A2C38" w:rsidP="00F34163">
      <w:pPr>
        <w:tabs>
          <w:tab w:val="clear" w:pos="567"/>
        </w:tabs>
        <w:spacing w:line="240" w:lineRule="auto"/>
        <w:rPr>
          <w:lang w:val="lt-LT"/>
        </w:rPr>
      </w:pPr>
    </w:p>
    <w:p w14:paraId="02348504" w14:textId="77777777" w:rsidR="001A2C38" w:rsidRPr="004453A7" w:rsidRDefault="00671890" w:rsidP="00F34163">
      <w:pPr>
        <w:tabs>
          <w:tab w:val="clear" w:pos="567"/>
        </w:tabs>
        <w:spacing w:line="240" w:lineRule="auto"/>
        <w:rPr>
          <w:lang w:val="lt-LT"/>
        </w:rPr>
      </w:pPr>
      <w:r w:rsidRPr="00E71BDC">
        <w:rPr>
          <w:lang w:val="lt-LT"/>
        </w:rPr>
        <w:t>Dviejų savaičių poodinių dozių diapazono tyrime su žiurk</w:t>
      </w:r>
      <w:r w:rsidRPr="00550788">
        <w:rPr>
          <w:lang w:val="lt-LT"/>
        </w:rPr>
        <w:t>ių jaunikliais nustatyta, kad 25 mg/kg per parą yra didžiausia toleruojama dozė.</w:t>
      </w:r>
      <w:r>
        <w:rPr>
          <w:lang w:val="lt-LT"/>
        </w:rPr>
        <w:t xml:space="preserve"> </w:t>
      </w:r>
      <w:r w:rsidR="00CD5F9F" w:rsidRPr="004453A7">
        <w:rPr>
          <w:lang w:val="lt-LT"/>
        </w:rPr>
        <w:t>Pagrindinio toksiškumo tyrimo eigoje su jaunikliais, kai lytiškai nesubrendusios žiurkė</w:t>
      </w:r>
      <w:r w:rsidR="001A2C38" w:rsidRPr="004453A7">
        <w:rPr>
          <w:lang w:val="lt-LT"/>
        </w:rPr>
        <w:t>m</w:t>
      </w:r>
      <w:r w:rsidR="00CD5F9F" w:rsidRPr="004453A7">
        <w:rPr>
          <w:lang w:val="lt-LT"/>
        </w:rPr>
        <w:t xml:space="preserve">s buvo </w:t>
      </w:r>
      <w:r w:rsidR="001A2C38" w:rsidRPr="004453A7">
        <w:rPr>
          <w:lang w:val="lt-LT"/>
        </w:rPr>
        <w:t>leidžiama 3 mg/kg per parą dozė</w:t>
      </w:r>
      <w:r w:rsidR="00CD5F9F" w:rsidRPr="004453A7">
        <w:rPr>
          <w:lang w:val="lt-LT"/>
        </w:rPr>
        <w:t xml:space="preserve"> septynias savaites, buvo pastebėta sėklidžių ir sėklidžių prielipų atrofija; stebėti mikroskopiniai pakitimai buvo iš dalies grįžtami. Panašus ikatibanto poveikis reprodukciniams audiniams buvo stebimas lytiškai subrendusioms žiurkėms ir šunims. Šie audinių pokyčių duomenys atitinka žinomą poveikį gonadotropinams, kuris yra laikinas ir, tam tikrą laiką nevartojant vaistinio preparato, praeina. </w:t>
      </w:r>
    </w:p>
    <w:p w14:paraId="33DF9011" w14:textId="77777777" w:rsidR="001A2C38" w:rsidRPr="004453A7" w:rsidRDefault="001A2C38" w:rsidP="00F34163">
      <w:pPr>
        <w:tabs>
          <w:tab w:val="clear" w:pos="567"/>
        </w:tabs>
        <w:spacing w:line="240" w:lineRule="auto"/>
        <w:rPr>
          <w:lang w:val="lt-LT"/>
        </w:rPr>
      </w:pPr>
    </w:p>
    <w:p w14:paraId="22A6BD10" w14:textId="77777777" w:rsidR="00CD5F9F" w:rsidRPr="004453A7" w:rsidRDefault="00CD5F9F" w:rsidP="00F34163">
      <w:pPr>
        <w:tabs>
          <w:tab w:val="clear" w:pos="567"/>
        </w:tabs>
        <w:spacing w:line="240" w:lineRule="auto"/>
        <w:rPr>
          <w:lang w:val="lt-LT"/>
        </w:rPr>
      </w:pPr>
      <w:r w:rsidRPr="004453A7">
        <w:rPr>
          <w:lang w:val="lt-LT"/>
        </w:rPr>
        <w:t xml:space="preserve">Ikatibantas nesukėlė jokių širdies laidumo pokyčių atlikus </w:t>
      </w:r>
      <w:r w:rsidRPr="004453A7">
        <w:rPr>
          <w:i/>
          <w:lang w:val="lt-LT"/>
        </w:rPr>
        <w:t>in vitro</w:t>
      </w:r>
      <w:r w:rsidRPr="004453A7">
        <w:rPr>
          <w:lang w:val="lt-LT"/>
        </w:rPr>
        <w:t xml:space="preserve"> (hERG kanalo) bei </w:t>
      </w:r>
      <w:r w:rsidRPr="004453A7">
        <w:rPr>
          <w:i/>
          <w:lang w:val="lt-LT"/>
        </w:rPr>
        <w:t>in vivo</w:t>
      </w:r>
      <w:r w:rsidRPr="004453A7">
        <w:rPr>
          <w:lang w:val="lt-LT"/>
        </w:rPr>
        <w:t xml:space="preserve"> tyrimus su sveikais šunimis ar įva</w:t>
      </w:r>
      <w:r w:rsidR="00DA05FF" w:rsidRPr="004453A7">
        <w:rPr>
          <w:lang w:val="lt-LT"/>
        </w:rPr>
        <w:t>iriais šunų modeliais (skilvelių</w:t>
      </w:r>
      <w:r w:rsidRPr="004453A7">
        <w:rPr>
          <w:lang w:val="lt-LT"/>
        </w:rPr>
        <w:t xml:space="preserve"> </w:t>
      </w:r>
      <w:r w:rsidR="00DA05FF" w:rsidRPr="004453A7">
        <w:rPr>
          <w:lang w:val="lt-LT"/>
        </w:rPr>
        <w:t>stimuliavimas, fizinis krūvis</w:t>
      </w:r>
      <w:r w:rsidRPr="004453A7">
        <w:rPr>
          <w:lang w:val="lt-LT"/>
        </w:rPr>
        <w:t xml:space="preserve"> ir koronarinė ligatūra), ir susijusių hemodinaminių pokyčių</w:t>
      </w:r>
      <w:r w:rsidR="00DA05FF" w:rsidRPr="004453A7">
        <w:rPr>
          <w:lang w:val="lt-LT"/>
        </w:rPr>
        <w:t xml:space="preserve"> jiems nenustatyta</w:t>
      </w:r>
      <w:r w:rsidRPr="004453A7">
        <w:rPr>
          <w:lang w:val="lt-LT"/>
        </w:rPr>
        <w:t xml:space="preserve">. Keliais ikiklinikiniais modeliais nustatyta, kad ikatibantas gali apsunkinti sukeltą širdies išemiją, tačiau </w:t>
      </w:r>
      <w:r w:rsidR="00DA05FF" w:rsidRPr="004453A7">
        <w:rPr>
          <w:lang w:val="lt-LT"/>
        </w:rPr>
        <w:t>žalingas</w:t>
      </w:r>
      <w:r w:rsidRPr="004453A7">
        <w:rPr>
          <w:lang w:val="lt-LT"/>
        </w:rPr>
        <w:t xml:space="preserve"> poveikis nebuvo nuoseklus ūmios išemijos atvejais.</w:t>
      </w:r>
    </w:p>
    <w:p w14:paraId="71AFD3F8" w14:textId="77777777" w:rsidR="00CD5F9F" w:rsidRPr="004453A7" w:rsidRDefault="00CD5F9F" w:rsidP="00F34163">
      <w:pPr>
        <w:tabs>
          <w:tab w:val="clear" w:pos="567"/>
        </w:tabs>
        <w:spacing w:line="240" w:lineRule="auto"/>
        <w:rPr>
          <w:lang w:val="lt-LT"/>
        </w:rPr>
      </w:pPr>
    </w:p>
    <w:p w14:paraId="0163C40A" w14:textId="77777777" w:rsidR="00F34163" w:rsidRPr="004453A7" w:rsidRDefault="00F34163" w:rsidP="00F34163">
      <w:pPr>
        <w:tabs>
          <w:tab w:val="clear" w:pos="567"/>
        </w:tabs>
        <w:spacing w:line="240" w:lineRule="auto"/>
        <w:rPr>
          <w:szCs w:val="24"/>
          <w:lang w:val="lt-LT"/>
        </w:rPr>
      </w:pPr>
    </w:p>
    <w:p w14:paraId="6B645952"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6.</w:t>
      </w:r>
      <w:r w:rsidRPr="004453A7">
        <w:rPr>
          <w:rFonts w:ascii="Times New Roman" w:hAnsi="Times New Roman"/>
          <w:sz w:val="22"/>
          <w:lang w:val="lt-LT"/>
        </w:rPr>
        <w:tab/>
        <w:t>FARMACINĖ INFORMACIJA</w:t>
      </w:r>
    </w:p>
    <w:p w14:paraId="03C386A5" w14:textId="77777777" w:rsidR="00F34163" w:rsidRPr="004453A7" w:rsidRDefault="00F34163" w:rsidP="00F34163">
      <w:pPr>
        <w:tabs>
          <w:tab w:val="clear" w:pos="567"/>
        </w:tabs>
        <w:spacing w:line="240" w:lineRule="auto"/>
        <w:rPr>
          <w:szCs w:val="24"/>
          <w:lang w:val="lt-LT"/>
        </w:rPr>
      </w:pPr>
    </w:p>
    <w:p w14:paraId="7F111D83"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6.1</w:t>
      </w:r>
      <w:r w:rsidRPr="004453A7">
        <w:rPr>
          <w:rFonts w:ascii="Times New Roman" w:hAnsi="Times New Roman"/>
          <w:sz w:val="22"/>
          <w:lang w:val="lt-LT"/>
        </w:rPr>
        <w:tab/>
        <w:t>Pagalbinių medžiagų sąrašas</w:t>
      </w:r>
    </w:p>
    <w:p w14:paraId="4EA625EC" w14:textId="77777777" w:rsidR="00F34163" w:rsidRPr="004453A7" w:rsidRDefault="00F34163" w:rsidP="00F34163">
      <w:pPr>
        <w:tabs>
          <w:tab w:val="clear" w:pos="567"/>
        </w:tabs>
        <w:spacing w:line="240" w:lineRule="auto"/>
        <w:rPr>
          <w:szCs w:val="24"/>
          <w:lang w:val="lt-LT"/>
        </w:rPr>
      </w:pPr>
    </w:p>
    <w:p w14:paraId="5709A7F9" w14:textId="77777777" w:rsidR="00DA05FF" w:rsidRPr="004453A7" w:rsidRDefault="00CD5F9F" w:rsidP="00F34163">
      <w:pPr>
        <w:tabs>
          <w:tab w:val="clear" w:pos="567"/>
        </w:tabs>
        <w:spacing w:line="240" w:lineRule="auto"/>
        <w:rPr>
          <w:lang w:val="lt-LT"/>
        </w:rPr>
      </w:pPr>
      <w:r w:rsidRPr="004453A7">
        <w:rPr>
          <w:lang w:val="lt-LT"/>
        </w:rPr>
        <w:t>Natrio chloridas</w:t>
      </w:r>
    </w:p>
    <w:p w14:paraId="287DE21C" w14:textId="77777777" w:rsidR="00DA05FF" w:rsidRPr="004453A7" w:rsidRDefault="00CD5F9F" w:rsidP="00F34163">
      <w:pPr>
        <w:tabs>
          <w:tab w:val="clear" w:pos="567"/>
        </w:tabs>
        <w:spacing w:line="240" w:lineRule="auto"/>
        <w:rPr>
          <w:lang w:val="lt-LT"/>
        </w:rPr>
      </w:pPr>
      <w:r w:rsidRPr="004453A7">
        <w:rPr>
          <w:lang w:val="lt-LT"/>
        </w:rPr>
        <w:t xml:space="preserve">Acto rūgštis, ledinė (pH reguliavimui) </w:t>
      </w:r>
    </w:p>
    <w:p w14:paraId="0058202C" w14:textId="77777777" w:rsidR="00DA05FF" w:rsidRPr="004453A7" w:rsidRDefault="00CD5F9F" w:rsidP="00F34163">
      <w:pPr>
        <w:tabs>
          <w:tab w:val="clear" w:pos="567"/>
        </w:tabs>
        <w:spacing w:line="240" w:lineRule="auto"/>
        <w:rPr>
          <w:lang w:val="lt-LT"/>
        </w:rPr>
      </w:pPr>
      <w:r w:rsidRPr="004453A7">
        <w:rPr>
          <w:lang w:val="lt-LT"/>
        </w:rPr>
        <w:t xml:space="preserve">Natrio hidroksidas (pH reguliavimui) </w:t>
      </w:r>
    </w:p>
    <w:p w14:paraId="4FD6DCD9" w14:textId="77777777" w:rsidR="00F34163" w:rsidRPr="004453A7" w:rsidRDefault="00CD5F9F" w:rsidP="00F34163">
      <w:pPr>
        <w:tabs>
          <w:tab w:val="clear" w:pos="567"/>
        </w:tabs>
        <w:spacing w:line="240" w:lineRule="auto"/>
        <w:rPr>
          <w:szCs w:val="24"/>
          <w:lang w:val="lt-LT"/>
        </w:rPr>
      </w:pPr>
      <w:r w:rsidRPr="004453A7">
        <w:rPr>
          <w:lang w:val="lt-LT"/>
        </w:rPr>
        <w:t>Injekcinis vanduo</w:t>
      </w:r>
    </w:p>
    <w:p w14:paraId="00E358C3" w14:textId="77777777" w:rsidR="00DA05FF" w:rsidRPr="004453A7" w:rsidRDefault="00DA05FF" w:rsidP="00F34163">
      <w:pPr>
        <w:pStyle w:val="Antrat4"/>
        <w:rPr>
          <w:rFonts w:ascii="Times New Roman" w:hAnsi="Times New Roman"/>
          <w:sz w:val="22"/>
          <w:lang w:val="lt-LT"/>
        </w:rPr>
      </w:pPr>
    </w:p>
    <w:p w14:paraId="2CD0F03B"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6.2</w:t>
      </w:r>
      <w:r w:rsidRPr="004453A7">
        <w:rPr>
          <w:rFonts w:ascii="Times New Roman" w:hAnsi="Times New Roman"/>
          <w:sz w:val="22"/>
          <w:lang w:val="lt-LT"/>
        </w:rPr>
        <w:tab/>
        <w:t>Nesuderinamumas</w:t>
      </w:r>
    </w:p>
    <w:p w14:paraId="669CD489" w14:textId="77777777" w:rsidR="00F34163" w:rsidRPr="004453A7" w:rsidRDefault="00F34163" w:rsidP="00F34163">
      <w:pPr>
        <w:tabs>
          <w:tab w:val="clear" w:pos="567"/>
        </w:tabs>
        <w:spacing w:line="240" w:lineRule="auto"/>
        <w:rPr>
          <w:szCs w:val="24"/>
          <w:lang w:val="lt-LT"/>
        </w:rPr>
      </w:pPr>
    </w:p>
    <w:p w14:paraId="29926D97" w14:textId="77777777" w:rsidR="00F34163" w:rsidRPr="004453A7" w:rsidRDefault="00DA05FF" w:rsidP="00F34163">
      <w:pPr>
        <w:tabs>
          <w:tab w:val="clear" w:pos="567"/>
        </w:tabs>
        <w:spacing w:line="240" w:lineRule="auto"/>
        <w:rPr>
          <w:szCs w:val="24"/>
          <w:lang w:val="lt-LT"/>
        </w:rPr>
      </w:pPr>
      <w:r w:rsidRPr="004453A7">
        <w:rPr>
          <w:noProof/>
          <w:szCs w:val="24"/>
          <w:lang w:val="lt-LT"/>
        </w:rPr>
        <w:t>Duomenys nebūtini.</w:t>
      </w:r>
    </w:p>
    <w:p w14:paraId="71830588" w14:textId="77777777" w:rsidR="00F34163" w:rsidRPr="004453A7" w:rsidRDefault="00F34163" w:rsidP="00F34163">
      <w:pPr>
        <w:tabs>
          <w:tab w:val="clear" w:pos="567"/>
        </w:tabs>
        <w:spacing w:line="240" w:lineRule="auto"/>
        <w:rPr>
          <w:szCs w:val="24"/>
          <w:lang w:val="lt-LT"/>
        </w:rPr>
      </w:pPr>
    </w:p>
    <w:p w14:paraId="4A781DC7"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6.3</w:t>
      </w:r>
      <w:r w:rsidRPr="004453A7">
        <w:rPr>
          <w:rFonts w:ascii="Times New Roman" w:hAnsi="Times New Roman"/>
          <w:sz w:val="22"/>
          <w:lang w:val="lt-LT"/>
        </w:rPr>
        <w:tab/>
        <w:t>Tinkamumo laikas</w:t>
      </w:r>
    </w:p>
    <w:p w14:paraId="7D1B405E" w14:textId="77777777" w:rsidR="00F34163" w:rsidRPr="004453A7" w:rsidRDefault="00F34163" w:rsidP="00F34163">
      <w:pPr>
        <w:tabs>
          <w:tab w:val="clear" w:pos="567"/>
        </w:tabs>
        <w:spacing w:line="240" w:lineRule="auto"/>
        <w:rPr>
          <w:szCs w:val="24"/>
          <w:lang w:val="lt-LT"/>
        </w:rPr>
      </w:pPr>
    </w:p>
    <w:p w14:paraId="198157A1" w14:textId="77777777" w:rsidR="00F34163" w:rsidRPr="004453A7" w:rsidRDefault="00F34163" w:rsidP="00F34163">
      <w:pPr>
        <w:tabs>
          <w:tab w:val="clear" w:pos="567"/>
        </w:tabs>
        <w:spacing w:line="240" w:lineRule="auto"/>
        <w:rPr>
          <w:szCs w:val="24"/>
          <w:lang w:val="lt-LT"/>
        </w:rPr>
      </w:pPr>
      <w:r w:rsidRPr="004453A7">
        <w:rPr>
          <w:noProof/>
          <w:szCs w:val="24"/>
          <w:lang w:val="lt-LT"/>
        </w:rPr>
        <w:t>2 metai</w:t>
      </w:r>
      <w:r w:rsidR="00DA05FF" w:rsidRPr="004453A7">
        <w:rPr>
          <w:noProof/>
          <w:szCs w:val="24"/>
          <w:lang w:val="lt-LT"/>
        </w:rPr>
        <w:t>.</w:t>
      </w:r>
    </w:p>
    <w:p w14:paraId="120B6A2C" w14:textId="77777777" w:rsidR="00F34163" w:rsidRPr="004453A7" w:rsidRDefault="00F34163" w:rsidP="00F34163">
      <w:pPr>
        <w:tabs>
          <w:tab w:val="clear" w:pos="567"/>
        </w:tabs>
        <w:spacing w:line="240" w:lineRule="auto"/>
        <w:rPr>
          <w:szCs w:val="24"/>
          <w:lang w:val="lt-LT"/>
        </w:rPr>
      </w:pPr>
    </w:p>
    <w:p w14:paraId="5AF4D3AE"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6.4</w:t>
      </w:r>
      <w:r w:rsidRPr="004453A7">
        <w:rPr>
          <w:rFonts w:ascii="Times New Roman" w:hAnsi="Times New Roman"/>
          <w:sz w:val="22"/>
          <w:lang w:val="lt-LT"/>
        </w:rPr>
        <w:tab/>
        <w:t>Specialios laikymo sąlygos</w:t>
      </w:r>
    </w:p>
    <w:p w14:paraId="7D698ECD" w14:textId="77777777" w:rsidR="00F34163" w:rsidRPr="004453A7" w:rsidRDefault="00F34163" w:rsidP="00F34163">
      <w:pPr>
        <w:tabs>
          <w:tab w:val="clear" w:pos="567"/>
        </w:tabs>
        <w:spacing w:line="240" w:lineRule="auto"/>
        <w:rPr>
          <w:szCs w:val="24"/>
          <w:lang w:val="lt-LT"/>
        </w:rPr>
      </w:pPr>
    </w:p>
    <w:p w14:paraId="55985172" w14:textId="77777777" w:rsidR="00DA05FF" w:rsidRPr="004453A7" w:rsidRDefault="00DA05FF" w:rsidP="00F34163">
      <w:pPr>
        <w:tabs>
          <w:tab w:val="clear" w:pos="567"/>
        </w:tabs>
        <w:spacing w:line="240" w:lineRule="auto"/>
        <w:rPr>
          <w:lang w:val="lt-LT"/>
        </w:rPr>
      </w:pPr>
      <w:r w:rsidRPr="004453A7">
        <w:rPr>
          <w:lang w:val="lt-LT"/>
        </w:rPr>
        <w:t>Laikyti ne aukštesnėje kaip 25</w:t>
      </w:r>
      <w:r w:rsidR="000460DE">
        <w:rPr>
          <w:lang w:val="lt-LT"/>
        </w:rPr>
        <w:t> </w:t>
      </w:r>
      <w:r w:rsidRPr="004453A7">
        <w:rPr>
          <w:lang w:val="lt-LT"/>
        </w:rPr>
        <w:t xml:space="preserve">°C temperatūroje. </w:t>
      </w:r>
    </w:p>
    <w:p w14:paraId="4F796FBC" w14:textId="77777777" w:rsidR="00DA05FF" w:rsidRPr="004453A7" w:rsidRDefault="00DA05FF" w:rsidP="00F34163">
      <w:pPr>
        <w:tabs>
          <w:tab w:val="clear" w:pos="567"/>
        </w:tabs>
        <w:spacing w:line="240" w:lineRule="auto"/>
        <w:rPr>
          <w:lang w:val="lt-LT"/>
        </w:rPr>
      </w:pPr>
    </w:p>
    <w:p w14:paraId="00C059AA" w14:textId="77777777" w:rsidR="00F34163" w:rsidRPr="004453A7" w:rsidRDefault="00DA05FF" w:rsidP="00F34163">
      <w:pPr>
        <w:tabs>
          <w:tab w:val="clear" w:pos="567"/>
        </w:tabs>
        <w:spacing w:line="240" w:lineRule="auto"/>
        <w:rPr>
          <w:szCs w:val="24"/>
          <w:lang w:val="lt-LT"/>
        </w:rPr>
      </w:pPr>
      <w:r w:rsidRPr="004453A7">
        <w:rPr>
          <w:lang w:val="lt-LT"/>
        </w:rPr>
        <w:t>Negalima užšaldyti.</w:t>
      </w:r>
    </w:p>
    <w:p w14:paraId="6E3C847B" w14:textId="77777777" w:rsidR="00DA05FF" w:rsidRPr="004453A7" w:rsidRDefault="00DA05FF" w:rsidP="00F34163">
      <w:pPr>
        <w:pStyle w:val="Antrat4"/>
        <w:rPr>
          <w:rFonts w:ascii="Times New Roman" w:hAnsi="Times New Roman"/>
          <w:sz w:val="22"/>
          <w:lang w:val="lt-LT"/>
        </w:rPr>
      </w:pPr>
    </w:p>
    <w:p w14:paraId="22B34598"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6.5</w:t>
      </w:r>
      <w:r w:rsidRPr="004453A7">
        <w:rPr>
          <w:rFonts w:ascii="Times New Roman" w:hAnsi="Times New Roman"/>
          <w:sz w:val="22"/>
          <w:lang w:val="lt-LT"/>
        </w:rPr>
        <w:tab/>
        <w:t>Talpyklės pobūdis ir jos turinys</w:t>
      </w:r>
      <w:r w:rsidRPr="004453A7">
        <w:rPr>
          <w:rFonts w:ascii="Times New Roman" w:hAnsi="Times New Roman"/>
          <w:bCs w:val="0"/>
          <w:noProof/>
          <w:sz w:val="22"/>
          <w:szCs w:val="24"/>
          <w:lang w:val="lt-LT"/>
        </w:rPr>
        <w:t xml:space="preserve"> </w:t>
      </w:r>
    </w:p>
    <w:p w14:paraId="52818E3E" w14:textId="77777777" w:rsidR="00F34163" w:rsidRPr="004453A7" w:rsidRDefault="00F34163" w:rsidP="00F34163">
      <w:pPr>
        <w:tabs>
          <w:tab w:val="clear" w:pos="567"/>
        </w:tabs>
        <w:spacing w:line="240" w:lineRule="auto"/>
        <w:rPr>
          <w:szCs w:val="24"/>
          <w:lang w:val="lt-LT"/>
        </w:rPr>
      </w:pPr>
    </w:p>
    <w:p w14:paraId="4F3AB8F0" w14:textId="77777777" w:rsidR="00DA05FF" w:rsidRPr="004453A7" w:rsidRDefault="00DA05FF" w:rsidP="00F34163">
      <w:pPr>
        <w:tabs>
          <w:tab w:val="clear" w:pos="567"/>
        </w:tabs>
        <w:spacing w:line="240" w:lineRule="auto"/>
        <w:rPr>
          <w:lang w:val="lt-LT"/>
        </w:rPr>
      </w:pPr>
      <w:r w:rsidRPr="004453A7">
        <w:rPr>
          <w:lang w:val="lt-LT"/>
        </w:rPr>
        <w:t>3 ml tirpalo 3 ml talpos užpildytame švirkšte (I tipo stiklo) su stūmokliniu kamščiu (bromobutilo, padengto fluoro-anglies polimeru). Pakuotėje taip pat yra hipoderminė adata (25 G; 16 mm).</w:t>
      </w:r>
    </w:p>
    <w:p w14:paraId="1AD5B5EB" w14:textId="77777777" w:rsidR="00801AE4" w:rsidRDefault="00801AE4" w:rsidP="00F34163">
      <w:pPr>
        <w:tabs>
          <w:tab w:val="clear" w:pos="567"/>
        </w:tabs>
        <w:spacing w:line="240" w:lineRule="auto"/>
        <w:rPr>
          <w:szCs w:val="24"/>
          <w:lang w:val="lt-LT"/>
        </w:rPr>
      </w:pPr>
    </w:p>
    <w:p w14:paraId="13B0ACF9" w14:textId="77777777" w:rsidR="00801AE4" w:rsidRPr="00801AE4" w:rsidRDefault="004E6EF3" w:rsidP="00801AE4">
      <w:pPr>
        <w:tabs>
          <w:tab w:val="clear" w:pos="567"/>
        </w:tabs>
        <w:spacing w:line="240" w:lineRule="auto"/>
        <w:rPr>
          <w:szCs w:val="24"/>
          <w:highlight w:val="yellow"/>
          <w:lang w:val="lt-LT"/>
        </w:rPr>
      </w:pPr>
      <w:r>
        <w:rPr>
          <w:szCs w:val="24"/>
          <w:lang w:val="lt-LT"/>
        </w:rPr>
        <w:t>P</w:t>
      </w:r>
      <w:r w:rsidRPr="004E6EF3">
        <w:rPr>
          <w:szCs w:val="24"/>
          <w:lang w:val="lt-LT"/>
        </w:rPr>
        <w:t xml:space="preserve">akuotėje, kurioje yra vienas užpildytas švirkštas ir viena adata, arba sudėtinėje pakuotėje, kurioje yra trys </w:t>
      </w:r>
      <w:r>
        <w:rPr>
          <w:szCs w:val="24"/>
          <w:lang w:val="lt-LT"/>
        </w:rPr>
        <w:t>užpildyti švirkštai</w:t>
      </w:r>
      <w:r w:rsidRPr="004E6EF3">
        <w:rPr>
          <w:szCs w:val="24"/>
          <w:lang w:val="lt-LT"/>
        </w:rPr>
        <w:t xml:space="preserve"> ir </w:t>
      </w:r>
      <w:r>
        <w:rPr>
          <w:szCs w:val="24"/>
          <w:lang w:val="lt-LT"/>
        </w:rPr>
        <w:t>trys adatos (trys atskiros pakuotės)</w:t>
      </w:r>
      <w:r w:rsidRPr="004E6EF3">
        <w:rPr>
          <w:szCs w:val="24"/>
          <w:lang w:val="lt-LT"/>
        </w:rPr>
        <w:t>.</w:t>
      </w:r>
    </w:p>
    <w:p w14:paraId="7BE89390" w14:textId="77777777" w:rsidR="00801AE4" w:rsidRPr="00801AE4" w:rsidRDefault="00801AE4" w:rsidP="00801AE4">
      <w:pPr>
        <w:tabs>
          <w:tab w:val="clear" w:pos="567"/>
        </w:tabs>
        <w:spacing w:line="240" w:lineRule="auto"/>
        <w:rPr>
          <w:szCs w:val="24"/>
          <w:highlight w:val="yellow"/>
          <w:lang w:val="lt-LT"/>
        </w:rPr>
      </w:pPr>
    </w:p>
    <w:p w14:paraId="2471E39D" w14:textId="77777777" w:rsidR="00F34163" w:rsidRDefault="004E6EF3" w:rsidP="00801AE4">
      <w:pPr>
        <w:tabs>
          <w:tab w:val="clear" w:pos="567"/>
        </w:tabs>
        <w:spacing w:line="240" w:lineRule="auto"/>
        <w:rPr>
          <w:szCs w:val="24"/>
          <w:lang w:val="lt-LT"/>
        </w:rPr>
      </w:pPr>
      <w:r w:rsidRPr="004E6EF3">
        <w:rPr>
          <w:szCs w:val="24"/>
          <w:lang w:val="lt-LT"/>
        </w:rPr>
        <w:t>Gali būti tiekiamos ne visų dydžių pakuotės.</w:t>
      </w:r>
    </w:p>
    <w:p w14:paraId="4035D1E1" w14:textId="77777777" w:rsidR="00801AE4" w:rsidRPr="004453A7" w:rsidRDefault="00801AE4" w:rsidP="00801AE4">
      <w:pPr>
        <w:tabs>
          <w:tab w:val="clear" w:pos="567"/>
        </w:tabs>
        <w:spacing w:line="240" w:lineRule="auto"/>
        <w:rPr>
          <w:szCs w:val="24"/>
          <w:lang w:val="lt-LT"/>
        </w:rPr>
      </w:pPr>
    </w:p>
    <w:p w14:paraId="6BC18864" w14:textId="77777777" w:rsidR="00F34163" w:rsidRPr="004453A7" w:rsidRDefault="00F34163" w:rsidP="00F34163">
      <w:pPr>
        <w:pStyle w:val="Antrat4"/>
        <w:rPr>
          <w:rFonts w:ascii="Times New Roman" w:hAnsi="Times New Roman"/>
          <w:sz w:val="22"/>
          <w:lang w:val="lt-LT"/>
        </w:rPr>
      </w:pPr>
      <w:bookmarkStart w:id="0" w:name="OLE_LINK1"/>
      <w:r w:rsidRPr="004453A7">
        <w:rPr>
          <w:rFonts w:ascii="Times New Roman" w:hAnsi="Times New Roman"/>
          <w:sz w:val="22"/>
          <w:lang w:val="lt-LT"/>
        </w:rPr>
        <w:t>6.6</w:t>
      </w:r>
      <w:r w:rsidRPr="004453A7">
        <w:rPr>
          <w:rFonts w:ascii="Times New Roman" w:hAnsi="Times New Roman"/>
          <w:sz w:val="22"/>
          <w:lang w:val="lt-LT"/>
        </w:rPr>
        <w:tab/>
        <w:t>Specialūs reikalavimai atliekoms tvarkyti ir va</w:t>
      </w:r>
      <w:r w:rsidR="00DA05FF" w:rsidRPr="004453A7">
        <w:rPr>
          <w:rFonts w:ascii="Times New Roman" w:hAnsi="Times New Roman"/>
          <w:sz w:val="22"/>
          <w:lang w:val="lt-LT"/>
        </w:rPr>
        <w:t>istiniam preparatui ruošti</w:t>
      </w:r>
    </w:p>
    <w:bookmarkEnd w:id="0"/>
    <w:p w14:paraId="7A9A547E" w14:textId="77777777" w:rsidR="00F34163" w:rsidRPr="004453A7" w:rsidRDefault="00F34163" w:rsidP="00F34163">
      <w:pPr>
        <w:tabs>
          <w:tab w:val="clear" w:pos="567"/>
        </w:tabs>
        <w:spacing w:line="240" w:lineRule="auto"/>
        <w:rPr>
          <w:szCs w:val="24"/>
          <w:lang w:val="lt-LT"/>
        </w:rPr>
      </w:pPr>
    </w:p>
    <w:p w14:paraId="0DA862D5" w14:textId="77777777" w:rsidR="006B6EEB" w:rsidRPr="004453A7" w:rsidRDefault="00DA05FF" w:rsidP="00F34163">
      <w:pPr>
        <w:tabs>
          <w:tab w:val="clear" w:pos="567"/>
        </w:tabs>
        <w:spacing w:line="240" w:lineRule="auto"/>
        <w:rPr>
          <w:lang w:val="lt-LT"/>
        </w:rPr>
      </w:pPr>
      <w:r w:rsidRPr="004453A7">
        <w:rPr>
          <w:lang w:val="lt-LT"/>
        </w:rPr>
        <w:t xml:space="preserve">Tirpalas turi būti skaidrus ir bespalvis, jame neturi būti jokių matomų dalelių. </w:t>
      </w:r>
    </w:p>
    <w:p w14:paraId="0FE43F01" w14:textId="77777777" w:rsidR="006B6EEB" w:rsidRPr="004453A7" w:rsidRDefault="006B6EEB" w:rsidP="00F34163">
      <w:pPr>
        <w:tabs>
          <w:tab w:val="clear" w:pos="567"/>
        </w:tabs>
        <w:spacing w:line="240" w:lineRule="auto"/>
        <w:rPr>
          <w:lang w:val="lt-LT"/>
        </w:rPr>
      </w:pPr>
    </w:p>
    <w:p w14:paraId="4251B0A0" w14:textId="77777777" w:rsidR="006B6EEB" w:rsidRPr="004453A7" w:rsidRDefault="006B6EEB" w:rsidP="00F34163">
      <w:pPr>
        <w:tabs>
          <w:tab w:val="clear" w:pos="567"/>
        </w:tabs>
        <w:spacing w:line="240" w:lineRule="auto"/>
        <w:rPr>
          <w:u w:val="single"/>
          <w:lang w:val="lt-LT"/>
        </w:rPr>
      </w:pPr>
      <w:r w:rsidRPr="004453A7">
        <w:rPr>
          <w:noProof/>
          <w:szCs w:val="24"/>
          <w:u w:val="single"/>
          <w:lang w:val="lt-LT"/>
        </w:rPr>
        <w:t>Vartojimas vaikų populiacijai</w:t>
      </w:r>
      <w:r w:rsidRPr="004453A7">
        <w:rPr>
          <w:u w:val="single"/>
          <w:lang w:val="lt-LT"/>
        </w:rPr>
        <w:t xml:space="preserve"> </w:t>
      </w:r>
    </w:p>
    <w:p w14:paraId="52F1CADB" w14:textId="77777777" w:rsidR="006B6EEB" w:rsidRPr="004453A7" w:rsidRDefault="006B6EEB" w:rsidP="00F34163">
      <w:pPr>
        <w:tabs>
          <w:tab w:val="clear" w:pos="567"/>
        </w:tabs>
        <w:spacing w:line="240" w:lineRule="auto"/>
        <w:rPr>
          <w:u w:val="single"/>
          <w:lang w:val="lt-LT"/>
        </w:rPr>
      </w:pPr>
    </w:p>
    <w:p w14:paraId="21002082" w14:textId="77777777" w:rsidR="006B6EEB" w:rsidRPr="004453A7" w:rsidRDefault="00DA05FF" w:rsidP="00F34163">
      <w:pPr>
        <w:tabs>
          <w:tab w:val="clear" w:pos="567"/>
        </w:tabs>
        <w:spacing w:line="240" w:lineRule="auto"/>
        <w:rPr>
          <w:lang w:val="lt-LT"/>
        </w:rPr>
      </w:pPr>
      <w:r w:rsidRPr="004453A7">
        <w:rPr>
          <w:lang w:val="lt-LT"/>
        </w:rPr>
        <w:t xml:space="preserve">Tinkama skiriama dozė priklauso nuo kūno svorio (žr. 4.2 skyrių). </w:t>
      </w:r>
    </w:p>
    <w:p w14:paraId="1CEBD2C0" w14:textId="77777777" w:rsidR="006B6EEB" w:rsidRPr="004453A7" w:rsidRDefault="006B6EEB" w:rsidP="00F34163">
      <w:pPr>
        <w:tabs>
          <w:tab w:val="clear" w:pos="567"/>
        </w:tabs>
        <w:spacing w:line="240" w:lineRule="auto"/>
        <w:rPr>
          <w:lang w:val="lt-LT"/>
        </w:rPr>
      </w:pPr>
    </w:p>
    <w:p w14:paraId="1E00DA15" w14:textId="77777777" w:rsidR="006B6EEB" w:rsidRPr="004453A7" w:rsidRDefault="00DA05FF" w:rsidP="00F34163">
      <w:pPr>
        <w:tabs>
          <w:tab w:val="clear" w:pos="567"/>
        </w:tabs>
        <w:spacing w:line="240" w:lineRule="auto"/>
        <w:rPr>
          <w:lang w:val="lt-LT"/>
        </w:rPr>
      </w:pPr>
      <w:r w:rsidRPr="004453A7">
        <w:rPr>
          <w:lang w:val="lt-LT"/>
        </w:rPr>
        <w:t>Kai rei</w:t>
      </w:r>
      <w:r w:rsidR="006B6EEB" w:rsidRPr="004453A7">
        <w:rPr>
          <w:lang w:val="lt-LT"/>
        </w:rPr>
        <w:t>kalinga dozė yra mažesnė nei 30 mg (3 </w:t>
      </w:r>
      <w:r w:rsidRPr="004453A7">
        <w:rPr>
          <w:lang w:val="lt-LT"/>
        </w:rPr>
        <w:t xml:space="preserve">ml), reikės tokios įrangos ištraukti ir suleisti atitinkamą dozę: </w:t>
      </w:r>
    </w:p>
    <w:p w14:paraId="21BB124D" w14:textId="77777777" w:rsidR="006B6EEB" w:rsidRPr="004453A7" w:rsidRDefault="00DA05FF" w:rsidP="000460DE">
      <w:pPr>
        <w:tabs>
          <w:tab w:val="clear" w:pos="567"/>
        </w:tabs>
        <w:spacing w:line="240" w:lineRule="auto"/>
        <w:ind w:left="284"/>
        <w:rPr>
          <w:lang w:val="lt-LT"/>
        </w:rPr>
      </w:pPr>
      <w:r w:rsidRPr="004453A7">
        <w:rPr>
          <w:lang w:val="lt-LT"/>
        </w:rPr>
        <w:t xml:space="preserve">• adapterio (proksimalinio ir (arba) distalinio Luerio jungties lizdo jungiklio / jungiamosios movos); </w:t>
      </w:r>
    </w:p>
    <w:p w14:paraId="20B9D011" w14:textId="77777777" w:rsidR="006B6EEB" w:rsidRPr="004453A7" w:rsidRDefault="00DA05FF" w:rsidP="000460DE">
      <w:pPr>
        <w:tabs>
          <w:tab w:val="clear" w:pos="567"/>
        </w:tabs>
        <w:spacing w:line="240" w:lineRule="auto"/>
        <w:ind w:left="284"/>
        <w:rPr>
          <w:lang w:val="lt-LT"/>
        </w:rPr>
      </w:pPr>
      <w:r w:rsidRPr="004453A7">
        <w:rPr>
          <w:lang w:val="lt-LT"/>
        </w:rPr>
        <w:t xml:space="preserve">• 3 ml (rekomenduojama) graduoto švirkšto. </w:t>
      </w:r>
    </w:p>
    <w:p w14:paraId="136FE994" w14:textId="77777777" w:rsidR="006B6EEB" w:rsidRPr="004453A7" w:rsidRDefault="006B6EEB" w:rsidP="000460DE">
      <w:pPr>
        <w:tabs>
          <w:tab w:val="clear" w:pos="567"/>
        </w:tabs>
        <w:spacing w:line="240" w:lineRule="auto"/>
        <w:ind w:left="284"/>
        <w:rPr>
          <w:lang w:val="lt-LT"/>
        </w:rPr>
      </w:pPr>
    </w:p>
    <w:p w14:paraId="47609E98" w14:textId="77777777" w:rsidR="006B6EEB" w:rsidRPr="004453A7" w:rsidRDefault="00DA05FF" w:rsidP="00F34163">
      <w:pPr>
        <w:tabs>
          <w:tab w:val="clear" w:pos="567"/>
        </w:tabs>
        <w:spacing w:line="240" w:lineRule="auto"/>
        <w:rPr>
          <w:lang w:val="lt-LT"/>
        </w:rPr>
      </w:pPr>
      <w:r w:rsidRPr="004453A7">
        <w:rPr>
          <w:lang w:val="lt-LT"/>
        </w:rPr>
        <w:t xml:space="preserve">Užpildytas ikatibanto švirkštas ir kitos sudėtinės dalys skirtos tik vienkartiniam naudojimui. </w:t>
      </w:r>
    </w:p>
    <w:p w14:paraId="60B1002A" w14:textId="77777777" w:rsidR="006B6EEB" w:rsidRPr="004453A7" w:rsidRDefault="006B6EEB" w:rsidP="00F34163">
      <w:pPr>
        <w:tabs>
          <w:tab w:val="clear" w:pos="567"/>
        </w:tabs>
        <w:spacing w:line="240" w:lineRule="auto"/>
        <w:rPr>
          <w:lang w:val="lt-LT"/>
        </w:rPr>
      </w:pPr>
    </w:p>
    <w:p w14:paraId="01602806" w14:textId="77777777" w:rsidR="006B6EEB" w:rsidRPr="004453A7" w:rsidRDefault="00DA05FF" w:rsidP="00F34163">
      <w:pPr>
        <w:tabs>
          <w:tab w:val="clear" w:pos="567"/>
        </w:tabs>
        <w:spacing w:line="240" w:lineRule="auto"/>
        <w:rPr>
          <w:lang w:val="lt-LT"/>
        </w:rPr>
      </w:pPr>
      <w:r w:rsidRPr="004453A7">
        <w:rPr>
          <w:lang w:val="lt-LT"/>
        </w:rPr>
        <w:t xml:space="preserve">Nesuvartotą vaistinį preparatą ar atliekas reikia tvarkyti laikantis vietinių reikalavimų. </w:t>
      </w:r>
    </w:p>
    <w:p w14:paraId="60EC1CB5" w14:textId="77777777" w:rsidR="006B6EEB" w:rsidRPr="004453A7" w:rsidRDefault="006B6EEB" w:rsidP="00F34163">
      <w:pPr>
        <w:tabs>
          <w:tab w:val="clear" w:pos="567"/>
        </w:tabs>
        <w:spacing w:line="240" w:lineRule="auto"/>
        <w:rPr>
          <w:lang w:val="lt-LT"/>
        </w:rPr>
      </w:pPr>
    </w:p>
    <w:p w14:paraId="5D16443D" w14:textId="77777777" w:rsidR="00F34163" w:rsidRPr="004453A7" w:rsidRDefault="006B6EEB" w:rsidP="00F34163">
      <w:pPr>
        <w:tabs>
          <w:tab w:val="clear" w:pos="567"/>
        </w:tabs>
        <w:spacing w:line="240" w:lineRule="auto"/>
        <w:rPr>
          <w:szCs w:val="24"/>
          <w:lang w:val="lt-LT"/>
        </w:rPr>
      </w:pPr>
      <w:r w:rsidRPr="004453A7">
        <w:rPr>
          <w:lang w:val="lt-LT"/>
        </w:rPr>
        <w:t xml:space="preserve">Visas </w:t>
      </w:r>
      <w:r w:rsidR="00DA05FF" w:rsidRPr="004453A7">
        <w:rPr>
          <w:lang w:val="lt-LT"/>
        </w:rPr>
        <w:t>adatas ir švirkštus reikia išmesti į aštrių atliekų talpyklę</w:t>
      </w:r>
      <w:r w:rsidRPr="004453A7">
        <w:rPr>
          <w:noProof/>
          <w:szCs w:val="24"/>
          <w:lang w:val="lt-LT"/>
        </w:rPr>
        <w:t>.</w:t>
      </w:r>
    </w:p>
    <w:p w14:paraId="3A44C076" w14:textId="77777777" w:rsidR="00F34163" w:rsidRPr="004453A7" w:rsidRDefault="00F34163" w:rsidP="00F34163">
      <w:pPr>
        <w:tabs>
          <w:tab w:val="clear" w:pos="567"/>
        </w:tabs>
        <w:spacing w:line="240" w:lineRule="auto"/>
        <w:rPr>
          <w:szCs w:val="24"/>
          <w:u w:val="single"/>
          <w:lang w:val="lt-LT"/>
        </w:rPr>
      </w:pPr>
    </w:p>
    <w:p w14:paraId="7A9842B5" w14:textId="77777777" w:rsidR="00F34163" w:rsidRPr="004453A7" w:rsidRDefault="00F34163" w:rsidP="00F34163">
      <w:pPr>
        <w:tabs>
          <w:tab w:val="clear" w:pos="567"/>
        </w:tabs>
        <w:spacing w:line="240" w:lineRule="auto"/>
        <w:rPr>
          <w:szCs w:val="24"/>
          <w:lang w:val="lt-LT"/>
        </w:rPr>
      </w:pPr>
    </w:p>
    <w:p w14:paraId="3E4423C6"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7.</w:t>
      </w:r>
      <w:r w:rsidRPr="004453A7">
        <w:rPr>
          <w:rFonts w:ascii="Times New Roman" w:hAnsi="Times New Roman"/>
          <w:sz w:val="22"/>
          <w:lang w:val="lt-LT"/>
        </w:rPr>
        <w:tab/>
      </w:r>
      <w:r w:rsidR="00126F6D" w:rsidRPr="004453A7">
        <w:rPr>
          <w:rFonts w:ascii="Times New Roman" w:hAnsi="Times New Roman"/>
          <w:sz w:val="22"/>
          <w:lang w:val="lt-LT"/>
        </w:rPr>
        <w:t>REGISTRUOTOJAS</w:t>
      </w:r>
    </w:p>
    <w:p w14:paraId="571D2CE2" w14:textId="77777777" w:rsidR="00F34163" w:rsidRPr="004453A7" w:rsidRDefault="00F34163" w:rsidP="00F34163">
      <w:pPr>
        <w:tabs>
          <w:tab w:val="clear" w:pos="567"/>
        </w:tabs>
        <w:spacing w:line="240" w:lineRule="auto"/>
        <w:rPr>
          <w:szCs w:val="24"/>
          <w:lang w:val="lt-LT"/>
        </w:rPr>
      </w:pPr>
    </w:p>
    <w:p w14:paraId="154FBEA9" w14:textId="77777777" w:rsidR="00977678" w:rsidRPr="00037B8B" w:rsidRDefault="00977678" w:rsidP="00977678">
      <w:pPr>
        <w:tabs>
          <w:tab w:val="clear" w:pos="567"/>
          <w:tab w:val="left" w:pos="9214"/>
        </w:tabs>
        <w:spacing w:line="240" w:lineRule="auto"/>
        <w:ind w:right="282"/>
        <w:rPr>
          <w:bCs/>
          <w:snapToGrid/>
          <w:szCs w:val="22"/>
          <w:lang w:val="lt-LT"/>
        </w:rPr>
      </w:pPr>
      <w:r w:rsidRPr="00037B8B">
        <w:rPr>
          <w:bCs/>
          <w:szCs w:val="22"/>
          <w:lang w:val="lt-LT"/>
        </w:rPr>
        <w:t xml:space="preserve">Teva B.V. </w:t>
      </w:r>
    </w:p>
    <w:p w14:paraId="2F5203BB" w14:textId="77777777" w:rsidR="00977678" w:rsidRPr="00037B8B" w:rsidRDefault="00977678" w:rsidP="00977678">
      <w:pPr>
        <w:tabs>
          <w:tab w:val="clear" w:pos="567"/>
          <w:tab w:val="left" w:pos="9214"/>
        </w:tabs>
        <w:spacing w:line="240" w:lineRule="auto"/>
        <w:ind w:right="282"/>
        <w:rPr>
          <w:bCs/>
          <w:szCs w:val="22"/>
          <w:lang w:val="lt-LT"/>
        </w:rPr>
      </w:pPr>
      <w:r w:rsidRPr="00037B8B">
        <w:rPr>
          <w:szCs w:val="22"/>
          <w:lang w:val="lt-LT"/>
        </w:rPr>
        <w:t>Swensweg 5</w:t>
      </w:r>
    </w:p>
    <w:p w14:paraId="7865E875" w14:textId="77777777" w:rsidR="00977678" w:rsidRPr="00037B8B" w:rsidRDefault="00977678" w:rsidP="00977678">
      <w:pPr>
        <w:tabs>
          <w:tab w:val="clear" w:pos="567"/>
          <w:tab w:val="left" w:pos="9214"/>
        </w:tabs>
        <w:spacing w:line="240" w:lineRule="auto"/>
        <w:ind w:right="282"/>
        <w:rPr>
          <w:bCs/>
          <w:szCs w:val="22"/>
          <w:lang w:val="lt-LT"/>
        </w:rPr>
      </w:pPr>
      <w:r w:rsidRPr="00037B8B">
        <w:rPr>
          <w:szCs w:val="22"/>
          <w:lang w:val="lt-LT"/>
        </w:rPr>
        <w:t>2031 GA Haarlem</w:t>
      </w:r>
      <w:r w:rsidRPr="00037B8B">
        <w:rPr>
          <w:bCs/>
          <w:szCs w:val="22"/>
          <w:lang w:val="lt-LT"/>
        </w:rPr>
        <w:t xml:space="preserve"> </w:t>
      </w:r>
    </w:p>
    <w:p w14:paraId="7893D44D" w14:textId="77777777" w:rsidR="00977678" w:rsidRPr="004453A7" w:rsidRDefault="00977678" w:rsidP="00977678">
      <w:pPr>
        <w:tabs>
          <w:tab w:val="clear" w:pos="567"/>
          <w:tab w:val="left" w:pos="9214"/>
        </w:tabs>
        <w:spacing w:line="240" w:lineRule="auto"/>
        <w:ind w:right="282"/>
        <w:rPr>
          <w:noProof/>
          <w:szCs w:val="22"/>
          <w:lang w:val="lt-LT"/>
        </w:rPr>
      </w:pPr>
      <w:r w:rsidRPr="00037B8B">
        <w:rPr>
          <w:bCs/>
          <w:szCs w:val="22"/>
          <w:lang w:val="lt-LT"/>
        </w:rPr>
        <w:t>Nyderlandai</w:t>
      </w:r>
      <w:r w:rsidRPr="004453A7">
        <w:rPr>
          <w:noProof/>
          <w:szCs w:val="22"/>
          <w:lang w:val="lt-LT"/>
        </w:rPr>
        <w:t xml:space="preserve"> </w:t>
      </w:r>
    </w:p>
    <w:p w14:paraId="5A447B4B" w14:textId="77777777" w:rsidR="00F34163" w:rsidRPr="004453A7" w:rsidRDefault="00F34163" w:rsidP="00F34163">
      <w:pPr>
        <w:tabs>
          <w:tab w:val="clear" w:pos="567"/>
        </w:tabs>
        <w:spacing w:line="240" w:lineRule="auto"/>
        <w:rPr>
          <w:szCs w:val="24"/>
          <w:lang w:val="lt-LT"/>
        </w:rPr>
      </w:pPr>
    </w:p>
    <w:p w14:paraId="103AC6B0" w14:textId="77777777" w:rsidR="00F34163" w:rsidRPr="004453A7" w:rsidRDefault="00F34163" w:rsidP="00F34163">
      <w:pPr>
        <w:tabs>
          <w:tab w:val="clear" w:pos="567"/>
        </w:tabs>
        <w:spacing w:line="240" w:lineRule="auto"/>
        <w:rPr>
          <w:szCs w:val="24"/>
          <w:lang w:val="lt-LT"/>
        </w:rPr>
      </w:pPr>
    </w:p>
    <w:p w14:paraId="39E50AA1"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8.</w:t>
      </w:r>
      <w:r w:rsidRPr="004453A7">
        <w:rPr>
          <w:rFonts w:ascii="Times New Roman" w:hAnsi="Times New Roman"/>
          <w:sz w:val="22"/>
          <w:lang w:val="lt-LT"/>
        </w:rPr>
        <w:tab/>
      </w:r>
      <w:r w:rsidR="00826CB6" w:rsidRPr="004453A7">
        <w:rPr>
          <w:rFonts w:ascii="Times New Roman" w:hAnsi="Times New Roman"/>
          <w:sz w:val="22"/>
          <w:lang w:val="lt-LT"/>
        </w:rPr>
        <w:t xml:space="preserve">REGISTRACIJOS </w:t>
      </w:r>
      <w:r w:rsidRPr="004453A7">
        <w:rPr>
          <w:rFonts w:ascii="Times New Roman" w:hAnsi="Times New Roman"/>
          <w:noProof/>
          <w:sz w:val="22"/>
          <w:szCs w:val="22"/>
          <w:lang w:val="lt-LT"/>
        </w:rPr>
        <w:t>PAŽYMĖJIMO</w:t>
      </w:r>
      <w:r w:rsidRPr="004453A7">
        <w:rPr>
          <w:rFonts w:ascii="Times New Roman" w:hAnsi="Times New Roman"/>
          <w:sz w:val="22"/>
          <w:lang w:val="lt-LT"/>
        </w:rPr>
        <w:t xml:space="preserve"> NUMERIS (-IAI) </w:t>
      </w:r>
    </w:p>
    <w:p w14:paraId="22D5A146" w14:textId="77777777" w:rsidR="00F34163" w:rsidRPr="004453A7" w:rsidRDefault="00F34163" w:rsidP="00F34163">
      <w:pPr>
        <w:tabs>
          <w:tab w:val="clear" w:pos="567"/>
        </w:tabs>
        <w:spacing w:line="240" w:lineRule="auto"/>
        <w:rPr>
          <w:szCs w:val="24"/>
          <w:lang w:val="lt-LT"/>
        </w:rPr>
      </w:pPr>
    </w:p>
    <w:p w14:paraId="7898CBA6" w14:textId="77777777" w:rsidR="000D397F" w:rsidRPr="000D397F" w:rsidRDefault="000D397F" w:rsidP="000D397F">
      <w:pPr>
        <w:tabs>
          <w:tab w:val="clear" w:pos="567"/>
        </w:tabs>
        <w:spacing w:line="240" w:lineRule="auto"/>
        <w:rPr>
          <w:szCs w:val="24"/>
          <w:lang w:val="lt-LT"/>
        </w:rPr>
      </w:pPr>
      <w:r w:rsidRPr="000D397F">
        <w:rPr>
          <w:szCs w:val="24"/>
          <w:lang w:val="lt-LT"/>
        </w:rPr>
        <w:t>LT/1/21/4813/001 – N1</w:t>
      </w:r>
    </w:p>
    <w:p w14:paraId="18C99B9D" w14:textId="77777777" w:rsidR="00F34163" w:rsidRDefault="000D397F" w:rsidP="000D397F">
      <w:pPr>
        <w:tabs>
          <w:tab w:val="clear" w:pos="567"/>
        </w:tabs>
        <w:spacing w:line="240" w:lineRule="auto"/>
        <w:rPr>
          <w:szCs w:val="24"/>
          <w:lang w:val="lt-LT"/>
        </w:rPr>
      </w:pPr>
      <w:r w:rsidRPr="000D397F">
        <w:rPr>
          <w:szCs w:val="24"/>
          <w:lang w:val="lt-LT"/>
        </w:rPr>
        <w:t>LT/1/21/4813/002 – N3</w:t>
      </w:r>
    </w:p>
    <w:p w14:paraId="096396B4" w14:textId="77777777" w:rsidR="000D397F" w:rsidRDefault="000D397F" w:rsidP="000D397F">
      <w:pPr>
        <w:tabs>
          <w:tab w:val="clear" w:pos="567"/>
        </w:tabs>
        <w:spacing w:line="240" w:lineRule="auto"/>
        <w:rPr>
          <w:szCs w:val="24"/>
          <w:lang w:val="lt-LT"/>
        </w:rPr>
      </w:pPr>
    </w:p>
    <w:p w14:paraId="4C992180" w14:textId="77777777" w:rsidR="000D397F" w:rsidRPr="004453A7" w:rsidRDefault="000D397F" w:rsidP="000D397F">
      <w:pPr>
        <w:tabs>
          <w:tab w:val="clear" w:pos="567"/>
        </w:tabs>
        <w:spacing w:line="240" w:lineRule="auto"/>
        <w:rPr>
          <w:szCs w:val="24"/>
          <w:lang w:val="lt-LT"/>
        </w:rPr>
      </w:pPr>
    </w:p>
    <w:p w14:paraId="29A7087D"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9.</w:t>
      </w:r>
      <w:r w:rsidRPr="004453A7">
        <w:rPr>
          <w:rFonts w:ascii="Times New Roman" w:hAnsi="Times New Roman"/>
          <w:sz w:val="22"/>
          <w:lang w:val="lt-LT"/>
        </w:rPr>
        <w:tab/>
      </w:r>
      <w:r w:rsidR="00826CB6" w:rsidRPr="004453A7">
        <w:rPr>
          <w:rFonts w:ascii="Times New Roman" w:hAnsi="Times New Roman"/>
          <w:sz w:val="22"/>
          <w:lang w:val="lt-LT"/>
        </w:rPr>
        <w:t>REGISTRA</w:t>
      </w:r>
      <w:r w:rsidR="00B51C06" w:rsidRPr="004453A7">
        <w:rPr>
          <w:rFonts w:ascii="Times New Roman" w:hAnsi="Times New Roman"/>
          <w:sz w:val="22"/>
          <w:lang w:val="lt-LT"/>
        </w:rPr>
        <w:t>VIMO</w:t>
      </w:r>
      <w:r w:rsidRPr="004453A7">
        <w:rPr>
          <w:rFonts w:ascii="Times New Roman" w:hAnsi="Times New Roman"/>
          <w:sz w:val="22"/>
          <w:lang w:val="lt-LT"/>
        </w:rPr>
        <w:t xml:space="preserve"> / </w:t>
      </w:r>
      <w:r w:rsidR="00CE6EC2" w:rsidRPr="004453A7">
        <w:rPr>
          <w:rFonts w:ascii="Times New Roman" w:hAnsi="Times New Roman"/>
          <w:sz w:val="22"/>
          <w:lang w:val="lt-LT"/>
        </w:rPr>
        <w:t xml:space="preserve">PERREGISTRAVIMO </w:t>
      </w:r>
      <w:r w:rsidRPr="004453A7">
        <w:rPr>
          <w:rFonts w:ascii="Times New Roman" w:hAnsi="Times New Roman"/>
          <w:sz w:val="22"/>
          <w:lang w:val="lt-LT"/>
        </w:rPr>
        <w:t>DATA</w:t>
      </w:r>
    </w:p>
    <w:p w14:paraId="07FD66D9" w14:textId="77777777" w:rsidR="00F34163" w:rsidRPr="004453A7" w:rsidRDefault="00F34163" w:rsidP="00F34163">
      <w:pPr>
        <w:tabs>
          <w:tab w:val="clear" w:pos="567"/>
        </w:tabs>
        <w:spacing w:line="240" w:lineRule="auto"/>
        <w:rPr>
          <w:szCs w:val="24"/>
          <w:lang w:val="lt-LT"/>
        </w:rPr>
      </w:pPr>
    </w:p>
    <w:p w14:paraId="1F5F5898" w14:textId="77777777" w:rsidR="00F34163" w:rsidRDefault="00C8680A" w:rsidP="00F34163">
      <w:pPr>
        <w:tabs>
          <w:tab w:val="clear" w:pos="567"/>
        </w:tabs>
        <w:spacing w:line="240" w:lineRule="auto"/>
        <w:rPr>
          <w:noProof/>
          <w:szCs w:val="24"/>
          <w:lang w:val="lt-LT"/>
        </w:rPr>
      </w:pPr>
      <w:r w:rsidRPr="004453A7">
        <w:rPr>
          <w:noProof/>
          <w:szCs w:val="24"/>
          <w:lang w:val="lt-LT"/>
        </w:rPr>
        <w:t>Registra</w:t>
      </w:r>
      <w:r w:rsidR="00B51C06" w:rsidRPr="004453A7">
        <w:rPr>
          <w:noProof/>
          <w:szCs w:val="24"/>
          <w:lang w:val="lt-LT"/>
        </w:rPr>
        <w:t>vimo</w:t>
      </w:r>
      <w:r w:rsidRPr="004453A7">
        <w:rPr>
          <w:noProof/>
          <w:szCs w:val="24"/>
          <w:lang w:val="lt-LT"/>
        </w:rPr>
        <w:t xml:space="preserve"> data</w:t>
      </w:r>
      <w:r w:rsidR="00826CB6" w:rsidRPr="004453A7">
        <w:rPr>
          <w:noProof/>
          <w:szCs w:val="24"/>
          <w:lang w:val="lt-LT"/>
        </w:rPr>
        <w:t xml:space="preserve"> </w:t>
      </w:r>
      <w:r w:rsidR="000D397F">
        <w:rPr>
          <w:noProof/>
          <w:szCs w:val="24"/>
          <w:lang w:val="lt-LT"/>
        </w:rPr>
        <w:t>2021 m. rugsėjo 22 d.</w:t>
      </w:r>
    </w:p>
    <w:p w14:paraId="5105155D" w14:textId="51AF78A1" w:rsidR="00324035" w:rsidRPr="004453A7" w:rsidRDefault="00324035" w:rsidP="00F34163">
      <w:pPr>
        <w:tabs>
          <w:tab w:val="clear" w:pos="567"/>
        </w:tabs>
        <w:spacing w:line="240" w:lineRule="auto"/>
        <w:rPr>
          <w:szCs w:val="24"/>
          <w:lang w:val="lt-LT"/>
        </w:rPr>
      </w:pPr>
      <w:r>
        <w:rPr>
          <w:noProof/>
          <w:szCs w:val="24"/>
          <w:lang w:val="lt-LT"/>
        </w:rPr>
        <w:t>Paskutinio perregistravimo data</w:t>
      </w:r>
      <w:r w:rsidR="00EE29BE">
        <w:rPr>
          <w:noProof/>
          <w:szCs w:val="24"/>
          <w:lang w:val="lt-LT"/>
        </w:rPr>
        <w:t xml:space="preserve"> 2025 m. spalio 31 d.</w:t>
      </w:r>
    </w:p>
    <w:p w14:paraId="27D676D1" w14:textId="77777777" w:rsidR="00F34163" w:rsidRPr="004453A7" w:rsidRDefault="00F34163" w:rsidP="00F34163">
      <w:pPr>
        <w:tabs>
          <w:tab w:val="clear" w:pos="567"/>
        </w:tabs>
        <w:spacing w:line="240" w:lineRule="auto"/>
        <w:rPr>
          <w:szCs w:val="24"/>
          <w:lang w:val="lt-LT"/>
        </w:rPr>
      </w:pPr>
    </w:p>
    <w:p w14:paraId="69990139" w14:textId="77777777" w:rsidR="006B6EEB" w:rsidRPr="004453A7" w:rsidRDefault="006B6EEB" w:rsidP="00F34163">
      <w:pPr>
        <w:tabs>
          <w:tab w:val="clear" w:pos="567"/>
        </w:tabs>
        <w:spacing w:line="240" w:lineRule="auto"/>
        <w:rPr>
          <w:szCs w:val="24"/>
          <w:lang w:val="lt-LT"/>
        </w:rPr>
      </w:pPr>
    </w:p>
    <w:p w14:paraId="2DD0C49F"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10.</w:t>
      </w:r>
      <w:r w:rsidRPr="004453A7">
        <w:rPr>
          <w:rFonts w:ascii="Times New Roman" w:hAnsi="Times New Roman"/>
          <w:sz w:val="22"/>
          <w:lang w:val="lt-LT"/>
        </w:rPr>
        <w:tab/>
        <w:t>TEKSTO PERŽIŪROS DATA</w:t>
      </w:r>
    </w:p>
    <w:p w14:paraId="3D13C43B" w14:textId="77777777" w:rsidR="00F34163" w:rsidRPr="004453A7" w:rsidRDefault="00F34163" w:rsidP="00F34163">
      <w:pPr>
        <w:tabs>
          <w:tab w:val="clear" w:pos="567"/>
        </w:tabs>
        <w:spacing w:line="240" w:lineRule="auto"/>
        <w:rPr>
          <w:szCs w:val="24"/>
          <w:lang w:val="lt-LT"/>
        </w:rPr>
      </w:pPr>
    </w:p>
    <w:p w14:paraId="70133BA5" w14:textId="5CE6F4E0" w:rsidR="00F34163" w:rsidRPr="004453A7" w:rsidRDefault="00EE29BE" w:rsidP="00F34163">
      <w:pPr>
        <w:tabs>
          <w:tab w:val="clear" w:pos="567"/>
        </w:tabs>
        <w:spacing w:line="240" w:lineRule="auto"/>
        <w:rPr>
          <w:szCs w:val="24"/>
          <w:lang w:val="lt-LT"/>
        </w:rPr>
      </w:pPr>
      <w:r>
        <w:rPr>
          <w:noProof/>
          <w:szCs w:val="24"/>
          <w:lang w:val="lt-LT"/>
        </w:rPr>
        <w:t>2025 m. spalio 31 d.</w:t>
      </w:r>
    </w:p>
    <w:p w14:paraId="2CE42420" w14:textId="77777777" w:rsidR="00F34163" w:rsidRPr="004453A7" w:rsidRDefault="00F34163" w:rsidP="00F34163">
      <w:pPr>
        <w:tabs>
          <w:tab w:val="clear" w:pos="567"/>
        </w:tabs>
        <w:spacing w:line="240" w:lineRule="auto"/>
        <w:rPr>
          <w:szCs w:val="24"/>
          <w:lang w:val="lt-LT"/>
        </w:rPr>
      </w:pPr>
    </w:p>
    <w:p w14:paraId="125644FB" w14:textId="77777777" w:rsidR="00324035" w:rsidRPr="00C86981" w:rsidRDefault="00324035" w:rsidP="00324035">
      <w:pPr>
        <w:tabs>
          <w:tab w:val="center" w:pos="4819"/>
          <w:tab w:val="right" w:pos="9638"/>
        </w:tabs>
        <w:rPr>
          <w:lang w:val="lt-LT"/>
        </w:rPr>
      </w:pPr>
      <w:r w:rsidRPr="00C86981">
        <w:rPr>
          <w:szCs w:val="22"/>
          <w:lang w:val="lt-LT" w:eastAsia="lt-LT"/>
        </w:rPr>
        <w:t xml:space="preserve">Išsami informacija apie šį vaistinį preparatą pateikiama Valstybinės vaistų kontrolės tarnybos prie Lietuvos Respublikos sveikatos apsaugos ministerijos tinklalapyje </w:t>
      </w:r>
      <w:r w:rsidRPr="00C86981">
        <w:rPr>
          <w:color w:val="0000EE"/>
          <w:szCs w:val="22"/>
          <w:u w:val="single"/>
          <w:lang w:val="lt-LT" w:eastAsia="lt-LT"/>
        </w:rPr>
        <w:t>https://vvkt.lrv.lt/lt/.</w:t>
      </w:r>
    </w:p>
    <w:p w14:paraId="16867541" w14:textId="77777777" w:rsidR="000A79DC" w:rsidRPr="004453A7" w:rsidRDefault="00331196" w:rsidP="006B6EEB">
      <w:pPr>
        <w:pStyle w:val="Paprastasistekstas"/>
        <w:tabs>
          <w:tab w:val="left" w:pos="4962"/>
        </w:tabs>
        <w:rPr>
          <w:rFonts w:ascii="Times New Roman" w:hAnsi="Times New Roman"/>
          <w:color w:val="000000"/>
          <w:sz w:val="24"/>
          <w:lang w:val="lt-LT"/>
        </w:rPr>
      </w:pPr>
      <w:r w:rsidRPr="004453A7">
        <w:rPr>
          <w:rFonts w:ascii="Times New Roman" w:hAnsi="Times New Roman"/>
          <w:lang w:val="lt-LT"/>
        </w:rPr>
        <w:br w:type="page"/>
      </w:r>
    </w:p>
    <w:p w14:paraId="3F4CF3BD" w14:textId="77777777" w:rsidR="00F34163" w:rsidRPr="004453A7" w:rsidRDefault="00F34163" w:rsidP="006B6EEB">
      <w:pPr>
        <w:pStyle w:val="Paprastasistekstas"/>
        <w:tabs>
          <w:tab w:val="left" w:pos="5954"/>
          <w:tab w:val="left" w:pos="6237"/>
          <w:tab w:val="left" w:pos="6663"/>
          <w:tab w:val="left" w:pos="6946"/>
        </w:tabs>
        <w:rPr>
          <w:rFonts w:ascii="Times New Roman" w:hAnsi="Times New Roman"/>
          <w:color w:val="000000"/>
          <w:sz w:val="24"/>
          <w:lang w:val="lt-LT"/>
        </w:rPr>
      </w:pPr>
    </w:p>
    <w:p w14:paraId="062F6B30" w14:textId="77777777" w:rsidR="00F34163" w:rsidRPr="004453A7" w:rsidRDefault="00F34163" w:rsidP="00F34163">
      <w:pPr>
        <w:rPr>
          <w:noProof/>
          <w:szCs w:val="24"/>
          <w:lang w:val="lt-LT"/>
        </w:rPr>
      </w:pPr>
    </w:p>
    <w:p w14:paraId="642FB586" w14:textId="77777777" w:rsidR="00F34163" w:rsidRPr="004453A7" w:rsidRDefault="00F34163" w:rsidP="00F34163">
      <w:pPr>
        <w:rPr>
          <w:noProof/>
          <w:szCs w:val="24"/>
          <w:lang w:val="lt-LT"/>
        </w:rPr>
      </w:pPr>
    </w:p>
    <w:p w14:paraId="1553D283" w14:textId="77777777" w:rsidR="00F34163" w:rsidRPr="004453A7" w:rsidRDefault="00F34163" w:rsidP="00F34163">
      <w:pPr>
        <w:rPr>
          <w:noProof/>
          <w:szCs w:val="24"/>
          <w:lang w:val="lt-LT"/>
        </w:rPr>
      </w:pPr>
    </w:p>
    <w:p w14:paraId="4BBFB698" w14:textId="77777777" w:rsidR="00F34163" w:rsidRPr="004453A7" w:rsidRDefault="00F34163" w:rsidP="00F34163">
      <w:pPr>
        <w:rPr>
          <w:noProof/>
          <w:szCs w:val="24"/>
          <w:lang w:val="lt-LT"/>
        </w:rPr>
      </w:pPr>
    </w:p>
    <w:p w14:paraId="14CCB83E" w14:textId="77777777" w:rsidR="00F34163" w:rsidRPr="004453A7" w:rsidRDefault="00F34163" w:rsidP="00F34163">
      <w:pPr>
        <w:rPr>
          <w:noProof/>
          <w:szCs w:val="24"/>
          <w:lang w:val="lt-LT"/>
        </w:rPr>
      </w:pPr>
    </w:p>
    <w:p w14:paraId="0CC4DFE5" w14:textId="77777777" w:rsidR="00F34163" w:rsidRPr="004453A7" w:rsidRDefault="00F34163" w:rsidP="00F34163">
      <w:pPr>
        <w:rPr>
          <w:noProof/>
          <w:szCs w:val="24"/>
          <w:lang w:val="lt-LT"/>
        </w:rPr>
      </w:pPr>
    </w:p>
    <w:p w14:paraId="77CDFE99" w14:textId="77777777" w:rsidR="00F34163" w:rsidRPr="004453A7" w:rsidRDefault="00F34163" w:rsidP="00F34163">
      <w:pPr>
        <w:rPr>
          <w:noProof/>
          <w:szCs w:val="24"/>
          <w:lang w:val="lt-LT"/>
        </w:rPr>
      </w:pPr>
    </w:p>
    <w:p w14:paraId="34AD2C71" w14:textId="77777777" w:rsidR="00F34163" w:rsidRPr="004453A7" w:rsidRDefault="00F34163" w:rsidP="00F34163">
      <w:pPr>
        <w:rPr>
          <w:noProof/>
          <w:szCs w:val="24"/>
          <w:lang w:val="lt-LT"/>
        </w:rPr>
      </w:pPr>
    </w:p>
    <w:p w14:paraId="728EC470" w14:textId="77777777" w:rsidR="00F34163" w:rsidRPr="004453A7" w:rsidRDefault="00F34163" w:rsidP="00F34163">
      <w:pPr>
        <w:rPr>
          <w:noProof/>
          <w:szCs w:val="24"/>
          <w:lang w:val="lt-LT"/>
        </w:rPr>
      </w:pPr>
    </w:p>
    <w:p w14:paraId="6A12F146" w14:textId="77777777" w:rsidR="00F34163" w:rsidRPr="004453A7" w:rsidRDefault="00F34163" w:rsidP="00F34163">
      <w:pPr>
        <w:rPr>
          <w:noProof/>
          <w:szCs w:val="24"/>
          <w:lang w:val="lt-LT"/>
        </w:rPr>
      </w:pPr>
    </w:p>
    <w:p w14:paraId="73BEFC8B" w14:textId="77777777" w:rsidR="00F34163" w:rsidRPr="004453A7" w:rsidRDefault="00F34163" w:rsidP="00F34163">
      <w:pPr>
        <w:rPr>
          <w:noProof/>
          <w:szCs w:val="24"/>
          <w:lang w:val="lt-LT"/>
        </w:rPr>
      </w:pPr>
    </w:p>
    <w:p w14:paraId="00EB52D7" w14:textId="77777777" w:rsidR="00F34163" w:rsidRPr="004453A7" w:rsidRDefault="00F34163" w:rsidP="00F34163">
      <w:pPr>
        <w:rPr>
          <w:noProof/>
          <w:szCs w:val="24"/>
          <w:lang w:val="lt-LT"/>
        </w:rPr>
      </w:pPr>
    </w:p>
    <w:p w14:paraId="5ED5BCC6" w14:textId="77777777" w:rsidR="00F34163" w:rsidRPr="004453A7" w:rsidRDefault="00F34163" w:rsidP="00F34163">
      <w:pPr>
        <w:rPr>
          <w:noProof/>
          <w:szCs w:val="24"/>
          <w:lang w:val="lt-LT"/>
        </w:rPr>
      </w:pPr>
    </w:p>
    <w:p w14:paraId="48B7DA63" w14:textId="77777777" w:rsidR="00F34163" w:rsidRPr="004453A7" w:rsidRDefault="00F34163" w:rsidP="00F34163">
      <w:pPr>
        <w:rPr>
          <w:noProof/>
          <w:szCs w:val="24"/>
          <w:lang w:val="lt-LT"/>
        </w:rPr>
      </w:pPr>
    </w:p>
    <w:p w14:paraId="5041E0D4" w14:textId="77777777" w:rsidR="00F34163" w:rsidRPr="004453A7" w:rsidRDefault="00F34163" w:rsidP="00F34163">
      <w:pPr>
        <w:rPr>
          <w:noProof/>
          <w:szCs w:val="24"/>
          <w:lang w:val="lt-LT"/>
        </w:rPr>
      </w:pPr>
    </w:p>
    <w:p w14:paraId="0A5B0F31" w14:textId="77777777" w:rsidR="00F34163" w:rsidRPr="004453A7" w:rsidRDefault="00F34163" w:rsidP="00F34163">
      <w:pPr>
        <w:rPr>
          <w:noProof/>
          <w:szCs w:val="24"/>
          <w:lang w:val="lt-LT"/>
        </w:rPr>
      </w:pPr>
    </w:p>
    <w:p w14:paraId="62628D09" w14:textId="77777777" w:rsidR="00F34163" w:rsidRDefault="00F34163" w:rsidP="00F34163">
      <w:pPr>
        <w:rPr>
          <w:noProof/>
          <w:szCs w:val="24"/>
          <w:lang w:val="lt-LT"/>
        </w:rPr>
      </w:pPr>
    </w:p>
    <w:p w14:paraId="42E9E44C" w14:textId="77777777" w:rsidR="00324035" w:rsidRDefault="00324035" w:rsidP="00F34163">
      <w:pPr>
        <w:rPr>
          <w:noProof/>
          <w:szCs w:val="24"/>
          <w:lang w:val="lt-LT"/>
        </w:rPr>
      </w:pPr>
    </w:p>
    <w:p w14:paraId="7014445E" w14:textId="77777777" w:rsidR="00324035" w:rsidRDefault="00324035" w:rsidP="00F34163">
      <w:pPr>
        <w:rPr>
          <w:noProof/>
          <w:szCs w:val="24"/>
          <w:lang w:val="lt-LT"/>
        </w:rPr>
      </w:pPr>
    </w:p>
    <w:p w14:paraId="0FF60B50" w14:textId="77777777" w:rsidR="00324035" w:rsidRDefault="00324035" w:rsidP="00F34163">
      <w:pPr>
        <w:rPr>
          <w:noProof/>
          <w:szCs w:val="24"/>
          <w:lang w:val="lt-LT"/>
        </w:rPr>
      </w:pPr>
    </w:p>
    <w:p w14:paraId="2FCC2182" w14:textId="77777777" w:rsidR="00324035" w:rsidRDefault="00324035" w:rsidP="00F34163">
      <w:pPr>
        <w:rPr>
          <w:noProof/>
          <w:szCs w:val="24"/>
          <w:lang w:val="lt-LT"/>
        </w:rPr>
      </w:pPr>
    </w:p>
    <w:p w14:paraId="1044D972" w14:textId="77777777" w:rsidR="00324035" w:rsidRPr="004453A7" w:rsidRDefault="00324035" w:rsidP="00F34163">
      <w:pPr>
        <w:rPr>
          <w:noProof/>
          <w:szCs w:val="24"/>
          <w:lang w:val="lt-LT"/>
        </w:rPr>
      </w:pPr>
    </w:p>
    <w:p w14:paraId="79C981FC" w14:textId="77777777" w:rsidR="00F34163" w:rsidRPr="004453A7" w:rsidRDefault="00F34163" w:rsidP="00F34163">
      <w:pPr>
        <w:jc w:val="center"/>
        <w:rPr>
          <w:b/>
          <w:lang w:val="lt-LT"/>
        </w:rPr>
      </w:pPr>
      <w:r w:rsidRPr="004453A7">
        <w:rPr>
          <w:b/>
          <w:lang w:val="lt-LT"/>
        </w:rPr>
        <w:t>II PRIEDAS</w:t>
      </w:r>
    </w:p>
    <w:p w14:paraId="428C9A15" w14:textId="77777777" w:rsidR="00F34163" w:rsidRPr="004453A7" w:rsidRDefault="00F34163" w:rsidP="006B6EEB">
      <w:pPr>
        <w:ind w:right="1416"/>
        <w:rPr>
          <w:lang w:val="lt-LT"/>
        </w:rPr>
      </w:pPr>
    </w:p>
    <w:p w14:paraId="26FFE315" w14:textId="77777777" w:rsidR="00F34163" w:rsidRPr="004453A7" w:rsidRDefault="00CE6EC2" w:rsidP="00F34163">
      <w:pPr>
        <w:jc w:val="center"/>
        <w:rPr>
          <w:i/>
          <w:lang w:val="lt-LT"/>
        </w:rPr>
      </w:pPr>
      <w:r w:rsidRPr="004453A7">
        <w:rPr>
          <w:b/>
          <w:lang w:val="lt-LT"/>
        </w:rPr>
        <w:t xml:space="preserve">REGISTRACIJOS </w:t>
      </w:r>
      <w:r w:rsidR="00F34163" w:rsidRPr="004453A7">
        <w:rPr>
          <w:b/>
          <w:lang w:val="lt-LT"/>
        </w:rPr>
        <w:t>SĄLYGOS</w:t>
      </w:r>
    </w:p>
    <w:p w14:paraId="41B77319" w14:textId="77777777" w:rsidR="00F34163" w:rsidRPr="004453A7" w:rsidRDefault="00F34163" w:rsidP="00F34163">
      <w:pPr>
        <w:rPr>
          <w:lang w:val="lt-LT"/>
        </w:rPr>
      </w:pPr>
    </w:p>
    <w:p w14:paraId="35C75116" w14:textId="77777777" w:rsidR="00F34163" w:rsidRPr="004453A7" w:rsidRDefault="00F34163" w:rsidP="00F34163">
      <w:pPr>
        <w:tabs>
          <w:tab w:val="clear" w:pos="567"/>
          <w:tab w:val="left" w:pos="1701"/>
        </w:tabs>
        <w:ind w:left="1701" w:right="567" w:hanging="567"/>
        <w:rPr>
          <w:b/>
          <w:noProof/>
          <w:szCs w:val="24"/>
          <w:lang w:val="lt-LT"/>
        </w:rPr>
      </w:pPr>
      <w:r w:rsidRPr="004453A7">
        <w:rPr>
          <w:b/>
          <w:noProof/>
          <w:szCs w:val="24"/>
          <w:lang w:val="lt-LT"/>
        </w:rPr>
        <w:t>A.</w:t>
      </w:r>
      <w:r w:rsidRPr="004453A7">
        <w:rPr>
          <w:b/>
          <w:noProof/>
          <w:szCs w:val="24"/>
          <w:lang w:val="lt-LT"/>
        </w:rPr>
        <w:tab/>
        <w:t>GAMINTOJAS (-AI), ATSAKINGAS (-I) UŽ SERIJŲ IŠLEIDIMĄ</w:t>
      </w:r>
    </w:p>
    <w:p w14:paraId="3A7E8C03" w14:textId="77777777" w:rsidR="00F34163" w:rsidRPr="004453A7" w:rsidRDefault="00F34163" w:rsidP="00F34163">
      <w:pPr>
        <w:tabs>
          <w:tab w:val="clear" w:pos="567"/>
          <w:tab w:val="left" w:pos="1701"/>
        </w:tabs>
        <w:ind w:left="567" w:right="567" w:hanging="567"/>
        <w:rPr>
          <w:noProof/>
          <w:szCs w:val="24"/>
          <w:lang w:val="lt-LT"/>
        </w:rPr>
      </w:pPr>
    </w:p>
    <w:p w14:paraId="23CE32D2" w14:textId="77777777" w:rsidR="00F34163" w:rsidRPr="004453A7" w:rsidRDefault="00F34163" w:rsidP="00F34163">
      <w:pPr>
        <w:tabs>
          <w:tab w:val="clear" w:pos="567"/>
          <w:tab w:val="left" w:pos="1701"/>
        </w:tabs>
        <w:ind w:left="1701" w:right="567" w:hanging="567"/>
        <w:rPr>
          <w:b/>
          <w:lang w:val="lt-LT"/>
        </w:rPr>
      </w:pPr>
      <w:r w:rsidRPr="004453A7">
        <w:rPr>
          <w:b/>
          <w:lang w:val="lt-LT"/>
        </w:rPr>
        <w:t>B.</w:t>
      </w:r>
      <w:r w:rsidRPr="004453A7">
        <w:rPr>
          <w:b/>
          <w:lang w:val="lt-LT"/>
        </w:rPr>
        <w:tab/>
        <w:t>TIEKIMO IR VARTOJIMO SĄLYGOS AR APRIBOJIMAI</w:t>
      </w:r>
    </w:p>
    <w:p w14:paraId="38807310" w14:textId="77777777" w:rsidR="00F34163" w:rsidRPr="004453A7" w:rsidRDefault="00F34163" w:rsidP="00F34163">
      <w:pPr>
        <w:tabs>
          <w:tab w:val="clear" w:pos="567"/>
          <w:tab w:val="left" w:pos="1701"/>
        </w:tabs>
        <w:ind w:left="1701" w:right="567" w:hanging="567"/>
        <w:rPr>
          <w:b/>
          <w:lang w:val="lt-LT"/>
        </w:rPr>
      </w:pPr>
    </w:p>
    <w:p w14:paraId="32CAFF4F" w14:textId="77777777" w:rsidR="00F34163" w:rsidRPr="004453A7" w:rsidRDefault="00F34163" w:rsidP="006B6EEB">
      <w:pPr>
        <w:ind w:right="1558"/>
        <w:rPr>
          <w:b/>
          <w:lang w:val="lt-LT"/>
        </w:rPr>
      </w:pPr>
    </w:p>
    <w:p w14:paraId="30B15304" w14:textId="77777777" w:rsidR="00F34163" w:rsidRPr="004453A7" w:rsidRDefault="00F34163" w:rsidP="00F34163">
      <w:pPr>
        <w:ind w:left="567" w:hanging="567"/>
        <w:rPr>
          <w:lang w:val="lt-LT"/>
        </w:rPr>
      </w:pPr>
    </w:p>
    <w:p w14:paraId="1DCA87B6" w14:textId="77777777" w:rsidR="00F34163" w:rsidRPr="004453A7" w:rsidRDefault="00F34163" w:rsidP="00F34163">
      <w:pPr>
        <w:ind w:right="-1"/>
        <w:rPr>
          <w:lang w:val="lt-LT"/>
        </w:rPr>
      </w:pPr>
    </w:p>
    <w:p w14:paraId="7DC520FD" w14:textId="77777777" w:rsidR="00F34163" w:rsidRPr="004453A7" w:rsidRDefault="00F34163" w:rsidP="00F34163">
      <w:pPr>
        <w:ind w:left="567" w:hanging="567"/>
        <w:rPr>
          <w:b/>
          <w:szCs w:val="24"/>
          <w:lang w:val="lt-LT"/>
        </w:rPr>
      </w:pPr>
      <w:r w:rsidRPr="004453A7">
        <w:rPr>
          <w:lang w:val="lt-LT"/>
        </w:rPr>
        <w:br w:type="page"/>
      </w:r>
      <w:r w:rsidRPr="004453A7">
        <w:rPr>
          <w:b/>
          <w:lang w:val="lt-LT"/>
        </w:rPr>
        <w:t>A.</w:t>
      </w:r>
      <w:r w:rsidRPr="004453A7">
        <w:rPr>
          <w:b/>
          <w:szCs w:val="24"/>
          <w:lang w:val="lt-LT"/>
        </w:rPr>
        <w:tab/>
      </w:r>
      <w:r w:rsidR="006B6EEB" w:rsidRPr="004453A7">
        <w:rPr>
          <w:b/>
          <w:lang w:val="lt-LT"/>
        </w:rPr>
        <w:t>GAMINTOJAS (-AI)</w:t>
      </w:r>
      <w:r w:rsidRPr="004453A7">
        <w:rPr>
          <w:b/>
          <w:lang w:val="lt-LT"/>
        </w:rPr>
        <w:t>, ATSAKINGAS (-I) UŽ SERIJŲ IŠLEIDIMĄ</w:t>
      </w:r>
    </w:p>
    <w:p w14:paraId="0E8F7BE1" w14:textId="77777777" w:rsidR="00F34163" w:rsidRPr="004453A7" w:rsidRDefault="00F34163" w:rsidP="00F34163">
      <w:pPr>
        <w:rPr>
          <w:szCs w:val="24"/>
          <w:lang w:val="lt-LT"/>
        </w:rPr>
      </w:pPr>
    </w:p>
    <w:p w14:paraId="319024DB" w14:textId="77777777" w:rsidR="00F34163" w:rsidRPr="004453A7" w:rsidRDefault="00F34163" w:rsidP="00F34163">
      <w:pPr>
        <w:spacing w:line="240" w:lineRule="auto"/>
        <w:jc w:val="both"/>
        <w:rPr>
          <w:szCs w:val="24"/>
          <w:lang w:val="lt-LT"/>
        </w:rPr>
      </w:pPr>
      <w:r w:rsidRPr="004453A7">
        <w:rPr>
          <w:noProof/>
          <w:szCs w:val="24"/>
          <w:u w:val="single"/>
          <w:lang w:val="lt-LT"/>
        </w:rPr>
        <w:t>Gamintojo (-ų), atsakingo (-ų) už serijų išleidimą, pavadinimas (-ai) ir adresas (-ai)</w:t>
      </w:r>
    </w:p>
    <w:p w14:paraId="01E2AF4B" w14:textId="77777777" w:rsidR="00F34163" w:rsidRPr="004453A7" w:rsidRDefault="00F34163" w:rsidP="00F34163">
      <w:pPr>
        <w:rPr>
          <w:szCs w:val="24"/>
          <w:lang w:val="lt-LT"/>
        </w:rPr>
      </w:pPr>
    </w:p>
    <w:p w14:paraId="706B7987" w14:textId="77777777" w:rsidR="004740FB" w:rsidRPr="004740FB" w:rsidRDefault="004740FB" w:rsidP="004740FB">
      <w:pPr>
        <w:tabs>
          <w:tab w:val="clear" w:pos="567"/>
          <w:tab w:val="left" w:pos="9214"/>
        </w:tabs>
        <w:spacing w:line="240" w:lineRule="auto"/>
        <w:ind w:right="282"/>
        <w:rPr>
          <w:bCs/>
          <w:szCs w:val="22"/>
          <w:lang w:val="lt-LT"/>
        </w:rPr>
      </w:pPr>
      <w:r w:rsidRPr="004740FB">
        <w:rPr>
          <w:bCs/>
          <w:szCs w:val="22"/>
          <w:lang w:val="lt-LT"/>
        </w:rPr>
        <w:t>Merckle GmbH</w:t>
      </w:r>
    </w:p>
    <w:p w14:paraId="66223378" w14:textId="77777777" w:rsidR="004740FB" w:rsidRPr="004740FB" w:rsidRDefault="004740FB" w:rsidP="004740FB">
      <w:pPr>
        <w:tabs>
          <w:tab w:val="clear" w:pos="567"/>
          <w:tab w:val="left" w:pos="9214"/>
        </w:tabs>
        <w:spacing w:line="240" w:lineRule="auto"/>
        <w:ind w:right="282"/>
        <w:rPr>
          <w:bCs/>
          <w:szCs w:val="22"/>
          <w:lang w:val="lt-LT"/>
        </w:rPr>
      </w:pPr>
      <w:r w:rsidRPr="004740FB">
        <w:rPr>
          <w:bCs/>
          <w:szCs w:val="22"/>
          <w:lang w:val="lt-LT"/>
        </w:rPr>
        <w:t>Ludwig-Merckle-Strasse 3</w:t>
      </w:r>
    </w:p>
    <w:p w14:paraId="491D6413" w14:textId="77777777" w:rsidR="004740FB" w:rsidRPr="004740FB" w:rsidRDefault="004740FB" w:rsidP="004740FB">
      <w:pPr>
        <w:tabs>
          <w:tab w:val="clear" w:pos="567"/>
          <w:tab w:val="left" w:pos="9214"/>
        </w:tabs>
        <w:spacing w:line="240" w:lineRule="auto"/>
        <w:ind w:right="282"/>
        <w:rPr>
          <w:bCs/>
          <w:szCs w:val="22"/>
          <w:lang w:val="lt-LT"/>
        </w:rPr>
      </w:pPr>
      <w:r w:rsidRPr="004740FB">
        <w:rPr>
          <w:bCs/>
          <w:szCs w:val="22"/>
          <w:lang w:val="lt-LT"/>
        </w:rPr>
        <w:t>Blaubeuren</w:t>
      </w:r>
    </w:p>
    <w:p w14:paraId="079512CF" w14:textId="77777777" w:rsidR="00F34163" w:rsidRPr="004453A7" w:rsidRDefault="004740FB" w:rsidP="00F34163">
      <w:pPr>
        <w:rPr>
          <w:szCs w:val="24"/>
          <w:lang w:val="lt-LT"/>
        </w:rPr>
      </w:pPr>
      <w:r>
        <w:rPr>
          <w:bCs/>
          <w:szCs w:val="22"/>
          <w:lang w:val="lt-LT"/>
        </w:rPr>
        <w:t>89143 Vokietija</w:t>
      </w:r>
    </w:p>
    <w:p w14:paraId="7CFF43DF" w14:textId="77777777" w:rsidR="00F34163" w:rsidRPr="004453A7" w:rsidRDefault="00F34163" w:rsidP="00F34163">
      <w:pPr>
        <w:rPr>
          <w:szCs w:val="24"/>
          <w:lang w:val="lt-LT"/>
        </w:rPr>
      </w:pPr>
    </w:p>
    <w:p w14:paraId="67DBB673" w14:textId="77777777" w:rsidR="00F34163" w:rsidRPr="004453A7" w:rsidRDefault="00F34163" w:rsidP="00F34163">
      <w:pPr>
        <w:rPr>
          <w:szCs w:val="24"/>
          <w:lang w:val="lt-LT"/>
        </w:rPr>
      </w:pPr>
    </w:p>
    <w:p w14:paraId="72F33E1B" w14:textId="77777777" w:rsidR="00F34163" w:rsidRPr="004453A7" w:rsidRDefault="00F34163" w:rsidP="00F34163">
      <w:pPr>
        <w:spacing w:line="240" w:lineRule="auto"/>
        <w:ind w:left="567" w:hanging="567"/>
        <w:rPr>
          <w:szCs w:val="24"/>
          <w:lang w:val="lt-LT"/>
        </w:rPr>
      </w:pPr>
      <w:r w:rsidRPr="004453A7">
        <w:rPr>
          <w:b/>
          <w:noProof/>
          <w:szCs w:val="24"/>
          <w:lang w:val="lt-LT"/>
        </w:rPr>
        <w:t>B.</w:t>
      </w:r>
      <w:r w:rsidRPr="004453A7">
        <w:rPr>
          <w:b/>
          <w:szCs w:val="24"/>
          <w:lang w:val="lt-LT"/>
        </w:rPr>
        <w:tab/>
      </w:r>
      <w:r w:rsidRPr="004453A7">
        <w:rPr>
          <w:b/>
          <w:noProof/>
          <w:szCs w:val="24"/>
          <w:lang w:val="lt-LT"/>
        </w:rPr>
        <w:t>TIEKIMO IR VARTOJIMO SĄLYGOS AR APRIBOJIMAI</w:t>
      </w:r>
    </w:p>
    <w:p w14:paraId="78A273F6" w14:textId="77777777" w:rsidR="00F34163" w:rsidRPr="004453A7" w:rsidRDefault="00F34163" w:rsidP="00F34163">
      <w:pPr>
        <w:rPr>
          <w:szCs w:val="24"/>
          <w:lang w:val="lt-LT"/>
        </w:rPr>
      </w:pPr>
    </w:p>
    <w:p w14:paraId="0B47A2C6" w14:textId="77777777" w:rsidR="00F34163" w:rsidRPr="004453A7" w:rsidRDefault="00F34163" w:rsidP="00F34163">
      <w:pPr>
        <w:rPr>
          <w:lang w:val="lt-LT"/>
        </w:rPr>
      </w:pPr>
      <w:r w:rsidRPr="004453A7">
        <w:rPr>
          <w:lang w:val="lt-LT"/>
        </w:rPr>
        <w:t>Receptini</w:t>
      </w:r>
      <w:r w:rsidR="006B6EEB" w:rsidRPr="004453A7">
        <w:rPr>
          <w:lang w:val="lt-LT"/>
        </w:rPr>
        <w:t>s vaistinis preparatas.</w:t>
      </w:r>
    </w:p>
    <w:p w14:paraId="563C49E3" w14:textId="77777777" w:rsidR="00F34163" w:rsidRPr="004453A7" w:rsidRDefault="00F34163" w:rsidP="00F34163">
      <w:pPr>
        <w:rPr>
          <w:lang w:val="lt-LT"/>
        </w:rPr>
      </w:pPr>
    </w:p>
    <w:p w14:paraId="61EB8000" w14:textId="77777777" w:rsidR="00F34163" w:rsidRPr="004453A7" w:rsidRDefault="00F34163" w:rsidP="00E56AAB">
      <w:pPr>
        <w:pStyle w:val="Paprastasistekstas"/>
        <w:tabs>
          <w:tab w:val="left" w:pos="4962"/>
        </w:tabs>
        <w:rPr>
          <w:rFonts w:ascii="Times New Roman" w:hAnsi="Times New Roman"/>
          <w:noProof/>
          <w:szCs w:val="24"/>
          <w:lang w:val="lt-LT"/>
        </w:rPr>
      </w:pPr>
      <w:r w:rsidRPr="004453A7">
        <w:rPr>
          <w:rFonts w:ascii="Times New Roman" w:hAnsi="Times New Roman"/>
          <w:b/>
          <w:noProof/>
          <w:szCs w:val="24"/>
          <w:lang w:val="lt-LT"/>
        </w:rPr>
        <w:br w:type="page"/>
      </w:r>
    </w:p>
    <w:p w14:paraId="229A677A" w14:textId="77777777" w:rsidR="00F34163" w:rsidRPr="004453A7" w:rsidRDefault="00F34163" w:rsidP="00F34163">
      <w:pPr>
        <w:rPr>
          <w:lang w:val="lt-LT"/>
        </w:rPr>
      </w:pPr>
    </w:p>
    <w:p w14:paraId="1880873E" w14:textId="77777777" w:rsidR="00F34163" w:rsidRPr="004453A7" w:rsidRDefault="00F34163" w:rsidP="00F34163">
      <w:pPr>
        <w:rPr>
          <w:lang w:val="lt-LT"/>
        </w:rPr>
      </w:pPr>
    </w:p>
    <w:p w14:paraId="15D119C9" w14:textId="77777777" w:rsidR="00F34163" w:rsidRPr="004453A7" w:rsidRDefault="00F34163" w:rsidP="00F34163">
      <w:pPr>
        <w:rPr>
          <w:lang w:val="lt-LT"/>
        </w:rPr>
      </w:pPr>
    </w:p>
    <w:p w14:paraId="11D6F9B5" w14:textId="77777777" w:rsidR="00F34163" w:rsidRPr="004453A7" w:rsidRDefault="00F34163" w:rsidP="00F34163">
      <w:pPr>
        <w:rPr>
          <w:lang w:val="lt-LT"/>
        </w:rPr>
      </w:pPr>
    </w:p>
    <w:p w14:paraId="7F364561" w14:textId="77777777" w:rsidR="00F34163" w:rsidRPr="004453A7" w:rsidRDefault="00F34163" w:rsidP="00F34163">
      <w:pPr>
        <w:rPr>
          <w:lang w:val="lt-LT"/>
        </w:rPr>
      </w:pPr>
    </w:p>
    <w:p w14:paraId="60109605" w14:textId="77777777" w:rsidR="00F34163" w:rsidRPr="004453A7" w:rsidRDefault="00F34163" w:rsidP="00F34163">
      <w:pPr>
        <w:rPr>
          <w:lang w:val="lt-LT"/>
        </w:rPr>
      </w:pPr>
    </w:p>
    <w:p w14:paraId="77581A5A" w14:textId="77777777" w:rsidR="00F34163" w:rsidRPr="004453A7" w:rsidRDefault="00F34163" w:rsidP="00F34163">
      <w:pPr>
        <w:rPr>
          <w:lang w:val="lt-LT"/>
        </w:rPr>
      </w:pPr>
    </w:p>
    <w:p w14:paraId="09F7D50D" w14:textId="77777777" w:rsidR="00F34163" w:rsidRPr="004453A7" w:rsidRDefault="00F34163" w:rsidP="00F34163">
      <w:pPr>
        <w:rPr>
          <w:lang w:val="lt-LT"/>
        </w:rPr>
      </w:pPr>
    </w:p>
    <w:p w14:paraId="03B50BFF" w14:textId="77777777" w:rsidR="00F34163" w:rsidRPr="004453A7" w:rsidRDefault="00F34163" w:rsidP="00F34163">
      <w:pPr>
        <w:rPr>
          <w:lang w:val="lt-LT"/>
        </w:rPr>
      </w:pPr>
    </w:p>
    <w:p w14:paraId="5399F8EC" w14:textId="77777777" w:rsidR="00F34163" w:rsidRPr="004453A7" w:rsidRDefault="00F34163" w:rsidP="00F34163">
      <w:pPr>
        <w:rPr>
          <w:lang w:val="lt-LT"/>
        </w:rPr>
      </w:pPr>
    </w:p>
    <w:p w14:paraId="54EF53EB" w14:textId="77777777" w:rsidR="00F34163" w:rsidRPr="004453A7" w:rsidRDefault="00F34163" w:rsidP="00F34163">
      <w:pPr>
        <w:rPr>
          <w:lang w:val="lt-LT"/>
        </w:rPr>
      </w:pPr>
    </w:p>
    <w:p w14:paraId="7C734492" w14:textId="77777777" w:rsidR="00F34163" w:rsidRPr="004453A7" w:rsidRDefault="00F34163" w:rsidP="00F34163">
      <w:pPr>
        <w:rPr>
          <w:lang w:val="lt-LT"/>
        </w:rPr>
      </w:pPr>
    </w:p>
    <w:p w14:paraId="6D1A8BF3" w14:textId="77777777" w:rsidR="00F34163" w:rsidRPr="004453A7" w:rsidRDefault="00F34163" w:rsidP="00F34163">
      <w:pPr>
        <w:rPr>
          <w:lang w:val="lt-LT"/>
        </w:rPr>
      </w:pPr>
    </w:p>
    <w:p w14:paraId="2E77CD4F" w14:textId="77777777" w:rsidR="00F34163" w:rsidRPr="004453A7" w:rsidRDefault="00F34163" w:rsidP="00F34163">
      <w:pPr>
        <w:rPr>
          <w:lang w:val="lt-LT"/>
        </w:rPr>
      </w:pPr>
    </w:p>
    <w:p w14:paraId="450C160F" w14:textId="77777777" w:rsidR="00F34163" w:rsidRPr="004453A7" w:rsidRDefault="00F34163" w:rsidP="00F34163">
      <w:pPr>
        <w:rPr>
          <w:lang w:val="lt-LT"/>
        </w:rPr>
      </w:pPr>
    </w:p>
    <w:p w14:paraId="7BB7066D" w14:textId="77777777" w:rsidR="00F34163" w:rsidRPr="004453A7" w:rsidRDefault="00F34163" w:rsidP="00F34163">
      <w:pPr>
        <w:rPr>
          <w:lang w:val="lt-LT"/>
        </w:rPr>
      </w:pPr>
    </w:p>
    <w:p w14:paraId="377E80A7" w14:textId="77777777" w:rsidR="00F34163" w:rsidRPr="004453A7" w:rsidRDefault="00F34163" w:rsidP="00F34163">
      <w:pPr>
        <w:outlineLvl w:val="0"/>
        <w:rPr>
          <w:b/>
          <w:lang w:val="lt-LT"/>
        </w:rPr>
      </w:pPr>
    </w:p>
    <w:p w14:paraId="0B1A66A8" w14:textId="77777777" w:rsidR="00F34163" w:rsidRPr="004453A7" w:rsidRDefault="00F34163" w:rsidP="00F34163">
      <w:pPr>
        <w:outlineLvl w:val="0"/>
        <w:rPr>
          <w:b/>
          <w:lang w:val="lt-LT"/>
        </w:rPr>
      </w:pPr>
    </w:p>
    <w:p w14:paraId="0EE0E24C" w14:textId="77777777" w:rsidR="00F34163" w:rsidRPr="004453A7" w:rsidRDefault="00F34163" w:rsidP="00F34163">
      <w:pPr>
        <w:outlineLvl w:val="0"/>
        <w:rPr>
          <w:b/>
          <w:lang w:val="lt-LT"/>
        </w:rPr>
      </w:pPr>
    </w:p>
    <w:p w14:paraId="645637FA" w14:textId="77777777" w:rsidR="00F34163" w:rsidRPr="004453A7" w:rsidRDefault="00F34163" w:rsidP="00F34163">
      <w:pPr>
        <w:outlineLvl w:val="0"/>
        <w:rPr>
          <w:b/>
          <w:lang w:val="lt-LT"/>
        </w:rPr>
      </w:pPr>
    </w:p>
    <w:p w14:paraId="5AAE5EC4" w14:textId="77777777" w:rsidR="00F34163" w:rsidRPr="004453A7" w:rsidRDefault="00F34163" w:rsidP="00F34163">
      <w:pPr>
        <w:outlineLvl w:val="0"/>
        <w:rPr>
          <w:b/>
          <w:lang w:val="lt-LT"/>
        </w:rPr>
      </w:pPr>
    </w:p>
    <w:p w14:paraId="6E766316" w14:textId="77777777" w:rsidR="00F34163" w:rsidRDefault="00F34163" w:rsidP="00F34163">
      <w:pPr>
        <w:outlineLvl w:val="0"/>
        <w:rPr>
          <w:b/>
          <w:lang w:val="lt-LT"/>
        </w:rPr>
      </w:pPr>
    </w:p>
    <w:p w14:paraId="274A73C9" w14:textId="77777777" w:rsidR="00324035" w:rsidRPr="004453A7" w:rsidRDefault="00324035" w:rsidP="00F34163">
      <w:pPr>
        <w:outlineLvl w:val="0"/>
        <w:rPr>
          <w:b/>
          <w:lang w:val="lt-LT"/>
        </w:rPr>
      </w:pPr>
    </w:p>
    <w:p w14:paraId="4EC433AF" w14:textId="77777777" w:rsidR="00F34163" w:rsidRPr="004453A7" w:rsidRDefault="00F34163" w:rsidP="00F34163">
      <w:pPr>
        <w:pStyle w:val="Antrat2"/>
        <w:spacing w:before="0" w:after="0" w:line="240" w:lineRule="auto"/>
        <w:jc w:val="center"/>
        <w:rPr>
          <w:rFonts w:ascii="Times New Roman" w:hAnsi="Times New Roman"/>
          <w:bCs w:val="0"/>
          <w:i w:val="0"/>
          <w:iCs w:val="0"/>
          <w:sz w:val="22"/>
          <w:szCs w:val="24"/>
          <w:lang w:val="lt-LT"/>
        </w:rPr>
      </w:pPr>
      <w:r w:rsidRPr="004453A7">
        <w:rPr>
          <w:rFonts w:ascii="Times New Roman" w:hAnsi="Times New Roman"/>
          <w:i w:val="0"/>
          <w:sz w:val="22"/>
          <w:lang w:val="lt-LT"/>
        </w:rPr>
        <w:t>III PRIEDAS</w:t>
      </w:r>
    </w:p>
    <w:p w14:paraId="57FFA19B" w14:textId="77777777" w:rsidR="00F34163" w:rsidRPr="004453A7" w:rsidRDefault="00F34163" w:rsidP="00F34163">
      <w:pPr>
        <w:rPr>
          <w:szCs w:val="24"/>
          <w:lang w:val="lt-LT"/>
        </w:rPr>
      </w:pPr>
    </w:p>
    <w:p w14:paraId="04E799C5" w14:textId="77777777" w:rsidR="00F34163" w:rsidRPr="004453A7" w:rsidRDefault="00F34163" w:rsidP="00F34163">
      <w:pPr>
        <w:pStyle w:val="Antrat2"/>
        <w:spacing w:before="0" w:after="0" w:line="240" w:lineRule="auto"/>
        <w:jc w:val="center"/>
        <w:rPr>
          <w:rFonts w:ascii="Times New Roman" w:hAnsi="Times New Roman"/>
          <w:bCs w:val="0"/>
          <w:i w:val="0"/>
          <w:iCs w:val="0"/>
          <w:sz w:val="22"/>
          <w:szCs w:val="24"/>
          <w:lang w:val="lt-LT"/>
        </w:rPr>
      </w:pPr>
      <w:r w:rsidRPr="004453A7">
        <w:rPr>
          <w:rFonts w:ascii="Times New Roman" w:hAnsi="Times New Roman"/>
          <w:i w:val="0"/>
          <w:sz w:val="22"/>
          <w:lang w:val="lt-LT"/>
        </w:rPr>
        <w:t>ŽENKLINIMAS IR PAKUOTĖS LAPELIS</w:t>
      </w:r>
    </w:p>
    <w:p w14:paraId="4402C19B" w14:textId="77777777" w:rsidR="00F34163" w:rsidRPr="004453A7" w:rsidRDefault="00F34163" w:rsidP="00F34163">
      <w:pPr>
        <w:rPr>
          <w:szCs w:val="24"/>
          <w:lang w:val="lt-LT"/>
        </w:rPr>
      </w:pPr>
      <w:r w:rsidRPr="004453A7">
        <w:rPr>
          <w:szCs w:val="24"/>
          <w:lang w:val="lt-LT"/>
        </w:rPr>
        <w:br w:type="page"/>
      </w:r>
    </w:p>
    <w:p w14:paraId="38CA2323" w14:textId="77777777" w:rsidR="00F34163" w:rsidRPr="004453A7" w:rsidRDefault="00F34163" w:rsidP="00F34163">
      <w:pPr>
        <w:rPr>
          <w:szCs w:val="24"/>
          <w:lang w:val="lt-LT"/>
        </w:rPr>
      </w:pPr>
    </w:p>
    <w:p w14:paraId="3DB2C8A9" w14:textId="77777777" w:rsidR="00F34163" w:rsidRPr="004453A7" w:rsidRDefault="00F34163" w:rsidP="00F34163">
      <w:pPr>
        <w:rPr>
          <w:szCs w:val="24"/>
          <w:lang w:val="lt-LT"/>
        </w:rPr>
      </w:pPr>
    </w:p>
    <w:p w14:paraId="0EC8D829" w14:textId="77777777" w:rsidR="00F34163" w:rsidRPr="004453A7" w:rsidRDefault="00F34163" w:rsidP="00F34163">
      <w:pPr>
        <w:rPr>
          <w:szCs w:val="24"/>
          <w:lang w:val="lt-LT"/>
        </w:rPr>
      </w:pPr>
    </w:p>
    <w:p w14:paraId="4A194B6D" w14:textId="77777777" w:rsidR="00F34163" w:rsidRPr="004453A7" w:rsidRDefault="00F34163" w:rsidP="00F34163">
      <w:pPr>
        <w:rPr>
          <w:szCs w:val="24"/>
          <w:lang w:val="lt-LT"/>
        </w:rPr>
      </w:pPr>
    </w:p>
    <w:p w14:paraId="476F66B8" w14:textId="77777777" w:rsidR="00F34163" w:rsidRPr="004453A7" w:rsidRDefault="00F34163" w:rsidP="00F34163">
      <w:pPr>
        <w:rPr>
          <w:szCs w:val="24"/>
          <w:lang w:val="lt-LT"/>
        </w:rPr>
      </w:pPr>
    </w:p>
    <w:p w14:paraId="17C47DAF" w14:textId="77777777" w:rsidR="00F34163" w:rsidRPr="004453A7" w:rsidRDefault="00F34163" w:rsidP="00F34163">
      <w:pPr>
        <w:rPr>
          <w:szCs w:val="24"/>
          <w:lang w:val="lt-LT"/>
        </w:rPr>
      </w:pPr>
    </w:p>
    <w:p w14:paraId="68165812" w14:textId="77777777" w:rsidR="00F34163" w:rsidRPr="004453A7" w:rsidRDefault="00F34163" w:rsidP="00F34163">
      <w:pPr>
        <w:rPr>
          <w:szCs w:val="24"/>
          <w:lang w:val="lt-LT"/>
        </w:rPr>
      </w:pPr>
    </w:p>
    <w:p w14:paraId="3C3D9EE7" w14:textId="77777777" w:rsidR="00F34163" w:rsidRPr="004453A7" w:rsidRDefault="00F34163" w:rsidP="00F34163">
      <w:pPr>
        <w:rPr>
          <w:szCs w:val="24"/>
          <w:lang w:val="lt-LT"/>
        </w:rPr>
      </w:pPr>
    </w:p>
    <w:p w14:paraId="2305E121" w14:textId="77777777" w:rsidR="00F34163" w:rsidRPr="004453A7" w:rsidRDefault="00F34163" w:rsidP="00F34163">
      <w:pPr>
        <w:rPr>
          <w:szCs w:val="24"/>
          <w:lang w:val="lt-LT"/>
        </w:rPr>
      </w:pPr>
    </w:p>
    <w:p w14:paraId="339A8754" w14:textId="77777777" w:rsidR="00F34163" w:rsidRPr="004453A7" w:rsidRDefault="00F34163" w:rsidP="00F34163">
      <w:pPr>
        <w:rPr>
          <w:szCs w:val="24"/>
          <w:lang w:val="lt-LT"/>
        </w:rPr>
      </w:pPr>
    </w:p>
    <w:p w14:paraId="4A468146" w14:textId="77777777" w:rsidR="00F34163" w:rsidRPr="004453A7" w:rsidRDefault="00F34163" w:rsidP="00F34163">
      <w:pPr>
        <w:rPr>
          <w:szCs w:val="24"/>
          <w:lang w:val="lt-LT"/>
        </w:rPr>
      </w:pPr>
    </w:p>
    <w:p w14:paraId="0DDA3984" w14:textId="77777777" w:rsidR="00F34163" w:rsidRPr="004453A7" w:rsidRDefault="00F34163" w:rsidP="00F34163">
      <w:pPr>
        <w:rPr>
          <w:szCs w:val="24"/>
          <w:lang w:val="lt-LT"/>
        </w:rPr>
      </w:pPr>
    </w:p>
    <w:p w14:paraId="07DD43B0" w14:textId="77777777" w:rsidR="00F34163" w:rsidRPr="004453A7" w:rsidRDefault="00F34163" w:rsidP="00F34163">
      <w:pPr>
        <w:rPr>
          <w:szCs w:val="24"/>
          <w:lang w:val="lt-LT"/>
        </w:rPr>
      </w:pPr>
    </w:p>
    <w:p w14:paraId="4E7A7C65" w14:textId="77777777" w:rsidR="00F34163" w:rsidRPr="004453A7" w:rsidRDefault="00F34163" w:rsidP="00F34163">
      <w:pPr>
        <w:rPr>
          <w:szCs w:val="24"/>
          <w:lang w:val="lt-LT"/>
        </w:rPr>
      </w:pPr>
    </w:p>
    <w:p w14:paraId="4C031724" w14:textId="77777777" w:rsidR="00F34163" w:rsidRPr="004453A7" w:rsidRDefault="00F34163" w:rsidP="00F34163">
      <w:pPr>
        <w:rPr>
          <w:szCs w:val="24"/>
          <w:lang w:val="lt-LT"/>
        </w:rPr>
      </w:pPr>
    </w:p>
    <w:p w14:paraId="2D9BA1DC" w14:textId="77777777" w:rsidR="00F34163" w:rsidRPr="004453A7" w:rsidRDefault="00F34163" w:rsidP="00F34163">
      <w:pPr>
        <w:rPr>
          <w:szCs w:val="24"/>
          <w:lang w:val="lt-LT"/>
        </w:rPr>
      </w:pPr>
    </w:p>
    <w:p w14:paraId="469D5056" w14:textId="77777777" w:rsidR="00F34163" w:rsidRPr="004453A7" w:rsidRDefault="00F34163" w:rsidP="00F34163">
      <w:pPr>
        <w:rPr>
          <w:szCs w:val="24"/>
          <w:lang w:val="lt-LT"/>
        </w:rPr>
      </w:pPr>
    </w:p>
    <w:p w14:paraId="1C1FBDCC" w14:textId="77777777" w:rsidR="00F34163" w:rsidRPr="004453A7" w:rsidRDefault="00F34163" w:rsidP="00F34163">
      <w:pPr>
        <w:rPr>
          <w:szCs w:val="24"/>
          <w:lang w:val="lt-LT"/>
        </w:rPr>
      </w:pPr>
    </w:p>
    <w:p w14:paraId="08C10AB0" w14:textId="77777777" w:rsidR="00F34163" w:rsidRPr="004453A7" w:rsidRDefault="00F34163" w:rsidP="00F34163">
      <w:pPr>
        <w:rPr>
          <w:szCs w:val="24"/>
          <w:lang w:val="lt-LT"/>
        </w:rPr>
      </w:pPr>
    </w:p>
    <w:p w14:paraId="70C3B1AA" w14:textId="77777777" w:rsidR="00F34163" w:rsidRPr="004453A7" w:rsidRDefault="00F34163" w:rsidP="00F34163">
      <w:pPr>
        <w:rPr>
          <w:szCs w:val="24"/>
          <w:lang w:val="lt-LT"/>
        </w:rPr>
      </w:pPr>
    </w:p>
    <w:p w14:paraId="1E83BBA6" w14:textId="77777777" w:rsidR="00F34163" w:rsidRPr="004453A7" w:rsidRDefault="00F34163" w:rsidP="00F34163">
      <w:pPr>
        <w:rPr>
          <w:szCs w:val="24"/>
          <w:lang w:val="lt-LT"/>
        </w:rPr>
      </w:pPr>
    </w:p>
    <w:p w14:paraId="3EC29091" w14:textId="77777777" w:rsidR="00F34163" w:rsidRDefault="00F34163" w:rsidP="00F34163">
      <w:pPr>
        <w:rPr>
          <w:szCs w:val="24"/>
          <w:lang w:val="lt-LT"/>
        </w:rPr>
      </w:pPr>
    </w:p>
    <w:p w14:paraId="27B2CCFE" w14:textId="77777777" w:rsidR="00324035" w:rsidRPr="004453A7" w:rsidRDefault="00324035" w:rsidP="00F34163">
      <w:pPr>
        <w:rPr>
          <w:szCs w:val="24"/>
          <w:lang w:val="lt-LT"/>
        </w:rPr>
      </w:pPr>
    </w:p>
    <w:p w14:paraId="4930EC88" w14:textId="77777777" w:rsidR="00F34163" w:rsidRPr="004453A7" w:rsidRDefault="00F34163" w:rsidP="00F34163">
      <w:pPr>
        <w:pStyle w:val="Antrat2"/>
        <w:spacing w:before="0" w:after="0" w:line="240" w:lineRule="auto"/>
        <w:jc w:val="center"/>
        <w:rPr>
          <w:rFonts w:ascii="Times New Roman" w:hAnsi="Times New Roman"/>
          <w:bCs w:val="0"/>
          <w:i w:val="0"/>
          <w:iCs w:val="0"/>
          <w:sz w:val="22"/>
          <w:szCs w:val="24"/>
          <w:lang w:val="lt-LT"/>
        </w:rPr>
      </w:pPr>
      <w:r w:rsidRPr="004453A7">
        <w:rPr>
          <w:rFonts w:ascii="Times New Roman" w:hAnsi="Times New Roman"/>
          <w:i w:val="0"/>
          <w:sz w:val="22"/>
          <w:lang w:val="lt-LT"/>
        </w:rPr>
        <w:t>A. ŽENKLINIMAS</w:t>
      </w:r>
    </w:p>
    <w:p w14:paraId="74EEFFC9" w14:textId="77777777" w:rsidR="00F34163" w:rsidRPr="004453A7" w:rsidRDefault="00F34163" w:rsidP="00F34163">
      <w:pPr>
        <w:rPr>
          <w:szCs w:val="24"/>
          <w:lang w:val="lt-LT"/>
        </w:rPr>
      </w:pPr>
      <w:r w:rsidRPr="004453A7">
        <w:rPr>
          <w:szCs w:val="24"/>
          <w:lang w:val="lt-LT"/>
        </w:rPr>
        <w:br w:type="page"/>
      </w:r>
    </w:p>
    <w:p w14:paraId="0FD7AED2" w14:textId="77777777" w:rsidR="00F34163" w:rsidRPr="004453A7" w:rsidRDefault="006B6EEB"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4453A7">
        <w:rPr>
          <w:b/>
          <w:noProof/>
          <w:szCs w:val="24"/>
          <w:lang w:val="lt-LT"/>
        </w:rPr>
        <w:t xml:space="preserve">INFORMACIJA ANT IŠORINĖS </w:t>
      </w:r>
      <w:r w:rsidR="00F34163" w:rsidRPr="004453A7">
        <w:rPr>
          <w:b/>
          <w:noProof/>
          <w:szCs w:val="24"/>
          <w:lang w:val="lt-LT"/>
        </w:rPr>
        <w:t>PAKUOTĖS</w:t>
      </w:r>
    </w:p>
    <w:p w14:paraId="605A57DF"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4E9FEF3" w14:textId="77777777" w:rsidR="00F34163" w:rsidRPr="004453A7" w:rsidRDefault="001532B2" w:rsidP="001532B2">
      <w:pPr>
        <w:pBdr>
          <w:top w:val="single" w:sz="4" w:space="1" w:color="auto"/>
          <w:left w:val="single" w:sz="4" w:space="4" w:color="auto"/>
          <w:bottom w:val="single" w:sz="4" w:space="1" w:color="auto"/>
          <w:right w:val="single" w:sz="4" w:space="4" w:color="auto"/>
        </w:pBdr>
        <w:spacing w:line="240" w:lineRule="auto"/>
        <w:rPr>
          <w:b/>
          <w:szCs w:val="24"/>
          <w:lang w:val="lt-LT"/>
        </w:rPr>
      </w:pPr>
      <w:r w:rsidRPr="004453A7">
        <w:rPr>
          <w:b/>
          <w:noProof/>
          <w:szCs w:val="24"/>
          <w:lang w:val="lt-LT"/>
        </w:rPr>
        <w:t>V</w:t>
      </w:r>
      <w:r w:rsidRPr="004453A7">
        <w:rPr>
          <w:b/>
          <w:lang w:val="lt-LT"/>
        </w:rPr>
        <w:t xml:space="preserve">IENOS </w:t>
      </w:r>
      <w:r w:rsidR="003839FD" w:rsidRPr="004453A7">
        <w:rPr>
          <w:b/>
          <w:lang w:val="lt-LT"/>
        </w:rPr>
        <w:t xml:space="preserve">DOZĖS </w:t>
      </w:r>
      <w:r w:rsidRPr="004453A7">
        <w:rPr>
          <w:b/>
          <w:lang w:val="lt-LT"/>
        </w:rPr>
        <w:t>PAKUOTĖS KARTON</w:t>
      </w:r>
      <w:r w:rsidR="003839FD" w:rsidRPr="004453A7">
        <w:rPr>
          <w:b/>
          <w:lang w:val="lt-LT"/>
        </w:rPr>
        <w:t>O</w:t>
      </w:r>
      <w:r w:rsidRPr="004453A7">
        <w:rPr>
          <w:b/>
          <w:lang w:val="lt-LT"/>
        </w:rPr>
        <w:t xml:space="preserve"> DĖŽUTĖ</w:t>
      </w:r>
    </w:p>
    <w:p w14:paraId="1FE66A33" w14:textId="77777777" w:rsidR="00F34163" w:rsidRPr="004453A7" w:rsidRDefault="00F34163" w:rsidP="00F34163">
      <w:pPr>
        <w:rPr>
          <w:szCs w:val="24"/>
          <w:lang w:val="lt-LT"/>
        </w:rPr>
      </w:pPr>
    </w:p>
    <w:p w14:paraId="6584E9A9" w14:textId="77777777" w:rsidR="001532B2" w:rsidRPr="004453A7" w:rsidRDefault="001532B2" w:rsidP="00F34163">
      <w:pPr>
        <w:rPr>
          <w:szCs w:val="24"/>
          <w:lang w:val="lt-LT"/>
        </w:rPr>
      </w:pPr>
    </w:p>
    <w:p w14:paraId="3704EF02"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1.</w:t>
      </w:r>
      <w:r w:rsidRPr="004453A7">
        <w:rPr>
          <w:b/>
          <w:szCs w:val="24"/>
          <w:lang w:val="lt-LT"/>
        </w:rPr>
        <w:tab/>
      </w:r>
      <w:r w:rsidRPr="004453A7">
        <w:rPr>
          <w:b/>
          <w:caps/>
          <w:noProof/>
          <w:szCs w:val="24"/>
          <w:lang w:val="lt-LT"/>
        </w:rPr>
        <w:t>VAISTINIO</w:t>
      </w:r>
      <w:r w:rsidRPr="004453A7">
        <w:rPr>
          <w:b/>
          <w:noProof/>
          <w:szCs w:val="24"/>
          <w:lang w:val="lt-LT"/>
        </w:rPr>
        <w:t xml:space="preserve"> PREPARATO PAVADINIMAS</w:t>
      </w:r>
    </w:p>
    <w:p w14:paraId="5351E7CF" w14:textId="77777777" w:rsidR="00F34163" w:rsidRPr="004453A7" w:rsidRDefault="00F34163" w:rsidP="00F34163">
      <w:pPr>
        <w:rPr>
          <w:szCs w:val="24"/>
          <w:lang w:val="lt-LT"/>
        </w:rPr>
      </w:pPr>
    </w:p>
    <w:p w14:paraId="0836C000" w14:textId="77777777" w:rsidR="001532B2" w:rsidRPr="004453A7" w:rsidRDefault="001532B2" w:rsidP="001532B2">
      <w:pPr>
        <w:rPr>
          <w:snapToGrid/>
          <w:szCs w:val="24"/>
          <w:lang w:val="lt-LT"/>
        </w:rPr>
      </w:pPr>
      <w:r w:rsidRPr="004453A7">
        <w:rPr>
          <w:noProof/>
          <w:lang w:val="lt-LT"/>
        </w:rPr>
        <w:t>Icatibant Teva 30 mg</w:t>
      </w:r>
      <w:r w:rsidRPr="004453A7">
        <w:rPr>
          <w:lang w:val="lt-LT"/>
        </w:rPr>
        <w:t xml:space="preserve"> injekcinis tirpalas užpildytame švirkšte</w:t>
      </w:r>
    </w:p>
    <w:p w14:paraId="377084A3" w14:textId="77777777" w:rsidR="001532B2" w:rsidRPr="004453A7" w:rsidRDefault="001532B2" w:rsidP="001532B2">
      <w:pPr>
        <w:tabs>
          <w:tab w:val="clear" w:pos="567"/>
        </w:tabs>
        <w:spacing w:line="240" w:lineRule="auto"/>
        <w:rPr>
          <w:lang w:val="lt-LT"/>
        </w:rPr>
      </w:pPr>
      <w:r w:rsidRPr="004453A7">
        <w:rPr>
          <w:lang w:val="lt-LT"/>
        </w:rPr>
        <w:t>icatibant</w:t>
      </w:r>
    </w:p>
    <w:p w14:paraId="729D2360" w14:textId="77777777" w:rsidR="00F34163" w:rsidRPr="004453A7" w:rsidRDefault="00F34163" w:rsidP="00F34163">
      <w:pPr>
        <w:rPr>
          <w:szCs w:val="24"/>
          <w:lang w:val="lt-LT"/>
        </w:rPr>
      </w:pPr>
    </w:p>
    <w:p w14:paraId="116302A1"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4453A7">
        <w:rPr>
          <w:b/>
          <w:szCs w:val="24"/>
          <w:lang w:val="lt-LT"/>
        </w:rPr>
        <w:t>2.</w:t>
      </w:r>
      <w:r w:rsidRPr="004453A7">
        <w:rPr>
          <w:b/>
          <w:szCs w:val="24"/>
          <w:lang w:val="lt-LT"/>
        </w:rPr>
        <w:tab/>
      </w:r>
      <w:r w:rsidRPr="004453A7">
        <w:rPr>
          <w:b/>
          <w:noProof/>
          <w:szCs w:val="24"/>
          <w:lang w:val="lt-LT"/>
        </w:rPr>
        <w:t>VEIKLIOJI (-IOS) MEDŽIAGA (-OS) IR JOS (-Ų) KIEKIS (-IAI)</w:t>
      </w:r>
    </w:p>
    <w:p w14:paraId="1E688B92" w14:textId="77777777" w:rsidR="00F34163" w:rsidRPr="004453A7" w:rsidRDefault="00F34163" w:rsidP="00F34163">
      <w:pPr>
        <w:rPr>
          <w:szCs w:val="24"/>
          <w:lang w:val="lt-LT"/>
        </w:rPr>
      </w:pPr>
    </w:p>
    <w:p w14:paraId="2BBF128B" w14:textId="77777777" w:rsidR="001532B2" w:rsidRPr="004453A7" w:rsidRDefault="001532B2" w:rsidP="001532B2">
      <w:pPr>
        <w:rPr>
          <w:snapToGrid/>
          <w:lang w:val="lt-LT"/>
        </w:rPr>
      </w:pPr>
      <w:r w:rsidRPr="004453A7">
        <w:rPr>
          <w:lang w:val="lt-LT"/>
        </w:rPr>
        <w:t>Kiekviename 3 ml užpildytame švirkšte yra ikatibanto acetato, kuris atitinka 30 mg ikatibanto.</w:t>
      </w:r>
    </w:p>
    <w:p w14:paraId="5C37224E" w14:textId="77777777" w:rsidR="001532B2" w:rsidRPr="004453A7" w:rsidRDefault="001532B2" w:rsidP="001532B2">
      <w:pPr>
        <w:rPr>
          <w:lang w:val="lt-LT"/>
        </w:rPr>
      </w:pPr>
      <w:r w:rsidRPr="004453A7">
        <w:rPr>
          <w:lang w:val="lt-LT"/>
        </w:rPr>
        <w:t xml:space="preserve">Kiekviename tirpalo ml yra 10 mg ikatibanto. </w:t>
      </w:r>
    </w:p>
    <w:p w14:paraId="4A2BF2EF" w14:textId="77777777" w:rsidR="00F34163" w:rsidRDefault="00F34163" w:rsidP="00F34163">
      <w:pPr>
        <w:rPr>
          <w:szCs w:val="24"/>
          <w:lang w:val="lt-LT"/>
        </w:rPr>
      </w:pPr>
    </w:p>
    <w:p w14:paraId="1313AA8C" w14:textId="77777777" w:rsidR="00417DC4" w:rsidRPr="004453A7" w:rsidRDefault="00417DC4" w:rsidP="00F34163">
      <w:pPr>
        <w:rPr>
          <w:szCs w:val="24"/>
          <w:lang w:val="lt-LT"/>
        </w:rPr>
      </w:pPr>
    </w:p>
    <w:p w14:paraId="748269AA"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3.</w:t>
      </w:r>
      <w:r w:rsidRPr="004453A7">
        <w:rPr>
          <w:b/>
          <w:szCs w:val="24"/>
          <w:lang w:val="lt-LT"/>
        </w:rPr>
        <w:tab/>
      </w:r>
      <w:r w:rsidRPr="004453A7">
        <w:rPr>
          <w:b/>
          <w:noProof/>
          <w:szCs w:val="24"/>
          <w:lang w:val="lt-LT"/>
        </w:rPr>
        <w:t>PAGALBINIŲ MEDŽIAGŲ SĄRAŠAS</w:t>
      </w:r>
    </w:p>
    <w:p w14:paraId="4A1C906C" w14:textId="77777777" w:rsidR="00DE7EF5" w:rsidRDefault="00DE7EF5" w:rsidP="00F34163">
      <w:pPr>
        <w:rPr>
          <w:lang w:val="lt-LT"/>
        </w:rPr>
      </w:pPr>
    </w:p>
    <w:p w14:paraId="44DD6E34" w14:textId="77777777" w:rsidR="00F34163" w:rsidRPr="004453A7" w:rsidRDefault="00DC0EA7" w:rsidP="00F34163">
      <w:pPr>
        <w:rPr>
          <w:lang w:val="lt-LT"/>
        </w:rPr>
      </w:pPr>
      <w:r>
        <w:rPr>
          <w:lang w:val="lt-LT"/>
        </w:rPr>
        <w:t>L</w:t>
      </w:r>
      <w:r w:rsidR="001532B2" w:rsidRPr="004453A7">
        <w:rPr>
          <w:lang w:val="lt-LT"/>
        </w:rPr>
        <w:t>edinė acto rūgštis, natrio hidroksid</w:t>
      </w:r>
      <w:r>
        <w:rPr>
          <w:lang w:val="lt-LT"/>
        </w:rPr>
        <w:t>as</w:t>
      </w:r>
      <w:r w:rsidR="001532B2" w:rsidRPr="004453A7">
        <w:rPr>
          <w:lang w:val="lt-LT"/>
        </w:rPr>
        <w:t>, natrio chlorid</w:t>
      </w:r>
      <w:r>
        <w:rPr>
          <w:lang w:val="lt-LT"/>
        </w:rPr>
        <w:t>as</w:t>
      </w:r>
      <w:r w:rsidR="001532B2" w:rsidRPr="004453A7">
        <w:rPr>
          <w:lang w:val="lt-LT"/>
        </w:rPr>
        <w:t>, injekcini</w:t>
      </w:r>
      <w:r>
        <w:rPr>
          <w:lang w:val="lt-LT"/>
        </w:rPr>
        <w:t>s</w:t>
      </w:r>
      <w:r w:rsidR="001532B2" w:rsidRPr="004453A7">
        <w:rPr>
          <w:lang w:val="lt-LT"/>
        </w:rPr>
        <w:t xml:space="preserve"> vand</w:t>
      </w:r>
      <w:r>
        <w:rPr>
          <w:lang w:val="lt-LT"/>
        </w:rPr>
        <w:t>uo</w:t>
      </w:r>
      <w:r w:rsidR="001532B2" w:rsidRPr="004453A7">
        <w:rPr>
          <w:lang w:val="lt-LT"/>
        </w:rPr>
        <w:t>.</w:t>
      </w:r>
    </w:p>
    <w:p w14:paraId="7DD99B1A" w14:textId="77777777" w:rsidR="001532B2" w:rsidRDefault="001532B2" w:rsidP="00F34163">
      <w:pPr>
        <w:rPr>
          <w:szCs w:val="24"/>
          <w:lang w:val="lt-LT"/>
        </w:rPr>
      </w:pPr>
    </w:p>
    <w:p w14:paraId="202028F6" w14:textId="77777777" w:rsidR="00601748" w:rsidRPr="004453A7" w:rsidRDefault="00601748" w:rsidP="00F34163">
      <w:pPr>
        <w:rPr>
          <w:szCs w:val="24"/>
          <w:lang w:val="lt-LT"/>
        </w:rPr>
      </w:pPr>
    </w:p>
    <w:p w14:paraId="0CD02A3B"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4.</w:t>
      </w:r>
      <w:r w:rsidRPr="004453A7">
        <w:rPr>
          <w:b/>
          <w:szCs w:val="24"/>
          <w:lang w:val="lt-LT"/>
        </w:rPr>
        <w:tab/>
      </w:r>
      <w:r w:rsidRPr="004453A7">
        <w:rPr>
          <w:b/>
          <w:noProof/>
          <w:szCs w:val="24"/>
          <w:lang w:val="lt-LT"/>
        </w:rPr>
        <w:t>FARMACINĖ FORMA IR KIEKIS PAKUOTĖJE</w:t>
      </w:r>
    </w:p>
    <w:p w14:paraId="28F0CA24" w14:textId="77777777" w:rsidR="00F34163" w:rsidRPr="004453A7" w:rsidRDefault="00F34163" w:rsidP="00F34163">
      <w:pPr>
        <w:rPr>
          <w:szCs w:val="24"/>
          <w:lang w:val="lt-LT"/>
        </w:rPr>
      </w:pPr>
    </w:p>
    <w:p w14:paraId="38877D1A" w14:textId="77777777" w:rsidR="00977678" w:rsidRPr="004453A7" w:rsidRDefault="00977678" w:rsidP="00977678">
      <w:pPr>
        <w:rPr>
          <w:snapToGrid/>
          <w:szCs w:val="24"/>
          <w:lang w:val="lt-LT"/>
        </w:rPr>
      </w:pPr>
      <w:r w:rsidRPr="004453A7">
        <w:rPr>
          <w:lang w:val="lt-LT"/>
        </w:rPr>
        <w:t>Injekcinis tirpalas užpildytame švirkšte</w:t>
      </w:r>
    </w:p>
    <w:p w14:paraId="40D726DC" w14:textId="77777777" w:rsidR="00977678" w:rsidRPr="004453A7" w:rsidRDefault="00977678" w:rsidP="00F34163">
      <w:pPr>
        <w:rPr>
          <w:lang w:val="lt-LT"/>
        </w:rPr>
      </w:pPr>
      <w:r w:rsidRPr="004453A7">
        <w:rPr>
          <w:lang w:val="lt-LT"/>
        </w:rPr>
        <w:t xml:space="preserve">Vienas užpildytas švirkštas. </w:t>
      </w:r>
    </w:p>
    <w:p w14:paraId="18FAACA7" w14:textId="77777777" w:rsidR="00F34163" w:rsidRPr="004453A7" w:rsidRDefault="00977678" w:rsidP="00F34163">
      <w:pPr>
        <w:rPr>
          <w:lang w:val="lt-LT"/>
        </w:rPr>
      </w:pPr>
      <w:r w:rsidRPr="004453A7">
        <w:rPr>
          <w:lang w:val="lt-LT"/>
        </w:rPr>
        <w:t>Viena 25 G adata</w:t>
      </w:r>
      <w:r w:rsidR="00F16A09">
        <w:rPr>
          <w:lang w:val="lt-LT"/>
        </w:rPr>
        <w:t>.</w:t>
      </w:r>
    </w:p>
    <w:p w14:paraId="63BE3744" w14:textId="77777777" w:rsidR="00977678" w:rsidRDefault="00977678" w:rsidP="00F34163">
      <w:pPr>
        <w:rPr>
          <w:szCs w:val="24"/>
          <w:lang w:val="lt-LT"/>
        </w:rPr>
      </w:pPr>
    </w:p>
    <w:p w14:paraId="135B192D" w14:textId="77777777" w:rsidR="00417DC4" w:rsidRPr="004453A7" w:rsidRDefault="00417DC4" w:rsidP="00F34163">
      <w:pPr>
        <w:rPr>
          <w:szCs w:val="24"/>
          <w:lang w:val="lt-LT"/>
        </w:rPr>
      </w:pPr>
    </w:p>
    <w:p w14:paraId="28E19549"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5.</w:t>
      </w:r>
      <w:r w:rsidRPr="004453A7">
        <w:rPr>
          <w:b/>
          <w:szCs w:val="24"/>
          <w:lang w:val="lt-LT"/>
        </w:rPr>
        <w:tab/>
      </w:r>
      <w:r w:rsidRPr="004453A7">
        <w:rPr>
          <w:b/>
          <w:noProof/>
          <w:szCs w:val="24"/>
          <w:lang w:val="lt-LT"/>
        </w:rPr>
        <w:t>VARTOJIMO METODAS IR BŪDAS (-AI)</w:t>
      </w:r>
    </w:p>
    <w:p w14:paraId="7128E55D" w14:textId="77777777" w:rsidR="00F34163" w:rsidRPr="004453A7" w:rsidRDefault="00F34163" w:rsidP="00F34163">
      <w:pPr>
        <w:rPr>
          <w:szCs w:val="24"/>
          <w:lang w:val="lt-LT"/>
        </w:rPr>
      </w:pPr>
    </w:p>
    <w:p w14:paraId="48F40471" w14:textId="77777777" w:rsidR="00977678" w:rsidRPr="004453A7" w:rsidRDefault="00977678" w:rsidP="00F34163">
      <w:pPr>
        <w:rPr>
          <w:lang w:val="lt-LT"/>
        </w:rPr>
      </w:pPr>
      <w:r w:rsidRPr="004453A7">
        <w:rPr>
          <w:lang w:val="lt-LT"/>
        </w:rPr>
        <w:t>Leisti po oda.</w:t>
      </w:r>
    </w:p>
    <w:p w14:paraId="545B2D01" w14:textId="77777777" w:rsidR="00F34163" w:rsidRPr="004453A7" w:rsidRDefault="00977678" w:rsidP="00F34163">
      <w:pPr>
        <w:rPr>
          <w:szCs w:val="24"/>
          <w:lang w:val="lt-LT"/>
        </w:rPr>
      </w:pPr>
      <w:r w:rsidRPr="004453A7">
        <w:rPr>
          <w:noProof/>
          <w:szCs w:val="24"/>
          <w:lang w:val="lt-LT"/>
        </w:rPr>
        <w:t xml:space="preserve">Prieš </w:t>
      </w:r>
      <w:r w:rsidR="00F34163" w:rsidRPr="004453A7">
        <w:rPr>
          <w:noProof/>
          <w:szCs w:val="24"/>
          <w:lang w:val="lt-LT"/>
        </w:rPr>
        <w:t>vartojimą perskaitykite pakuotės lapelį.</w:t>
      </w:r>
    </w:p>
    <w:p w14:paraId="48DA63EB" w14:textId="77777777" w:rsidR="00F34163" w:rsidRPr="004453A7" w:rsidRDefault="00601748" w:rsidP="00977678">
      <w:pPr>
        <w:rPr>
          <w:szCs w:val="24"/>
          <w:lang w:val="lt-LT"/>
        </w:rPr>
      </w:pPr>
      <w:r>
        <w:rPr>
          <w:lang w:val="lt-LT"/>
        </w:rPr>
        <w:t>T</w:t>
      </w:r>
      <w:r w:rsidR="00977678" w:rsidRPr="004453A7">
        <w:rPr>
          <w:lang w:val="lt-LT"/>
        </w:rPr>
        <w:t xml:space="preserve">ik vienkartiniam naudojimui. </w:t>
      </w:r>
    </w:p>
    <w:p w14:paraId="7D37FF11" w14:textId="77777777" w:rsidR="00F34163" w:rsidRPr="004453A7" w:rsidRDefault="00F34163" w:rsidP="00F34163">
      <w:pPr>
        <w:rPr>
          <w:szCs w:val="24"/>
          <w:lang w:val="lt-LT"/>
        </w:rPr>
      </w:pPr>
    </w:p>
    <w:p w14:paraId="68412111" w14:textId="77777777" w:rsidR="003839FD" w:rsidRPr="004453A7" w:rsidRDefault="003839FD" w:rsidP="00F34163">
      <w:pPr>
        <w:rPr>
          <w:szCs w:val="24"/>
          <w:lang w:val="lt-LT"/>
        </w:rPr>
      </w:pPr>
    </w:p>
    <w:p w14:paraId="259E669D"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6.</w:t>
      </w:r>
      <w:r w:rsidRPr="004453A7">
        <w:rPr>
          <w:b/>
          <w:szCs w:val="24"/>
          <w:lang w:val="lt-LT"/>
        </w:rPr>
        <w:tab/>
      </w:r>
      <w:r w:rsidRPr="004453A7">
        <w:rPr>
          <w:b/>
          <w:noProof/>
          <w:szCs w:val="24"/>
          <w:lang w:val="lt-LT"/>
        </w:rPr>
        <w:t>SPECIALUS ĮSPĖJIMAS, KAD VAISTINĮ PREPARATĄ BŪTINA L</w:t>
      </w:r>
      <w:r w:rsidR="00977678" w:rsidRPr="004453A7">
        <w:rPr>
          <w:b/>
          <w:noProof/>
          <w:szCs w:val="24"/>
          <w:lang w:val="lt-LT"/>
        </w:rPr>
        <w:t>AIKYTI VAIKAMS NEPASTEBIMOJE IR</w:t>
      </w:r>
      <w:r w:rsidRPr="004453A7">
        <w:rPr>
          <w:b/>
          <w:noProof/>
          <w:szCs w:val="24"/>
          <w:lang w:val="lt-LT"/>
        </w:rPr>
        <w:t xml:space="preserve"> NEPASIEKIAMOJE VIETOJE</w:t>
      </w:r>
    </w:p>
    <w:p w14:paraId="48D35BEB" w14:textId="77777777" w:rsidR="00F34163" w:rsidRPr="004453A7" w:rsidRDefault="00F34163" w:rsidP="00F34163">
      <w:pPr>
        <w:rPr>
          <w:szCs w:val="24"/>
          <w:lang w:val="lt-LT"/>
        </w:rPr>
      </w:pPr>
    </w:p>
    <w:p w14:paraId="6F7A19C4" w14:textId="77777777" w:rsidR="00F34163" w:rsidRPr="004453A7" w:rsidRDefault="00F34163" w:rsidP="00F34163">
      <w:pPr>
        <w:rPr>
          <w:szCs w:val="24"/>
          <w:lang w:val="lt-LT"/>
        </w:rPr>
      </w:pPr>
      <w:r w:rsidRPr="004453A7">
        <w:rPr>
          <w:noProof/>
          <w:szCs w:val="24"/>
          <w:lang w:val="lt-LT"/>
        </w:rPr>
        <w:t>Laikyti vaikams nepastebimoje ir nepasiekiamoje vietoje.</w:t>
      </w:r>
    </w:p>
    <w:p w14:paraId="3A3B5469" w14:textId="77777777" w:rsidR="00F34163" w:rsidRPr="004453A7" w:rsidRDefault="00F34163" w:rsidP="00F34163">
      <w:pPr>
        <w:rPr>
          <w:szCs w:val="24"/>
          <w:lang w:val="lt-LT"/>
        </w:rPr>
      </w:pPr>
    </w:p>
    <w:p w14:paraId="112222AE" w14:textId="77777777" w:rsidR="00F34163" w:rsidRPr="004453A7" w:rsidRDefault="00F34163" w:rsidP="00F34163">
      <w:pPr>
        <w:rPr>
          <w:szCs w:val="24"/>
          <w:lang w:val="lt-LT"/>
        </w:rPr>
      </w:pPr>
    </w:p>
    <w:p w14:paraId="65991B37"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7.</w:t>
      </w:r>
      <w:r w:rsidRPr="004453A7">
        <w:rPr>
          <w:b/>
          <w:szCs w:val="24"/>
          <w:lang w:val="lt-LT"/>
        </w:rPr>
        <w:tab/>
      </w:r>
      <w:r w:rsidRPr="004453A7">
        <w:rPr>
          <w:b/>
          <w:noProof/>
          <w:szCs w:val="24"/>
          <w:lang w:val="lt-LT"/>
        </w:rPr>
        <w:t>KITAS (-I) SPECIALUS (-ŪS) ĮSPĖJIMAS (-AI) (JEI REIKIA)</w:t>
      </w:r>
    </w:p>
    <w:p w14:paraId="3DB5FB0D" w14:textId="77777777" w:rsidR="00F34163" w:rsidRPr="004453A7" w:rsidRDefault="00F34163" w:rsidP="00F34163">
      <w:pPr>
        <w:rPr>
          <w:szCs w:val="24"/>
          <w:lang w:val="lt-LT"/>
        </w:rPr>
      </w:pPr>
    </w:p>
    <w:p w14:paraId="096CF50C" w14:textId="77777777" w:rsidR="00F34163" w:rsidRPr="004453A7" w:rsidRDefault="00F34163" w:rsidP="00F34163">
      <w:pPr>
        <w:rPr>
          <w:szCs w:val="24"/>
          <w:lang w:val="lt-LT"/>
        </w:rPr>
      </w:pPr>
    </w:p>
    <w:p w14:paraId="3401803D"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8.</w:t>
      </w:r>
      <w:r w:rsidRPr="004453A7">
        <w:rPr>
          <w:b/>
          <w:szCs w:val="24"/>
          <w:lang w:val="lt-LT"/>
        </w:rPr>
        <w:tab/>
      </w:r>
      <w:r w:rsidRPr="004453A7">
        <w:rPr>
          <w:b/>
          <w:noProof/>
          <w:szCs w:val="24"/>
          <w:lang w:val="lt-LT"/>
        </w:rPr>
        <w:t>TINKAMUMO LAIKAS</w:t>
      </w:r>
    </w:p>
    <w:p w14:paraId="38A16473" w14:textId="77777777" w:rsidR="00F34163" w:rsidRPr="004453A7" w:rsidRDefault="00F34163" w:rsidP="00F34163">
      <w:pPr>
        <w:rPr>
          <w:szCs w:val="24"/>
          <w:lang w:val="lt-LT"/>
        </w:rPr>
      </w:pPr>
    </w:p>
    <w:p w14:paraId="229763C6" w14:textId="77777777" w:rsidR="00977678" w:rsidRPr="004453A7" w:rsidRDefault="00F16A09" w:rsidP="00F34163">
      <w:pPr>
        <w:rPr>
          <w:lang w:val="lt-LT"/>
        </w:rPr>
      </w:pPr>
      <w:r>
        <w:rPr>
          <w:lang w:val="lt-LT"/>
        </w:rPr>
        <w:t>EXP</w:t>
      </w:r>
    </w:p>
    <w:p w14:paraId="24DB6E29" w14:textId="77777777" w:rsidR="003E6D93" w:rsidRPr="004453A7" w:rsidRDefault="003E6D93" w:rsidP="00F34163">
      <w:pPr>
        <w:rPr>
          <w:szCs w:val="24"/>
          <w:lang w:val="lt-LT"/>
        </w:rPr>
      </w:pPr>
    </w:p>
    <w:p w14:paraId="111DDC76" w14:textId="77777777" w:rsidR="00977678" w:rsidRPr="004453A7" w:rsidRDefault="00977678" w:rsidP="00F34163">
      <w:pPr>
        <w:rPr>
          <w:szCs w:val="24"/>
          <w:lang w:val="lt-LT"/>
        </w:rPr>
      </w:pPr>
    </w:p>
    <w:p w14:paraId="419F4BDF" w14:textId="77777777" w:rsidR="00F34163" w:rsidRPr="004453A7"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9.</w:t>
      </w:r>
      <w:r w:rsidRPr="004453A7">
        <w:rPr>
          <w:b/>
          <w:szCs w:val="24"/>
          <w:lang w:val="lt-LT"/>
        </w:rPr>
        <w:tab/>
      </w:r>
      <w:r w:rsidRPr="004453A7">
        <w:rPr>
          <w:b/>
          <w:noProof/>
          <w:szCs w:val="24"/>
          <w:lang w:val="lt-LT"/>
        </w:rPr>
        <w:t>SPECIALIOS LAIKYMO SĄLYGOS</w:t>
      </w:r>
    </w:p>
    <w:p w14:paraId="172E7BE9" w14:textId="77777777" w:rsidR="00F34163" w:rsidRPr="004453A7" w:rsidRDefault="00F34163" w:rsidP="00F34163">
      <w:pPr>
        <w:rPr>
          <w:szCs w:val="24"/>
          <w:lang w:val="lt-LT"/>
        </w:rPr>
      </w:pPr>
    </w:p>
    <w:p w14:paraId="6D546193" w14:textId="77777777" w:rsidR="00F34163" w:rsidRDefault="00977678" w:rsidP="00F34163">
      <w:pPr>
        <w:rPr>
          <w:lang w:val="lt-LT"/>
        </w:rPr>
      </w:pPr>
      <w:r w:rsidRPr="004453A7">
        <w:rPr>
          <w:lang w:val="lt-LT"/>
        </w:rPr>
        <w:t>Laikyti ne aukštesnėje kaip 25</w:t>
      </w:r>
      <w:r w:rsidR="00601748">
        <w:rPr>
          <w:lang w:val="lt-LT"/>
        </w:rPr>
        <w:t> </w:t>
      </w:r>
      <w:r w:rsidRPr="004453A7">
        <w:rPr>
          <w:lang w:val="lt-LT"/>
        </w:rPr>
        <w:t>ºC temperatūroje. Negalima užšaldyti.</w:t>
      </w:r>
    </w:p>
    <w:p w14:paraId="59302CA0" w14:textId="77777777" w:rsidR="00DE7EF5" w:rsidRDefault="00DE7EF5" w:rsidP="00F34163">
      <w:pPr>
        <w:rPr>
          <w:lang w:val="lt-LT"/>
        </w:rPr>
      </w:pPr>
    </w:p>
    <w:p w14:paraId="282CE971" w14:textId="77777777" w:rsidR="00DE7EF5" w:rsidRPr="004453A7" w:rsidRDefault="00DE7EF5" w:rsidP="00F34163">
      <w:pPr>
        <w:rPr>
          <w:szCs w:val="24"/>
          <w:lang w:val="lt-LT"/>
        </w:rPr>
      </w:pPr>
    </w:p>
    <w:p w14:paraId="5E045C6E"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3A7">
        <w:rPr>
          <w:b/>
          <w:szCs w:val="24"/>
          <w:lang w:val="lt-LT"/>
        </w:rPr>
        <w:t>10.</w:t>
      </w:r>
      <w:r w:rsidRPr="004453A7">
        <w:rPr>
          <w:b/>
          <w:szCs w:val="24"/>
          <w:lang w:val="lt-LT"/>
        </w:rPr>
        <w:tab/>
      </w:r>
      <w:r w:rsidRPr="004453A7">
        <w:rPr>
          <w:b/>
          <w:noProof/>
          <w:szCs w:val="24"/>
          <w:lang w:val="lt-LT"/>
        </w:rPr>
        <w:t>SPECIALIOS ATSARGUMO PRIEMONĖS DĖL NESUVARTOTO VAISTINIO PREPARATO AR JO ATLIEKŲ TVARKYMO (JEI REIKIA)</w:t>
      </w:r>
    </w:p>
    <w:p w14:paraId="685AD3A1" w14:textId="77777777" w:rsidR="00F34163" w:rsidRPr="004453A7" w:rsidRDefault="00F34163" w:rsidP="00F34163">
      <w:pPr>
        <w:rPr>
          <w:szCs w:val="24"/>
          <w:lang w:val="lt-LT"/>
        </w:rPr>
      </w:pPr>
    </w:p>
    <w:p w14:paraId="7F75C85D" w14:textId="77777777" w:rsidR="00F34163" w:rsidRPr="004453A7" w:rsidRDefault="00F34163" w:rsidP="00F34163">
      <w:pPr>
        <w:rPr>
          <w:szCs w:val="24"/>
          <w:lang w:val="lt-LT"/>
        </w:rPr>
      </w:pPr>
    </w:p>
    <w:p w14:paraId="649481CF"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3A7">
        <w:rPr>
          <w:b/>
          <w:szCs w:val="24"/>
          <w:lang w:val="lt-LT"/>
        </w:rPr>
        <w:t>11.</w:t>
      </w:r>
      <w:r w:rsidRPr="004453A7">
        <w:rPr>
          <w:b/>
          <w:szCs w:val="24"/>
          <w:lang w:val="lt-LT"/>
        </w:rPr>
        <w:tab/>
      </w:r>
      <w:r w:rsidR="00461F31" w:rsidRPr="004453A7">
        <w:rPr>
          <w:b/>
          <w:caps/>
          <w:noProof/>
          <w:szCs w:val="24"/>
          <w:lang w:val="lt-LT"/>
        </w:rPr>
        <w:t xml:space="preserve"> REGISTRUOTOJO</w:t>
      </w:r>
      <w:r w:rsidRPr="004453A7">
        <w:rPr>
          <w:b/>
          <w:caps/>
          <w:noProof/>
          <w:szCs w:val="24"/>
          <w:lang w:val="lt-LT"/>
        </w:rPr>
        <w:t xml:space="preserve"> PAVADINIMAS IR ADRESAS</w:t>
      </w:r>
    </w:p>
    <w:p w14:paraId="3044BCF0" w14:textId="77777777" w:rsidR="00F34163" w:rsidRPr="004453A7" w:rsidRDefault="00F34163" w:rsidP="00F34163">
      <w:pPr>
        <w:rPr>
          <w:szCs w:val="24"/>
          <w:lang w:val="lt-LT"/>
        </w:rPr>
      </w:pPr>
    </w:p>
    <w:p w14:paraId="58111BC0" w14:textId="77777777" w:rsidR="00977678" w:rsidRPr="00037B8B" w:rsidRDefault="00977678" w:rsidP="00977678">
      <w:pPr>
        <w:tabs>
          <w:tab w:val="clear" w:pos="567"/>
          <w:tab w:val="left" w:pos="9214"/>
        </w:tabs>
        <w:spacing w:line="240" w:lineRule="auto"/>
        <w:ind w:right="282"/>
        <w:rPr>
          <w:bCs/>
          <w:snapToGrid/>
          <w:szCs w:val="22"/>
          <w:lang w:val="lt-LT"/>
        </w:rPr>
      </w:pPr>
      <w:r w:rsidRPr="00037B8B">
        <w:rPr>
          <w:bCs/>
          <w:szCs w:val="22"/>
          <w:lang w:val="lt-LT"/>
        </w:rPr>
        <w:t xml:space="preserve">Teva B.V. </w:t>
      </w:r>
    </w:p>
    <w:p w14:paraId="2362896A" w14:textId="77777777" w:rsidR="00977678" w:rsidRPr="00037B8B" w:rsidRDefault="00977678" w:rsidP="00977678">
      <w:pPr>
        <w:tabs>
          <w:tab w:val="clear" w:pos="567"/>
          <w:tab w:val="left" w:pos="9214"/>
        </w:tabs>
        <w:spacing w:line="240" w:lineRule="auto"/>
        <w:ind w:right="282"/>
        <w:rPr>
          <w:bCs/>
          <w:szCs w:val="22"/>
          <w:lang w:val="lt-LT"/>
        </w:rPr>
      </w:pPr>
      <w:r w:rsidRPr="00037B8B">
        <w:rPr>
          <w:szCs w:val="22"/>
          <w:lang w:val="lt-LT"/>
        </w:rPr>
        <w:t>Swensweg 5</w:t>
      </w:r>
    </w:p>
    <w:p w14:paraId="163E7A3B" w14:textId="77777777" w:rsidR="00977678" w:rsidRPr="00037B8B" w:rsidRDefault="00977678" w:rsidP="00977678">
      <w:pPr>
        <w:tabs>
          <w:tab w:val="clear" w:pos="567"/>
          <w:tab w:val="left" w:pos="9214"/>
        </w:tabs>
        <w:spacing w:line="240" w:lineRule="auto"/>
        <w:ind w:right="282"/>
        <w:rPr>
          <w:bCs/>
          <w:szCs w:val="22"/>
          <w:lang w:val="lt-LT"/>
        </w:rPr>
      </w:pPr>
      <w:r w:rsidRPr="00037B8B">
        <w:rPr>
          <w:szCs w:val="22"/>
          <w:lang w:val="lt-LT"/>
        </w:rPr>
        <w:t>2031 GA Haarlem</w:t>
      </w:r>
      <w:r w:rsidRPr="00037B8B">
        <w:rPr>
          <w:bCs/>
          <w:szCs w:val="22"/>
          <w:lang w:val="lt-LT"/>
        </w:rPr>
        <w:t xml:space="preserve"> </w:t>
      </w:r>
    </w:p>
    <w:p w14:paraId="75E3F149" w14:textId="77777777" w:rsidR="00977678" w:rsidRPr="004453A7" w:rsidRDefault="00977678" w:rsidP="00977678">
      <w:pPr>
        <w:tabs>
          <w:tab w:val="clear" w:pos="567"/>
          <w:tab w:val="left" w:pos="9214"/>
        </w:tabs>
        <w:spacing w:line="240" w:lineRule="auto"/>
        <w:ind w:right="282"/>
        <w:rPr>
          <w:noProof/>
          <w:szCs w:val="22"/>
          <w:lang w:val="lt-LT"/>
        </w:rPr>
      </w:pPr>
      <w:r w:rsidRPr="00037B8B">
        <w:rPr>
          <w:bCs/>
          <w:szCs w:val="22"/>
          <w:lang w:val="lt-LT"/>
        </w:rPr>
        <w:t>Nyderlandai</w:t>
      </w:r>
      <w:r w:rsidRPr="004453A7">
        <w:rPr>
          <w:noProof/>
          <w:szCs w:val="22"/>
          <w:lang w:val="lt-LT"/>
        </w:rPr>
        <w:t xml:space="preserve"> </w:t>
      </w:r>
    </w:p>
    <w:p w14:paraId="44AC8524" w14:textId="77777777" w:rsidR="00F34163" w:rsidRPr="004453A7" w:rsidRDefault="00F34163" w:rsidP="00F34163">
      <w:pPr>
        <w:rPr>
          <w:szCs w:val="24"/>
          <w:lang w:val="lt-LT"/>
        </w:rPr>
      </w:pPr>
    </w:p>
    <w:p w14:paraId="297C873A" w14:textId="77777777" w:rsidR="00F34163" w:rsidRPr="004453A7" w:rsidRDefault="00F34163" w:rsidP="00F34163">
      <w:pPr>
        <w:rPr>
          <w:szCs w:val="24"/>
          <w:lang w:val="lt-LT"/>
        </w:rPr>
      </w:pPr>
    </w:p>
    <w:p w14:paraId="295C8B0C"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12.</w:t>
      </w:r>
      <w:r w:rsidRPr="004453A7">
        <w:rPr>
          <w:b/>
          <w:szCs w:val="24"/>
          <w:lang w:val="lt-LT"/>
        </w:rPr>
        <w:tab/>
      </w:r>
      <w:r w:rsidR="00461F31" w:rsidRPr="004453A7">
        <w:rPr>
          <w:b/>
          <w:noProof/>
          <w:szCs w:val="24"/>
          <w:lang w:val="lt-LT"/>
        </w:rPr>
        <w:t xml:space="preserve">REGISTRACIJOS </w:t>
      </w:r>
      <w:r w:rsidRPr="004453A7">
        <w:rPr>
          <w:b/>
          <w:noProof/>
          <w:szCs w:val="24"/>
          <w:lang w:val="lt-LT"/>
        </w:rPr>
        <w:t>PAŽYMĖJIMO NUMERIS (-IAI)</w:t>
      </w:r>
      <w:r w:rsidRPr="004453A7">
        <w:rPr>
          <w:b/>
          <w:szCs w:val="24"/>
          <w:lang w:val="lt-LT"/>
        </w:rPr>
        <w:t xml:space="preserve"> </w:t>
      </w:r>
    </w:p>
    <w:p w14:paraId="5E4F1011" w14:textId="77777777" w:rsidR="00F34163" w:rsidRPr="004453A7" w:rsidRDefault="00F34163" w:rsidP="00F34163">
      <w:pPr>
        <w:rPr>
          <w:szCs w:val="24"/>
          <w:lang w:val="lt-LT"/>
        </w:rPr>
      </w:pPr>
    </w:p>
    <w:p w14:paraId="1A284BAC" w14:textId="77777777" w:rsidR="000D397F" w:rsidRPr="000D397F" w:rsidRDefault="000D397F" w:rsidP="000D397F">
      <w:pPr>
        <w:tabs>
          <w:tab w:val="clear" w:pos="567"/>
        </w:tabs>
        <w:spacing w:line="240" w:lineRule="auto"/>
        <w:rPr>
          <w:szCs w:val="24"/>
          <w:lang w:val="lt-LT"/>
        </w:rPr>
      </w:pPr>
      <w:r w:rsidRPr="000D397F">
        <w:rPr>
          <w:szCs w:val="24"/>
          <w:lang w:val="lt-LT"/>
        </w:rPr>
        <w:t>LT/1/21/4813/001</w:t>
      </w:r>
    </w:p>
    <w:p w14:paraId="16EBC3C1" w14:textId="77777777" w:rsidR="00F34163" w:rsidRPr="004453A7" w:rsidRDefault="00F34163" w:rsidP="00F34163">
      <w:pPr>
        <w:rPr>
          <w:szCs w:val="24"/>
          <w:lang w:val="lt-LT"/>
        </w:rPr>
      </w:pPr>
    </w:p>
    <w:p w14:paraId="6DC1746A" w14:textId="77777777" w:rsidR="00F34163" w:rsidRPr="004453A7" w:rsidRDefault="00F34163" w:rsidP="00F34163">
      <w:pPr>
        <w:rPr>
          <w:szCs w:val="24"/>
          <w:lang w:val="lt-LT"/>
        </w:rPr>
      </w:pPr>
    </w:p>
    <w:p w14:paraId="319BF447"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13.</w:t>
      </w:r>
      <w:r w:rsidRPr="004453A7">
        <w:rPr>
          <w:b/>
          <w:szCs w:val="24"/>
          <w:lang w:val="lt-LT"/>
        </w:rPr>
        <w:tab/>
      </w:r>
      <w:r w:rsidRPr="004453A7">
        <w:rPr>
          <w:b/>
          <w:noProof/>
          <w:szCs w:val="24"/>
          <w:lang w:val="lt-LT"/>
        </w:rPr>
        <w:t xml:space="preserve">SERIJOS NUMERIS </w:t>
      </w:r>
    </w:p>
    <w:p w14:paraId="46F725AE" w14:textId="77777777" w:rsidR="00F34163" w:rsidRPr="004453A7" w:rsidRDefault="00F34163" w:rsidP="00F34163">
      <w:pPr>
        <w:rPr>
          <w:lang w:val="lt-LT"/>
        </w:rPr>
      </w:pPr>
    </w:p>
    <w:p w14:paraId="126D4E8B" w14:textId="77777777" w:rsidR="00F34163" w:rsidRPr="004453A7" w:rsidRDefault="00F16A09" w:rsidP="00F34163">
      <w:pPr>
        <w:rPr>
          <w:lang w:val="lt-LT"/>
        </w:rPr>
      </w:pPr>
      <w:r>
        <w:rPr>
          <w:lang w:val="lt-LT"/>
        </w:rPr>
        <w:t>Lot</w:t>
      </w:r>
    </w:p>
    <w:p w14:paraId="066AE52B" w14:textId="77777777" w:rsidR="00F34163" w:rsidRPr="004453A7" w:rsidRDefault="00F34163" w:rsidP="00F34163">
      <w:pPr>
        <w:rPr>
          <w:szCs w:val="24"/>
          <w:lang w:val="lt-LT"/>
        </w:rPr>
      </w:pPr>
    </w:p>
    <w:p w14:paraId="4DE65EB7" w14:textId="77777777" w:rsidR="00F34163" w:rsidRPr="004453A7" w:rsidRDefault="00F34163" w:rsidP="00F34163">
      <w:pPr>
        <w:rPr>
          <w:szCs w:val="24"/>
          <w:lang w:val="lt-LT"/>
        </w:rPr>
      </w:pPr>
    </w:p>
    <w:p w14:paraId="19CC5FE2"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14.</w:t>
      </w:r>
      <w:r w:rsidRPr="004453A7">
        <w:rPr>
          <w:b/>
          <w:szCs w:val="24"/>
          <w:lang w:val="lt-LT"/>
        </w:rPr>
        <w:tab/>
      </w:r>
      <w:r w:rsidRPr="004453A7">
        <w:rPr>
          <w:b/>
          <w:noProof/>
          <w:szCs w:val="24"/>
          <w:lang w:val="lt-LT"/>
        </w:rPr>
        <w:t>PARDAVIMO (IŠDAVIMO) TVARKA</w:t>
      </w:r>
    </w:p>
    <w:p w14:paraId="50872CEE" w14:textId="77777777" w:rsidR="00F34163" w:rsidRPr="004453A7" w:rsidRDefault="00F34163" w:rsidP="00F34163">
      <w:pPr>
        <w:rPr>
          <w:szCs w:val="24"/>
          <w:lang w:val="lt-LT"/>
        </w:rPr>
      </w:pPr>
    </w:p>
    <w:p w14:paraId="6CD37967" w14:textId="77777777" w:rsidR="00F34163" w:rsidRPr="004453A7" w:rsidRDefault="00F34163" w:rsidP="00F34163">
      <w:pPr>
        <w:rPr>
          <w:szCs w:val="24"/>
          <w:lang w:val="lt-LT"/>
        </w:rPr>
      </w:pPr>
      <w:r w:rsidRPr="004453A7">
        <w:rPr>
          <w:lang w:val="lt-LT"/>
        </w:rPr>
        <w:t>Receptinis vaist</w:t>
      </w:r>
      <w:r w:rsidR="005829CF" w:rsidRPr="004453A7">
        <w:rPr>
          <w:lang w:val="lt-LT"/>
        </w:rPr>
        <w:t>as</w:t>
      </w:r>
      <w:r w:rsidR="00F16A09">
        <w:rPr>
          <w:lang w:val="lt-LT"/>
        </w:rPr>
        <w:t>.</w:t>
      </w:r>
    </w:p>
    <w:p w14:paraId="07E5678C" w14:textId="77777777" w:rsidR="00F34163" w:rsidRPr="004453A7" w:rsidRDefault="00F34163" w:rsidP="00F34163">
      <w:pPr>
        <w:rPr>
          <w:szCs w:val="24"/>
          <w:lang w:val="lt-LT"/>
        </w:rPr>
      </w:pPr>
    </w:p>
    <w:p w14:paraId="06C2148B" w14:textId="77777777" w:rsidR="00F34163" w:rsidRPr="004453A7" w:rsidRDefault="00F34163" w:rsidP="00F34163">
      <w:pPr>
        <w:rPr>
          <w:szCs w:val="24"/>
          <w:lang w:val="lt-LT"/>
        </w:rPr>
      </w:pPr>
    </w:p>
    <w:p w14:paraId="5E9AD230" w14:textId="77777777" w:rsidR="00F34163" w:rsidRPr="004453A7"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15.</w:t>
      </w:r>
      <w:r w:rsidRPr="004453A7">
        <w:rPr>
          <w:b/>
          <w:szCs w:val="24"/>
          <w:lang w:val="lt-LT"/>
        </w:rPr>
        <w:tab/>
      </w:r>
      <w:r w:rsidRPr="004453A7">
        <w:rPr>
          <w:b/>
          <w:noProof/>
          <w:szCs w:val="24"/>
          <w:lang w:val="lt-LT"/>
        </w:rPr>
        <w:t>VARTOJIMO INSTRUKCIJA</w:t>
      </w:r>
    </w:p>
    <w:p w14:paraId="747E7664" w14:textId="77777777" w:rsidR="00F34163" w:rsidRPr="004453A7" w:rsidRDefault="00F34163" w:rsidP="00F34163">
      <w:pPr>
        <w:rPr>
          <w:szCs w:val="24"/>
          <w:lang w:val="lt-LT"/>
        </w:rPr>
      </w:pPr>
    </w:p>
    <w:p w14:paraId="3290DD4E" w14:textId="77777777" w:rsidR="00F34163" w:rsidRPr="004453A7" w:rsidRDefault="00F34163" w:rsidP="00F34163">
      <w:pPr>
        <w:rPr>
          <w:szCs w:val="24"/>
          <w:lang w:val="lt-LT"/>
        </w:rPr>
      </w:pPr>
    </w:p>
    <w:p w14:paraId="7A86C04A" w14:textId="77777777" w:rsidR="00F34163" w:rsidRPr="004453A7"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4453A7">
        <w:rPr>
          <w:b/>
          <w:szCs w:val="24"/>
          <w:lang w:val="lt-LT"/>
        </w:rPr>
        <w:t>16.</w:t>
      </w:r>
      <w:r w:rsidRPr="004453A7">
        <w:rPr>
          <w:b/>
          <w:szCs w:val="24"/>
          <w:lang w:val="lt-LT"/>
        </w:rPr>
        <w:tab/>
      </w:r>
      <w:r w:rsidRPr="004453A7">
        <w:rPr>
          <w:b/>
          <w:noProof/>
          <w:szCs w:val="24"/>
          <w:lang w:val="lt-LT"/>
        </w:rPr>
        <w:t>INFORMACIJA BRAILIO RAŠTU</w:t>
      </w:r>
    </w:p>
    <w:p w14:paraId="1E8BD79D" w14:textId="77777777" w:rsidR="00F34163" w:rsidRPr="004453A7" w:rsidRDefault="00F34163" w:rsidP="00F34163">
      <w:pPr>
        <w:rPr>
          <w:szCs w:val="24"/>
          <w:lang w:val="lt-LT"/>
        </w:rPr>
      </w:pPr>
    </w:p>
    <w:p w14:paraId="75DB57E8" w14:textId="77777777" w:rsidR="00F34163" w:rsidRPr="004453A7" w:rsidRDefault="00F16A09" w:rsidP="00F34163">
      <w:pPr>
        <w:rPr>
          <w:szCs w:val="24"/>
          <w:lang w:val="lt-LT"/>
        </w:rPr>
      </w:pPr>
      <w:r w:rsidRPr="00F16A09">
        <w:rPr>
          <w:noProof/>
          <w:szCs w:val="24"/>
          <w:lang w:val="lt-LT"/>
        </w:rPr>
        <w:t>Icatibant Teva</w:t>
      </w:r>
    </w:p>
    <w:p w14:paraId="7AC8501F" w14:textId="77777777" w:rsidR="00082583" w:rsidRPr="004453A7" w:rsidRDefault="00082583" w:rsidP="00F34163">
      <w:pPr>
        <w:rPr>
          <w:szCs w:val="24"/>
          <w:lang w:val="lt-LT"/>
        </w:rPr>
      </w:pPr>
    </w:p>
    <w:p w14:paraId="71B6A461" w14:textId="77777777" w:rsidR="00082583" w:rsidRPr="004453A7" w:rsidRDefault="00082583" w:rsidP="00082583">
      <w:pPr>
        <w:rPr>
          <w:noProof/>
          <w:snapToGrid/>
          <w:szCs w:val="22"/>
          <w:shd w:val="clear" w:color="auto" w:fill="CCCCCC"/>
          <w:lang w:val="lt-LT"/>
        </w:rPr>
      </w:pPr>
    </w:p>
    <w:p w14:paraId="06CD0578" w14:textId="77777777" w:rsidR="00082583" w:rsidRPr="004453A7"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453A7">
        <w:rPr>
          <w:b/>
          <w:noProof/>
          <w:lang w:val="lt-LT"/>
        </w:rPr>
        <w:t>17.</w:t>
      </w:r>
      <w:r w:rsidRPr="004453A7">
        <w:rPr>
          <w:b/>
          <w:noProof/>
          <w:lang w:val="lt-LT"/>
        </w:rPr>
        <w:tab/>
        <w:t>UNIKALUS IDENTIFIKATORIUS – 2D BRŪKŠNINIS KODAS</w:t>
      </w:r>
    </w:p>
    <w:p w14:paraId="02577330" w14:textId="77777777" w:rsidR="00082583" w:rsidRPr="004453A7" w:rsidRDefault="00082583" w:rsidP="00082583">
      <w:pPr>
        <w:rPr>
          <w:noProof/>
          <w:lang w:val="lt-LT"/>
        </w:rPr>
      </w:pPr>
    </w:p>
    <w:p w14:paraId="6FEA9A74" w14:textId="77777777" w:rsidR="00082583" w:rsidRPr="004453A7" w:rsidRDefault="00082583" w:rsidP="00082583">
      <w:pPr>
        <w:rPr>
          <w:noProof/>
          <w:szCs w:val="22"/>
          <w:shd w:val="clear" w:color="auto" w:fill="CCCCCC"/>
          <w:lang w:val="lt-LT"/>
        </w:rPr>
      </w:pPr>
      <w:r w:rsidRPr="004453A7">
        <w:rPr>
          <w:noProof/>
          <w:highlight w:val="lightGray"/>
          <w:lang w:val="lt-LT"/>
        </w:rPr>
        <w:t>2D brūkšninis kodas su nurodytu unikaliu identifikatoriumi.</w:t>
      </w:r>
    </w:p>
    <w:p w14:paraId="16343FD1" w14:textId="77777777" w:rsidR="00082583" w:rsidRPr="004453A7" w:rsidRDefault="00082583" w:rsidP="00082583">
      <w:pPr>
        <w:rPr>
          <w:noProof/>
          <w:szCs w:val="22"/>
          <w:shd w:val="clear" w:color="auto" w:fill="CCCCCC"/>
          <w:lang w:val="lt-LT"/>
        </w:rPr>
      </w:pPr>
    </w:p>
    <w:p w14:paraId="6D810014" w14:textId="77777777" w:rsidR="00082583" w:rsidRPr="004453A7" w:rsidRDefault="00082583" w:rsidP="00082583">
      <w:pPr>
        <w:rPr>
          <w:noProof/>
          <w:lang w:val="lt-LT"/>
        </w:rPr>
      </w:pPr>
    </w:p>
    <w:p w14:paraId="08ECE03A" w14:textId="77777777" w:rsidR="00082583" w:rsidRPr="004453A7"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453A7">
        <w:rPr>
          <w:b/>
          <w:noProof/>
          <w:lang w:val="lt-LT"/>
        </w:rPr>
        <w:t>18.</w:t>
      </w:r>
      <w:r w:rsidRPr="004453A7">
        <w:rPr>
          <w:b/>
          <w:noProof/>
          <w:lang w:val="lt-LT"/>
        </w:rPr>
        <w:tab/>
        <w:t>UNIKALUS IDENTIFIKATORIUS – ŽMONĖMS SUPRANTAMI DUOMENYS</w:t>
      </w:r>
    </w:p>
    <w:p w14:paraId="0262C659" w14:textId="77777777" w:rsidR="00082583" w:rsidRPr="004453A7" w:rsidRDefault="00082583" w:rsidP="00082583">
      <w:pPr>
        <w:rPr>
          <w:noProof/>
          <w:lang w:val="lt-LT"/>
        </w:rPr>
      </w:pPr>
    </w:p>
    <w:p w14:paraId="225FFD6E" w14:textId="77777777" w:rsidR="003839FD" w:rsidRPr="004453A7" w:rsidRDefault="00082583" w:rsidP="00082583">
      <w:pPr>
        <w:rPr>
          <w:lang w:val="lt-LT"/>
        </w:rPr>
      </w:pPr>
      <w:r w:rsidRPr="004453A7">
        <w:rPr>
          <w:lang w:val="lt-LT"/>
        </w:rPr>
        <w:t xml:space="preserve">PC: </w:t>
      </w:r>
    </w:p>
    <w:p w14:paraId="578A282C" w14:textId="77777777" w:rsidR="003839FD" w:rsidRPr="004453A7" w:rsidRDefault="00082583" w:rsidP="00082583">
      <w:pPr>
        <w:rPr>
          <w:lang w:val="lt-LT"/>
        </w:rPr>
      </w:pPr>
      <w:r w:rsidRPr="004453A7">
        <w:rPr>
          <w:lang w:val="lt-LT"/>
        </w:rPr>
        <w:t xml:space="preserve">SN: </w:t>
      </w:r>
    </w:p>
    <w:p w14:paraId="6A340E34" w14:textId="77777777" w:rsidR="00082583" w:rsidRPr="004453A7" w:rsidRDefault="00082583" w:rsidP="003839FD">
      <w:pPr>
        <w:rPr>
          <w:noProof/>
          <w:vanish/>
          <w:szCs w:val="22"/>
          <w:lang w:val="lt-LT"/>
        </w:rPr>
      </w:pPr>
      <w:r w:rsidRPr="004453A7">
        <w:rPr>
          <w:lang w:val="lt-LT"/>
        </w:rPr>
        <w:t xml:space="preserve">NN: </w:t>
      </w:r>
    </w:p>
    <w:p w14:paraId="6A11C225" w14:textId="77777777" w:rsidR="00082583" w:rsidRPr="004453A7" w:rsidRDefault="00082583" w:rsidP="00F34163">
      <w:pPr>
        <w:rPr>
          <w:szCs w:val="24"/>
          <w:lang w:val="lt-LT"/>
        </w:rPr>
      </w:pPr>
    </w:p>
    <w:p w14:paraId="4651FCCD" w14:textId="77777777" w:rsidR="003839FD" w:rsidRPr="004453A7" w:rsidRDefault="000D397F" w:rsidP="003839FD">
      <w:pPr>
        <w:rPr>
          <w:snapToGrid/>
          <w:szCs w:val="24"/>
          <w:lang w:val="lt-LT"/>
        </w:rPr>
      </w:pPr>
      <w:r>
        <w:rPr>
          <w:snapToGrid/>
          <w:szCs w:val="24"/>
          <w:lang w:val="lt-LT"/>
        </w:rPr>
        <w:br w:type="page"/>
      </w:r>
    </w:p>
    <w:p w14:paraId="525C2BDF"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rPr>
          <w:b/>
          <w:szCs w:val="24"/>
          <w:lang w:val="lt-LT"/>
        </w:rPr>
      </w:pPr>
      <w:r w:rsidRPr="004453A7">
        <w:rPr>
          <w:b/>
          <w:noProof/>
          <w:szCs w:val="24"/>
          <w:lang w:val="lt-LT"/>
        </w:rPr>
        <w:t>INFORMACIJA ANT IŠORINĖS PAKUOTĖS</w:t>
      </w:r>
    </w:p>
    <w:p w14:paraId="350BFD54"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80247E6"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rPr>
          <w:b/>
          <w:szCs w:val="24"/>
          <w:lang w:val="lt-LT"/>
        </w:rPr>
      </w:pPr>
      <w:r w:rsidRPr="004453A7">
        <w:rPr>
          <w:b/>
          <w:lang w:val="lt-LT"/>
        </w:rPr>
        <w:t>DAUGIADOZĖS PAKUOTĖS KARTONO DĖŽUTĖ</w:t>
      </w:r>
    </w:p>
    <w:p w14:paraId="7A8D07DC" w14:textId="77777777" w:rsidR="003839FD" w:rsidRPr="004453A7" w:rsidRDefault="003839FD" w:rsidP="003839FD">
      <w:pPr>
        <w:rPr>
          <w:szCs w:val="24"/>
          <w:lang w:val="lt-LT"/>
        </w:rPr>
      </w:pPr>
    </w:p>
    <w:p w14:paraId="0F7383CD" w14:textId="77777777" w:rsidR="003839FD" w:rsidRPr="004453A7" w:rsidRDefault="003839FD" w:rsidP="003839FD">
      <w:pPr>
        <w:rPr>
          <w:szCs w:val="24"/>
          <w:lang w:val="lt-LT"/>
        </w:rPr>
      </w:pPr>
    </w:p>
    <w:p w14:paraId="5D941322"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1.</w:t>
      </w:r>
      <w:r w:rsidRPr="004453A7">
        <w:rPr>
          <w:b/>
          <w:szCs w:val="24"/>
          <w:lang w:val="lt-LT"/>
        </w:rPr>
        <w:tab/>
      </w:r>
      <w:r w:rsidRPr="004453A7">
        <w:rPr>
          <w:b/>
          <w:caps/>
          <w:noProof/>
          <w:szCs w:val="24"/>
          <w:lang w:val="lt-LT"/>
        </w:rPr>
        <w:t>VAISTINIO</w:t>
      </w:r>
      <w:r w:rsidRPr="004453A7">
        <w:rPr>
          <w:b/>
          <w:noProof/>
          <w:szCs w:val="24"/>
          <w:lang w:val="lt-LT"/>
        </w:rPr>
        <w:t xml:space="preserve"> PREPARATO PAVADINIMAS</w:t>
      </w:r>
    </w:p>
    <w:p w14:paraId="14AEDA05" w14:textId="77777777" w:rsidR="003839FD" w:rsidRPr="004453A7" w:rsidRDefault="003839FD" w:rsidP="003839FD">
      <w:pPr>
        <w:rPr>
          <w:szCs w:val="24"/>
          <w:lang w:val="lt-LT"/>
        </w:rPr>
      </w:pPr>
    </w:p>
    <w:p w14:paraId="12EE9D0E" w14:textId="77777777" w:rsidR="003839FD" w:rsidRPr="004453A7" w:rsidRDefault="003839FD" w:rsidP="003839FD">
      <w:pPr>
        <w:rPr>
          <w:szCs w:val="24"/>
          <w:lang w:val="lt-LT"/>
        </w:rPr>
      </w:pPr>
      <w:r w:rsidRPr="004453A7">
        <w:rPr>
          <w:noProof/>
          <w:lang w:val="lt-LT"/>
        </w:rPr>
        <w:t>Icatibant Teva 30 mg</w:t>
      </w:r>
      <w:r w:rsidRPr="004453A7">
        <w:rPr>
          <w:lang w:val="lt-LT"/>
        </w:rPr>
        <w:t xml:space="preserve"> injekcinis tirpalas užpildytame švirkšte</w:t>
      </w:r>
    </w:p>
    <w:p w14:paraId="670BCE24" w14:textId="77777777" w:rsidR="003839FD" w:rsidRPr="004453A7" w:rsidRDefault="003839FD" w:rsidP="003839FD">
      <w:pPr>
        <w:tabs>
          <w:tab w:val="clear" w:pos="567"/>
          <w:tab w:val="left" w:pos="720"/>
        </w:tabs>
        <w:spacing w:line="240" w:lineRule="auto"/>
        <w:rPr>
          <w:lang w:val="lt-LT"/>
        </w:rPr>
      </w:pPr>
      <w:r w:rsidRPr="004453A7">
        <w:rPr>
          <w:lang w:val="lt-LT"/>
        </w:rPr>
        <w:t>icatibant</w:t>
      </w:r>
    </w:p>
    <w:p w14:paraId="4AF033CA" w14:textId="77777777" w:rsidR="003839FD" w:rsidRDefault="003839FD" w:rsidP="003839FD">
      <w:pPr>
        <w:rPr>
          <w:szCs w:val="24"/>
          <w:lang w:val="lt-LT"/>
        </w:rPr>
      </w:pPr>
    </w:p>
    <w:p w14:paraId="7BFF97C2" w14:textId="77777777" w:rsidR="002927F2" w:rsidRPr="004453A7" w:rsidRDefault="002927F2" w:rsidP="003839FD">
      <w:pPr>
        <w:rPr>
          <w:szCs w:val="24"/>
          <w:lang w:val="lt-LT"/>
        </w:rPr>
      </w:pPr>
    </w:p>
    <w:p w14:paraId="176DE357"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4453A7">
        <w:rPr>
          <w:b/>
          <w:szCs w:val="24"/>
          <w:lang w:val="lt-LT"/>
        </w:rPr>
        <w:t>2.</w:t>
      </w:r>
      <w:r w:rsidRPr="004453A7">
        <w:rPr>
          <w:b/>
          <w:szCs w:val="24"/>
          <w:lang w:val="lt-LT"/>
        </w:rPr>
        <w:tab/>
      </w:r>
      <w:r w:rsidRPr="004453A7">
        <w:rPr>
          <w:b/>
          <w:noProof/>
          <w:szCs w:val="24"/>
          <w:lang w:val="lt-LT"/>
        </w:rPr>
        <w:t>VEIKLIOJI (-IOS) MEDŽIAGA (-OS) IR JOS (-Ų) KIEKIS (-IAI)</w:t>
      </w:r>
    </w:p>
    <w:p w14:paraId="6DB74FCD" w14:textId="77777777" w:rsidR="003839FD" w:rsidRPr="004453A7" w:rsidRDefault="003839FD" w:rsidP="003839FD">
      <w:pPr>
        <w:rPr>
          <w:szCs w:val="24"/>
          <w:lang w:val="lt-LT"/>
        </w:rPr>
      </w:pPr>
    </w:p>
    <w:p w14:paraId="2C7D6B74" w14:textId="77777777" w:rsidR="003839FD" w:rsidRPr="004453A7" w:rsidRDefault="003839FD" w:rsidP="003839FD">
      <w:pPr>
        <w:rPr>
          <w:lang w:val="lt-LT"/>
        </w:rPr>
      </w:pPr>
      <w:r w:rsidRPr="004453A7">
        <w:rPr>
          <w:lang w:val="lt-LT"/>
        </w:rPr>
        <w:t>Kiekviename 3 ml užpildytame švirkšte yra ikatibanto acetato, kuris atitinka 30 mg ikatibanto.</w:t>
      </w:r>
    </w:p>
    <w:p w14:paraId="628FFDE8" w14:textId="77777777" w:rsidR="003839FD" w:rsidRPr="004453A7" w:rsidRDefault="003839FD" w:rsidP="003839FD">
      <w:pPr>
        <w:rPr>
          <w:lang w:val="lt-LT"/>
        </w:rPr>
      </w:pPr>
      <w:r w:rsidRPr="004453A7">
        <w:rPr>
          <w:lang w:val="lt-LT"/>
        </w:rPr>
        <w:t xml:space="preserve">Kiekviename tirpalo ml yra 10 mg ikatibanto. </w:t>
      </w:r>
    </w:p>
    <w:p w14:paraId="490C9309" w14:textId="77777777" w:rsidR="003839FD" w:rsidRPr="004453A7" w:rsidRDefault="003839FD" w:rsidP="003839FD">
      <w:pPr>
        <w:rPr>
          <w:szCs w:val="24"/>
          <w:lang w:val="lt-LT"/>
        </w:rPr>
      </w:pPr>
    </w:p>
    <w:p w14:paraId="02718D60" w14:textId="77777777" w:rsidR="003839FD" w:rsidRPr="004453A7" w:rsidRDefault="003839FD" w:rsidP="003839FD">
      <w:pPr>
        <w:rPr>
          <w:szCs w:val="24"/>
          <w:lang w:val="lt-LT"/>
        </w:rPr>
      </w:pPr>
    </w:p>
    <w:p w14:paraId="59494BD4"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3.</w:t>
      </w:r>
      <w:r w:rsidRPr="004453A7">
        <w:rPr>
          <w:b/>
          <w:szCs w:val="24"/>
          <w:lang w:val="lt-LT"/>
        </w:rPr>
        <w:tab/>
      </w:r>
      <w:r w:rsidRPr="004453A7">
        <w:rPr>
          <w:b/>
          <w:noProof/>
          <w:szCs w:val="24"/>
          <w:lang w:val="lt-LT"/>
        </w:rPr>
        <w:t>PAGALBINIŲ MEDŽIAGŲ SĄRAŠAS</w:t>
      </w:r>
    </w:p>
    <w:p w14:paraId="6BEEE772" w14:textId="77777777" w:rsidR="003839FD" w:rsidRPr="004453A7" w:rsidRDefault="003839FD" w:rsidP="003839FD">
      <w:pPr>
        <w:rPr>
          <w:szCs w:val="24"/>
          <w:lang w:val="lt-LT"/>
        </w:rPr>
      </w:pPr>
    </w:p>
    <w:p w14:paraId="4731F2AE" w14:textId="77777777" w:rsidR="003839FD" w:rsidRPr="004453A7" w:rsidRDefault="00BC3BB8" w:rsidP="003839FD">
      <w:pPr>
        <w:rPr>
          <w:lang w:val="lt-LT"/>
        </w:rPr>
      </w:pPr>
      <w:r>
        <w:rPr>
          <w:lang w:val="lt-LT"/>
        </w:rPr>
        <w:t>L</w:t>
      </w:r>
      <w:r w:rsidR="003839FD" w:rsidRPr="004453A7">
        <w:rPr>
          <w:lang w:val="lt-LT"/>
        </w:rPr>
        <w:t>edinė acto rūgštis, natrio hidroksid</w:t>
      </w:r>
      <w:r>
        <w:rPr>
          <w:lang w:val="lt-LT"/>
        </w:rPr>
        <w:t>as</w:t>
      </w:r>
      <w:r w:rsidR="003839FD" w:rsidRPr="004453A7">
        <w:rPr>
          <w:lang w:val="lt-LT"/>
        </w:rPr>
        <w:t>, natrio chlorid</w:t>
      </w:r>
      <w:r>
        <w:rPr>
          <w:lang w:val="lt-LT"/>
        </w:rPr>
        <w:t>as</w:t>
      </w:r>
      <w:r w:rsidR="003839FD" w:rsidRPr="004453A7">
        <w:rPr>
          <w:lang w:val="lt-LT"/>
        </w:rPr>
        <w:t>, injekcini</w:t>
      </w:r>
      <w:r>
        <w:rPr>
          <w:lang w:val="lt-LT"/>
        </w:rPr>
        <w:t>s</w:t>
      </w:r>
      <w:r w:rsidR="003839FD" w:rsidRPr="004453A7">
        <w:rPr>
          <w:lang w:val="lt-LT"/>
        </w:rPr>
        <w:t xml:space="preserve"> vand</w:t>
      </w:r>
      <w:r>
        <w:rPr>
          <w:lang w:val="lt-LT"/>
        </w:rPr>
        <w:t>uo</w:t>
      </w:r>
      <w:r w:rsidR="003839FD" w:rsidRPr="004453A7">
        <w:rPr>
          <w:lang w:val="lt-LT"/>
        </w:rPr>
        <w:t>.</w:t>
      </w:r>
    </w:p>
    <w:p w14:paraId="6237D733" w14:textId="77777777" w:rsidR="003839FD" w:rsidRDefault="003839FD" w:rsidP="003839FD">
      <w:pPr>
        <w:rPr>
          <w:szCs w:val="24"/>
          <w:lang w:val="lt-LT"/>
        </w:rPr>
      </w:pPr>
    </w:p>
    <w:p w14:paraId="13479F24" w14:textId="77777777" w:rsidR="00F16A09" w:rsidRPr="004453A7" w:rsidRDefault="00F16A09" w:rsidP="003839FD">
      <w:pPr>
        <w:rPr>
          <w:szCs w:val="24"/>
          <w:lang w:val="lt-LT"/>
        </w:rPr>
      </w:pPr>
    </w:p>
    <w:p w14:paraId="3DB0D2DD"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4.</w:t>
      </w:r>
      <w:r w:rsidRPr="004453A7">
        <w:rPr>
          <w:b/>
          <w:szCs w:val="24"/>
          <w:lang w:val="lt-LT"/>
        </w:rPr>
        <w:tab/>
      </w:r>
      <w:r w:rsidRPr="004453A7">
        <w:rPr>
          <w:b/>
          <w:noProof/>
          <w:szCs w:val="24"/>
          <w:lang w:val="lt-LT"/>
        </w:rPr>
        <w:t>FARMACINĖ FORMA IR KIEKIS PAKUOTĖJE</w:t>
      </w:r>
    </w:p>
    <w:p w14:paraId="43963742" w14:textId="77777777" w:rsidR="003839FD" w:rsidRPr="004453A7" w:rsidRDefault="003839FD" w:rsidP="003839FD">
      <w:pPr>
        <w:rPr>
          <w:szCs w:val="24"/>
          <w:lang w:val="lt-LT"/>
        </w:rPr>
      </w:pPr>
    </w:p>
    <w:p w14:paraId="74D2CA0C" w14:textId="77777777" w:rsidR="003839FD" w:rsidRPr="004453A7" w:rsidRDefault="003839FD" w:rsidP="003839FD">
      <w:pPr>
        <w:rPr>
          <w:szCs w:val="24"/>
          <w:lang w:val="lt-LT"/>
        </w:rPr>
      </w:pPr>
      <w:r w:rsidRPr="00ED73D5">
        <w:rPr>
          <w:highlight w:val="lightGray"/>
          <w:lang w:val="lt-LT"/>
        </w:rPr>
        <w:t>Injekcinis tirpalas užpildytame švirkšte</w:t>
      </w:r>
    </w:p>
    <w:p w14:paraId="559E1DDA" w14:textId="77777777" w:rsidR="003839FD" w:rsidRPr="004453A7" w:rsidRDefault="003839FD" w:rsidP="003839FD">
      <w:pPr>
        <w:rPr>
          <w:lang w:val="lt-LT"/>
        </w:rPr>
      </w:pPr>
      <w:r w:rsidRPr="004453A7">
        <w:rPr>
          <w:lang w:val="lt-LT"/>
        </w:rPr>
        <w:t>Daugiadozė pakuotė: trys užpildyti švirkštai ir trys 25 G adatos (3 vienos dozės pakuotės)</w:t>
      </w:r>
      <w:r w:rsidR="00F16A09">
        <w:rPr>
          <w:lang w:val="lt-LT"/>
        </w:rPr>
        <w:t>.</w:t>
      </w:r>
    </w:p>
    <w:p w14:paraId="2DEC18D3" w14:textId="77777777" w:rsidR="003839FD" w:rsidRDefault="003839FD" w:rsidP="003839FD">
      <w:pPr>
        <w:rPr>
          <w:szCs w:val="24"/>
          <w:lang w:val="lt-LT"/>
        </w:rPr>
      </w:pPr>
    </w:p>
    <w:p w14:paraId="55812E51" w14:textId="77777777" w:rsidR="00417DC4" w:rsidRPr="004453A7" w:rsidRDefault="00417DC4" w:rsidP="003839FD">
      <w:pPr>
        <w:rPr>
          <w:szCs w:val="24"/>
          <w:lang w:val="lt-LT"/>
        </w:rPr>
      </w:pPr>
    </w:p>
    <w:p w14:paraId="57DAC732"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5.</w:t>
      </w:r>
      <w:r w:rsidRPr="004453A7">
        <w:rPr>
          <w:b/>
          <w:szCs w:val="24"/>
          <w:lang w:val="lt-LT"/>
        </w:rPr>
        <w:tab/>
      </w:r>
      <w:r w:rsidRPr="004453A7">
        <w:rPr>
          <w:b/>
          <w:noProof/>
          <w:szCs w:val="24"/>
          <w:lang w:val="lt-LT"/>
        </w:rPr>
        <w:t>VARTOJIMO METODAS IR BŪDAS (-AI)</w:t>
      </w:r>
    </w:p>
    <w:p w14:paraId="7F18A6F9" w14:textId="77777777" w:rsidR="003839FD" w:rsidRPr="004453A7" w:rsidRDefault="003839FD" w:rsidP="003839FD">
      <w:pPr>
        <w:rPr>
          <w:szCs w:val="24"/>
          <w:lang w:val="lt-LT"/>
        </w:rPr>
      </w:pPr>
    </w:p>
    <w:p w14:paraId="6FCA882E" w14:textId="77777777" w:rsidR="003839FD" w:rsidRPr="004453A7" w:rsidRDefault="003839FD" w:rsidP="003839FD">
      <w:pPr>
        <w:rPr>
          <w:lang w:val="lt-LT"/>
        </w:rPr>
      </w:pPr>
      <w:r w:rsidRPr="004453A7">
        <w:rPr>
          <w:lang w:val="lt-LT"/>
        </w:rPr>
        <w:t>Leisti po oda.</w:t>
      </w:r>
    </w:p>
    <w:p w14:paraId="47D731F0" w14:textId="77777777" w:rsidR="003839FD" w:rsidRPr="004453A7" w:rsidRDefault="003839FD" w:rsidP="003839FD">
      <w:pPr>
        <w:rPr>
          <w:szCs w:val="24"/>
          <w:lang w:val="lt-LT"/>
        </w:rPr>
      </w:pPr>
      <w:r w:rsidRPr="004453A7">
        <w:rPr>
          <w:noProof/>
          <w:szCs w:val="24"/>
          <w:lang w:val="lt-LT"/>
        </w:rPr>
        <w:t>Prieš vartojimą perskaitykite pakuotės lapelį.</w:t>
      </w:r>
    </w:p>
    <w:p w14:paraId="25A3AD50" w14:textId="77777777" w:rsidR="003839FD" w:rsidRPr="004453A7" w:rsidRDefault="00BC3BB8" w:rsidP="003839FD">
      <w:pPr>
        <w:rPr>
          <w:szCs w:val="24"/>
          <w:lang w:val="lt-LT"/>
        </w:rPr>
      </w:pPr>
      <w:r>
        <w:rPr>
          <w:lang w:val="lt-LT"/>
        </w:rPr>
        <w:t>T</w:t>
      </w:r>
      <w:r w:rsidR="003839FD" w:rsidRPr="004453A7">
        <w:rPr>
          <w:lang w:val="lt-LT"/>
        </w:rPr>
        <w:t xml:space="preserve">ik vienkartiniam naudojimui. </w:t>
      </w:r>
    </w:p>
    <w:p w14:paraId="133CA9D6" w14:textId="77777777" w:rsidR="003839FD" w:rsidRPr="004453A7" w:rsidRDefault="003839FD" w:rsidP="003839FD">
      <w:pPr>
        <w:rPr>
          <w:szCs w:val="24"/>
          <w:lang w:val="lt-LT"/>
        </w:rPr>
      </w:pPr>
    </w:p>
    <w:p w14:paraId="194C2D11" w14:textId="77777777" w:rsidR="003839FD" w:rsidRPr="004453A7" w:rsidRDefault="003839FD" w:rsidP="003839FD">
      <w:pPr>
        <w:rPr>
          <w:szCs w:val="24"/>
          <w:lang w:val="lt-LT"/>
        </w:rPr>
      </w:pPr>
    </w:p>
    <w:p w14:paraId="1A69B31B"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6.</w:t>
      </w:r>
      <w:r w:rsidRPr="004453A7">
        <w:rPr>
          <w:b/>
          <w:szCs w:val="24"/>
          <w:lang w:val="lt-LT"/>
        </w:rPr>
        <w:tab/>
      </w:r>
      <w:r w:rsidRPr="004453A7">
        <w:rPr>
          <w:b/>
          <w:noProof/>
          <w:szCs w:val="24"/>
          <w:lang w:val="lt-LT"/>
        </w:rPr>
        <w:t>SPECIALUS ĮSPĖJIMAS, KAD VAISTINĮ PREPARATĄ BŪTINA LAIKYTI VAIKAMS NEPASTEBIMOJE IR NEPASIEKIAMOJE VIETOJE</w:t>
      </w:r>
    </w:p>
    <w:p w14:paraId="6408C2B0" w14:textId="77777777" w:rsidR="003839FD" w:rsidRPr="004453A7" w:rsidRDefault="003839FD" w:rsidP="003839FD">
      <w:pPr>
        <w:rPr>
          <w:szCs w:val="24"/>
          <w:lang w:val="lt-LT"/>
        </w:rPr>
      </w:pPr>
    </w:p>
    <w:p w14:paraId="3F21B666" w14:textId="77777777" w:rsidR="003839FD" w:rsidRPr="004453A7" w:rsidRDefault="003839FD" w:rsidP="003839FD">
      <w:pPr>
        <w:rPr>
          <w:szCs w:val="24"/>
          <w:lang w:val="lt-LT"/>
        </w:rPr>
      </w:pPr>
      <w:r w:rsidRPr="004453A7">
        <w:rPr>
          <w:noProof/>
          <w:szCs w:val="24"/>
          <w:lang w:val="lt-LT"/>
        </w:rPr>
        <w:t>Laikyti vaikams nepastebimoje ir nepasiekiamoje vietoje.</w:t>
      </w:r>
    </w:p>
    <w:p w14:paraId="0B5F4671" w14:textId="77777777" w:rsidR="003839FD" w:rsidRPr="004453A7" w:rsidRDefault="003839FD" w:rsidP="003839FD">
      <w:pPr>
        <w:rPr>
          <w:szCs w:val="24"/>
          <w:lang w:val="lt-LT"/>
        </w:rPr>
      </w:pPr>
    </w:p>
    <w:p w14:paraId="611E194B" w14:textId="77777777" w:rsidR="003839FD" w:rsidRPr="004453A7" w:rsidRDefault="003839FD" w:rsidP="003839FD">
      <w:pPr>
        <w:rPr>
          <w:szCs w:val="24"/>
          <w:lang w:val="lt-LT"/>
        </w:rPr>
      </w:pPr>
    </w:p>
    <w:p w14:paraId="5ABD2D95"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7.</w:t>
      </w:r>
      <w:r w:rsidRPr="004453A7">
        <w:rPr>
          <w:b/>
          <w:szCs w:val="24"/>
          <w:lang w:val="lt-LT"/>
        </w:rPr>
        <w:tab/>
      </w:r>
      <w:r w:rsidRPr="004453A7">
        <w:rPr>
          <w:b/>
          <w:noProof/>
          <w:szCs w:val="24"/>
          <w:lang w:val="lt-LT"/>
        </w:rPr>
        <w:t>KITAS (-I) SPECIALUS (-ŪS) ĮSPĖJIMAS (-AI) (JEI REIKIA)</w:t>
      </w:r>
    </w:p>
    <w:p w14:paraId="268A9714" w14:textId="77777777" w:rsidR="003839FD" w:rsidRPr="004453A7" w:rsidRDefault="003839FD" w:rsidP="003839FD">
      <w:pPr>
        <w:rPr>
          <w:szCs w:val="24"/>
          <w:lang w:val="lt-LT"/>
        </w:rPr>
      </w:pPr>
    </w:p>
    <w:p w14:paraId="2DD2ADF6" w14:textId="77777777" w:rsidR="003839FD" w:rsidRPr="004453A7" w:rsidRDefault="003839FD" w:rsidP="003839FD">
      <w:pPr>
        <w:rPr>
          <w:szCs w:val="24"/>
          <w:lang w:val="lt-LT"/>
        </w:rPr>
      </w:pPr>
    </w:p>
    <w:p w14:paraId="06688C17"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8.</w:t>
      </w:r>
      <w:r w:rsidRPr="004453A7">
        <w:rPr>
          <w:b/>
          <w:szCs w:val="24"/>
          <w:lang w:val="lt-LT"/>
        </w:rPr>
        <w:tab/>
      </w:r>
      <w:r w:rsidRPr="004453A7">
        <w:rPr>
          <w:b/>
          <w:noProof/>
          <w:szCs w:val="24"/>
          <w:lang w:val="lt-LT"/>
        </w:rPr>
        <w:t>TINKAMUMO LAIKAS</w:t>
      </w:r>
    </w:p>
    <w:p w14:paraId="73D2FA09" w14:textId="77777777" w:rsidR="003839FD" w:rsidRPr="004453A7" w:rsidRDefault="003839FD" w:rsidP="003839FD">
      <w:pPr>
        <w:rPr>
          <w:szCs w:val="24"/>
          <w:lang w:val="lt-LT"/>
        </w:rPr>
      </w:pPr>
    </w:p>
    <w:p w14:paraId="7FCF277F" w14:textId="77777777" w:rsidR="003839FD" w:rsidRPr="004453A7" w:rsidRDefault="00F16A09" w:rsidP="003839FD">
      <w:pPr>
        <w:rPr>
          <w:lang w:val="lt-LT"/>
        </w:rPr>
      </w:pPr>
      <w:r>
        <w:rPr>
          <w:lang w:val="lt-LT"/>
        </w:rPr>
        <w:t>EXP</w:t>
      </w:r>
    </w:p>
    <w:p w14:paraId="492B39A2" w14:textId="77777777" w:rsidR="003839FD" w:rsidRPr="004453A7" w:rsidRDefault="003839FD" w:rsidP="003839FD">
      <w:pPr>
        <w:rPr>
          <w:szCs w:val="24"/>
          <w:lang w:val="lt-LT"/>
        </w:rPr>
      </w:pPr>
    </w:p>
    <w:p w14:paraId="1A4ED77E" w14:textId="77777777" w:rsidR="003839FD" w:rsidRPr="004453A7" w:rsidRDefault="003839FD" w:rsidP="003839FD">
      <w:pPr>
        <w:rPr>
          <w:szCs w:val="24"/>
          <w:lang w:val="lt-LT"/>
        </w:rPr>
      </w:pPr>
    </w:p>
    <w:p w14:paraId="5DADB5DE" w14:textId="77777777" w:rsidR="003839FD" w:rsidRPr="004453A7" w:rsidRDefault="003839FD" w:rsidP="003839F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9.</w:t>
      </w:r>
      <w:r w:rsidRPr="004453A7">
        <w:rPr>
          <w:b/>
          <w:szCs w:val="24"/>
          <w:lang w:val="lt-LT"/>
        </w:rPr>
        <w:tab/>
      </w:r>
      <w:r w:rsidRPr="004453A7">
        <w:rPr>
          <w:b/>
          <w:noProof/>
          <w:szCs w:val="24"/>
          <w:lang w:val="lt-LT"/>
        </w:rPr>
        <w:t>SPECIALIOS LAIKYMO SĄLYGOS</w:t>
      </w:r>
    </w:p>
    <w:p w14:paraId="6C26EF38" w14:textId="77777777" w:rsidR="003839FD" w:rsidRPr="004453A7" w:rsidRDefault="003839FD" w:rsidP="003839FD">
      <w:pPr>
        <w:rPr>
          <w:szCs w:val="24"/>
          <w:lang w:val="lt-LT"/>
        </w:rPr>
      </w:pPr>
    </w:p>
    <w:p w14:paraId="2CB434ED" w14:textId="77777777" w:rsidR="003839FD" w:rsidRDefault="003839FD" w:rsidP="003839FD">
      <w:pPr>
        <w:rPr>
          <w:lang w:val="lt-LT"/>
        </w:rPr>
      </w:pPr>
      <w:r w:rsidRPr="004453A7">
        <w:rPr>
          <w:lang w:val="lt-LT"/>
        </w:rPr>
        <w:t>Laikyti ne aukštesnėje kaip 25</w:t>
      </w:r>
      <w:r w:rsidR="00CE4726">
        <w:rPr>
          <w:lang w:val="lt-LT"/>
        </w:rPr>
        <w:t> </w:t>
      </w:r>
      <w:r w:rsidRPr="004453A7">
        <w:rPr>
          <w:lang w:val="lt-LT"/>
        </w:rPr>
        <w:t>ºC temperatūroje. Negalima užšaldyti.</w:t>
      </w:r>
    </w:p>
    <w:p w14:paraId="185F2C0F" w14:textId="77777777" w:rsidR="00F16A09" w:rsidRDefault="00F16A09" w:rsidP="003839FD">
      <w:pPr>
        <w:rPr>
          <w:lang w:val="lt-LT"/>
        </w:rPr>
      </w:pPr>
    </w:p>
    <w:p w14:paraId="162A0BA0" w14:textId="77777777" w:rsidR="00F16A09" w:rsidRPr="004453A7" w:rsidRDefault="00F16A09" w:rsidP="003839FD">
      <w:pPr>
        <w:rPr>
          <w:szCs w:val="24"/>
          <w:lang w:val="lt-LT"/>
        </w:rPr>
      </w:pPr>
    </w:p>
    <w:p w14:paraId="660CBA3C"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3A7">
        <w:rPr>
          <w:b/>
          <w:szCs w:val="24"/>
          <w:lang w:val="lt-LT"/>
        </w:rPr>
        <w:t>10.</w:t>
      </w:r>
      <w:r w:rsidRPr="004453A7">
        <w:rPr>
          <w:b/>
          <w:szCs w:val="24"/>
          <w:lang w:val="lt-LT"/>
        </w:rPr>
        <w:tab/>
      </w:r>
      <w:r w:rsidRPr="004453A7">
        <w:rPr>
          <w:b/>
          <w:noProof/>
          <w:szCs w:val="24"/>
          <w:lang w:val="lt-LT"/>
        </w:rPr>
        <w:t>SPECIALIOS ATSARGUMO PRIEMONĖS DĖL NESUVARTOTO VAISTINIO PREPARATO AR JO ATLIEKŲ TVARKYMO (JEI REIKIA)</w:t>
      </w:r>
    </w:p>
    <w:p w14:paraId="11518A15" w14:textId="77777777" w:rsidR="003839FD" w:rsidRPr="004453A7" w:rsidRDefault="003839FD" w:rsidP="003839FD">
      <w:pPr>
        <w:rPr>
          <w:szCs w:val="24"/>
          <w:lang w:val="lt-LT"/>
        </w:rPr>
      </w:pPr>
    </w:p>
    <w:p w14:paraId="002B0BE5" w14:textId="77777777" w:rsidR="003839FD" w:rsidRPr="004453A7" w:rsidRDefault="003839FD" w:rsidP="003839FD">
      <w:pPr>
        <w:rPr>
          <w:szCs w:val="24"/>
          <w:lang w:val="lt-LT"/>
        </w:rPr>
      </w:pPr>
    </w:p>
    <w:p w14:paraId="0E73EF84"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3A7">
        <w:rPr>
          <w:b/>
          <w:szCs w:val="24"/>
          <w:lang w:val="lt-LT"/>
        </w:rPr>
        <w:t>11.</w:t>
      </w:r>
      <w:r w:rsidRPr="004453A7">
        <w:rPr>
          <w:b/>
          <w:szCs w:val="24"/>
          <w:lang w:val="lt-LT"/>
        </w:rPr>
        <w:tab/>
      </w:r>
      <w:r w:rsidRPr="004453A7">
        <w:rPr>
          <w:b/>
          <w:caps/>
          <w:noProof/>
          <w:szCs w:val="24"/>
          <w:lang w:val="lt-LT"/>
        </w:rPr>
        <w:t xml:space="preserve"> REGISTRUOTOJO PAVADINIMAS IR ADRESAS</w:t>
      </w:r>
    </w:p>
    <w:p w14:paraId="10B84B96" w14:textId="77777777" w:rsidR="003839FD" w:rsidRPr="004453A7" w:rsidRDefault="003839FD" w:rsidP="003839FD">
      <w:pPr>
        <w:rPr>
          <w:szCs w:val="24"/>
          <w:lang w:val="lt-LT"/>
        </w:rPr>
      </w:pPr>
    </w:p>
    <w:p w14:paraId="093876EB" w14:textId="77777777" w:rsidR="003839FD" w:rsidRPr="00037B8B" w:rsidRDefault="003839FD" w:rsidP="003839FD">
      <w:pPr>
        <w:tabs>
          <w:tab w:val="clear" w:pos="567"/>
          <w:tab w:val="left" w:pos="9214"/>
        </w:tabs>
        <w:spacing w:line="240" w:lineRule="auto"/>
        <w:ind w:right="282"/>
        <w:rPr>
          <w:bCs/>
          <w:szCs w:val="22"/>
          <w:lang w:val="lt-LT"/>
        </w:rPr>
      </w:pPr>
      <w:r w:rsidRPr="00037B8B">
        <w:rPr>
          <w:bCs/>
          <w:szCs w:val="22"/>
          <w:lang w:val="lt-LT"/>
        </w:rPr>
        <w:t xml:space="preserve">Teva B.V. </w:t>
      </w:r>
    </w:p>
    <w:p w14:paraId="5636CE99" w14:textId="77777777" w:rsidR="003839FD" w:rsidRPr="00037B8B" w:rsidRDefault="003839FD" w:rsidP="003839FD">
      <w:pPr>
        <w:tabs>
          <w:tab w:val="clear" w:pos="567"/>
          <w:tab w:val="left" w:pos="9214"/>
        </w:tabs>
        <w:spacing w:line="240" w:lineRule="auto"/>
        <w:ind w:right="282"/>
        <w:rPr>
          <w:bCs/>
          <w:szCs w:val="22"/>
          <w:lang w:val="lt-LT"/>
        </w:rPr>
      </w:pPr>
      <w:r w:rsidRPr="00037B8B">
        <w:rPr>
          <w:szCs w:val="22"/>
          <w:lang w:val="lt-LT"/>
        </w:rPr>
        <w:t>Swensweg 5</w:t>
      </w:r>
    </w:p>
    <w:p w14:paraId="0FA09C95" w14:textId="77777777" w:rsidR="003839FD" w:rsidRPr="00037B8B" w:rsidRDefault="003839FD" w:rsidP="003839FD">
      <w:pPr>
        <w:tabs>
          <w:tab w:val="clear" w:pos="567"/>
          <w:tab w:val="left" w:pos="9214"/>
        </w:tabs>
        <w:spacing w:line="240" w:lineRule="auto"/>
        <w:ind w:right="282"/>
        <w:rPr>
          <w:bCs/>
          <w:szCs w:val="22"/>
          <w:lang w:val="lt-LT"/>
        </w:rPr>
      </w:pPr>
      <w:r w:rsidRPr="00037B8B">
        <w:rPr>
          <w:szCs w:val="22"/>
          <w:lang w:val="lt-LT"/>
        </w:rPr>
        <w:t>2031 GA Haarlem</w:t>
      </w:r>
      <w:r w:rsidRPr="00037B8B">
        <w:rPr>
          <w:bCs/>
          <w:szCs w:val="22"/>
          <w:lang w:val="lt-LT"/>
        </w:rPr>
        <w:t xml:space="preserve"> </w:t>
      </w:r>
    </w:p>
    <w:p w14:paraId="1FA3B362" w14:textId="77777777" w:rsidR="003839FD" w:rsidRPr="004453A7" w:rsidRDefault="003839FD" w:rsidP="003839FD">
      <w:pPr>
        <w:tabs>
          <w:tab w:val="clear" w:pos="567"/>
          <w:tab w:val="left" w:pos="9214"/>
        </w:tabs>
        <w:spacing w:line="240" w:lineRule="auto"/>
        <w:ind w:right="282"/>
        <w:rPr>
          <w:noProof/>
          <w:szCs w:val="22"/>
          <w:lang w:val="lt-LT"/>
        </w:rPr>
      </w:pPr>
      <w:r w:rsidRPr="00037B8B">
        <w:rPr>
          <w:bCs/>
          <w:szCs w:val="22"/>
          <w:lang w:val="lt-LT"/>
        </w:rPr>
        <w:t>Nyderlandai</w:t>
      </w:r>
      <w:r w:rsidRPr="004453A7">
        <w:rPr>
          <w:noProof/>
          <w:szCs w:val="22"/>
          <w:lang w:val="lt-LT"/>
        </w:rPr>
        <w:t xml:space="preserve"> </w:t>
      </w:r>
    </w:p>
    <w:p w14:paraId="6625735E" w14:textId="77777777" w:rsidR="003839FD" w:rsidRPr="004453A7" w:rsidRDefault="003839FD" w:rsidP="003839FD">
      <w:pPr>
        <w:rPr>
          <w:szCs w:val="24"/>
          <w:lang w:val="lt-LT"/>
        </w:rPr>
      </w:pPr>
    </w:p>
    <w:p w14:paraId="45C7C2E7" w14:textId="77777777" w:rsidR="003839FD" w:rsidRPr="004453A7" w:rsidRDefault="003839FD" w:rsidP="003839FD">
      <w:pPr>
        <w:rPr>
          <w:szCs w:val="24"/>
          <w:lang w:val="lt-LT"/>
        </w:rPr>
      </w:pPr>
    </w:p>
    <w:p w14:paraId="1B8CE506"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12.</w:t>
      </w:r>
      <w:r w:rsidRPr="004453A7">
        <w:rPr>
          <w:b/>
          <w:szCs w:val="24"/>
          <w:lang w:val="lt-LT"/>
        </w:rPr>
        <w:tab/>
      </w:r>
      <w:r w:rsidRPr="004453A7">
        <w:rPr>
          <w:b/>
          <w:noProof/>
          <w:szCs w:val="24"/>
          <w:lang w:val="lt-LT"/>
        </w:rPr>
        <w:t>REGISTRACIJOS PAŽYMĖJIMO NUMERIS (-IAI)</w:t>
      </w:r>
      <w:r w:rsidRPr="004453A7">
        <w:rPr>
          <w:b/>
          <w:szCs w:val="24"/>
          <w:lang w:val="lt-LT"/>
        </w:rPr>
        <w:t xml:space="preserve"> </w:t>
      </w:r>
    </w:p>
    <w:p w14:paraId="073AC723" w14:textId="77777777" w:rsidR="003839FD" w:rsidRPr="004453A7" w:rsidRDefault="003839FD" w:rsidP="003839FD">
      <w:pPr>
        <w:rPr>
          <w:szCs w:val="24"/>
          <w:lang w:val="lt-LT"/>
        </w:rPr>
      </w:pPr>
    </w:p>
    <w:p w14:paraId="74F646C7" w14:textId="77777777" w:rsidR="000D397F" w:rsidRDefault="000D397F" w:rsidP="000D397F">
      <w:pPr>
        <w:tabs>
          <w:tab w:val="clear" w:pos="567"/>
        </w:tabs>
        <w:spacing w:line="240" w:lineRule="auto"/>
        <w:rPr>
          <w:szCs w:val="24"/>
          <w:lang w:val="lt-LT"/>
        </w:rPr>
      </w:pPr>
      <w:r w:rsidRPr="000D397F">
        <w:rPr>
          <w:szCs w:val="24"/>
          <w:lang w:val="lt-LT"/>
        </w:rPr>
        <w:t>LT/1/21/4813/002</w:t>
      </w:r>
    </w:p>
    <w:p w14:paraId="270641EC" w14:textId="77777777" w:rsidR="003839FD" w:rsidRPr="004453A7" w:rsidRDefault="003839FD" w:rsidP="003839FD">
      <w:pPr>
        <w:rPr>
          <w:szCs w:val="24"/>
          <w:lang w:val="lt-LT"/>
        </w:rPr>
      </w:pPr>
    </w:p>
    <w:p w14:paraId="361BB781" w14:textId="77777777" w:rsidR="003839FD" w:rsidRPr="004453A7" w:rsidRDefault="003839FD" w:rsidP="003839FD">
      <w:pPr>
        <w:rPr>
          <w:szCs w:val="24"/>
          <w:lang w:val="lt-LT"/>
        </w:rPr>
      </w:pPr>
    </w:p>
    <w:p w14:paraId="605B8F40"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13.</w:t>
      </w:r>
      <w:r w:rsidRPr="004453A7">
        <w:rPr>
          <w:b/>
          <w:szCs w:val="24"/>
          <w:lang w:val="lt-LT"/>
        </w:rPr>
        <w:tab/>
      </w:r>
      <w:r w:rsidRPr="004453A7">
        <w:rPr>
          <w:b/>
          <w:noProof/>
          <w:szCs w:val="24"/>
          <w:lang w:val="lt-LT"/>
        </w:rPr>
        <w:t xml:space="preserve">SERIJOS NUMERIS </w:t>
      </w:r>
    </w:p>
    <w:p w14:paraId="33937DB7" w14:textId="77777777" w:rsidR="003839FD" w:rsidRPr="004453A7" w:rsidRDefault="003839FD" w:rsidP="003839FD">
      <w:pPr>
        <w:rPr>
          <w:lang w:val="lt-LT"/>
        </w:rPr>
      </w:pPr>
    </w:p>
    <w:p w14:paraId="3C4AABCC" w14:textId="77777777" w:rsidR="003839FD" w:rsidRPr="004453A7" w:rsidRDefault="00F16A09" w:rsidP="003839FD">
      <w:pPr>
        <w:rPr>
          <w:lang w:val="lt-LT"/>
        </w:rPr>
      </w:pPr>
      <w:r>
        <w:rPr>
          <w:lang w:val="lt-LT"/>
        </w:rPr>
        <w:t>Lot</w:t>
      </w:r>
    </w:p>
    <w:p w14:paraId="17AD948B" w14:textId="77777777" w:rsidR="003839FD" w:rsidRPr="004453A7" w:rsidRDefault="003839FD" w:rsidP="003839FD">
      <w:pPr>
        <w:rPr>
          <w:szCs w:val="24"/>
          <w:lang w:val="lt-LT"/>
        </w:rPr>
      </w:pPr>
    </w:p>
    <w:p w14:paraId="79284D64" w14:textId="77777777" w:rsidR="003839FD" w:rsidRPr="004453A7" w:rsidRDefault="003839FD" w:rsidP="003839FD">
      <w:pPr>
        <w:rPr>
          <w:szCs w:val="24"/>
          <w:lang w:val="lt-LT"/>
        </w:rPr>
      </w:pPr>
    </w:p>
    <w:p w14:paraId="1A2DFEAD"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14.</w:t>
      </w:r>
      <w:r w:rsidRPr="004453A7">
        <w:rPr>
          <w:b/>
          <w:szCs w:val="24"/>
          <w:lang w:val="lt-LT"/>
        </w:rPr>
        <w:tab/>
      </w:r>
      <w:r w:rsidRPr="004453A7">
        <w:rPr>
          <w:b/>
          <w:noProof/>
          <w:szCs w:val="24"/>
          <w:lang w:val="lt-LT"/>
        </w:rPr>
        <w:t>PARDAVIMO (IŠDAVIMO) TVARKA</w:t>
      </w:r>
    </w:p>
    <w:p w14:paraId="718FE45F" w14:textId="77777777" w:rsidR="003839FD" w:rsidRPr="004453A7" w:rsidRDefault="003839FD" w:rsidP="003839FD">
      <w:pPr>
        <w:rPr>
          <w:szCs w:val="24"/>
          <w:lang w:val="lt-LT"/>
        </w:rPr>
      </w:pPr>
    </w:p>
    <w:p w14:paraId="38391330" w14:textId="77777777" w:rsidR="003839FD" w:rsidRPr="004453A7" w:rsidRDefault="003839FD" w:rsidP="003839FD">
      <w:pPr>
        <w:rPr>
          <w:szCs w:val="24"/>
          <w:lang w:val="lt-LT"/>
        </w:rPr>
      </w:pPr>
      <w:r w:rsidRPr="004453A7">
        <w:rPr>
          <w:lang w:val="lt-LT"/>
        </w:rPr>
        <w:t>Receptinis vaistas</w:t>
      </w:r>
      <w:r w:rsidR="00F16A09">
        <w:rPr>
          <w:lang w:val="lt-LT"/>
        </w:rPr>
        <w:t>.</w:t>
      </w:r>
    </w:p>
    <w:p w14:paraId="00A1E9E4" w14:textId="77777777" w:rsidR="003839FD" w:rsidRPr="004453A7" w:rsidRDefault="003839FD" w:rsidP="003839FD">
      <w:pPr>
        <w:rPr>
          <w:szCs w:val="24"/>
          <w:lang w:val="lt-LT"/>
        </w:rPr>
      </w:pPr>
    </w:p>
    <w:p w14:paraId="5E966DF3" w14:textId="77777777" w:rsidR="003839FD" w:rsidRPr="004453A7" w:rsidRDefault="003839FD" w:rsidP="003839FD">
      <w:pPr>
        <w:rPr>
          <w:szCs w:val="24"/>
          <w:lang w:val="lt-LT"/>
        </w:rPr>
      </w:pPr>
    </w:p>
    <w:p w14:paraId="4C04DDDE" w14:textId="77777777" w:rsidR="003839FD" w:rsidRPr="004453A7" w:rsidRDefault="003839FD" w:rsidP="003839F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15.</w:t>
      </w:r>
      <w:r w:rsidRPr="004453A7">
        <w:rPr>
          <w:b/>
          <w:szCs w:val="24"/>
          <w:lang w:val="lt-LT"/>
        </w:rPr>
        <w:tab/>
      </w:r>
      <w:r w:rsidRPr="004453A7">
        <w:rPr>
          <w:b/>
          <w:noProof/>
          <w:szCs w:val="24"/>
          <w:lang w:val="lt-LT"/>
        </w:rPr>
        <w:t>VARTOJIMO INSTRUKCIJA</w:t>
      </w:r>
    </w:p>
    <w:p w14:paraId="71C063BD" w14:textId="77777777" w:rsidR="003839FD" w:rsidRPr="004453A7" w:rsidRDefault="003839FD" w:rsidP="003839FD">
      <w:pPr>
        <w:rPr>
          <w:szCs w:val="24"/>
          <w:lang w:val="lt-LT"/>
        </w:rPr>
      </w:pPr>
    </w:p>
    <w:p w14:paraId="7CBF3E8B" w14:textId="77777777" w:rsidR="003839FD" w:rsidRPr="004453A7" w:rsidRDefault="003839FD" w:rsidP="003839FD">
      <w:pPr>
        <w:rPr>
          <w:szCs w:val="24"/>
          <w:lang w:val="lt-LT"/>
        </w:rPr>
      </w:pPr>
    </w:p>
    <w:p w14:paraId="4FCF687C" w14:textId="77777777" w:rsidR="003839FD" w:rsidRPr="004453A7" w:rsidRDefault="003839FD" w:rsidP="003839F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4453A7">
        <w:rPr>
          <w:b/>
          <w:szCs w:val="24"/>
          <w:lang w:val="lt-LT"/>
        </w:rPr>
        <w:t>16.</w:t>
      </w:r>
      <w:r w:rsidRPr="004453A7">
        <w:rPr>
          <w:b/>
          <w:szCs w:val="24"/>
          <w:lang w:val="lt-LT"/>
        </w:rPr>
        <w:tab/>
      </w:r>
      <w:r w:rsidRPr="004453A7">
        <w:rPr>
          <w:b/>
          <w:noProof/>
          <w:szCs w:val="24"/>
          <w:lang w:val="lt-LT"/>
        </w:rPr>
        <w:t>INFORMACIJA BRAILIO RAŠTU</w:t>
      </w:r>
    </w:p>
    <w:p w14:paraId="62E83EFA" w14:textId="77777777" w:rsidR="003839FD" w:rsidRPr="004453A7" w:rsidRDefault="003839FD" w:rsidP="003839FD">
      <w:pPr>
        <w:rPr>
          <w:szCs w:val="24"/>
          <w:lang w:val="lt-LT"/>
        </w:rPr>
      </w:pPr>
    </w:p>
    <w:p w14:paraId="02C4E62C" w14:textId="77777777" w:rsidR="003839FD" w:rsidRPr="004453A7" w:rsidRDefault="00F16A09" w:rsidP="003839FD">
      <w:pPr>
        <w:rPr>
          <w:szCs w:val="24"/>
          <w:lang w:val="lt-LT"/>
        </w:rPr>
      </w:pPr>
      <w:r w:rsidRPr="00F16A09">
        <w:rPr>
          <w:noProof/>
          <w:szCs w:val="24"/>
          <w:lang w:val="lt-LT"/>
        </w:rPr>
        <w:t>Icatibant Teva</w:t>
      </w:r>
    </w:p>
    <w:p w14:paraId="56BEE84B" w14:textId="77777777" w:rsidR="003839FD" w:rsidRPr="004453A7" w:rsidRDefault="003839FD" w:rsidP="003839FD">
      <w:pPr>
        <w:rPr>
          <w:szCs w:val="24"/>
          <w:lang w:val="lt-LT"/>
        </w:rPr>
      </w:pPr>
    </w:p>
    <w:p w14:paraId="74E27BEF" w14:textId="77777777" w:rsidR="003839FD" w:rsidRPr="004453A7" w:rsidRDefault="003839FD" w:rsidP="003839FD">
      <w:pPr>
        <w:rPr>
          <w:noProof/>
          <w:szCs w:val="22"/>
          <w:shd w:val="clear" w:color="auto" w:fill="CCCCCC"/>
          <w:lang w:val="lt-LT"/>
        </w:rPr>
      </w:pPr>
    </w:p>
    <w:p w14:paraId="2FB965E1" w14:textId="77777777" w:rsidR="003839FD" w:rsidRPr="004453A7" w:rsidRDefault="003839FD" w:rsidP="003839FD">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453A7">
        <w:rPr>
          <w:b/>
          <w:noProof/>
          <w:lang w:val="lt-LT"/>
        </w:rPr>
        <w:t>17.</w:t>
      </w:r>
      <w:r w:rsidRPr="004453A7">
        <w:rPr>
          <w:b/>
          <w:noProof/>
          <w:lang w:val="lt-LT"/>
        </w:rPr>
        <w:tab/>
        <w:t>UNIKALUS IDENTIFIKATORIUS – 2D BRŪKŠNINIS KODAS</w:t>
      </w:r>
    </w:p>
    <w:p w14:paraId="76862B7F" w14:textId="77777777" w:rsidR="003839FD" w:rsidRPr="004453A7" w:rsidRDefault="003839FD" w:rsidP="003839FD">
      <w:pPr>
        <w:rPr>
          <w:noProof/>
          <w:lang w:val="lt-LT"/>
        </w:rPr>
      </w:pPr>
    </w:p>
    <w:p w14:paraId="143FA146" w14:textId="77777777" w:rsidR="003839FD" w:rsidRPr="004453A7" w:rsidRDefault="003839FD" w:rsidP="003839FD">
      <w:pPr>
        <w:rPr>
          <w:noProof/>
          <w:szCs w:val="22"/>
          <w:shd w:val="clear" w:color="auto" w:fill="CCCCCC"/>
          <w:lang w:val="lt-LT"/>
        </w:rPr>
      </w:pPr>
      <w:r w:rsidRPr="004453A7">
        <w:rPr>
          <w:noProof/>
          <w:highlight w:val="lightGray"/>
          <w:lang w:val="lt-LT"/>
        </w:rPr>
        <w:t>2D brūkšninis kodas su nurodytu unikaliu identifikatoriumi.</w:t>
      </w:r>
    </w:p>
    <w:p w14:paraId="681AB0E7" w14:textId="77777777" w:rsidR="003839FD" w:rsidRPr="004453A7" w:rsidRDefault="003839FD" w:rsidP="003839FD">
      <w:pPr>
        <w:rPr>
          <w:noProof/>
          <w:szCs w:val="22"/>
          <w:shd w:val="clear" w:color="auto" w:fill="CCCCCC"/>
          <w:lang w:val="lt-LT"/>
        </w:rPr>
      </w:pPr>
    </w:p>
    <w:p w14:paraId="630169C7" w14:textId="77777777" w:rsidR="003839FD" w:rsidRPr="004453A7" w:rsidRDefault="003839FD" w:rsidP="003839FD">
      <w:pPr>
        <w:rPr>
          <w:noProof/>
          <w:lang w:val="lt-LT"/>
        </w:rPr>
      </w:pPr>
    </w:p>
    <w:p w14:paraId="4843EBA8" w14:textId="77777777" w:rsidR="003839FD" w:rsidRPr="004453A7" w:rsidRDefault="003839FD" w:rsidP="003839FD">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453A7">
        <w:rPr>
          <w:b/>
          <w:noProof/>
          <w:lang w:val="lt-LT"/>
        </w:rPr>
        <w:t>18.</w:t>
      </w:r>
      <w:r w:rsidRPr="004453A7">
        <w:rPr>
          <w:b/>
          <w:noProof/>
          <w:lang w:val="lt-LT"/>
        </w:rPr>
        <w:tab/>
        <w:t>UNIKALUS IDENTIFIKATORIUS – ŽMONĖMS SUPRANTAMI DUOMENYS</w:t>
      </w:r>
    </w:p>
    <w:p w14:paraId="70B4693D" w14:textId="77777777" w:rsidR="003839FD" w:rsidRPr="004453A7" w:rsidRDefault="003839FD" w:rsidP="003839FD">
      <w:pPr>
        <w:rPr>
          <w:noProof/>
          <w:lang w:val="lt-LT"/>
        </w:rPr>
      </w:pPr>
    </w:p>
    <w:p w14:paraId="543647DD" w14:textId="77777777" w:rsidR="003839FD" w:rsidRPr="004453A7" w:rsidRDefault="003839FD" w:rsidP="003839FD">
      <w:pPr>
        <w:rPr>
          <w:lang w:val="lt-LT"/>
        </w:rPr>
      </w:pPr>
      <w:r w:rsidRPr="004453A7">
        <w:rPr>
          <w:lang w:val="lt-LT"/>
        </w:rPr>
        <w:t xml:space="preserve">PC: </w:t>
      </w:r>
    </w:p>
    <w:p w14:paraId="416FC91E" w14:textId="77777777" w:rsidR="003839FD" w:rsidRPr="004453A7" w:rsidRDefault="003839FD" w:rsidP="003839FD">
      <w:pPr>
        <w:rPr>
          <w:lang w:val="lt-LT"/>
        </w:rPr>
      </w:pPr>
      <w:r w:rsidRPr="004453A7">
        <w:rPr>
          <w:lang w:val="lt-LT"/>
        </w:rPr>
        <w:t xml:space="preserve">SN: </w:t>
      </w:r>
    </w:p>
    <w:p w14:paraId="788369F3" w14:textId="77777777" w:rsidR="003839FD" w:rsidRPr="004453A7" w:rsidRDefault="003839FD" w:rsidP="003839FD">
      <w:pPr>
        <w:rPr>
          <w:noProof/>
          <w:vanish/>
          <w:szCs w:val="22"/>
          <w:lang w:val="lt-LT"/>
        </w:rPr>
      </w:pPr>
      <w:r w:rsidRPr="004453A7">
        <w:rPr>
          <w:lang w:val="lt-LT"/>
        </w:rPr>
        <w:t xml:space="preserve">NN: </w:t>
      </w:r>
    </w:p>
    <w:p w14:paraId="64847840" w14:textId="77777777" w:rsidR="003839FD" w:rsidRPr="004453A7" w:rsidRDefault="003839FD" w:rsidP="003839FD">
      <w:pPr>
        <w:rPr>
          <w:szCs w:val="24"/>
          <w:lang w:val="lt-LT"/>
        </w:rPr>
      </w:pPr>
    </w:p>
    <w:p w14:paraId="49061B85" w14:textId="77777777" w:rsidR="003839FD" w:rsidRPr="004453A7" w:rsidRDefault="000D397F" w:rsidP="003839FD">
      <w:pPr>
        <w:rPr>
          <w:snapToGrid/>
          <w:szCs w:val="24"/>
          <w:lang w:val="lt-LT"/>
        </w:rPr>
      </w:pPr>
      <w:r>
        <w:rPr>
          <w:snapToGrid/>
          <w:szCs w:val="24"/>
          <w:lang w:val="lt-LT"/>
        </w:rPr>
        <w:br w:type="page"/>
      </w:r>
    </w:p>
    <w:p w14:paraId="0A5AA937"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rPr>
          <w:b/>
          <w:szCs w:val="24"/>
          <w:lang w:val="lt-LT"/>
        </w:rPr>
      </w:pPr>
      <w:r w:rsidRPr="004453A7">
        <w:rPr>
          <w:b/>
          <w:noProof/>
          <w:szCs w:val="24"/>
          <w:lang w:val="lt-LT"/>
        </w:rPr>
        <w:t>INFORMACIJA ANT IŠORINĖS PAKUOTĖS</w:t>
      </w:r>
    </w:p>
    <w:p w14:paraId="531A6C09"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7AF72EE" w14:textId="77777777" w:rsidR="003839FD" w:rsidRPr="004453A7" w:rsidRDefault="005C09D3" w:rsidP="003839FD">
      <w:pPr>
        <w:pBdr>
          <w:top w:val="single" w:sz="4" w:space="1" w:color="auto"/>
          <w:left w:val="single" w:sz="4" w:space="4" w:color="auto"/>
          <w:bottom w:val="single" w:sz="4" w:space="1" w:color="auto"/>
          <w:right w:val="single" w:sz="4" w:space="4" w:color="auto"/>
        </w:pBdr>
        <w:spacing w:line="240" w:lineRule="auto"/>
        <w:rPr>
          <w:b/>
          <w:szCs w:val="24"/>
          <w:lang w:val="lt-LT"/>
        </w:rPr>
      </w:pPr>
      <w:r w:rsidRPr="004453A7">
        <w:rPr>
          <w:b/>
          <w:noProof/>
          <w:szCs w:val="24"/>
          <w:lang w:val="lt-LT"/>
        </w:rPr>
        <w:t xml:space="preserve">DAUGIADOZĖS </w:t>
      </w:r>
      <w:r w:rsidR="003839FD" w:rsidRPr="004453A7">
        <w:rPr>
          <w:b/>
          <w:lang w:val="lt-LT"/>
        </w:rPr>
        <w:t xml:space="preserve">PAKUOTĖS </w:t>
      </w:r>
      <w:r w:rsidRPr="004453A7">
        <w:rPr>
          <w:b/>
          <w:lang w:val="lt-LT"/>
        </w:rPr>
        <w:t xml:space="preserve">VIDINĖ </w:t>
      </w:r>
      <w:r w:rsidR="003839FD" w:rsidRPr="004453A7">
        <w:rPr>
          <w:b/>
          <w:lang w:val="lt-LT"/>
        </w:rPr>
        <w:t>KARTON</w:t>
      </w:r>
      <w:r w:rsidRPr="004453A7">
        <w:rPr>
          <w:b/>
          <w:lang w:val="lt-LT"/>
        </w:rPr>
        <w:t>O</w:t>
      </w:r>
      <w:r w:rsidR="003839FD" w:rsidRPr="004453A7">
        <w:rPr>
          <w:b/>
          <w:lang w:val="lt-LT"/>
        </w:rPr>
        <w:t xml:space="preserve"> DĖŽUTĖ</w:t>
      </w:r>
    </w:p>
    <w:p w14:paraId="60D8F03F" w14:textId="77777777" w:rsidR="003839FD" w:rsidRPr="004453A7" w:rsidRDefault="003839FD" w:rsidP="003839FD">
      <w:pPr>
        <w:rPr>
          <w:szCs w:val="24"/>
          <w:lang w:val="lt-LT"/>
        </w:rPr>
      </w:pPr>
    </w:p>
    <w:p w14:paraId="7D858E47" w14:textId="77777777" w:rsidR="003839FD" w:rsidRPr="004453A7" w:rsidRDefault="003839FD" w:rsidP="003839FD">
      <w:pPr>
        <w:rPr>
          <w:szCs w:val="24"/>
          <w:lang w:val="lt-LT"/>
        </w:rPr>
      </w:pPr>
    </w:p>
    <w:p w14:paraId="07B0417E"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1.</w:t>
      </w:r>
      <w:r w:rsidRPr="004453A7">
        <w:rPr>
          <w:b/>
          <w:szCs w:val="24"/>
          <w:lang w:val="lt-LT"/>
        </w:rPr>
        <w:tab/>
      </w:r>
      <w:r w:rsidRPr="004453A7">
        <w:rPr>
          <w:b/>
          <w:caps/>
          <w:noProof/>
          <w:szCs w:val="24"/>
          <w:lang w:val="lt-LT"/>
        </w:rPr>
        <w:t>VAISTINIO</w:t>
      </w:r>
      <w:r w:rsidRPr="004453A7">
        <w:rPr>
          <w:b/>
          <w:noProof/>
          <w:szCs w:val="24"/>
          <w:lang w:val="lt-LT"/>
        </w:rPr>
        <w:t xml:space="preserve"> PREPARATO PAVADINIMAS</w:t>
      </w:r>
    </w:p>
    <w:p w14:paraId="0FCD3074" w14:textId="77777777" w:rsidR="003839FD" w:rsidRPr="004453A7" w:rsidRDefault="003839FD" w:rsidP="003839FD">
      <w:pPr>
        <w:rPr>
          <w:szCs w:val="24"/>
          <w:lang w:val="lt-LT"/>
        </w:rPr>
      </w:pPr>
    </w:p>
    <w:p w14:paraId="4DC89606" w14:textId="77777777" w:rsidR="003839FD" w:rsidRPr="004453A7" w:rsidRDefault="003839FD" w:rsidP="003839FD">
      <w:pPr>
        <w:rPr>
          <w:szCs w:val="24"/>
          <w:lang w:val="lt-LT"/>
        </w:rPr>
      </w:pPr>
      <w:r w:rsidRPr="004453A7">
        <w:rPr>
          <w:noProof/>
          <w:lang w:val="lt-LT"/>
        </w:rPr>
        <w:t>Icatibant Teva 30 mg</w:t>
      </w:r>
      <w:r w:rsidRPr="004453A7">
        <w:rPr>
          <w:lang w:val="lt-LT"/>
        </w:rPr>
        <w:t xml:space="preserve"> injekcinis tirpalas užpildytame švirkšte</w:t>
      </w:r>
    </w:p>
    <w:p w14:paraId="233053C0" w14:textId="77777777" w:rsidR="003839FD" w:rsidRPr="004453A7" w:rsidRDefault="003839FD" w:rsidP="003839FD">
      <w:pPr>
        <w:tabs>
          <w:tab w:val="clear" w:pos="567"/>
          <w:tab w:val="left" w:pos="720"/>
        </w:tabs>
        <w:spacing w:line="240" w:lineRule="auto"/>
        <w:rPr>
          <w:lang w:val="lt-LT"/>
        </w:rPr>
      </w:pPr>
      <w:r w:rsidRPr="004453A7">
        <w:rPr>
          <w:lang w:val="lt-LT"/>
        </w:rPr>
        <w:t>icatibant</w:t>
      </w:r>
    </w:p>
    <w:p w14:paraId="1009B1FD" w14:textId="77777777" w:rsidR="003839FD" w:rsidRDefault="003839FD" w:rsidP="003839FD">
      <w:pPr>
        <w:rPr>
          <w:szCs w:val="24"/>
          <w:lang w:val="lt-LT"/>
        </w:rPr>
      </w:pPr>
    </w:p>
    <w:p w14:paraId="5EFDE417" w14:textId="77777777" w:rsidR="00F16A09" w:rsidRPr="004453A7" w:rsidRDefault="00F16A09" w:rsidP="003839FD">
      <w:pPr>
        <w:rPr>
          <w:szCs w:val="24"/>
          <w:lang w:val="lt-LT"/>
        </w:rPr>
      </w:pPr>
    </w:p>
    <w:p w14:paraId="4D243480"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4453A7">
        <w:rPr>
          <w:b/>
          <w:szCs w:val="24"/>
          <w:lang w:val="lt-LT"/>
        </w:rPr>
        <w:t>2.</w:t>
      </w:r>
      <w:r w:rsidRPr="004453A7">
        <w:rPr>
          <w:b/>
          <w:szCs w:val="24"/>
          <w:lang w:val="lt-LT"/>
        </w:rPr>
        <w:tab/>
      </w:r>
      <w:r w:rsidRPr="004453A7">
        <w:rPr>
          <w:b/>
          <w:noProof/>
          <w:szCs w:val="24"/>
          <w:lang w:val="lt-LT"/>
        </w:rPr>
        <w:t>VEIKLIOJI (-IOS) MEDŽIAGA (-OS) IR JOS (-Ų) KIEKIS (-IAI)</w:t>
      </w:r>
    </w:p>
    <w:p w14:paraId="00FEECCB" w14:textId="77777777" w:rsidR="003839FD" w:rsidRPr="004453A7" w:rsidRDefault="003839FD" w:rsidP="003839FD">
      <w:pPr>
        <w:rPr>
          <w:szCs w:val="24"/>
          <w:lang w:val="lt-LT"/>
        </w:rPr>
      </w:pPr>
    </w:p>
    <w:p w14:paraId="4ECED680" w14:textId="77777777" w:rsidR="003839FD" w:rsidRPr="004453A7" w:rsidRDefault="003839FD" w:rsidP="003839FD">
      <w:pPr>
        <w:rPr>
          <w:lang w:val="lt-LT"/>
        </w:rPr>
      </w:pPr>
      <w:r w:rsidRPr="004453A7">
        <w:rPr>
          <w:lang w:val="lt-LT"/>
        </w:rPr>
        <w:t>Kiekviename 3 ml užpildytame švirkšte yra ikatibanto acetato, kuris atitinka 30 mg ikatibanto.</w:t>
      </w:r>
    </w:p>
    <w:p w14:paraId="7007D386" w14:textId="77777777" w:rsidR="003839FD" w:rsidRPr="004453A7" w:rsidRDefault="003839FD" w:rsidP="003839FD">
      <w:pPr>
        <w:rPr>
          <w:lang w:val="lt-LT"/>
        </w:rPr>
      </w:pPr>
      <w:r w:rsidRPr="004453A7">
        <w:rPr>
          <w:lang w:val="lt-LT"/>
        </w:rPr>
        <w:t xml:space="preserve">Kiekviename tirpalo ml yra 10 mg ikatibanto. </w:t>
      </w:r>
    </w:p>
    <w:p w14:paraId="774ABDFA" w14:textId="77777777" w:rsidR="003839FD" w:rsidRPr="004453A7" w:rsidRDefault="003839FD" w:rsidP="003839FD">
      <w:pPr>
        <w:rPr>
          <w:szCs w:val="24"/>
          <w:lang w:val="lt-LT"/>
        </w:rPr>
      </w:pPr>
    </w:p>
    <w:p w14:paraId="09671B3B" w14:textId="77777777" w:rsidR="003839FD" w:rsidRPr="004453A7" w:rsidRDefault="003839FD" w:rsidP="003839FD">
      <w:pPr>
        <w:rPr>
          <w:szCs w:val="24"/>
          <w:lang w:val="lt-LT"/>
        </w:rPr>
      </w:pPr>
    </w:p>
    <w:p w14:paraId="538C6034"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3.</w:t>
      </w:r>
      <w:r w:rsidRPr="004453A7">
        <w:rPr>
          <w:b/>
          <w:szCs w:val="24"/>
          <w:lang w:val="lt-LT"/>
        </w:rPr>
        <w:tab/>
      </w:r>
      <w:r w:rsidRPr="004453A7">
        <w:rPr>
          <w:b/>
          <w:noProof/>
          <w:szCs w:val="24"/>
          <w:lang w:val="lt-LT"/>
        </w:rPr>
        <w:t>PAGALBINIŲ MEDŽIAGŲ SĄRAŠAS</w:t>
      </w:r>
    </w:p>
    <w:p w14:paraId="4B538674" w14:textId="77777777" w:rsidR="003839FD" w:rsidRPr="004453A7" w:rsidRDefault="003839FD" w:rsidP="003839FD">
      <w:pPr>
        <w:rPr>
          <w:szCs w:val="24"/>
          <w:lang w:val="lt-LT"/>
        </w:rPr>
      </w:pPr>
    </w:p>
    <w:p w14:paraId="5E59E8A1" w14:textId="77777777" w:rsidR="003839FD" w:rsidRPr="004453A7" w:rsidRDefault="0020609E" w:rsidP="003839FD">
      <w:pPr>
        <w:rPr>
          <w:lang w:val="lt-LT"/>
        </w:rPr>
      </w:pPr>
      <w:r>
        <w:rPr>
          <w:lang w:val="lt-LT"/>
        </w:rPr>
        <w:t>L</w:t>
      </w:r>
      <w:r w:rsidR="003839FD" w:rsidRPr="004453A7">
        <w:rPr>
          <w:lang w:val="lt-LT"/>
        </w:rPr>
        <w:t>edinė acto rūgštis, natrio hidroksid</w:t>
      </w:r>
      <w:r>
        <w:rPr>
          <w:lang w:val="lt-LT"/>
        </w:rPr>
        <w:t>as</w:t>
      </w:r>
      <w:r w:rsidR="003839FD" w:rsidRPr="004453A7">
        <w:rPr>
          <w:lang w:val="lt-LT"/>
        </w:rPr>
        <w:t>, natrio chlorid</w:t>
      </w:r>
      <w:r>
        <w:rPr>
          <w:lang w:val="lt-LT"/>
        </w:rPr>
        <w:t>as</w:t>
      </w:r>
      <w:r w:rsidR="003839FD" w:rsidRPr="004453A7">
        <w:rPr>
          <w:lang w:val="lt-LT"/>
        </w:rPr>
        <w:t>, injekcini</w:t>
      </w:r>
      <w:r>
        <w:rPr>
          <w:lang w:val="lt-LT"/>
        </w:rPr>
        <w:t>s</w:t>
      </w:r>
      <w:r w:rsidR="003839FD" w:rsidRPr="004453A7">
        <w:rPr>
          <w:lang w:val="lt-LT"/>
        </w:rPr>
        <w:t xml:space="preserve"> vand</w:t>
      </w:r>
      <w:r>
        <w:rPr>
          <w:lang w:val="lt-LT"/>
        </w:rPr>
        <w:t>uo</w:t>
      </w:r>
      <w:r w:rsidR="003839FD" w:rsidRPr="004453A7">
        <w:rPr>
          <w:lang w:val="lt-LT"/>
        </w:rPr>
        <w:t>.</w:t>
      </w:r>
    </w:p>
    <w:p w14:paraId="3A3E562F" w14:textId="77777777" w:rsidR="003839FD" w:rsidRDefault="003839FD" w:rsidP="003839FD">
      <w:pPr>
        <w:rPr>
          <w:szCs w:val="24"/>
          <w:lang w:val="lt-LT"/>
        </w:rPr>
      </w:pPr>
    </w:p>
    <w:p w14:paraId="047D1FEC" w14:textId="77777777" w:rsidR="00417DC4" w:rsidRPr="004453A7" w:rsidRDefault="00417DC4" w:rsidP="003839FD">
      <w:pPr>
        <w:rPr>
          <w:szCs w:val="24"/>
          <w:lang w:val="lt-LT"/>
        </w:rPr>
      </w:pPr>
    </w:p>
    <w:p w14:paraId="4F3E41DA"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4.</w:t>
      </w:r>
      <w:r w:rsidRPr="004453A7">
        <w:rPr>
          <w:b/>
          <w:szCs w:val="24"/>
          <w:lang w:val="lt-LT"/>
        </w:rPr>
        <w:tab/>
      </w:r>
      <w:r w:rsidRPr="004453A7">
        <w:rPr>
          <w:b/>
          <w:noProof/>
          <w:szCs w:val="24"/>
          <w:lang w:val="lt-LT"/>
        </w:rPr>
        <w:t>FARMACINĖ FORMA IR KIEKIS PAKUOTĖJE</w:t>
      </w:r>
    </w:p>
    <w:p w14:paraId="22712CFA" w14:textId="77777777" w:rsidR="003839FD" w:rsidRPr="004453A7" w:rsidRDefault="003839FD" w:rsidP="003839FD">
      <w:pPr>
        <w:rPr>
          <w:szCs w:val="24"/>
          <w:lang w:val="lt-LT"/>
        </w:rPr>
      </w:pPr>
    </w:p>
    <w:p w14:paraId="6AD7320F" w14:textId="77777777" w:rsidR="003839FD" w:rsidRPr="004453A7" w:rsidRDefault="003839FD" w:rsidP="003839FD">
      <w:pPr>
        <w:rPr>
          <w:szCs w:val="24"/>
          <w:lang w:val="lt-LT"/>
        </w:rPr>
      </w:pPr>
      <w:r w:rsidRPr="004453A7">
        <w:rPr>
          <w:highlight w:val="lightGray"/>
          <w:lang w:val="lt-LT"/>
        </w:rPr>
        <w:t>Injekcinis tirpalas užpildytame švirkšte</w:t>
      </w:r>
      <w:r w:rsidR="00DE7EF5">
        <w:rPr>
          <w:lang w:val="lt-LT"/>
        </w:rPr>
        <w:t>.</w:t>
      </w:r>
    </w:p>
    <w:p w14:paraId="5CA84EFA" w14:textId="77777777" w:rsidR="003839FD" w:rsidRPr="004453A7" w:rsidRDefault="003839FD" w:rsidP="003839FD">
      <w:pPr>
        <w:rPr>
          <w:lang w:val="lt-LT"/>
        </w:rPr>
      </w:pPr>
      <w:r w:rsidRPr="004453A7">
        <w:rPr>
          <w:lang w:val="lt-LT"/>
        </w:rPr>
        <w:t xml:space="preserve">Vienas užpildytas švirkštas. </w:t>
      </w:r>
    </w:p>
    <w:p w14:paraId="3FEAAB74" w14:textId="77777777" w:rsidR="003839FD" w:rsidRPr="004453A7" w:rsidRDefault="003839FD" w:rsidP="003839FD">
      <w:pPr>
        <w:rPr>
          <w:lang w:val="lt-LT"/>
        </w:rPr>
      </w:pPr>
      <w:r w:rsidRPr="004453A7">
        <w:rPr>
          <w:lang w:val="lt-LT"/>
        </w:rPr>
        <w:t>Viena 25 G adata</w:t>
      </w:r>
      <w:r w:rsidR="005C09D3" w:rsidRPr="004453A7">
        <w:rPr>
          <w:lang w:val="lt-LT"/>
        </w:rPr>
        <w:t>.</w:t>
      </w:r>
    </w:p>
    <w:p w14:paraId="28C06ACB" w14:textId="77777777" w:rsidR="005C09D3" w:rsidRPr="004453A7" w:rsidRDefault="005C09D3" w:rsidP="003839FD">
      <w:pPr>
        <w:rPr>
          <w:lang w:val="lt-LT"/>
        </w:rPr>
      </w:pPr>
      <w:r w:rsidRPr="004453A7">
        <w:rPr>
          <w:lang w:val="lt-LT"/>
        </w:rPr>
        <w:t>Daugiadozės pakuotės komponentas, atskirai negali būti parduotas.</w:t>
      </w:r>
    </w:p>
    <w:p w14:paraId="78CDA591" w14:textId="77777777" w:rsidR="005C09D3" w:rsidRPr="004453A7" w:rsidRDefault="005C09D3" w:rsidP="003839FD">
      <w:pPr>
        <w:rPr>
          <w:lang w:val="lt-LT"/>
        </w:rPr>
      </w:pPr>
    </w:p>
    <w:p w14:paraId="045591E2" w14:textId="77777777" w:rsidR="003839FD" w:rsidRPr="004453A7" w:rsidRDefault="003839FD" w:rsidP="003839FD">
      <w:pPr>
        <w:rPr>
          <w:szCs w:val="24"/>
          <w:lang w:val="lt-LT"/>
        </w:rPr>
      </w:pPr>
    </w:p>
    <w:p w14:paraId="61CA3549"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5.</w:t>
      </w:r>
      <w:r w:rsidRPr="004453A7">
        <w:rPr>
          <w:b/>
          <w:szCs w:val="24"/>
          <w:lang w:val="lt-LT"/>
        </w:rPr>
        <w:tab/>
      </w:r>
      <w:r w:rsidRPr="004453A7">
        <w:rPr>
          <w:b/>
          <w:noProof/>
          <w:szCs w:val="24"/>
          <w:lang w:val="lt-LT"/>
        </w:rPr>
        <w:t>VARTOJIMO METODAS IR BŪDAS (-AI)</w:t>
      </w:r>
    </w:p>
    <w:p w14:paraId="256B157A" w14:textId="77777777" w:rsidR="003839FD" w:rsidRPr="004453A7" w:rsidRDefault="003839FD" w:rsidP="003839FD">
      <w:pPr>
        <w:rPr>
          <w:szCs w:val="24"/>
          <w:lang w:val="lt-LT"/>
        </w:rPr>
      </w:pPr>
    </w:p>
    <w:p w14:paraId="1823A8A3" w14:textId="77777777" w:rsidR="003839FD" w:rsidRPr="004453A7" w:rsidRDefault="003839FD" w:rsidP="003839FD">
      <w:pPr>
        <w:rPr>
          <w:lang w:val="lt-LT"/>
        </w:rPr>
      </w:pPr>
      <w:r w:rsidRPr="004453A7">
        <w:rPr>
          <w:lang w:val="lt-LT"/>
        </w:rPr>
        <w:t>Leisti po oda.</w:t>
      </w:r>
    </w:p>
    <w:p w14:paraId="2B093B59" w14:textId="77777777" w:rsidR="003839FD" w:rsidRPr="004453A7" w:rsidRDefault="003839FD" w:rsidP="003839FD">
      <w:pPr>
        <w:rPr>
          <w:szCs w:val="24"/>
          <w:lang w:val="lt-LT"/>
        </w:rPr>
      </w:pPr>
      <w:r w:rsidRPr="004453A7">
        <w:rPr>
          <w:noProof/>
          <w:szCs w:val="24"/>
          <w:lang w:val="lt-LT"/>
        </w:rPr>
        <w:t>Prieš vartojimą perskaitykite pakuotės lapelį.</w:t>
      </w:r>
    </w:p>
    <w:p w14:paraId="1C369FC6" w14:textId="77777777" w:rsidR="003839FD" w:rsidRPr="004453A7" w:rsidRDefault="0020609E" w:rsidP="003839FD">
      <w:pPr>
        <w:rPr>
          <w:szCs w:val="24"/>
          <w:lang w:val="lt-LT"/>
        </w:rPr>
      </w:pPr>
      <w:r>
        <w:rPr>
          <w:lang w:val="lt-LT"/>
        </w:rPr>
        <w:t>T</w:t>
      </w:r>
      <w:r w:rsidR="003839FD" w:rsidRPr="004453A7">
        <w:rPr>
          <w:lang w:val="lt-LT"/>
        </w:rPr>
        <w:t xml:space="preserve">ik vienkartiniam naudojimui. </w:t>
      </w:r>
    </w:p>
    <w:p w14:paraId="769C2B9E" w14:textId="77777777" w:rsidR="003839FD" w:rsidRDefault="003839FD" w:rsidP="003839FD">
      <w:pPr>
        <w:rPr>
          <w:szCs w:val="24"/>
          <w:lang w:val="lt-LT"/>
        </w:rPr>
      </w:pPr>
    </w:p>
    <w:p w14:paraId="6042518B" w14:textId="77777777" w:rsidR="00F16A09" w:rsidRPr="004453A7" w:rsidRDefault="00F16A09" w:rsidP="003839FD">
      <w:pPr>
        <w:rPr>
          <w:szCs w:val="24"/>
          <w:lang w:val="lt-LT"/>
        </w:rPr>
      </w:pPr>
    </w:p>
    <w:p w14:paraId="6B3F3927"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6.</w:t>
      </w:r>
      <w:r w:rsidRPr="004453A7">
        <w:rPr>
          <w:b/>
          <w:szCs w:val="24"/>
          <w:lang w:val="lt-LT"/>
        </w:rPr>
        <w:tab/>
      </w:r>
      <w:r w:rsidRPr="004453A7">
        <w:rPr>
          <w:b/>
          <w:noProof/>
          <w:szCs w:val="24"/>
          <w:lang w:val="lt-LT"/>
        </w:rPr>
        <w:t>SPECIALUS ĮSPĖJIMAS, KAD VAISTINĮ PREPARATĄ BŪTINA LAIKYTI VAIKAMS NEPASTEBIMOJE IR NEPASIEKIAMOJE VIETOJE</w:t>
      </w:r>
    </w:p>
    <w:p w14:paraId="73809071" w14:textId="77777777" w:rsidR="003839FD" w:rsidRPr="004453A7" w:rsidRDefault="003839FD" w:rsidP="003839FD">
      <w:pPr>
        <w:rPr>
          <w:szCs w:val="24"/>
          <w:lang w:val="lt-LT"/>
        </w:rPr>
      </w:pPr>
    </w:p>
    <w:p w14:paraId="263221E2" w14:textId="77777777" w:rsidR="003839FD" w:rsidRPr="004453A7" w:rsidRDefault="003839FD" w:rsidP="003839FD">
      <w:pPr>
        <w:rPr>
          <w:szCs w:val="24"/>
          <w:lang w:val="lt-LT"/>
        </w:rPr>
      </w:pPr>
      <w:r w:rsidRPr="004453A7">
        <w:rPr>
          <w:noProof/>
          <w:szCs w:val="24"/>
          <w:lang w:val="lt-LT"/>
        </w:rPr>
        <w:t>Laikyti vaikams nepastebimoje ir nepasiekiamoje vietoje.</w:t>
      </w:r>
    </w:p>
    <w:p w14:paraId="6C4AA50E" w14:textId="77777777" w:rsidR="003839FD" w:rsidRPr="004453A7" w:rsidRDefault="003839FD" w:rsidP="003839FD">
      <w:pPr>
        <w:rPr>
          <w:szCs w:val="24"/>
          <w:lang w:val="lt-LT"/>
        </w:rPr>
      </w:pPr>
    </w:p>
    <w:p w14:paraId="06AAEEA5" w14:textId="77777777" w:rsidR="003839FD" w:rsidRPr="004453A7" w:rsidRDefault="003839FD" w:rsidP="003839FD">
      <w:pPr>
        <w:rPr>
          <w:szCs w:val="24"/>
          <w:lang w:val="lt-LT"/>
        </w:rPr>
      </w:pPr>
    </w:p>
    <w:p w14:paraId="6691DA6C"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7.</w:t>
      </w:r>
      <w:r w:rsidRPr="004453A7">
        <w:rPr>
          <w:b/>
          <w:szCs w:val="24"/>
          <w:lang w:val="lt-LT"/>
        </w:rPr>
        <w:tab/>
      </w:r>
      <w:r w:rsidRPr="004453A7">
        <w:rPr>
          <w:b/>
          <w:noProof/>
          <w:szCs w:val="24"/>
          <w:lang w:val="lt-LT"/>
        </w:rPr>
        <w:t>KITAS (-I) SPECIALUS (-ŪS) ĮSPĖJIMAS (-AI) (JEI REIKIA)</w:t>
      </w:r>
    </w:p>
    <w:p w14:paraId="04756111" w14:textId="77777777" w:rsidR="003839FD" w:rsidRPr="004453A7" w:rsidRDefault="003839FD" w:rsidP="003839FD">
      <w:pPr>
        <w:rPr>
          <w:szCs w:val="24"/>
          <w:lang w:val="lt-LT"/>
        </w:rPr>
      </w:pPr>
    </w:p>
    <w:p w14:paraId="26197802" w14:textId="77777777" w:rsidR="003839FD" w:rsidRPr="004453A7" w:rsidRDefault="003839FD" w:rsidP="003839FD">
      <w:pPr>
        <w:rPr>
          <w:szCs w:val="24"/>
          <w:lang w:val="lt-LT"/>
        </w:rPr>
      </w:pPr>
    </w:p>
    <w:p w14:paraId="3A1DAC5C"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8.</w:t>
      </w:r>
      <w:r w:rsidRPr="004453A7">
        <w:rPr>
          <w:b/>
          <w:szCs w:val="24"/>
          <w:lang w:val="lt-LT"/>
        </w:rPr>
        <w:tab/>
      </w:r>
      <w:r w:rsidRPr="004453A7">
        <w:rPr>
          <w:b/>
          <w:noProof/>
          <w:szCs w:val="24"/>
          <w:lang w:val="lt-LT"/>
        </w:rPr>
        <w:t>TINKAMUMO LAIKAS</w:t>
      </w:r>
    </w:p>
    <w:p w14:paraId="1F6A11C7" w14:textId="77777777" w:rsidR="003839FD" w:rsidRPr="004453A7" w:rsidRDefault="003839FD" w:rsidP="003839FD">
      <w:pPr>
        <w:rPr>
          <w:szCs w:val="24"/>
          <w:lang w:val="lt-LT"/>
        </w:rPr>
      </w:pPr>
    </w:p>
    <w:p w14:paraId="4338B64A" w14:textId="77777777" w:rsidR="003839FD" w:rsidRPr="004453A7" w:rsidRDefault="00F16A09" w:rsidP="003839FD">
      <w:pPr>
        <w:rPr>
          <w:lang w:val="lt-LT"/>
        </w:rPr>
      </w:pPr>
      <w:r>
        <w:rPr>
          <w:lang w:val="lt-LT"/>
        </w:rPr>
        <w:t>EXP</w:t>
      </w:r>
    </w:p>
    <w:p w14:paraId="71B61B28" w14:textId="77777777" w:rsidR="003839FD" w:rsidRPr="004453A7" w:rsidRDefault="003839FD" w:rsidP="003839FD">
      <w:pPr>
        <w:rPr>
          <w:szCs w:val="24"/>
          <w:lang w:val="lt-LT"/>
        </w:rPr>
      </w:pPr>
    </w:p>
    <w:p w14:paraId="723CCB68" w14:textId="77777777" w:rsidR="003839FD" w:rsidRPr="004453A7" w:rsidRDefault="003839FD" w:rsidP="003839FD">
      <w:pPr>
        <w:rPr>
          <w:szCs w:val="24"/>
          <w:lang w:val="lt-LT"/>
        </w:rPr>
      </w:pPr>
    </w:p>
    <w:p w14:paraId="21545AFB" w14:textId="77777777" w:rsidR="003839FD" w:rsidRPr="004453A7" w:rsidRDefault="003839FD" w:rsidP="003839F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453A7">
        <w:rPr>
          <w:b/>
          <w:szCs w:val="24"/>
          <w:lang w:val="lt-LT"/>
        </w:rPr>
        <w:t>9.</w:t>
      </w:r>
      <w:r w:rsidRPr="004453A7">
        <w:rPr>
          <w:b/>
          <w:szCs w:val="24"/>
          <w:lang w:val="lt-LT"/>
        </w:rPr>
        <w:tab/>
      </w:r>
      <w:r w:rsidRPr="004453A7">
        <w:rPr>
          <w:b/>
          <w:noProof/>
          <w:szCs w:val="24"/>
          <w:lang w:val="lt-LT"/>
        </w:rPr>
        <w:t>SPECIALIOS LAIKYMO SĄLYGOS</w:t>
      </w:r>
    </w:p>
    <w:p w14:paraId="3C330EF3" w14:textId="77777777" w:rsidR="003839FD" w:rsidRPr="004453A7" w:rsidRDefault="003839FD" w:rsidP="003839FD">
      <w:pPr>
        <w:rPr>
          <w:szCs w:val="24"/>
          <w:lang w:val="lt-LT"/>
        </w:rPr>
      </w:pPr>
    </w:p>
    <w:p w14:paraId="0DD149DC" w14:textId="77777777" w:rsidR="003839FD" w:rsidRPr="004453A7" w:rsidRDefault="003839FD" w:rsidP="003839FD">
      <w:pPr>
        <w:rPr>
          <w:lang w:val="lt-LT"/>
        </w:rPr>
      </w:pPr>
      <w:r w:rsidRPr="004453A7">
        <w:rPr>
          <w:lang w:val="lt-LT"/>
        </w:rPr>
        <w:t>Laikyti ne aukštesnėje kaip 25</w:t>
      </w:r>
      <w:r w:rsidR="007A4048">
        <w:rPr>
          <w:lang w:val="lt-LT"/>
        </w:rPr>
        <w:t> </w:t>
      </w:r>
      <w:r w:rsidRPr="004453A7">
        <w:rPr>
          <w:lang w:val="lt-LT"/>
        </w:rPr>
        <w:t>ºC temperatūroje. Negalima užšaldyti.</w:t>
      </w:r>
    </w:p>
    <w:p w14:paraId="310B3EA3" w14:textId="77777777" w:rsidR="005C09D3" w:rsidRPr="004453A7" w:rsidRDefault="005C09D3" w:rsidP="003839FD">
      <w:pPr>
        <w:rPr>
          <w:lang w:val="lt-LT"/>
        </w:rPr>
      </w:pPr>
    </w:p>
    <w:p w14:paraId="176EB228" w14:textId="77777777" w:rsidR="005C09D3" w:rsidRPr="004453A7" w:rsidRDefault="005C09D3" w:rsidP="003839FD">
      <w:pPr>
        <w:rPr>
          <w:szCs w:val="24"/>
          <w:lang w:val="lt-LT"/>
        </w:rPr>
      </w:pPr>
    </w:p>
    <w:p w14:paraId="0CB57230"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3A7">
        <w:rPr>
          <w:b/>
          <w:szCs w:val="24"/>
          <w:lang w:val="lt-LT"/>
        </w:rPr>
        <w:t>10.</w:t>
      </w:r>
      <w:r w:rsidRPr="004453A7">
        <w:rPr>
          <w:b/>
          <w:szCs w:val="24"/>
          <w:lang w:val="lt-LT"/>
        </w:rPr>
        <w:tab/>
      </w:r>
      <w:r w:rsidRPr="004453A7">
        <w:rPr>
          <w:b/>
          <w:noProof/>
          <w:szCs w:val="24"/>
          <w:lang w:val="lt-LT"/>
        </w:rPr>
        <w:t>SPECIALIOS ATSARGUMO PRIEMONĖS DĖL NESUVARTOTO VAISTINIO PREPARATO AR JO ATLIEKŲ TVARKYMO (JEI REIKIA)</w:t>
      </w:r>
    </w:p>
    <w:p w14:paraId="27EA641F" w14:textId="77777777" w:rsidR="003839FD" w:rsidRPr="004453A7" w:rsidRDefault="003839FD" w:rsidP="003839FD">
      <w:pPr>
        <w:rPr>
          <w:szCs w:val="24"/>
          <w:lang w:val="lt-LT"/>
        </w:rPr>
      </w:pPr>
    </w:p>
    <w:p w14:paraId="660FB414" w14:textId="77777777" w:rsidR="003839FD" w:rsidRPr="004453A7" w:rsidRDefault="003839FD" w:rsidP="003839FD">
      <w:pPr>
        <w:rPr>
          <w:szCs w:val="24"/>
          <w:lang w:val="lt-LT"/>
        </w:rPr>
      </w:pPr>
    </w:p>
    <w:p w14:paraId="037C53A9"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3A7">
        <w:rPr>
          <w:b/>
          <w:szCs w:val="24"/>
          <w:lang w:val="lt-LT"/>
        </w:rPr>
        <w:t>11.</w:t>
      </w:r>
      <w:r w:rsidRPr="004453A7">
        <w:rPr>
          <w:b/>
          <w:szCs w:val="24"/>
          <w:lang w:val="lt-LT"/>
        </w:rPr>
        <w:tab/>
      </w:r>
      <w:r w:rsidRPr="004453A7">
        <w:rPr>
          <w:b/>
          <w:caps/>
          <w:noProof/>
          <w:szCs w:val="24"/>
          <w:lang w:val="lt-LT"/>
        </w:rPr>
        <w:t xml:space="preserve"> REGISTRUOTOJO PAVADINIMAS IR ADRESAS</w:t>
      </w:r>
    </w:p>
    <w:p w14:paraId="53A23F8D" w14:textId="77777777" w:rsidR="003839FD" w:rsidRPr="004453A7" w:rsidRDefault="003839FD" w:rsidP="003839FD">
      <w:pPr>
        <w:rPr>
          <w:szCs w:val="24"/>
          <w:lang w:val="lt-LT"/>
        </w:rPr>
      </w:pPr>
    </w:p>
    <w:p w14:paraId="126CF72A" w14:textId="77777777" w:rsidR="003839FD" w:rsidRPr="00037B8B" w:rsidRDefault="003839FD" w:rsidP="003839FD">
      <w:pPr>
        <w:tabs>
          <w:tab w:val="clear" w:pos="567"/>
          <w:tab w:val="left" w:pos="9214"/>
        </w:tabs>
        <w:spacing w:line="240" w:lineRule="auto"/>
        <w:ind w:right="282"/>
        <w:rPr>
          <w:bCs/>
          <w:szCs w:val="22"/>
          <w:lang w:val="lt-LT"/>
        </w:rPr>
      </w:pPr>
      <w:r w:rsidRPr="00037B8B">
        <w:rPr>
          <w:bCs/>
          <w:szCs w:val="22"/>
          <w:lang w:val="lt-LT"/>
        </w:rPr>
        <w:t xml:space="preserve">Teva B.V. </w:t>
      </w:r>
    </w:p>
    <w:p w14:paraId="7952D228" w14:textId="77777777" w:rsidR="003839FD" w:rsidRPr="00037B8B" w:rsidRDefault="003839FD" w:rsidP="003839FD">
      <w:pPr>
        <w:tabs>
          <w:tab w:val="clear" w:pos="567"/>
          <w:tab w:val="left" w:pos="9214"/>
        </w:tabs>
        <w:spacing w:line="240" w:lineRule="auto"/>
        <w:ind w:right="282"/>
        <w:rPr>
          <w:bCs/>
          <w:szCs w:val="22"/>
          <w:lang w:val="lt-LT"/>
        </w:rPr>
      </w:pPr>
      <w:r w:rsidRPr="00037B8B">
        <w:rPr>
          <w:szCs w:val="22"/>
          <w:lang w:val="lt-LT"/>
        </w:rPr>
        <w:t>Swensweg 5</w:t>
      </w:r>
    </w:p>
    <w:p w14:paraId="795548CE" w14:textId="77777777" w:rsidR="003839FD" w:rsidRPr="00037B8B" w:rsidRDefault="003839FD" w:rsidP="003839FD">
      <w:pPr>
        <w:tabs>
          <w:tab w:val="clear" w:pos="567"/>
          <w:tab w:val="left" w:pos="9214"/>
        </w:tabs>
        <w:spacing w:line="240" w:lineRule="auto"/>
        <w:ind w:right="282"/>
        <w:rPr>
          <w:bCs/>
          <w:szCs w:val="22"/>
          <w:lang w:val="lt-LT"/>
        </w:rPr>
      </w:pPr>
      <w:r w:rsidRPr="00037B8B">
        <w:rPr>
          <w:szCs w:val="22"/>
          <w:lang w:val="lt-LT"/>
        </w:rPr>
        <w:t>2031 GA Haarlem</w:t>
      </w:r>
      <w:r w:rsidRPr="00037B8B">
        <w:rPr>
          <w:bCs/>
          <w:szCs w:val="22"/>
          <w:lang w:val="lt-LT"/>
        </w:rPr>
        <w:t xml:space="preserve"> </w:t>
      </w:r>
    </w:p>
    <w:p w14:paraId="57D705D7" w14:textId="77777777" w:rsidR="003839FD" w:rsidRPr="004453A7" w:rsidRDefault="003839FD" w:rsidP="003839FD">
      <w:pPr>
        <w:tabs>
          <w:tab w:val="clear" w:pos="567"/>
          <w:tab w:val="left" w:pos="9214"/>
        </w:tabs>
        <w:spacing w:line="240" w:lineRule="auto"/>
        <w:ind w:right="282"/>
        <w:rPr>
          <w:noProof/>
          <w:szCs w:val="22"/>
          <w:lang w:val="lt-LT"/>
        </w:rPr>
      </w:pPr>
      <w:r w:rsidRPr="00037B8B">
        <w:rPr>
          <w:bCs/>
          <w:szCs w:val="22"/>
          <w:lang w:val="lt-LT"/>
        </w:rPr>
        <w:t>Nyderlandai</w:t>
      </w:r>
      <w:r w:rsidRPr="004453A7">
        <w:rPr>
          <w:noProof/>
          <w:szCs w:val="22"/>
          <w:lang w:val="lt-LT"/>
        </w:rPr>
        <w:t xml:space="preserve"> </w:t>
      </w:r>
    </w:p>
    <w:p w14:paraId="6F07DE72" w14:textId="77777777" w:rsidR="003839FD" w:rsidRPr="004453A7" w:rsidRDefault="003839FD" w:rsidP="003839FD">
      <w:pPr>
        <w:rPr>
          <w:szCs w:val="24"/>
          <w:lang w:val="lt-LT"/>
        </w:rPr>
      </w:pPr>
    </w:p>
    <w:p w14:paraId="1BEDB759" w14:textId="77777777" w:rsidR="003839FD" w:rsidRPr="004453A7" w:rsidRDefault="003839FD" w:rsidP="003839FD">
      <w:pPr>
        <w:rPr>
          <w:szCs w:val="24"/>
          <w:lang w:val="lt-LT"/>
        </w:rPr>
      </w:pPr>
    </w:p>
    <w:p w14:paraId="099F9598"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12.</w:t>
      </w:r>
      <w:r w:rsidRPr="004453A7">
        <w:rPr>
          <w:b/>
          <w:szCs w:val="24"/>
          <w:lang w:val="lt-LT"/>
        </w:rPr>
        <w:tab/>
      </w:r>
      <w:r w:rsidRPr="004453A7">
        <w:rPr>
          <w:b/>
          <w:noProof/>
          <w:szCs w:val="24"/>
          <w:lang w:val="lt-LT"/>
        </w:rPr>
        <w:t>REGISTRACIJOS PAŽYMĖJIMO NUMERIS (-IAI)</w:t>
      </w:r>
      <w:r w:rsidRPr="004453A7">
        <w:rPr>
          <w:b/>
          <w:szCs w:val="24"/>
          <w:lang w:val="lt-LT"/>
        </w:rPr>
        <w:t xml:space="preserve"> </w:t>
      </w:r>
    </w:p>
    <w:p w14:paraId="4A3AADE7" w14:textId="77777777" w:rsidR="003839FD" w:rsidRPr="004453A7" w:rsidRDefault="003839FD" w:rsidP="003839FD">
      <w:pPr>
        <w:rPr>
          <w:szCs w:val="24"/>
          <w:lang w:val="lt-LT"/>
        </w:rPr>
      </w:pPr>
    </w:p>
    <w:p w14:paraId="482E4DE9" w14:textId="77777777" w:rsidR="000D397F" w:rsidRDefault="000D397F" w:rsidP="000D397F">
      <w:pPr>
        <w:tabs>
          <w:tab w:val="clear" w:pos="567"/>
        </w:tabs>
        <w:spacing w:line="240" w:lineRule="auto"/>
        <w:rPr>
          <w:szCs w:val="24"/>
          <w:lang w:val="lt-LT"/>
        </w:rPr>
      </w:pPr>
      <w:r w:rsidRPr="000D397F">
        <w:rPr>
          <w:szCs w:val="24"/>
          <w:lang w:val="lt-LT"/>
        </w:rPr>
        <w:t>LT/1/21/4813/00</w:t>
      </w:r>
      <w:r w:rsidR="00A25397">
        <w:rPr>
          <w:szCs w:val="24"/>
          <w:lang w:val="lt-LT"/>
        </w:rPr>
        <w:t>2</w:t>
      </w:r>
    </w:p>
    <w:p w14:paraId="336FB910" w14:textId="77777777" w:rsidR="003839FD" w:rsidRPr="004453A7" w:rsidRDefault="003839FD" w:rsidP="003839FD">
      <w:pPr>
        <w:rPr>
          <w:szCs w:val="24"/>
          <w:lang w:val="lt-LT"/>
        </w:rPr>
      </w:pPr>
    </w:p>
    <w:p w14:paraId="601B7759" w14:textId="77777777" w:rsidR="003839FD" w:rsidRPr="004453A7" w:rsidRDefault="003839FD" w:rsidP="003839FD">
      <w:pPr>
        <w:rPr>
          <w:szCs w:val="24"/>
          <w:lang w:val="lt-LT"/>
        </w:rPr>
      </w:pPr>
    </w:p>
    <w:p w14:paraId="18BE77B0"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13.</w:t>
      </w:r>
      <w:r w:rsidRPr="004453A7">
        <w:rPr>
          <w:b/>
          <w:szCs w:val="24"/>
          <w:lang w:val="lt-LT"/>
        </w:rPr>
        <w:tab/>
      </w:r>
      <w:r w:rsidRPr="004453A7">
        <w:rPr>
          <w:b/>
          <w:noProof/>
          <w:szCs w:val="24"/>
          <w:lang w:val="lt-LT"/>
        </w:rPr>
        <w:t xml:space="preserve">SERIJOS NUMERIS </w:t>
      </w:r>
    </w:p>
    <w:p w14:paraId="5E02530F" w14:textId="77777777" w:rsidR="003839FD" w:rsidRPr="004453A7" w:rsidRDefault="003839FD" w:rsidP="003839FD">
      <w:pPr>
        <w:rPr>
          <w:lang w:val="lt-LT"/>
        </w:rPr>
      </w:pPr>
    </w:p>
    <w:p w14:paraId="1A39422A" w14:textId="77777777" w:rsidR="003839FD" w:rsidRPr="004453A7" w:rsidRDefault="00F16A09" w:rsidP="003839FD">
      <w:pPr>
        <w:rPr>
          <w:lang w:val="lt-LT"/>
        </w:rPr>
      </w:pPr>
      <w:r>
        <w:rPr>
          <w:lang w:val="lt-LT"/>
        </w:rPr>
        <w:t>Lot</w:t>
      </w:r>
    </w:p>
    <w:p w14:paraId="21AC0553" w14:textId="77777777" w:rsidR="003839FD" w:rsidRPr="004453A7" w:rsidRDefault="003839FD" w:rsidP="003839FD">
      <w:pPr>
        <w:rPr>
          <w:szCs w:val="24"/>
          <w:lang w:val="lt-LT"/>
        </w:rPr>
      </w:pPr>
    </w:p>
    <w:p w14:paraId="5F55003E" w14:textId="77777777" w:rsidR="003839FD" w:rsidRPr="004453A7" w:rsidRDefault="003839FD" w:rsidP="003839FD">
      <w:pPr>
        <w:rPr>
          <w:szCs w:val="24"/>
          <w:lang w:val="lt-LT"/>
        </w:rPr>
      </w:pPr>
    </w:p>
    <w:p w14:paraId="5AF7221D" w14:textId="77777777" w:rsidR="003839FD" w:rsidRPr="004453A7" w:rsidRDefault="003839FD" w:rsidP="003839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14.</w:t>
      </w:r>
      <w:r w:rsidRPr="004453A7">
        <w:rPr>
          <w:b/>
          <w:szCs w:val="24"/>
          <w:lang w:val="lt-LT"/>
        </w:rPr>
        <w:tab/>
      </w:r>
      <w:r w:rsidRPr="004453A7">
        <w:rPr>
          <w:b/>
          <w:noProof/>
          <w:szCs w:val="24"/>
          <w:lang w:val="lt-LT"/>
        </w:rPr>
        <w:t>PARDAVIMO (IŠDAVIMO) TVARKA</w:t>
      </w:r>
    </w:p>
    <w:p w14:paraId="55E49956" w14:textId="77777777" w:rsidR="003839FD" w:rsidRPr="004453A7" w:rsidRDefault="003839FD" w:rsidP="003839FD">
      <w:pPr>
        <w:rPr>
          <w:szCs w:val="24"/>
          <w:lang w:val="lt-LT"/>
        </w:rPr>
      </w:pPr>
    </w:p>
    <w:p w14:paraId="3DDB5A2D" w14:textId="77777777" w:rsidR="003839FD" w:rsidRPr="004453A7" w:rsidRDefault="003839FD" w:rsidP="003839FD">
      <w:pPr>
        <w:rPr>
          <w:szCs w:val="24"/>
          <w:lang w:val="lt-LT"/>
        </w:rPr>
      </w:pPr>
      <w:r w:rsidRPr="00417DC4">
        <w:rPr>
          <w:lang w:val="lt-LT"/>
        </w:rPr>
        <w:t>Receptinis vaistas</w:t>
      </w:r>
      <w:r w:rsidR="00417DC4">
        <w:rPr>
          <w:lang w:val="lt-LT"/>
        </w:rPr>
        <w:t>.</w:t>
      </w:r>
    </w:p>
    <w:p w14:paraId="231F3356" w14:textId="77777777" w:rsidR="003839FD" w:rsidRPr="004453A7" w:rsidRDefault="003839FD" w:rsidP="003839FD">
      <w:pPr>
        <w:rPr>
          <w:szCs w:val="24"/>
          <w:lang w:val="lt-LT"/>
        </w:rPr>
      </w:pPr>
    </w:p>
    <w:p w14:paraId="7F012C8D" w14:textId="77777777" w:rsidR="003839FD" w:rsidRPr="004453A7" w:rsidRDefault="003839FD" w:rsidP="003839FD">
      <w:pPr>
        <w:rPr>
          <w:szCs w:val="24"/>
          <w:lang w:val="lt-LT"/>
        </w:rPr>
      </w:pPr>
    </w:p>
    <w:p w14:paraId="6B1713E8" w14:textId="77777777" w:rsidR="003839FD" w:rsidRPr="004453A7" w:rsidRDefault="003839FD" w:rsidP="003839F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4453A7">
        <w:rPr>
          <w:b/>
          <w:szCs w:val="24"/>
          <w:lang w:val="lt-LT"/>
        </w:rPr>
        <w:t>15.</w:t>
      </w:r>
      <w:r w:rsidRPr="004453A7">
        <w:rPr>
          <w:b/>
          <w:szCs w:val="24"/>
          <w:lang w:val="lt-LT"/>
        </w:rPr>
        <w:tab/>
      </w:r>
      <w:r w:rsidRPr="004453A7">
        <w:rPr>
          <w:b/>
          <w:noProof/>
          <w:szCs w:val="24"/>
          <w:lang w:val="lt-LT"/>
        </w:rPr>
        <w:t>VARTOJIMO INSTRUKCIJA</w:t>
      </w:r>
    </w:p>
    <w:p w14:paraId="6F63A0B1" w14:textId="77777777" w:rsidR="003839FD" w:rsidRPr="004453A7" w:rsidRDefault="003839FD" w:rsidP="003839FD">
      <w:pPr>
        <w:rPr>
          <w:szCs w:val="24"/>
          <w:lang w:val="lt-LT"/>
        </w:rPr>
      </w:pPr>
    </w:p>
    <w:p w14:paraId="5C18986A" w14:textId="77777777" w:rsidR="003839FD" w:rsidRPr="004453A7" w:rsidRDefault="003839FD" w:rsidP="003839FD">
      <w:pPr>
        <w:rPr>
          <w:szCs w:val="24"/>
          <w:lang w:val="lt-LT"/>
        </w:rPr>
      </w:pPr>
    </w:p>
    <w:p w14:paraId="369C0CED" w14:textId="77777777" w:rsidR="003839FD" w:rsidRPr="004453A7" w:rsidRDefault="003839FD" w:rsidP="003839F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4453A7">
        <w:rPr>
          <w:b/>
          <w:szCs w:val="24"/>
          <w:lang w:val="lt-LT"/>
        </w:rPr>
        <w:t>16.</w:t>
      </w:r>
      <w:r w:rsidRPr="004453A7">
        <w:rPr>
          <w:b/>
          <w:szCs w:val="24"/>
          <w:lang w:val="lt-LT"/>
        </w:rPr>
        <w:tab/>
      </w:r>
      <w:r w:rsidRPr="004453A7">
        <w:rPr>
          <w:b/>
          <w:noProof/>
          <w:szCs w:val="24"/>
          <w:lang w:val="lt-LT"/>
        </w:rPr>
        <w:t>INFORMACIJA BRAILIO RAŠTU</w:t>
      </w:r>
    </w:p>
    <w:p w14:paraId="1BA8A196" w14:textId="77777777" w:rsidR="003839FD" w:rsidRPr="004453A7" w:rsidRDefault="003839FD" w:rsidP="003839FD">
      <w:pPr>
        <w:rPr>
          <w:szCs w:val="24"/>
          <w:lang w:val="lt-LT"/>
        </w:rPr>
      </w:pPr>
    </w:p>
    <w:p w14:paraId="2F4BC7E4" w14:textId="77777777" w:rsidR="003839FD" w:rsidRDefault="00F16A09" w:rsidP="003839FD">
      <w:pPr>
        <w:rPr>
          <w:noProof/>
          <w:szCs w:val="22"/>
          <w:shd w:val="clear" w:color="auto" w:fill="CCCCCC"/>
          <w:lang w:val="lt-LT"/>
        </w:rPr>
      </w:pPr>
      <w:r w:rsidRPr="00F16A09">
        <w:rPr>
          <w:noProof/>
          <w:szCs w:val="22"/>
          <w:shd w:val="clear" w:color="auto" w:fill="CCCCCC"/>
          <w:lang w:val="lt-LT"/>
        </w:rPr>
        <w:t>Icatibant Teva</w:t>
      </w:r>
    </w:p>
    <w:p w14:paraId="09404BD9" w14:textId="77777777" w:rsidR="00F16A09" w:rsidRDefault="00F16A09" w:rsidP="003839FD">
      <w:pPr>
        <w:rPr>
          <w:noProof/>
          <w:szCs w:val="22"/>
          <w:shd w:val="clear" w:color="auto" w:fill="CCCCCC"/>
          <w:lang w:val="lt-LT"/>
        </w:rPr>
      </w:pPr>
    </w:p>
    <w:p w14:paraId="02AA8B65" w14:textId="77777777" w:rsidR="00F16A09" w:rsidRPr="004453A7" w:rsidRDefault="00F16A09" w:rsidP="003839FD">
      <w:pPr>
        <w:rPr>
          <w:noProof/>
          <w:szCs w:val="22"/>
          <w:shd w:val="clear" w:color="auto" w:fill="CCCCCC"/>
          <w:lang w:val="lt-LT"/>
        </w:rPr>
      </w:pPr>
    </w:p>
    <w:p w14:paraId="63B240B6" w14:textId="77777777" w:rsidR="003839FD" w:rsidRPr="004453A7" w:rsidRDefault="003839FD" w:rsidP="003839FD">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453A7">
        <w:rPr>
          <w:b/>
          <w:noProof/>
          <w:lang w:val="lt-LT"/>
        </w:rPr>
        <w:t>17.</w:t>
      </w:r>
      <w:r w:rsidRPr="004453A7">
        <w:rPr>
          <w:b/>
          <w:noProof/>
          <w:lang w:val="lt-LT"/>
        </w:rPr>
        <w:tab/>
        <w:t>UNIKALUS IDENTIFIKATORIUS – 2D BRŪKŠNINIS KODAS</w:t>
      </w:r>
    </w:p>
    <w:p w14:paraId="4869679A" w14:textId="77777777" w:rsidR="003839FD" w:rsidRPr="004453A7" w:rsidRDefault="003839FD" w:rsidP="003839FD">
      <w:pPr>
        <w:rPr>
          <w:noProof/>
          <w:lang w:val="lt-LT"/>
        </w:rPr>
      </w:pPr>
    </w:p>
    <w:p w14:paraId="0EB8557E" w14:textId="77777777" w:rsidR="003839FD" w:rsidRPr="004453A7" w:rsidRDefault="003839FD" w:rsidP="003839FD">
      <w:pPr>
        <w:rPr>
          <w:noProof/>
          <w:lang w:val="lt-LT"/>
        </w:rPr>
      </w:pPr>
    </w:p>
    <w:p w14:paraId="50B46E62" w14:textId="77777777" w:rsidR="003839FD" w:rsidRPr="004453A7" w:rsidRDefault="003839FD" w:rsidP="003839FD">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453A7">
        <w:rPr>
          <w:b/>
          <w:noProof/>
          <w:lang w:val="lt-LT"/>
        </w:rPr>
        <w:t>18.</w:t>
      </w:r>
      <w:r w:rsidRPr="004453A7">
        <w:rPr>
          <w:b/>
          <w:noProof/>
          <w:lang w:val="lt-LT"/>
        </w:rPr>
        <w:tab/>
        <w:t>UNIKALUS IDENTIFIKATORIUS – ŽMONĖMS SUPRANTAMI DUOMENYS</w:t>
      </w:r>
    </w:p>
    <w:p w14:paraId="34FB7481" w14:textId="77777777" w:rsidR="003839FD" w:rsidRPr="004453A7" w:rsidRDefault="003839FD" w:rsidP="003839FD">
      <w:pPr>
        <w:rPr>
          <w:noProof/>
          <w:lang w:val="lt-LT"/>
        </w:rPr>
      </w:pPr>
    </w:p>
    <w:p w14:paraId="2DB1369B" w14:textId="77777777" w:rsidR="003839FD" w:rsidRPr="004453A7" w:rsidRDefault="003839FD" w:rsidP="003839FD">
      <w:pPr>
        <w:rPr>
          <w:szCs w:val="24"/>
          <w:lang w:val="lt-LT"/>
        </w:rPr>
      </w:pPr>
    </w:p>
    <w:p w14:paraId="0288A590" w14:textId="77777777" w:rsidR="003839FD" w:rsidRPr="004453A7" w:rsidRDefault="003839FD" w:rsidP="003839FD">
      <w:pPr>
        <w:rPr>
          <w:szCs w:val="24"/>
          <w:lang w:val="lt-LT"/>
        </w:rPr>
      </w:pPr>
      <w:r w:rsidRPr="004453A7">
        <w:rPr>
          <w:szCs w:val="24"/>
          <w:lang w:val="lt-LT"/>
        </w:rPr>
        <w:br w:type="page"/>
      </w:r>
    </w:p>
    <w:p w14:paraId="4F444334" w14:textId="77777777" w:rsidR="00F34163" w:rsidRPr="004453A7"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r w:rsidRPr="004453A7">
        <w:rPr>
          <w:b/>
          <w:noProof/>
          <w:szCs w:val="24"/>
          <w:lang w:val="lt-LT"/>
        </w:rPr>
        <w:t xml:space="preserve">MINIMALI INFORMACIJA ANT </w:t>
      </w:r>
      <w:r w:rsidR="000610AF" w:rsidRPr="004453A7">
        <w:rPr>
          <w:b/>
          <w:noProof/>
          <w:szCs w:val="24"/>
          <w:lang w:val="lt-LT"/>
        </w:rPr>
        <w:t xml:space="preserve">MAŽŲ VIDINIŲ PAKUOČIŲ </w:t>
      </w:r>
    </w:p>
    <w:p w14:paraId="08D2FD16" w14:textId="77777777" w:rsidR="000610AF" w:rsidRPr="004453A7" w:rsidRDefault="000610AF"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2143DB48" w14:textId="77777777" w:rsidR="00F34163" w:rsidRPr="004453A7" w:rsidRDefault="005C09D3" w:rsidP="00F34163">
      <w:pPr>
        <w:pBdr>
          <w:top w:val="single" w:sz="4" w:space="1" w:color="auto"/>
          <w:left w:val="single" w:sz="4" w:space="4" w:color="auto"/>
          <w:bottom w:val="single" w:sz="4" w:space="1" w:color="auto"/>
          <w:right w:val="single" w:sz="4" w:space="4" w:color="auto"/>
        </w:pBdr>
        <w:ind w:left="567" w:hanging="567"/>
        <w:rPr>
          <w:b/>
          <w:lang w:val="lt-LT"/>
        </w:rPr>
      </w:pPr>
      <w:r w:rsidRPr="004453A7">
        <w:rPr>
          <w:b/>
          <w:lang w:val="lt-LT"/>
        </w:rPr>
        <w:t>ŠVIRKŠTO ETIKETĖ</w:t>
      </w:r>
    </w:p>
    <w:p w14:paraId="43402C07" w14:textId="77777777" w:rsidR="00F34163" w:rsidRPr="004453A7" w:rsidRDefault="00F34163" w:rsidP="00F34163">
      <w:pPr>
        <w:rPr>
          <w:lang w:val="lt-LT"/>
        </w:rPr>
      </w:pPr>
    </w:p>
    <w:p w14:paraId="0FE5DE57" w14:textId="77777777" w:rsidR="00F34163" w:rsidRPr="004453A7" w:rsidRDefault="00F34163" w:rsidP="00F34163">
      <w:pPr>
        <w:rPr>
          <w:szCs w:val="24"/>
          <w:lang w:val="lt-LT"/>
        </w:rPr>
      </w:pPr>
    </w:p>
    <w:p w14:paraId="008F6243" w14:textId="77777777" w:rsidR="00F34163" w:rsidRPr="004453A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3A7">
        <w:rPr>
          <w:b/>
          <w:szCs w:val="24"/>
          <w:lang w:val="lt-LT"/>
        </w:rPr>
        <w:t>1.</w:t>
      </w:r>
      <w:r w:rsidRPr="004453A7">
        <w:rPr>
          <w:b/>
          <w:szCs w:val="24"/>
          <w:lang w:val="lt-LT"/>
        </w:rPr>
        <w:tab/>
      </w:r>
      <w:r w:rsidRPr="004453A7">
        <w:rPr>
          <w:b/>
          <w:caps/>
          <w:noProof/>
          <w:szCs w:val="24"/>
          <w:lang w:val="lt-LT"/>
        </w:rPr>
        <w:t>VAISTINIO</w:t>
      </w:r>
      <w:r w:rsidRPr="004453A7">
        <w:rPr>
          <w:b/>
          <w:noProof/>
          <w:szCs w:val="24"/>
          <w:lang w:val="lt-LT"/>
        </w:rPr>
        <w:t xml:space="preserve"> PREPARATO PAVADINIMAS</w:t>
      </w:r>
      <w:r w:rsidR="00F745F2">
        <w:rPr>
          <w:b/>
          <w:noProof/>
          <w:szCs w:val="24"/>
          <w:lang w:val="lt-LT"/>
        </w:rPr>
        <w:t xml:space="preserve"> </w:t>
      </w:r>
      <w:r w:rsidR="00F745F2" w:rsidRPr="00F745F2">
        <w:rPr>
          <w:b/>
          <w:noProof/>
          <w:szCs w:val="24"/>
          <w:lang w:val="lt-LT"/>
        </w:rPr>
        <w:t>IR VARTOJIMO BŪDAS (-AI)</w:t>
      </w:r>
    </w:p>
    <w:p w14:paraId="17B94FBA" w14:textId="77777777" w:rsidR="00F34163" w:rsidRPr="004453A7" w:rsidRDefault="00F34163" w:rsidP="00F34163">
      <w:pPr>
        <w:rPr>
          <w:szCs w:val="24"/>
          <w:lang w:val="lt-LT"/>
        </w:rPr>
      </w:pPr>
    </w:p>
    <w:p w14:paraId="3B344C91" w14:textId="77777777" w:rsidR="005C09D3" w:rsidRPr="004453A7" w:rsidRDefault="005C09D3" w:rsidP="005C09D3">
      <w:pPr>
        <w:rPr>
          <w:snapToGrid/>
          <w:szCs w:val="24"/>
          <w:lang w:val="lt-LT"/>
        </w:rPr>
      </w:pPr>
      <w:r w:rsidRPr="004453A7">
        <w:rPr>
          <w:noProof/>
          <w:lang w:val="lt-LT"/>
        </w:rPr>
        <w:t>Icatibant Teva 30 mg</w:t>
      </w:r>
      <w:r w:rsidRPr="004453A7">
        <w:rPr>
          <w:lang w:val="lt-LT"/>
        </w:rPr>
        <w:t xml:space="preserve"> injekcinis tirpalas </w:t>
      </w:r>
    </w:p>
    <w:p w14:paraId="606A2C48" w14:textId="77777777" w:rsidR="005C09D3" w:rsidRPr="004453A7" w:rsidRDefault="005C09D3" w:rsidP="005C09D3">
      <w:pPr>
        <w:tabs>
          <w:tab w:val="clear" w:pos="567"/>
          <w:tab w:val="left" w:pos="720"/>
        </w:tabs>
        <w:spacing w:line="240" w:lineRule="auto"/>
        <w:rPr>
          <w:lang w:val="lt-LT"/>
        </w:rPr>
      </w:pPr>
      <w:r w:rsidRPr="004453A7">
        <w:rPr>
          <w:lang w:val="lt-LT"/>
        </w:rPr>
        <w:t>icatibant</w:t>
      </w:r>
    </w:p>
    <w:p w14:paraId="6431A0F8" w14:textId="77777777" w:rsidR="00F34163" w:rsidRDefault="00F16A09" w:rsidP="00F34163">
      <w:pPr>
        <w:rPr>
          <w:szCs w:val="24"/>
          <w:lang w:val="lt-LT"/>
        </w:rPr>
      </w:pPr>
      <w:r w:rsidRPr="00037B8B">
        <w:rPr>
          <w:szCs w:val="24"/>
          <w:lang w:val="lt-LT"/>
        </w:rPr>
        <w:t>sc</w:t>
      </w:r>
    </w:p>
    <w:p w14:paraId="5EF929A0" w14:textId="77777777" w:rsidR="00F16A09" w:rsidRPr="004453A7" w:rsidRDefault="00F16A09" w:rsidP="00F34163">
      <w:pPr>
        <w:rPr>
          <w:szCs w:val="24"/>
          <w:lang w:val="lt-LT"/>
        </w:rPr>
      </w:pPr>
    </w:p>
    <w:p w14:paraId="17BECFAC" w14:textId="77777777" w:rsidR="00F34163" w:rsidRPr="004453A7" w:rsidRDefault="00F34163" w:rsidP="00F34163">
      <w:pPr>
        <w:rPr>
          <w:szCs w:val="24"/>
          <w:lang w:val="lt-LT"/>
        </w:rPr>
      </w:pPr>
    </w:p>
    <w:p w14:paraId="0E31A638" w14:textId="77777777" w:rsidR="00F34163" w:rsidRPr="004453A7" w:rsidRDefault="00F34163" w:rsidP="000610AF">
      <w:pPr>
        <w:pBdr>
          <w:top w:val="single" w:sz="4" w:space="1" w:color="auto"/>
          <w:left w:val="single" w:sz="4" w:space="4" w:color="auto"/>
          <w:bottom w:val="single" w:sz="4" w:space="1" w:color="auto"/>
          <w:right w:val="single" w:sz="4" w:space="4" w:color="auto"/>
        </w:pBdr>
        <w:spacing w:line="240" w:lineRule="auto"/>
        <w:ind w:left="567" w:hanging="567"/>
        <w:outlineLvl w:val="0"/>
        <w:rPr>
          <w:snapToGrid/>
          <w:szCs w:val="24"/>
          <w:lang w:val="lt-LT"/>
        </w:rPr>
      </w:pPr>
      <w:r w:rsidRPr="004453A7">
        <w:rPr>
          <w:b/>
          <w:szCs w:val="24"/>
          <w:lang w:val="lt-LT"/>
        </w:rPr>
        <w:t>2.</w:t>
      </w:r>
      <w:r w:rsidRPr="004453A7">
        <w:rPr>
          <w:b/>
          <w:szCs w:val="24"/>
          <w:lang w:val="lt-LT"/>
        </w:rPr>
        <w:tab/>
      </w:r>
      <w:r w:rsidR="005C09D3" w:rsidRPr="004453A7">
        <w:rPr>
          <w:b/>
          <w:caps/>
          <w:noProof/>
          <w:szCs w:val="24"/>
          <w:lang w:val="lt-LT"/>
        </w:rPr>
        <w:t>VARTOJIMO METODAS</w:t>
      </w:r>
      <w:r w:rsidR="000610AF" w:rsidRPr="004453A7">
        <w:rPr>
          <w:b/>
          <w:noProof/>
          <w:szCs w:val="24"/>
          <w:lang w:val="lt-LT"/>
        </w:rPr>
        <w:t xml:space="preserve"> IR BŪDAS (-AI)</w:t>
      </w:r>
    </w:p>
    <w:p w14:paraId="21C276AE" w14:textId="77777777" w:rsidR="00F34163" w:rsidRPr="004453A7" w:rsidRDefault="00F34163" w:rsidP="00F34163">
      <w:pPr>
        <w:rPr>
          <w:szCs w:val="24"/>
          <w:lang w:val="lt-LT"/>
        </w:rPr>
      </w:pPr>
    </w:p>
    <w:p w14:paraId="3C4FBDDD" w14:textId="77777777" w:rsidR="00F34163" w:rsidRPr="004453A7" w:rsidRDefault="00F34163" w:rsidP="00F34163">
      <w:pPr>
        <w:rPr>
          <w:szCs w:val="24"/>
          <w:lang w:val="lt-LT"/>
        </w:rPr>
      </w:pPr>
    </w:p>
    <w:p w14:paraId="5A339A28" w14:textId="77777777" w:rsidR="00F34163" w:rsidRPr="004453A7"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4453A7">
        <w:rPr>
          <w:b/>
          <w:szCs w:val="24"/>
          <w:lang w:val="lt-LT"/>
        </w:rPr>
        <w:t>3.</w:t>
      </w:r>
      <w:r w:rsidRPr="004453A7">
        <w:rPr>
          <w:b/>
          <w:szCs w:val="24"/>
          <w:lang w:val="lt-LT"/>
        </w:rPr>
        <w:tab/>
      </w:r>
      <w:r w:rsidRPr="004453A7">
        <w:rPr>
          <w:b/>
          <w:noProof/>
          <w:szCs w:val="24"/>
          <w:lang w:val="lt-LT"/>
        </w:rPr>
        <w:t>TINKAMUMO LAIKAS</w:t>
      </w:r>
    </w:p>
    <w:p w14:paraId="08ADC654" w14:textId="77777777" w:rsidR="00F34163" w:rsidRPr="004453A7" w:rsidRDefault="00F34163" w:rsidP="00F34163">
      <w:pPr>
        <w:rPr>
          <w:szCs w:val="24"/>
          <w:lang w:val="lt-LT"/>
        </w:rPr>
      </w:pPr>
    </w:p>
    <w:p w14:paraId="0D9E372C" w14:textId="77777777" w:rsidR="00F34163" w:rsidRPr="004453A7" w:rsidRDefault="00F34163" w:rsidP="00F34163">
      <w:pPr>
        <w:rPr>
          <w:lang w:val="lt-LT"/>
        </w:rPr>
      </w:pPr>
      <w:r w:rsidRPr="004453A7">
        <w:rPr>
          <w:lang w:val="lt-LT"/>
        </w:rPr>
        <w:t>EXP</w:t>
      </w:r>
    </w:p>
    <w:p w14:paraId="09B73E5F" w14:textId="77777777" w:rsidR="00F34163" w:rsidRPr="004453A7" w:rsidRDefault="00F34163" w:rsidP="00F34163">
      <w:pPr>
        <w:rPr>
          <w:lang w:val="lt-LT"/>
        </w:rPr>
      </w:pPr>
    </w:p>
    <w:p w14:paraId="55E07C81" w14:textId="77777777" w:rsidR="003E6D93" w:rsidRPr="004453A7" w:rsidRDefault="003E6D93" w:rsidP="00F34163">
      <w:pPr>
        <w:rPr>
          <w:lang w:val="lt-LT"/>
        </w:rPr>
      </w:pPr>
    </w:p>
    <w:p w14:paraId="20155155" w14:textId="77777777" w:rsidR="00F34163" w:rsidRPr="004453A7"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3A7">
        <w:rPr>
          <w:b/>
          <w:szCs w:val="24"/>
          <w:lang w:val="lt-LT"/>
        </w:rPr>
        <w:t>4.</w:t>
      </w:r>
      <w:r w:rsidRPr="004453A7">
        <w:rPr>
          <w:b/>
          <w:szCs w:val="24"/>
          <w:lang w:val="lt-LT"/>
        </w:rPr>
        <w:tab/>
      </w:r>
      <w:r w:rsidRPr="004453A7">
        <w:rPr>
          <w:b/>
          <w:noProof/>
          <w:szCs w:val="24"/>
          <w:lang w:val="lt-LT"/>
        </w:rPr>
        <w:t>SERIJOS NUMERIS</w:t>
      </w:r>
    </w:p>
    <w:p w14:paraId="6CDDF601" w14:textId="77777777" w:rsidR="00F34163" w:rsidRPr="004453A7" w:rsidRDefault="00F34163" w:rsidP="003E6D93">
      <w:pPr>
        <w:rPr>
          <w:lang w:val="lt-LT"/>
        </w:rPr>
      </w:pPr>
    </w:p>
    <w:p w14:paraId="1A33732F" w14:textId="77777777" w:rsidR="00F34163" w:rsidRPr="004453A7" w:rsidRDefault="00F34163" w:rsidP="004971F6">
      <w:pPr>
        <w:spacing w:line="240" w:lineRule="auto"/>
        <w:outlineLvl w:val="0"/>
        <w:rPr>
          <w:b/>
          <w:lang w:val="lt-LT"/>
        </w:rPr>
      </w:pPr>
      <w:r w:rsidRPr="004453A7">
        <w:rPr>
          <w:lang w:val="lt-LT"/>
        </w:rPr>
        <w:t>Lot</w:t>
      </w:r>
    </w:p>
    <w:p w14:paraId="42D69E6D" w14:textId="77777777" w:rsidR="00F34163" w:rsidRPr="004453A7" w:rsidRDefault="00F34163" w:rsidP="003E6D93">
      <w:pPr>
        <w:rPr>
          <w:szCs w:val="24"/>
          <w:lang w:val="lt-LT"/>
        </w:rPr>
      </w:pPr>
    </w:p>
    <w:p w14:paraId="3E8898F5" w14:textId="77777777" w:rsidR="00F34163" w:rsidRPr="004453A7" w:rsidRDefault="00F34163" w:rsidP="00F34163">
      <w:pPr>
        <w:rPr>
          <w:szCs w:val="24"/>
          <w:lang w:val="lt-LT"/>
        </w:rPr>
      </w:pPr>
    </w:p>
    <w:p w14:paraId="1960D549" w14:textId="77777777" w:rsidR="000610AF" w:rsidRPr="004453A7" w:rsidRDefault="00F34163" w:rsidP="000610A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453A7">
        <w:rPr>
          <w:b/>
          <w:szCs w:val="24"/>
          <w:lang w:val="lt-LT"/>
        </w:rPr>
        <w:t>5.</w:t>
      </w:r>
      <w:r w:rsidRPr="004453A7">
        <w:rPr>
          <w:b/>
          <w:szCs w:val="24"/>
          <w:lang w:val="lt-LT"/>
        </w:rPr>
        <w:tab/>
      </w:r>
      <w:r w:rsidR="009A6720">
        <w:rPr>
          <w:b/>
          <w:szCs w:val="24"/>
          <w:lang w:val="lt-LT"/>
        </w:rPr>
        <w:t>KIEKIS (MASĖ,</w:t>
      </w:r>
      <w:r w:rsidR="000610AF" w:rsidRPr="004453A7">
        <w:rPr>
          <w:b/>
          <w:szCs w:val="24"/>
          <w:lang w:val="lt-LT"/>
        </w:rPr>
        <w:t xml:space="preserve"> TŪRIS ARBA VIENETAI</w:t>
      </w:r>
      <w:r w:rsidR="009A6720">
        <w:rPr>
          <w:b/>
          <w:szCs w:val="24"/>
          <w:lang w:val="lt-LT"/>
        </w:rPr>
        <w:t>)</w:t>
      </w:r>
    </w:p>
    <w:p w14:paraId="32E302AC" w14:textId="77777777" w:rsidR="00F34163" w:rsidRPr="004453A7" w:rsidRDefault="00F34163" w:rsidP="00F34163">
      <w:pPr>
        <w:rPr>
          <w:szCs w:val="24"/>
          <w:lang w:val="lt-LT"/>
        </w:rPr>
      </w:pPr>
    </w:p>
    <w:p w14:paraId="49EA6051" w14:textId="77777777" w:rsidR="000610AF" w:rsidRPr="004453A7" w:rsidRDefault="000610AF" w:rsidP="00F34163">
      <w:pPr>
        <w:rPr>
          <w:szCs w:val="24"/>
          <w:lang w:val="lt-LT"/>
        </w:rPr>
      </w:pPr>
      <w:r w:rsidRPr="004453A7">
        <w:rPr>
          <w:szCs w:val="24"/>
          <w:lang w:val="lt-LT"/>
        </w:rPr>
        <w:t>30 mg/3 ml</w:t>
      </w:r>
    </w:p>
    <w:p w14:paraId="3F7DE97A" w14:textId="77777777" w:rsidR="000610AF" w:rsidRPr="004453A7" w:rsidRDefault="000610AF" w:rsidP="000610AF">
      <w:pPr>
        <w:rPr>
          <w:szCs w:val="24"/>
          <w:lang w:val="lt-LT"/>
        </w:rPr>
      </w:pPr>
    </w:p>
    <w:p w14:paraId="5C72D64B" w14:textId="77777777" w:rsidR="000610AF" w:rsidRPr="004453A7" w:rsidRDefault="000610AF" w:rsidP="000610AF">
      <w:pPr>
        <w:rPr>
          <w:szCs w:val="24"/>
          <w:lang w:val="lt-LT"/>
        </w:rPr>
      </w:pPr>
    </w:p>
    <w:p w14:paraId="3C93E771" w14:textId="77777777" w:rsidR="000610AF" w:rsidRPr="004453A7" w:rsidRDefault="009A6720" w:rsidP="000610A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D73D5">
        <w:rPr>
          <w:b/>
          <w:szCs w:val="24"/>
          <w:lang w:val="fr-FR"/>
        </w:rPr>
        <w:t>6</w:t>
      </w:r>
      <w:r w:rsidR="000610AF" w:rsidRPr="004453A7">
        <w:rPr>
          <w:b/>
          <w:szCs w:val="24"/>
          <w:lang w:val="lt-LT"/>
        </w:rPr>
        <w:t>.</w:t>
      </w:r>
      <w:r w:rsidR="000610AF" w:rsidRPr="004453A7">
        <w:rPr>
          <w:b/>
          <w:szCs w:val="24"/>
          <w:lang w:val="lt-LT"/>
        </w:rPr>
        <w:tab/>
        <w:t>KITA</w:t>
      </w:r>
    </w:p>
    <w:p w14:paraId="1122BEFB" w14:textId="77777777" w:rsidR="000610AF" w:rsidRPr="004453A7" w:rsidRDefault="000610AF" w:rsidP="000610AF">
      <w:pPr>
        <w:rPr>
          <w:szCs w:val="24"/>
          <w:lang w:val="lt-LT"/>
        </w:rPr>
      </w:pPr>
    </w:p>
    <w:p w14:paraId="7D05705B" w14:textId="77777777" w:rsidR="000610AF" w:rsidRPr="004453A7" w:rsidRDefault="000610AF" w:rsidP="00F34163">
      <w:pPr>
        <w:rPr>
          <w:szCs w:val="24"/>
          <w:lang w:val="lt-LT"/>
        </w:rPr>
      </w:pPr>
    </w:p>
    <w:p w14:paraId="54B456B5" w14:textId="77777777" w:rsidR="00F34163" w:rsidRPr="004453A7" w:rsidRDefault="00F34163" w:rsidP="00F34163">
      <w:pPr>
        <w:outlineLvl w:val="0"/>
        <w:rPr>
          <w:lang w:val="lt-LT"/>
        </w:rPr>
      </w:pPr>
    </w:p>
    <w:p w14:paraId="256F3D24" w14:textId="77777777" w:rsidR="00F34163" w:rsidRPr="004453A7" w:rsidRDefault="00F34163" w:rsidP="00F34163">
      <w:pPr>
        <w:outlineLvl w:val="0"/>
        <w:rPr>
          <w:lang w:val="lt-LT"/>
        </w:rPr>
      </w:pPr>
    </w:p>
    <w:p w14:paraId="37894A52" w14:textId="77777777" w:rsidR="00F34163" w:rsidRPr="004453A7" w:rsidRDefault="00F34163" w:rsidP="00F34163">
      <w:pPr>
        <w:outlineLvl w:val="0"/>
        <w:rPr>
          <w:lang w:val="lt-LT"/>
        </w:rPr>
      </w:pPr>
    </w:p>
    <w:p w14:paraId="28F50721" w14:textId="77777777" w:rsidR="00F34163" w:rsidRPr="004453A7" w:rsidRDefault="00F34163" w:rsidP="00F34163">
      <w:pPr>
        <w:outlineLvl w:val="0"/>
        <w:rPr>
          <w:lang w:val="lt-LT"/>
        </w:rPr>
      </w:pPr>
    </w:p>
    <w:p w14:paraId="5B1F4093" w14:textId="77777777" w:rsidR="00F34163" w:rsidRPr="004453A7" w:rsidRDefault="00F34163" w:rsidP="00F34163">
      <w:pPr>
        <w:outlineLvl w:val="0"/>
        <w:rPr>
          <w:lang w:val="lt-LT"/>
        </w:rPr>
      </w:pPr>
    </w:p>
    <w:p w14:paraId="58FD1B19" w14:textId="77777777" w:rsidR="00F34163" w:rsidRPr="004453A7" w:rsidRDefault="00F34163" w:rsidP="00F34163">
      <w:pPr>
        <w:outlineLvl w:val="0"/>
        <w:rPr>
          <w:lang w:val="lt-LT"/>
        </w:rPr>
      </w:pPr>
    </w:p>
    <w:p w14:paraId="010563CE" w14:textId="77777777" w:rsidR="00F34163" w:rsidRPr="004453A7" w:rsidRDefault="00F34163" w:rsidP="00F34163">
      <w:pPr>
        <w:outlineLvl w:val="0"/>
        <w:rPr>
          <w:lang w:val="lt-LT"/>
        </w:rPr>
      </w:pPr>
    </w:p>
    <w:p w14:paraId="46D28185" w14:textId="77777777" w:rsidR="00F34163" w:rsidRPr="004453A7" w:rsidRDefault="00F34163" w:rsidP="00F34163">
      <w:pPr>
        <w:outlineLvl w:val="0"/>
        <w:rPr>
          <w:lang w:val="lt-LT"/>
        </w:rPr>
      </w:pPr>
    </w:p>
    <w:p w14:paraId="14BFA130" w14:textId="77777777" w:rsidR="00F34163" w:rsidRPr="004453A7" w:rsidRDefault="00F34163" w:rsidP="00F34163">
      <w:pPr>
        <w:outlineLvl w:val="0"/>
        <w:rPr>
          <w:lang w:val="lt-LT"/>
        </w:rPr>
      </w:pPr>
    </w:p>
    <w:p w14:paraId="16977386" w14:textId="77777777" w:rsidR="00F34163" w:rsidRPr="004453A7" w:rsidRDefault="00F34163" w:rsidP="00F34163">
      <w:pPr>
        <w:outlineLvl w:val="0"/>
        <w:rPr>
          <w:lang w:val="lt-LT"/>
        </w:rPr>
      </w:pPr>
    </w:p>
    <w:p w14:paraId="4B37A14A" w14:textId="77777777" w:rsidR="00F34163" w:rsidRPr="004453A7" w:rsidRDefault="00F34163" w:rsidP="00F34163">
      <w:pPr>
        <w:outlineLvl w:val="0"/>
        <w:rPr>
          <w:lang w:val="lt-LT"/>
        </w:rPr>
      </w:pPr>
    </w:p>
    <w:p w14:paraId="303363E8" w14:textId="77777777" w:rsidR="00F34163" w:rsidRPr="004453A7" w:rsidRDefault="00F34163" w:rsidP="00F34163">
      <w:pPr>
        <w:outlineLvl w:val="0"/>
        <w:rPr>
          <w:lang w:val="lt-LT"/>
        </w:rPr>
      </w:pPr>
    </w:p>
    <w:p w14:paraId="3E8C94D2" w14:textId="77777777" w:rsidR="00F34163" w:rsidRPr="004453A7" w:rsidRDefault="00F34163" w:rsidP="00F34163">
      <w:pPr>
        <w:outlineLvl w:val="0"/>
        <w:rPr>
          <w:lang w:val="lt-LT"/>
        </w:rPr>
      </w:pPr>
    </w:p>
    <w:p w14:paraId="32361874" w14:textId="77777777" w:rsidR="00F34163" w:rsidRPr="004453A7" w:rsidRDefault="00F34163" w:rsidP="00F34163">
      <w:pPr>
        <w:outlineLvl w:val="0"/>
        <w:rPr>
          <w:lang w:val="lt-LT"/>
        </w:rPr>
      </w:pPr>
    </w:p>
    <w:p w14:paraId="6054DDA6" w14:textId="77777777" w:rsidR="00F34163" w:rsidRPr="004453A7" w:rsidRDefault="00F34163" w:rsidP="00F34163">
      <w:pPr>
        <w:outlineLvl w:val="0"/>
        <w:rPr>
          <w:lang w:val="lt-LT"/>
        </w:rPr>
      </w:pPr>
    </w:p>
    <w:p w14:paraId="32C81C65" w14:textId="77777777" w:rsidR="00F34163" w:rsidRPr="004453A7" w:rsidRDefault="00F34163" w:rsidP="00F34163">
      <w:pPr>
        <w:outlineLvl w:val="0"/>
        <w:rPr>
          <w:lang w:val="lt-LT"/>
        </w:rPr>
      </w:pPr>
    </w:p>
    <w:p w14:paraId="41F62888" w14:textId="77777777" w:rsidR="00F34163" w:rsidRDefault="00F34163" w:rsidP="00F34163">
      <w:pPr>
        <w:outlineLvl w:val="0"/>
        <w:rPr>
          <w:lang w:val="lt-LT"/>
        </w:rPr>
      </w:pPr>
    </w:p>
    <w:p w14:paraId="1B7DBB15" w14:textId="77777777" w:rsidR="00505ECF" w:rsidRDefault="00505ECF" w:rsidP="00F34163">
      <w:pPr>
        <w:outlineLvl w:val="0"/>
        <w:rPr>
          <w:lang w:val="lt-LT"/>
        </w:rPr>
      </w:pPr>
    </w:p>
    <w:p w14:paraId="417EC7A8" w14:textId="77777777" w:rsidR="00505ECF" w:rsidRDefault="00505ECF" w:rsidP="00F34163">
      <w:pPr>
        <w:outlineLvl w:val="0"/>
        <w:rPr>
          <w:lang w:val="lt-LT"/>
        </w:rPr>
      </w:pPr>
    </w:p>
    <w:p w14:paraId="37BE4642" w14:textId="77777777" w:rsidR="00505ECF" w:rsidRDefault="00505ECF" w:rsidP="00F34163">
      <w:pPr>
        <w:outlineLvl w:val="0"/>
        <w:rPr>
          <w:lang w:val="lt-LT"/>
        </w:rPr>
      </w:pPr>
    </w:p>
    <w:p w14:paraId="199A1DBB" w14:textId="77777777" w:rsidR="00505ECF" w:rsidRDefault="00505ECF" w:rsidP="00F34163">
      <w:pPr>
        <w:outlineLvl w:val="0"/>
        <w:rPr>
          <w:lang w:val="lt-LT"/>
        </w:rPr>
      </w:pPr>
    </w:p>
    <w:p w14:paraId="48735AE9" w14:textId="77777777" w:rsidR="00505ECF" w:rsidRDefault="00505ECF" w:rsidP="00F34163">
      <w:pPr>
        <w:outlineLvl w:val="0"/>
        <w:rPr>
          <w:lang w:val="lt-LT"/>
        </w:rPr>
      </w:pPr>
    </w:p>
    <w:p w14:paraId="0C737D88" w14:textId="77777777" w:rsidR="00505ECF" w:rsidRDefault="00505ECF" w:rsidP="00F34163">
      <w:pPr>
        <w:outlineLvl w:val="0"/>
        <w:rPr>
          <w:lang w:val="lt-LT"/>
        </w:rPr>
      </w:pPr>
    </w:p>
    <w:p w14:paraId="45A37890" w14:textId="77777777" w:rsidR="00505ECF" w:rsidRDefault="00505ECF" w:rsidP="00F34163">
      <w:pPr>
        <w:outlineLvl w:val="0"/>
        <w:rPr>
          <w:lang w:val="lt-LT"/>
        </w:rPr>
      </w:pPr>
    </w:p>
    <w:p w14:paraId="2B5501F5" w14:textId="77777777" w:rsidR="00505ECF" w:rsidRDefault="00505ECF" w:rsidP="00F34163">
      <w:pPr>
        <w:outlineLvl w:val="0"/>
        <w:rPr>
          <w:lang w:val="lt-LT"/>
        </w:rPr>
      </w:pPr>
    </w:p>
    <w:p w14:paraId="7738DF14" w14:textId="77777777" w:rsidR="00505ECF" w:rsidRDefault="00505ECF" w:rsidP="00F34163">
      <w:pPr>
        <w:outlineLvl w:val="0"/>
        <w:rPr>
          <w:lang w:val="lt-LT"/>
        </w:rPr>
      </w:pPr>
    </w:p>
    <w:p w14:paraId="5BD3029E" w14:textId="77777777" w:rsidR="00505ECF" w:rsidRDefault="00505ECF" w:rsidP="00F34163">
      <w:pPr>
        <w:outlineLvl w:val="0"/>
        <w:rPr>
          <w:lang w:val="lt-LT"/>
        </w:rPr>
      </w:pPr>
    </w:p>
    <w:p w14:paraId="49184715" w14:textId="77777777" w:rsidR="00505ECF" w:rsidRDefault="00505ECF" w:rsidP="00F34163">
      <w:pPr>
        <w:outlineLvl w:val="0"/>
        <w:rPr>
          <w:lang w:val="lt-LT"/>
        </w:rPr>
      </w:pPr>
    </w:p>
    <w:p w14:paraId="436BC8BF" w14:textId="77777777" w:rsidR="00505ECF" w:rsidRDefault="00505ECF" w:rsidP="00F34163">
      <w:pPr>
        <w:outlineLvl w:val="0"/>
        <w:rPr>
          <w:lang w:val="lt-LT"/>
        </w:rPr>
      </w:pPr>
    </w:p>
    <w:p w14:paraId="1901123E" w14:textId="77777777" w:rsidR="00505ECF" w:rsidRDefault="00505ECF" w:rsidP="00F34163">
      <w:pPr>
        <w:outlineLvl w:val="0"/>
        <w:rPr>
          <w:lang w:val="lt-LT"/>
        </w:rPr>
      </w:pPr>
    </w:p>
    <w:p w14:paraId="5925999B" w14:textId="77777777" w:rsidR="00505ECF" w:rsidRDefault="00505ECF" w:rsidP="00F34163">
      <w:pPr>
        <w:outlineLvl w:val="0"/>
        <w:rPr>
          <w:lang w:val="lt-LT"/>
        </w:rPr>
      </w:pPr>
    </w:p>
    <w:p w14:paraId="1282BB49" w14:textId="77777777" w:rsidR="00505ECF" w:rsidRDefault="00505ECF" w:rsidP="00F34163">
      <w:pPr>
        <w:outlineLvl w:val="0"/>
        <w:rPr>
          <w:lang w:val="lt-LT"/>
        </w:rPr>
      </w:pPr>
    </w:p>
    <w:p w14:paraId="3C57892E" w14:textId="77777777" w:rsidR="00505ECF" w:rsidRDefault="00505ECF" w:rsidP="00F34163">
      <w:pPr>
        <w:outlineLvl w:val="0"/>
        <w:rPr>
          <w:lang w:val="lt-LT"/>
        </w:rPr>
      </w:pPr>
    </w:p>
    <w:p w14:paraId="05368341" w14:textId="77777777" w:rsidR="00505ECF" w:rsidRDefault="00505ECF" w:rsidP="00F34163">
      <w:pPr>
        <w:outlineLvl w:val="0"/>
        <w:rPr>
          <w:lang w:val="lt-LT"/>
        </w:rPr>
      </w:pPr>
    </w:p>
    <w:p w14:paraId="17560A6A" w14:textId="77777777" w:rsidR="00505ECF" w:rsidRDefault="00505ECF" w:rsidP="00F34163">
      <w:pPr>
        <w:outlineLvl w:val="0"/>
        <w:rPr>
          <w:lang w:val="lt-LT"/>
        </w:rPr>
      </w:pPr>
    </w:p>
    <w:p w14:paraId="5ADA4804" w14:textId="77777777" w:rsidR="00505ECF" w:rsidRDefault="00505ECF" w:rsidP="00F34163">
      <w:pPr>
        <w:outlineLvl w:val="0"/>
        <w:rPr>
          <w:lang w:val="lt-LT"/>
        </w:rPr>
      </w:pPr>
    </w:p>
    <w:p w14:paraId="0309B48C" w14:textId="77777777" w:rsidR="00505ECF" w:rsidRDefault="00505ECF" w:rsidP="00F34163">
      <w:pPr>
        <w:outlineLvl w:val="0"/>
        <w:rPr>
          <w:lang w:val="lt-LT"/>
        </w:rPr>
      </w:pPr>
    </w:p>
    <w:p w14:paraId="26601256" w14:textId="77777777" w:rsidR="00505ECF" w:rsidRDefault="00505ECF" w:rsidP="00F34163">
      <w:pPr>
        <w:outlineLvl w:val="0"/>
        <w:rPr>
          <w:lang w:val="lt-LT"/>
        </w:rPr>
      </w:pPr>
    </w:p>
    <w:p w14:paraId="4EAC3EEA" w14:textId="77777777" w:rsidR="00505ECF" w:rsidRDefault="00505ECF" w:rsidP="00F34163">
      <w:pPr>
        <w:outlineLvl w:val="0"/>
        <w:rPr>
          <w:lang w:val="lt-LT"/>
        </w:rPr>
      </w:pPr>
    </w:p>
    <w:p w14:paraId="40F68767" w14:textId="77777777" w:rsidR="00505ECF" w:rsidRDefault="00505ECF" w:rsidP="00F34163">
      <w:pPr>
        <w:outlineLvl w:val="0"/>
        <w:rPr>
          <w:lang w:val="lt-LT"/>
        </w:rPr>
      </w:pPr>
    </w:p>
    <w:p w14:paraId="368377CA" w14:textId="77777777" w:rsidR="00324035" w:rsidRDefault="00324035" w:rsidP="00F34163">
      <w:pPr>
        <w:outlineLvl w:val="0"/>
        <w:rPr>
          <w:lang w:val="lt-LT"/>
        </w:rPr>
      </w:pPr>
    </w:p>
    <w:p w14:paraId="7A966794" w14:textId="77777777" w:rsidR="00324035" w:rsidRDefault="00324035" w:rsidP="00F34163">
      <w:pPr>
        <w:outlineLvl w:val="0"/>
        <w:rPr>
          <w:lang w:val="lt-LT"/>
        </w:rPr>
      </w:pPr>
    </w:p>
    <w:p w14:paraId="4151C491" w14:textId="77777777" w:rsidR="00324035" w:rsidRDefault="00324035" w:rsidP="00F34163">
      <w:pPr>
        <w:outlineLvl w:val="0"/>
        <w:rPr>
          <w:lang w:val="lt-LT"/>
        </w:rPr>
      </w:pPr>
    </w:p>
    <w:p w14:paraId="6BA11019" w14:textId="77777777" w:rsidR="00324035" w:rsidRPr="004453A7" w:rsidRDefault="00324035" w:rsidP="00F34163">
      <w:pPr>
        <w:outlineLvl w:val="0"/>
        <w:rPr>
          <w:lang w:val="lt-LT"/>
        </w:rPr>
      </w:pPr>
    </w:p>
    <w:p w14:paraId="4CB53F94" w14:textId="77777777" w:rsidR="00F34163" w:rsidRPr="004453A7" w:rsidRDefault="00F34163" w:rsidP="00F34163">
      <w:pPr>
        <w:jc w:val="center"/>
        <w:outlineLvl w:val="0"/>
        <w:rPr>
          <w:b/>
          <w:lang w:val="lt-LT"/>
        </w:rPr>
      </w:pPr>
      <w:r w:rsidRPr="004453A7">
        <w:rPr>
          <w:b/>
          <w:lang w:val="lt-LT"/>
        </w:rPr>
        <w:t>B. PAKUOTĖS LAPELIS</w:t>
      </w:r>
    </w:p>
    <w:p w14:paraId="6054DD57" w14:textId="77777777" w:rsidR="00F34163" w:rsidRPr="004453A7" w:rsidRDefault="00F34163" w:rsidP="00F34163">
      <w:pPr>
        <w:pStyle w:val="Antrat2"/>
        <w:spacing w:before="0" w:after="0" w:line="240" w:lineRule="auto"/>
        <w:jc w:val="center"/>
        <w:rPr>
          <w:rFonts w:ascii="Times New Roman" w:hAnsi="Times New Roman"/>
          <w:bCs w:val="0"/>
          <w:i w:val="0"/>
          <w:iCs w:val="0"/>
          <w:sz w:val="22"/>
          <w:szCs w:val="24"/>
          <w:lang w:val="lt-LT"/>
        </w:rPr>
      </w:pPr>
      <w:r w:rsidRPr="004453A7">
        <w:rPr>
          <w:rFonts w:ascii="Times New Roman" w:hAnsi="Times New Roman"/>
          <w:i w:val="0"/>
          <w:sz w:val="22"/>
          <w:lang w:val="lt-LT"/>
        </w:rPr>
        <w:br w:type="page"/>
        <w:t>Pakuotės lapelis:</w:t>
      </w:r>
      <w:r w:rsidRPr="004453A7">
        <w:rPr>
          <w:rFonts w:ascii="Times New Roman" w:hAnsi="Times New Roman"/>
          <w:bCs w:val="0"/>
          <w:i w:val="0"/>
          <w:iCs w:val="0"/>
          <w:sz w:val="22"/>
          <w:szCs w:val="24"/>
          <w:lang w:val="lt-LT"/>
        </w:rPr>
        <w:t xml:space="preserve"> </w:t>
      </w:r>
      <w:r w:rsidR="000610AF" w:rsidRPr="004453A7">
        <w:rPr>
          <w:rFonts w:ascii="Times New Roman" w:hAnsi="Times New Roman"/>
          <w:i w:val="0"/>
          <w:sz w:val="22"/>
          <w:lang w:val="lt-LT"/>
        </w:rPr>
        <w:t>informacija vartotojui</w:t>
      </w:r>
    </w:p>
    <w:p w14:paraId="32BC44DF" w14:textId="77777777" w:rsidR="00F34163" w:rsidRPr="004453A7" w:rsidRDefault="00F34163" w:rsidP="00F34163">
      <w:pPr>
        <w:numPr>
          <w:ilvl w:val="12"/>
          <w:numId w:val="0"/>
        </w:numPr>
        <w:shd w:val="clear" w:color="auto" w:fill="FFFFFF"/>
        <w:tabs>
          <w:tab w:val="clear" w:pos="567"/>
        </w:tabs>
        <w:spacing w:line="240" w:lineRule="auto"/>
        <w:jc w:val="center"/>
        <w:rPr>
          <w:szCs w:val="24"/>
          <w:lang w:val="lt-LT"/>
        </w:rPr>
      </w:pPr>
    </w:p>
    <w:p w14:paraId="7BAAF8EC" w14:textId="77777777" w:rsidR="000610AF" w:rsidRPr="004453A7" w:rsidRDefault="000610AF" w:rsidP="000610AF">
      <w:pPr>
        <w:jc w:val="center"/>
        <w:rPr>
          <w:b/>
          <w:snapToGrid/>
          <w:szCs w:val="24"/>
          <w:lang w:val="lt-LT"/>
        </w:rPr>
      </w:pPr>
      <w:r w:rsidRPr="004453A7">
        <w:rPr>
          <w:b/>
          <w:noProof/>
          <w:lang w:val="lt-LT"/>
        </w:rPr>
        <w:t>Icatibant Teva 30 mg</w:t>
      </w:r>
      <w:r w:rsidRPr="004453A7">
        <w:rPr>
          <w:b/>
          <w:lang w:val="lt-LT"/>
        </w:rPr>
        <w:t xml:space="preserve"> injekcinis tirpalas užpildytame švirkšte</w:t>
      </w:r>
    </w:p>
    <w:p w14:paraId="691C74BC" w14:textId="77777777" w:rsidR="000610AF" w:rsidRPr="004453A7" w:rsidRDefault="000610AF" w:rsidP="000610AF">
      <w:pPr>
        <w:tabs>
          <w:tab w:val="clear" w:pos="567"/>
          <w:tab w:val="left" w:pos="720"/>
        </w:tabs>
        <w:spacing w:line="240" w:lineRule="auto"/>
        <w:jc w:val="center"/>
        <w:rPr>
          <w:lang w:val="lt-LT"/>
        </w:rPr>
      </w:pPr>
      <w:r w:rsidRPr="004453A7">
        <w:rPr>
          <w:lang w:val="lt-LT"/>
        </w:rPr>
        <w:t>I</w:t>
      </w:r>
      <w:r w:rsidR="00421FE5">
        <w:rPr>
          <w:lang w:val="lt-LT"/>
        </w:rPr>
        <w:t>k</w:t>
      </w:r>
      <w:r w:rsidRPr="004453A7">
        <w:rPr>
          <w:lang w:val="lt-LT"/>
        </w:rPr>
        <w:t>atibantas</w:t>
      </w:r>
    </w:p>
    <w:p w14:paraId="03B74C02" w14:textId="77777777" w:rsidR="000610AF" w:rsidRPr="004453A7" w:rsidRDefault="000610AF" w:rsidP="000610AF">
      <w:pPr>
        <w:tabs>
          <w:tab w:val="clear" w:pos="567"/>
          <w:tab w:val="left" w:pos="720"/>
        </w:tabs>
        <w:spacing w:line="240" w:lineRule="auto"/>
        <w:jc w:val="center"/>
        <w:rPr>
          <w:lang w:val="lt-LT"/>
        </w:rPr>
      </w:pPr>
    </w:p>
    <w:p w14:paraId="29EB97EF" w14:textId="77777777" w:rsidR="000610AF" w:rsidRPr="004453A7" w:rsidRDefault="000610AF" w:rsidP="000610AF">
      <w:pPr>
        <w:tabs>
          <w:tab w:val="clear" w:pos="567"/>
          <w:tab w:val="left" w:pos="720"/>
        </w:tabs>
        <w:spacing w:line="240" w:lineRule="auto"/>
        <w:jc w:val="center"/>
        <w:rPr>
          <w:lang w:val="lt-LT"/>
        </w:rPr>
      </w:pPr>
    </w:p>
    <w:p w14:paraId="4E306FEF" w14:textId="77777777" w:rsidR="00F34163" w:rsidRPr="004453A7" w:rsidRDefault="00F34163" w:rsidP="00F34163">
      <w:pPr>
        <w:tabs>
          <w:tab w:val="clear" w:pos="567"/>
        </w:tabs>
        <w:suppressAutoHyphens/>
        <w:spacing w:line="240" w:lineRule="auto"/>
        <w:ind w:left="142" w:hanging="142"/>
        <w:rPr>
          <w:szCs w:val="24"/>
          <w:lang w:val="lt-LT"/>
        </w:rPr>
      </w:pPr>
      <w:r w:rsidRPr="004453A7">
        <w:rPr>
          <w:b/>
          <w:noProof/>
          <w:szCs w:val="24"/>
          <w:lang w:val="lt-LT"/>
        </w:rPr>
        <w:t>Atidžiai perskaitykite visą šį lapelį, prieš pradėdami vartoti vaistą, nes jame pateikiama Jums svarbi informacija.</w:t>
      </w:r>
    </w:p>
    <w:p w14:paraId="334301EF" w14:textId="77777777" w:rsidR="00F34163" w:rsidRPr="004453A7" w:rsidRDefault="00F34163" w:rsidP="00F34163">
      <w:pPr>
        <w:numPr>
          <w:ilvl w:val="0"/>
          <w:numId w:val="3"/>
        </w:numPr>
        <w:tabs>
          <w:tab w:val="clear" w:pos="567"/>
        </w:tabs>
        <w:spacing w:line="240" w:lineRule="auto"/>
        <w:ind w:left="567" w:right="-2" w:hanging="567"/>
        <w:rPr>
          <w:szCs w:val="24"/>
          <w:lang w:val="lt-LT"/>
        </w:rPr>
      </w:pPr>
      <w:r w:rsidRPr="004453A7">
        <w:rPr>
          <w:noProof/>
          <w:szCs w:val="24"/>
          <w:lang w:val="lt-LT"/>
        </w:rPr>
        <w:t>Neišmeskite šio lapelio, nes vėl gali prireikti jį perskaityti.</w:t>
      </w:r>
      <w:r w:rsidRPr="004453A7">
        <w:rPr>
          <w:szCs w:val="24"/>
          <w:lang w:val="lt-LT"/>
        </w:rPr>
        <w:t xml:space="preserve"> </w:t>
      </w:r>
    </w:p>
    <w:p w14:paraId="2CAE0D0F" w14:textId="77777777" w:rsidR="00F34163" w:rsidRPr="004453A7" w:rsidRDefault="00F34163" w:rsidP="00F34163">
      <w:pPr>
        <w:numPr>
          <w:ilvl w:val="0"/>
          <w:numId w:val="3"/>
        </w:numPr>
        <w:tabs>
          <w:tab w:val="clear" w:pos="567"/>
        </w:tabs>
        <w:spacing w:line="240" w:lineRule="auto"/>
        <w:ind w:left="567" w:right="-2" w:hanging="567"/>
        <w:rPr>
          <w:szCs w:val="24"/>
          <w:lang w:val="lt-LT"/>
        </w:rPr>
      </w:pPr>
      <w:r w:rsidRPr="004453A7">
        <w:rPr>
          <w:noProof/>
          <w:szCs w:val="24"/>
          <w:lang w:val="lt-LT"/>
        </w:rPr>
        <w:t xml:space="preserve">Jeigu kiltų daugiau klausimų, kreipkitės į </w:t>
      </w:r>
      <w:r w:rsidR="000610AF" w:rsidRPr="004453A7">
        <w:rPr>
          <w:noProof/>
          <w:szCs w:val="24"/>
          <w:lang w:val="lt-LT"/>
        </w:rPr>
        <w:t xml:space="preserve">gydytoją arba </w:t>
      </w:r>
      <w:r w:rsidRPr="004453A7">
        <w:rPr>
          <w:noProof/>
          <w:szCs w:val="24"/>
          <w:lang w:val="lt-LT"/>
        </w:rPr>
        <w:t>vaistininką.</w:t>
      </w:r>
    </w:p>
    <w:p w14:paraId="2C37CD1F" w14:textId="77777777" w:rsidR="00F34163" w:rsidRPr="004453A7" w:rsidRDefault="00F34163" w:rsidP="00F34163">
      <w:pPr>
        <w:spacing w:line="240" w:lineRule="auto"/>
        <w:ind w:left="567" w:right="-2" w:hanging="567"/>
        <w:rPr>
          <w:szCs w:val="24"/>
          <w:lang w:val="lt-LT"/>
        </w:rPr>
      </w:pPr>
      <w:r w:rsidRPr="004453A7">
        <w:rPr>
          <w:szCs w:val="24"/>
          <w:lang w:val="lt-LT"/>
        </w:rPr>
        <w:t>-</w:t>
      </w:r>
      <w:r w:rsidRPr="004453A7">
        <w:rPr>
          <w:szCs w:val="24"/>
          <w:lang w:val="lt-LT"/>
        </w:rPr>
        <w:tab/>
      </w:r>
      <w:r w:rsidRPr="004453A7">
        <w:rPr>
          <w:noProof/>
          <w:szCs w:val="24"/>
          <w:lang w:val="lt-LT"/>
        </w:rPr>
        <w:t>Šis vaistas skirtas tik Jums, todėl kitiems žmonėms jo duoti negalima.</w:t>
      </w:r>
      <w:r w:rsidRPr="004453A7">
        <w:rPr>
          <w:szCs w:val="24"/>
          <w:lang w:val="lt-LT"/>
        </w:rPr>
        <w:t xml:space="preserve"> </w:t>
      </w:r>
      <w:r w:rsidRPr="004453A7">
        <w:rPr>
          <w:noProof/>
          <w:szCs w:val="24"/>
          <w:lang w:val="lt-LT"/>
        </w:rPr>
        <w:t>Vaistas gali jiems pakenkti (net tiems, kurių ligos požym</w:t>
      </w:r>
      <w:r w:rsidR="000610AF" w:rsidRPr="004453A7">
        <w:rPr>
          <w:noProof/>
          <w:szCs w:val="24"/>
          <w:lang w:val="lt-LT"/>
        </w:rPr>
        <w:t>iai yra tokie patys kaip Jūsų).</w:t>
      </w:r>
      <w:r w:rsidRPr="004453A7">
        <w:rPr>
          <w:color w:val="008000"/>
          <w:szCs w:val="24"/>
          <w:lang w:val="lt-LT"/>
        </w:rPr>
        <w:t xml:space="preserve"> </w:t>
      </w:r>
    </w:p>
    <w:p w14:paraId="73C4DB7A" w14:textId="77777777" w:rsidR="00F34163" w:rsidRPr="004453A7" w:rsidRDefault="00F34163" w:rsidP="00F34163">
      <w:pPr>
        <w:numPr>
          <w:ilvl w:val="0"/>
          <w:numId w:val="3"/>
        </w:numPr>
        <w:spacing w:line="240" w:lineRule="auto"/>
        <w:ind w:left="567" w:hanging="567"/>
        <w:rPr>
          <w:szCs w:val="24"/>
          <w:lang w:val="lt-LT"/>
        </w:rPr>
      </w:pPr>
      <w:r w:rsidRPr="004453A7">
        <w:rPr>
          <w:noProof/>
          <w:szCs w:val="24"/>
          <w:lang w:val="lt-LT"/>
        </w:rPr>
        <w:t>Jeigu pasireiškė šalutinis poveikis (net jeigu jis šiame lapel</w:t>
      </w:r>
      <w:r w:rsidR="000610AF" w:rsidRPr="004453A7">
        <w:rPr>
          <w:noProof/>
          <w:szCs w:val="24"/>
          <w:lang w:val="lt-LT"/>
        </w:rPr>
        <w:t>yje nenurodytas), kreipkitės į gydytoją arba vaistininką. Žr. 4 skyrių.</w:t>
      </w:r>
    </w:p>
    <w:p w14:paraId="6224C085" w14:textId="77777777" w:rsidR="00F34163" w:rsidRPr="004453A7" w:rsidRDefault="00F34163" w:rsidP="00F34163">
      <w:pPr>
        <w:tabs>
          <w:tab w:val="clear" w:pos="567"/>
        </w:tabs>
        <w:spacing w:line="240" w:lineRule="auto"/>
        <w:ind w:right="-2"/>
        <w:rPr>
          <w:szCs w:val="24"/>
          <w:lang w:val="lt-LT"/>
        </w:rPr>
      </w:pPr>
    </w:p>
    <w:p w14:paraId="36FA890E"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Apie ką rašoma šiame lapelyje?</w:t>
      </w:r>
    </w:p>
    <w:p w14:paraId="4468B6A7" w14:textId="77777777" w:rsidR="00F34163" w:rsidRPr="004453A7" w:rsidRDefault="00F34163" w:rsidP="00F34163">
      <w:pPr>
        <w:numPr>
          <w:ilvl w:val="12"/>
          <w:numId w:val="0"/>
        </w:numPr>
        <w:tabs>
          <w:tab w:val="clear" w:pos="567"/>
        </w:tabs>
        <w:spacing w:line="240" w:lineRule="auto"/>
        <w:ind w:left="284" w:right="-2"/>
        <w:rPr>
          <w:szCs w:val="24"/>
          <w:lang w:val="lt-LT"/>
        </w:rPr>
      </w:pPr>
    </w:p>
    <w:p w14:paraId="0033F2F9" w14:textId="77777777" w:rsidR="00F34163" w:rsidRPr="004453A7" w:rsidRDefault="00F34163" w:rsidP="000610AF">
      <w:pPr>
        <w:ind w:left="567" w:hanging="567"/>
        <w:rPr>
          <w:szCs w:val="24"/>
          <w:lang w:val="lt-LT"/>
        </w:rPr>
      </w:pPr>
      <w:r w:rsidRPr="004453A7">
        <w:rPr>
          <w:szCs w:val="24"/>
          <w:lang w:val="lt-LT"/>
        </w:rPr>
        <w:t>1.</w:t>
      </w:r>
      <w:r w:rsidRPr="004453A7">
        <w:rPr>
          <w:szCs w:val="24"/>
          <w:lang w:val="lt-LT"/>
        </w:rPr>
        <w:tab/>
      </w:r>
      <w:r w:rsidRPr="004453A7">
        <w:rPr>
          <w:lang w:val="lt-LT"/>
        </w:rPr>
        <w:t xml:space="preserve">Kas yra </w:t>
      </w:r>
      <w:r w:rsidR="000610AF" w:rsidRPr="004453A7">
        <w:rPr>
          <w:noProof/>
          <w:lang w:val="lt-LT"/>
        </w:rPr>
        <w:t xml:space="preserve">Icatibant Teva </w:t>
      </w:r>
      <w:r w:rsidRPr="004453A7">
        <w:rPr>
          <w:lang w:val="lt-LT"/>
        </w:rPr>
        <w:t>ir kam jis vartojamas</w:t>
      </w:r>
      <w:r w:rsidRPr="004453A7">
        <w:rPr>
          <w:szCs w:val="24"/>
          <w:lang w:val="lt-LT"/>
        </w:rPr>
        <w:t xml:space="preserve"> </w:t>
      </w:r>
    </w:p>
    <w:p w14:paraId="63FCE6D0" w14:textId="77777777" w:rsidR="00F34163" w:rsidRPr="004453A7" w:rsidRDefault="00F34163" w:rsidP="000610AF">
      <w:pPr>
        <w:ind w:left="567" w:hanging="567"/>
        <w:rPr>
          <w:snapToGrid/>
          <w:lang w:val="lt-LT"/>
        </w:rPr>
      </w:pPr>
      <w:r w:rsidRPr="004453A7">
        <w:rPr>
          <w:szCs w:val="24"/>
          <w:lang w:val="lt-LT"/>
        </w:rPr>
        <w:t>2.</w:t>
      </w:r>
      <w:r w:rsidRPr="004453A7">
        <w:rPr>
          <w:szCs w:val="24"/>
          <w:lang w:val="lt-LT"/>
        </w:rPr>
        <w:tab/>
      </w:r>
      <w:r w:rsidRPr="004453A7">
        <w:rPr>
          <w:noProof/>
          <w:szCs w:val="24"/>
          <w:lang w:val="lt-LT"/>
        </w:rPr>
        <w:t xml:space="preserve">Kas žinotina prieš vartojant </w:t>
      </w:r>
      <w:r w:rsidR="000610AF" w:rsidRPr="004453A7">
        <w:rPr>
          <w:noProof/>
          <w:lang w:val="lt-LT"/>
        </w:rPr>
        <w:t xml:space="preserve">Icatibant Teva </w:t>
      </w:r>
    </w:p>
    <w:p w14:paraId="782FA7C8" w14:textId="77777777" w:rsidR="00F34163" w:rsidRPr="004453A7" w:rsidRDefault="00F34163" w:rsidP="000610AF">
      <w:pPr>
        <w:ind w:left="567" w:hanging="567"/>
        <w:rPr>
          <w:snapToGrid/>
          <w:lang w:val="lt-LT"/>
        </w:rPr>
      </w:pPr>
      <w:r w:rsidRPr="004453A7">
        <w:rPr>
          <w:szCs w:val="24"/>
          <w:lang w:val="lt-LT"/>
        </w:rPr>
        <w:t>3.</w:t>
      </w:r>
      <w:r w:rsidRPr="004453A7">
        <w:rPr>
          <w:szCs w:val="24"/>
          <w:lang w:val="lt-LT"/>
        </w:rPr>
        <w:tab/>
      </w:r>
      <w:r w:rsidRPr="004453A7">
        <w:rPr>
          <w:noProof/>
          <w:szCs w:val="24"/>
          <w:lang w:val="lt-LT"/>
        </w:rPr>
        <w:t xml:space="preserve">Kaip vartoti </w:t>
      </w:r>
      <w:r w:rsidR="000610AF" w:rsidRPr="004453A7">
        <w:rPr>
          <w:noProof/>
          <w:lang w:val="lt-LT"/>
        </w:rPr>
        <w:t xml:space="preserve">Icatibant Teva </w:t>
      </w:r>
    </w:p>
    <w:p w14:paraId="5744934C" w14:textId="77777777" w:rsidR="00F34163" w:rsidRPr="004453A7" w:rsidRDefault="00F34163" w:rsidP="000610AF">
      <w:pPr>
        <w:numPr>
          <w:ilvl w:val="12"/>
          <w:numId w:val="0"/>
        </w:numPr>
        <w:tabs>
          <w:tab w:val="clear" w:pos="567"/>
          <w:tab w:val="left" w:pos="709"/>
        </w:tabs>
        <w:spacing w:line="240" w:lineRule="auto"/>
        <w:ind w:left="567" w:right="-2" w:hanging="567"/>
        <w:rPr>
          <w:szCs w:val="24"/>
          <w:lang w:val="lt-LT"/>
        </w:rPr>
      </w:pPr>
      <w:r w:rsidRPr="004453A7">
        <w:rPr>
          <w:szCs w:val="24"/>
          <w:lang w:val="lt-LT"/>
        </w:rPr>
        <w:t>4.</w:t>
      </w:r>
      <w:r w:rsidRPr="004453A7">
        <w:rPr>
          <w:szCs w:val="24"/>
          <w:lang w:val="lt-LT"/>
        </w:rPr>
        <w:tab/>
      </w:r>
      <w:r w:rsidRPr="004453A7">
        <w:rPr>
          <w:lang w:val="lt-LT"/>
        </w:rPr>
        <w:t>Galimas šalutinis poveikis</w:t>
      </w:r>
      <w:r w:rsidRPr="004453A7">
        <w:rPr>
          <w:szCs w:val="24"/>
          <w:lang w:val="lt-LT"/>
        </w:rPr>
        <w:t xml:space="preserve"> </w:t>
      </w:r>
    </w:p>
    <w:p w14:paraId="7CD3BD52" w14:textId="77777777" w:rsidR="00F34163" w:rsidRPr="004453A7" w:rsidRDefault="00F34163" w:rsidP="000610AF">
      <w:pPr>
        <w:ind w:left="567" w:hanging="567"/>
        <w:rPr>
          <w:snapToGrid/>
          <w:lang w:val="lt-LT"/>
        </w:rPr>
      </w:pPr>
      <w:r w:rsidRPr="004453A7">
        <w:rPr>
          <w:szCs w:val="24"/>
          <w:lang w:val="lt-LT"/>
        </w:rPr>
        <w:t>5.</w:t>
      </w:r>
      <w:r w:rsidRPr="004453A7">
        <w:rPr>
          <w:szCs w:val="24"/>
          <w:lang w:val="lt-LT"/>
        </w:rPr>
        <w:tab/>
      </w:r>
      <w:r w:rsidRPr="004453A7">
        <w:rPr>
          <w:lang w:val="lt-LT"/>
        </w:rPr>
        <w:t xml:space="preserve">Kaip laikyti </w:t>
      </w:r>
      <w:r w:rsidR="000610AF" w:rsidRPr="004453A7">
        <w:rPr>
          <w:noProof/>
          <w:lang w:val="lt-LT"/>
        </w:rPr>
        <w:t>Icatibant Teva</w:t>
      </w:r>
      <w:r w:rsidRPr="004453A7">
        <w:rPr>
          <w:szCs w:val="24"/>
          <w:lang w:val="lt-LT"/>
        </w:rPr>
        <w:t xml:space="preserve"> </w:t>
      </w:r>
    </w:p>
    <w:p w14:paraId="6212F683" w14:textId="77777777" w:rsidR="00F34163" w:rsidRPr="004453A7" w:rsidRDefault="00F34163" w:rsidP="000610AF">
      <w:pPr>
        <w:numPr>
          <w:ilvl w:val="12"/>
          <w:numId w:val="0"/>
        </w:numPr>
        <w:tabs>
          <w:tab w:val="clear" w:pos="567"/>
          <w:tab w:val="left" w:pos="709"/>
        </w:tabs>
        <w:spacing w:line="240" w:lineRule="auto"/>
        <w:ind w:left="567" w:right="-2" w:hanging="567"/>
        <w:rPr>
          <w:szCs w:val="24"/>
          <w:lang w:val="lt-LT"/>
        </w:rPr>
      </w:pPr>
      <w:r w:rsidRPr="004453A7">
        <w:rPr>
          <w:szCs w:val="24"/>
          <w:lang w:val="lt-LT"/>
        </w:rPr>
        <w:t>6.</w:t>
      </w:r>
      <w:r w:rsidRPr="004453A7">
        <w:rPr>
          <w:szCs w:val="24"/>
          <w:lang w:val="lt-LT"/>
        </w:rPr>
        <w:tab/>
      </w:r>
      <w:r w:rsidRPr="004453A7">
        <w:rPr>
          <w:noProof/>
          <w:szCs w:val="24"/>
          <w:lang w:val="lt-LT"/>
        </w:rPr>
        <w:t>Pakuotės turinys ir kita informacija</w:t>
      </w:r>
    </w:p>
    <w:p w14:paraId="0C87E605" w14:textId="77777777" w:rsidR="00F34163" w:rsidRPr="004453A7" w:rsidRDefault="00F34163" w:rsidP="00F34163">
      <w:pPr>
        <w:numPr>
          <w:ilvl w:val="12"/>
          <w:numId w:val="0"/>
        </w:numPr>
        <w:tabs>
          <w:tab w:val="clear" w:pos="567"/>
        </w:tabs>
        <w:spacing w:line="240" w:lineRule="auto"/>
        <w:ind w:right="-2"/>
        <w:rPr>
          <w:szCs w:val="24"/>
          <w:lang w:val="lt-LT"/>
        </w:rPr>
      </w:pPr>
    </w:p>
    <w:p w14:paraId="54900CE8" w14:textId="77777777" w:rsidR="00F34163" w:rsidRPr="004453A7" w:rsidRDefault="00F34163" w:rsidP="00F34163">
      <w:pPr>
        <w:numPr>
          <w:ilvl w:val="12"/>
          <w:numId w:val="0"/>
        </w:numPr>
        <w:tabs>
          <w:tab w:val="clear" w:pos="567"/>
        </w:tabs>
        <w:spacing w:line="240" w:lineRule="auto"/>
        <w:ind w:right="-2"/>
        <w:rPr>
          <w:szCs w:val="24"/>
          <w:lang w:val="lt-LT"/>
        </w:rPr>
      </w:pPr>
    </w:p>
    <w:p w14:paraId="354BF7E0" w14:textId="77777777" w:rsidR="00F34163" w:rsidRPr="004453A7" w:rsidRDefault="00F34163" w:rsidP="000610AF">
      <w:pPr>
        <w:rPr>
          <w:b/>
          <w:lang w:val="lt-LT"/>
        </w:rPr>
      </w:pPr>
      <w:r w:rsidRPr="004453A7">
        <w:rPr>
          <w:b/>
          <w:lang w:val="lt-LT"/>
        </w:rPr>
        <w:t>1.</w:t>
      </w:r>
      <w:r w:rsidRPr="004453A7">
        <w:rPr>
          <w:b/>
          <w:lang w:val="lt-LT"/>
        </w:rPr>
        <w:tab/>
        <w:t xml:space="preserve">Kas yra </w:t>
      </w:r>
      <w:r w:rsidR="000610AF" w:rsidRPr="004453A7">
        <w:rPr>
          <w:b/>
          <w:noProof/>
          <w:lang w:val="lt-LT"/>
        </w:rPr>
        <w:t xml:space="preserve">Icatibant Teva </w:t>
      </w:r>
      <w:r w:rsidRPr="004453A7">
        <w:rPr>
          <w:b/>
          <w:lang w:val="lt-LT"/>
        </w:rPr>
        <w:t>ir kam jis vartojamas</w:t>
      </w:r>
    </w:p>
    <w:p w14:paraId="3E710CD0" w14:textId="77777777" w:rsidR="00F34163" w:rsidRPr="004453A7" w:rsidRDefault="00F34163" w:rsidP="00F34163">
      <w:pPr>
        <w:numPr>
          <w:ilvl w:val="12"/>
          <w:numId w:val="0"/>
        </w:numPr>
        <w:tabs>
          <w:tab w:val="clear" w:pos="567"/>
        </w:tabs>
        <w:spacing w:line="240" w:lineRule="auto"/>
        <w:ind w:right="-2"/>
        <w:rPr>
          <w:szCs w:val="24"/>
          <w:lang w:val="lt-LT"/>
        </w:rPr>
      </w:pPr>
    </w:p>
    <w:p w14:paraId="1205697F" w14:textId="77777777" w:rsidR="00F35818" w:rsidRPr="004453A7" w:rsidRDefault="0007733D" w:rsidP="0007733D">
      <w:pPr>
        <w:rPr>
          <w:lang w:val="lt-LT"/>
        </w:rPr>
      </w:pPr>
      <w:r w:rsidRPr="004453A7">
        <w:rPr>
          <w:noProof/>
          <w:lang w:val="lt-LT"/>
        </w:rPr>
        <w:t xml:space="preserve">Icatibant Teva </w:t>
      </w:r>
      <w:r w:rsidRPr="004453A7">
        <w:rPr>
          <w:lang w:val="lt-LT"/>
        </w:rPr>
        <w:t xml:space="preserve">sudėtyje yra veiklioji medžiaga ikatibantas. </w:t>
      </w:r>
    </w:p>
    <w:p w14:paraId="74ACF01F" w14:textId="77777777" w:rsidR="00F35818" w:rsidRPr="004453A7" w:rsidRDefault="00F35818" w:rsidP="0007733D">
      <w:pPr>
        <w:rPr>
          <w:lang w:val="lt-LT"/>
        </w:rPr>
      </w:pPr>
    </w:p>
    <w:p w14:paraId="2984BDF0" w14:textId="77777777" w:rsidR="00F35818" w:rsidRPr="004453A7" w:rsidRDefault="0007733D" w:rsidP="0007733D">
      <w:pPr>
        <w:rPr>
          <w:lang w:val="lt-LT"/>
        </w:rPr>
      </w:pPr>
      <w:r w:rsidRPr="004453A7">
        <w:rPr>
          <w:noProof/>
          <w:lang w:val="lt-LT"/>
        </w:rPr>
        <w:t xml:space="preserve">Icatibant Teva </w:t>
      </w:r>
      <w:r w:rsidRPr="004453A7">
        <w:rPr>
          <w:lang w:val="lt-LT"/>
        </w:rPr>
        <w:t>vartojamas paveldimos angio</w:t>
      </w:r>
      <w:r w:rsidR="00FA3A59">
        <w:rPr>
          <w:lang w:val="lt-LT"/>
        </w:rPr>
        <w:t xml:space="preserve">neurozinės </w:t>
      </w:r>
      <w:r w:rsidRPr="004453A7">
        <w:rPr>
          <w:lang w:val="lt-LT"/>
        </w:rPr>
        <w:t xml:space="preserve">edemos (PAE) simptomų gydymui suaugusiems, paaugliams ir 2 metų ar vyresniems vaikams. </w:t>
      </w:r>
    </w:p>
    <w:p w14:paraId="64777095" w14:textId="77777777" w:rsidR="00F35818" w:rsidRPr="004453A7" w:rsidRDefault="0007733D" w:rsidP="0007733D">
      <w:pPr>
        <w:rPr>
          <w:lang w:val="lt-LT"/>
        </w:rPr>
      </w:pPr>
      <w:r w:rsidRPr="004453A7">
        <w:rPr>
          <w:lang w:val="lt-LT"/>
        </w:rPr>
        <w:t xml:space="preserve">Jei sergate PAE, Jūsų kraujyje padidėja bradikininu vadinamos medžiagos koncentracija ir todėl atsiranda simptomų, pavyzdžiui, patinimas, skausmas, pykinimas ir viduriavimas. </w:t>
      </w:r>
    </w:p>
    <w:p w14:paraId="55270082" w14:textId="77777777" w:rsidR="00F34163" w:rsidRPr="004453A7" w:rsidRDefault="0007733D" w:rsidP="0007733D">
      <w:pPr>
        <w:rPr>
          <w:snapToGrid/>
          <w:lang w:val="lt-LT"/>
        </w:rPr>
      </w:pPr>
      <w:r w:rsidRPr="004453A7">
        <w:rPr>
          <w:noProof/>
          <w:lang w:val="lt-LT"/>
        </w:rPr>
        <w:t>Icatibant Teva</w:t>
      </w:r>
      <w:r w:rsidRPr="004453A7">
        <w:rPr>
          <w:lang w:val="lt-LT"/>
        </w:rPr>
        <w:t xml:space="preserve"> blokuoja bradikinino veikimą ir taip sustabdo PAE priepuolio simptomų </w:t>
      </w:r>
      <w:r w:rsidR="00F35818" w:rsidRPr="004453A7">
        <w:rPr>
          <w:lang w:val="lt-LT"/>
        </w:rPr>
        <w:t>progresavimą</w:t>
      </w:r>
      <w:r w:rsidRPr="004453A7">
        <w:rPr>
          <w:lang w:val="lt-LT"/>
        </w:rPr>
        <w:t>.</w:t>
      </w:r>
    </w:p>
    <w:p w14:paraId="544B6925" w14:textId="77777777" w:rsidR="00F34163" w:rsidRDefault="00F34163" w:rsidP="00F34163">
      <w:pPr>
        <w:numPr>
          <w:ilvl w:val="12"/>
          <w:numId w:val="0"/>
        </w:numPr>
        <w:tabs>
          <w:tab w:val="clear" w:pos="567"/>
        </w:tabs>
        <w:spacing w:line="240" w:lineRule="auto"/>
        <w:ind w:right="-2"/>
        <w:rPr>
          <w:szCs w:val="24"/>
          <w:lang w:val="lt-LT"/>
        </w:rPr>
      </w:pPr>
    </w:p>
    <w:p w14:paraId="6C0D9C30" w14:textId="77777777" w:rsidR="00F16A09" w:rsidRPr="004453A7" w:rsidRDefault="00F16A09" w:rsidP="00F34163">
      <w:pPr>
        <w:numPr>
          <w:ilvl w:val="12"/>
          <w:numId w:val="0"/>
        </w:numPr>
        <w:tabs>
          <w:tab w:val="clear" w:pos="567"/>
        </w:tabs>
        <w:spacing w:line="240" w:lineRule="auto"/>
        <w:ind w:right="-2"/>
        <w:rPr>
          <w:szCs w:val="24"/>
          <w:lang w:val="lt-LT"/>
        </w:rPr>
      </w:pPr>
    </w:p>
    <w:p w14:paraId="612DBEEB"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2.</w:t>
      </w:r>
      <w:r w:rsidRPr="004453A7">
        <w:rPr>
          <w:rFonts w:ascii="Times New Roman" w:hAnsi="Times New Roman"/>
          <w:sz w:val="22"/>
          <w:lang w:val="lt-LT"/>
        </w:rPr>
        <w:tab/>
        <w:t xml:space="preserve">Kas žinotina prieš vartojant </w:t>
      </w:r>
      <w:r w:rsidR="000610AF" w:rsidRPr="004453A7">
        <w:rPr>
          <w:rFonts w:ascii="Times New Roman" w:hAnsi="Times New Roman"/>
          <w:noProof/>
          <w:sz w:val="22"/>
          <w:szCs w:val="22"/>
          <w:lang w:val="lt-LT"/>
        </w:rPr>
        <w:t>Icatibant Teva</w:t>
      </w:r>
      <w:r w:rsidRPr="004453A7">
        <w:rPr>
          <w:rFonts w:ascii="Times New Roman" w:hAnsi="Times New Roman"/>
          <w:sz w:val="22"/>
          <w:lang w:val="lt-LT"/>
        </w:rPr>
        <w:t xml:space="preserve"> </w:t>
      </w:r>
      <w:r w:rsidRPr="004453A7">
        <w:rPr>
          <w:rFonts w:ascii="Times New Roman" w:hAnsi="Times New Roman"/>
          <w:bCs w:val="0"/>
          <w:sz w:val="22"/>
          <w:szCs w:val="24"/>
          <w:lang w:val="lt-LT"/>
        </w:rPr>
        <w:t xml:space="preserve"> </w:t>
      </w:r>
    </w:p>
    <w:p w14:paraId="3302235A" w14:textId="77777777" w:rsidR="00F34163" w:rsidRPr="004453A7" w:rsidRDefault="00F34163" w:rsidP="00F34163">
      <w:pPr>
        <w:numPr>
          <w:ilvl w:val="12"/>
          <w:numId w:val="0"/>
        </w:numPr>
        <w:tabs>
          <w:tab w:val="clear" w:pos="567"/>
        </w:tabs>
        <w:spacing w:line="240" w:lineRule="auto"/>
        <w:ind w:right="-2"/>
        <w:rPr>
          <w:szCs w:val="24"/>
          <w:lang w:val="lt-LT"/>
        </w:rPr>
      </w:pPr>
    </w:p>
    <w:p w14:paraId="7412EF56" w14:textId="77777777" w:rsidR="00F34163" w:rsidRPr="004453A7" w:rsidRDefault="000610AF" w:rsidP="00F34163">
      <w:pPr>
        <w:pStyle w:val="Antrat4"/>
        <w:rPr>
          <w:rFonts w:ascii="Times New Roman" w:hAnsi="Times New Roman"/>
          <w:sz w:val="22"/>
          <w:lang w:val="lt-LT"/>
        </w:rPr>
      </w:pPr>
      <w:r w:rsidRPr="004453A7">
        <w:rPr>
          <w:rFonts w:ascii="Times New Roman" w:hAnsi="Times New Roman"/>
          <w:noProof/>
          <w:sz w:val="22"/>
          <w:szCs w:val="22"/>
          <w:lang w:val="lt-LT"/>
        </w:rPr>
        <w:t>Icatibant Teva</w:t>
      </w:r>
      <w:r w:rsidRPr="004453A7">
        <w:rPr>
          <w:noProof/>
          <w:lang w:val="lt-LT"/>
        </w:rPr>
        <w:t xml:space="preserve"> </w:t>
      </w:r>
      <w:r w:rsidR="0007733D" w:rsidRPr="004453A7">
        <w:rPr>
          <w:rFonts w:ascii="Times New Roman" w:hAnsi="Times New Roman"/>
          <w:sz w:val="22"/>
          <w:lang w:val="lt-LT"/>
        </w:rPr>
        <w:t xml:space="preserve">vartoti </w:t>
      </w:r>
      <w:r w:rsidR="00FA3A59">
        <w:rPr>
          <w:rFonts w:ascii="Times New Roman" w:hAnsi="Times New Roman"/>
          <w:sz w:val="22"/>
          <w:lang w:val="lt-LT"/>
        </w:rPr>
        <w:t>draudžiama</w:t>
      </w:r>
      <w:r w:rsidR="0007733D" w:rsidRPr="004453A7">
        <w:rPr>
          <w:rFonts w:ascii="Times New Roman" w:hAnsi="Times New Roman"/>
          <w:sz w:val="22"/>
          <w:lang w:val="lt-LT"/>
        </w:rPr>
        <w:t>:</w:t>
      </w:r>
    </w:p>
    <w:p w14:paraId="1574A690" w14:textId="77777777" w:rsidR="00F34163" w:rsidRPr="004453A7" w:rsidRDefault="00F34163" w:rsidP="00F34163">
      <w:pPr>
        <w:numPr>
          <w:ilvl w:val="12"/>
          <w:numId w:val="0"/>
        </w:numPr>
        <w:spacing w:line="240" w:lineRule="auto"/>
        <w:ind w:left="567" w:hanging="567"/>
        <w:rPr>
          <w:szCs w:val="24"/>
          <w:lang w:val="lt-LT"/>
        </w:rPr>
      </w:pPr>
      <w:r w:rsidRPr="004453A7">
        <w:rPr>
          <w:szCs w:val="24"/>
          <w:lang w:val="lt-LT"/>
        </w:rPr>
        <w:t>-</w:t>
      </w:r>
      <w:r w:rsidRPr="004453A7">
        <w:rPr>
          <w:szCs w:val="24"/>
          <w:lang w:val="lt-LT"/>
        </w:rPr>
        <w:tab/>
      </w:r>
      <w:r w:rsidRPr="004453A7">
        <w:rPr>
          <w:noProof/>
          <w:szCs w:val="24"/>
          <w:lang w:val="lt-LT"/>
        </w:rPr>
        <w:t xml:space="preserve">jeigu yra alergija </w:t>
      </w:r>
      <w:r w:rsidR="0007733D" w:rsidRPr="004453A7">
        <w:rPr>
          <w:noProof/>
          <w:szCs w:val="24"/>
          <w:lang w:val="lt-LT"/>
        </w:rPr>
        <w:t>ikati</w:t>
      </w:r>
      <w:r w:rsidR="00FA3A59">
        <w:rPr>
          <w:noProof/>
          <w:szCs w:val="24"/>
          <w:lang w:val="lt-LT"/>
        </w:rPr>
        <w:t>b</w:t>
      </w:r>
      <w:r w:rsidR="0007733D" w:rsidRPr="004453A7">
        <w:rPr>
          <w:noProof/>
          <w:szCs w:val="24"/>
          <w:lang w:val="lt-LT"/>
        </w:rPr>
        <w:t>antui</w:t>
      </w:r>
      <w:r w:rsidRPr="004453A7">
        <w:rPr>
          <w:noProof/>
          <w:szCs w:val="24"/>
          <w:lang w:val="lt-LT"/>
        </w:rPr>
        <w:t xml:space="preserve"> arba bet kuriai pagalbinei šio vaisto medžiag</w:t>
      </w:r>
      <w:r w:rsidR="0007733D" w:rsidRPr="004453A7">
        <w:rPr>
          <w:noProof/>
          <w:szCs w:val="24"/>
          <w:lang w:val="lt-LT"/>
        </w:rPr>
        <w:t>ai (jos išvardytos 6 skyriuje).</w:t>
      </w:r>
    </w:p>
    <w:p w14:paraId="3726A094" w14:textId="77777777" w:rsidR="00F34163" w:rsidRPr="004453A7" w:rsidRDefault="00F34163" w:rsidP="00F34163">
      <w:pPr>
        <w:numPr>
          <w:ilvl w:val="12"/>
          <w:numId w:val="0"/>
        </w:numPr>
        <w:tabs>
          <w:tab w:val="clear" w:pos="567"/>
        </w:tabs>
        <w:spacing w:line="240" w:lineRule="auto"/>
        <w:ind w:right="-2"/>
        <w:rPr>
          <w:szCs w:val="24"/>
          <w:lang w:val="lt-LT"/>
        </w:rPr>
      </w:pPr>
    </w:p>
    <w:p w14:paraId="5FEB256E"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 xml:space="preserve">Įspėjimai ir atsargumo priemonės </w:t>
      </w:r>
    </w:p>
    <w:p w14:paraId="5B07DABB" w14:textId="77777777" w:rsidR="0007733D" w:rsidRPr="004453A7" w:rsidRDefault="0007733D" w:rsidP="0007733D">
      <w:pPr>
        <w:rPr>
          <w:lang w:val="lt-LT"/>
        </w:rPr>
      </w:pPr>
      <w:r w:rsidRPr="004453A7">
        <w:rPr>
          <w:lang w:val="lt-LT"/>
        </w:rPr>
        <w:t xml:space="preserve">Pasitarkite su gydytoju, prieš pradėdami vartoti </w:t>
      </w:r>
      <w:r w:rsidRPr="004453A7">
        <w:rPr>
          <w:noProof/>
          <w:lang w:val="lt-LT"/>
        </w:rPr>
        <w:t>Icatibant Teva</w:t>
      </w:r>
      <w:r w:rsidRPr="004453A7">
        <w:rPr>
          <w:lang w:val="lt-LT"/>
        </w:rPr>
        <w:t xml:space="preserve">: </w:t>
      </w:r>
    </w:p>
    <w:p w14:paraId="575F15BE" w14:textId="77777777" w:rsidR="0007733D" w:rsidRPr="004453A7" w:rsidRDefault="0007733D" w:rsidP="00037B8B">
      <w:pPr>
        <w:numPr>
          <w:ilvl w:val="0"/>
          <w:numId w:val="16"/>
        </w:numPr>
        <w:ind w:left="567" w:hanging="567"/>
        <w:rPr>
          <w:lang w:val="lt-LT"/>
        </w:rPr>
      </w:pPr>
      <w:r w:rsidRPr="004453A7">
        <w:rPr>
          <w:lang w:val="lt-LT"/>
        </w:rPr>
        <w:t xml:space="preserve">jeigu Jūs sergate krūtinės angina (sumažėjusiu kraujo tekėjimu į širdies raumenis); </w:t>
      </w:r>
    </w:p>
    <w:p w14:paraId="75D203BF" w14:textId="77777777" w:rsidR="00F35818" w:rsidRPr="004453A7" w:rsidRDefault="0007733D" w:rsidP="00037B8B">
      <w:pPr>
        <w:numPr>
          <w:ilvl w:val="0"/>
          <w:numId w:val="16"/>
        </w:numPr>
        <w:ind w:left="567" w:hanging="567"/>
        <w:rPr>
          <w:lang w:val="lt-LT"/>
        </w:rPr>
      </w:pPr>
      <w:r w:rsidRPr="004453A7">
        <w:rPr>
          <w:lang w:val="lt-LT"/>
        </w:rPr>
        <w:t xml:space="preserve">jeigu neseniai patyrėte insultą. </w:t>
      </w:r>
    </w:p>
    <w:p w14:paraId="14E69B8B" w14:textId="77777777" w:rsidR="00F35818" w:rsidRPr="004453A7" w:rsidRDefault="00F35818" w:rsidP="00F35818">
      <w:pPr>
        <w:rPr>
          <w:lang w:val="lt-LT"/>
        </w:rPr>
      </w:pPr>
    </w:p>
    <w:p w14:paraId="6DE9DF5C" w14:textId="77777777" w:rsidR="0007733D" w:rsidRPr="004453A7" w:rsidRDefault="0007733D" w:rsidP="00F35818">
      <w:pPr>
        <w:rPr>
          <w:lang w:val="lt-LT"/>
        </w:rPr>
      </w:pPr>
      <w:r w:rsidRPr="004453A7">
        <w:rPr>
          <w:lang w:val="lt-LT"/>
        </w:rPr>
        <w:t xml:space="preserve">Su </w:t>
      </w:r>
      <w:r w:rsidRPr="004453A7">
        <w:rPr>
          <w:noProof/>
          <w:lang w:val="lt-LT"/>
        </w:rPr>
        <w:t xml:space="preserve">Icatibant Teva </w:t>
      </w:r>
      <w:r w:rsidRPr="004453A7">
        <w:rPr>
          <w:lang w:val="lt-LT"/>
        </w:rPr>
        <w:t xml:space="preserve">vartojimu susiję </w:t>
      </w:r>
      <w:r w:rsidR="00F35818" w:rsidRPr="004453A7">
        <w:rPr>
          <w:lang w:val="lt-LT"/>
        </w:rPr>
        <w:t xml:space="preserve">kai kurie </w:t>
      </w:r>
      <w:r w:rsidRPr="004453A7">
        <w:rPr>
          <w:lang w:val="lt-LT"/>
        </w:rPr>
        <w:t>šalutini</w:t>
      </w:r>
      <w:r w:rsidR="00F35818" w:rsidRPr="004453A7">
        <w:rPr>
          <w:lang w:val="lt-LT"/>
        </w:rPr>
        <w:t>o poveikio</w:t>
      </w:r>
      <w:r w:rsidRPr="004453A7">
        <w:rPr>
          <w:lang w:val="lt-LT"/>
        </w:rPr>
        <w:t xml:space="preserve"> reiškiniai yra labai panašūs į Jūsų ligos simptomus. Jei pastebėjote, kad priepuolio simptomai sunkėja pavartojus </w:t>
      </w:r>
      <w:r w:rsidRPr="004453A7">
        <w:rPr>
          <w:noProof/>
          <w:lang w:val="lt-LT"/>
        </w:rPr>
        <w:t>Icatibant Teva</w:t>
      </w:r>
      <w:r w:rsidRPr="004453A7">
        <w:rPr>
          <w:lang w:val="lt-LT"/>
        </w:rPr>
        <w:t>, nedelsiant apie tai praneškite gydytojui.</w:t>
      </w:r>
    </w:p>
    <w:p w14:paraId="402AD1A5" w14:textId="77777777" w:rsidR="00F35818" w:rsidRPr="004453A7" w:rsidRDefault="00F35818" w:rsidP="0007733D">
      <w:pPr>
        <w:rPr>
          <w:lang w:val="lt-LT"/>
        </w:rPr>
      </w:pPr>
    </w:p>
    <w:p w14:paraId="45B97F48" w14:textId="77777777" w:rsidR="0007733D" w:rsidRPr="004453A7" w:rsidRDefault="0007733D" w:rsidP="0007733D">
      <w:pPr>
        <w:rPr>
          <w:lang w:val="lt-LT"/>
        </w:rPr>
      </w:pPr>
      <w:r w:rsidRPr="004453A7">
        <w:rPr>
          <w:lang w:val="lt-LT"/>
        </w:rPr>
        <w:t xml:space="preserve">Be to: </w:t>
      </w:r>
    </w:p>
    <w:p w14:paraId="7854CCE9" w14:textId="77777777" w:rsidR="00DB115F" w:rsidRPr="004453A7" w:rsidRDefault="0007733D" w:rsidP="00037B8B">
      <w:pPr>
        <w:numPr>
          <w:ilvl w:val="0"/>
          <w:numId w:val="17"/>
        </w:numPr>
        <w:ind w:left="567" w:hanging="567"/>
        <w:rPr>
          <w:lang w:val="lt-LT"/>
        </w:rPr>
      </w:pPr>
      <w:r w:rsidRPr="004453A7">
        <w:rPr>
          <w:lang w:val="lt-LT"/>
        </w:rPr>
        <w:t xml:space="preserve">prieš </w:t>
      </w:r>
      <w:r w:rsidR="00DB115F" w:rsidRPr="004453A7">
        <w:rPr>
          <w:lang w:val="lt-LT"/>
        </w:rPr>
        <w:t>Icatibant Teva</w:t>
      </w:r>
      <w:r w:rsidRPr="004453A7">
        <w:rPr>
          <w:lang w:val="lt-LT"/>
        </w:rPr>
        <w:t xml:space="preserve"> švirkštimą Jūs arba Jus prižiūrintis asmuo turite išmokti poodinių injekcijų (švirkščiama po oda) atlikimo metodikos</w:t>
      </w:r>
      <w:r w:rsidR="00FA3A59">
        <w:rPr>
          <w:lang w:val="lt-LT"/>
        </w:rPr>
        <w:t>;</w:t>
      </w:r>
      <w:r w:rsidRPr="004453A7">
        <w:rPr>
          <w:lang w:val="lt-LT"/>
        </w:rPr>
        <w:t xml:space="preserve"> </w:t>
      </w:r>
    </w:p>
    <w:p w14:paraId="68460C17" w14:textId="77777777" w:rsidR="00DB115F" w:rsidRPr="004453A7" w:rsidRDefault="00FA3A59" w:rsidP="00037B8B">
      <w:pPr>
        <w:numPr>
          <w:ilvl w:val="0"/>
          <w:numId w:val="18"/>
        </w:numPr>
        <w:ind w:left="567" w:hanging="567"/>
        <w:rPr>
          <w:lang w:val="lt-LT"/>
        </w:rPr>
      </w:pPr>
      <w:r>
        <w:rPr>
          <w:lang w:val="lt-LT"/>
        </w:rPr>
        <w:t>j</w:t>
      </w:r>
      <w:r w:rsidR="0007733D" w:rsidRPr="004453A7">
        <w:rPr>
          <w:lang w:val="lt-LT"/>
        </w:rPr>
        <w:t xml:space="preserve">ei susišvirkščiate </w:t>
      </w:r>
      <w:r w:rsidR="00DB115F" w:rsidRPr="004453A7">
        <w:rPr>
          <w:lang w:val="lt-LT"/>
        </w:rPr>
        <w:t>Icatibant Teva</w:t>
      </w:r>
      <w:r w:rsidR="00F35818" w:rsidRPr="004453A7">
        <w:rPr>
          <w:lang w:val="lt-LT"/>
        </w:rPr>
        <w:t xml:space="preserve"> ar jį Jums sušvirkščia</w:t>
      </w:r>
      <w:r w:rsidR="0007733D" w:rsidRPr="004453A7">
        <w:rPr>
          <w:lang w:val="lt-LT"/>
        </w:rPr>
        <w:t xml:space="preserve"> prižiūrintis asmuo tada, kai pasireiškia priepuolis gerklose (viršutinių kvėpavimo takų obstrukcija), turite nedelsdami kreiptis pagalbos į </w:t>
      </w:r>
      <w:r w:rsidR="00DE7EF5">
        <w:rPr>
          <w:lang w:val="lt-LT"/>
        </w:rPr>
        <w:t>gydymo įstaigą</w:t>
      </w:r>
      <w:r>
        <w:rPr>
          <w:lang w:val="lt-LT"/>
        </w:rPr>
        <w:t>;</w:t>
      </w:r>
      <w:r w:rsidR="0007733D" w:rsidRPr="004453A7">
        <w:rPr>
          <w:lang w:val="lt-LT"/>
        </w:rPr>
        <w:t xml:space="preserve"> </w:t>
      </w:r>
    </w:p>
    <w:p w14:paraId="624ABB86" w14:textId="77777777" w:rsidR="00F35818" w:rsidRPr="004453A7" w:rsidRDefault="00F35818" w:rsidP="00E8737A">
      <w:pPr>
        <w:ind w:left="567" w:hanging="567"/>
        <w:rPr>
          <w:lang w:val="lt-LT"/>
        </w:rPr>
      </w:pPr>
    </w:p>
    <w:p w14:paraId="6808F678" w14:textId="77777777" w:rsidR="00DB115F" w:rsidRPr="004453A7" w:rsidRDefault="00FA3A59" w:rsidP="00E8737A">
      <w:pPr>
        <w:numPr>
          <w:ilvl w:val="0"/>
          <w:numId w:val="18"/>
        </w:numPr>
        <w:ind w:left="567" w:hanging="567"/>
        <w:rPr>
          <w:lang w:val="lt-LT"/>
        </w:rPr>
      </w:pPr>
      <w:r>
        <w:rPr>
          <w:lang w:val="lt-LT"/>
        </w:rPr>
        <w:t>j</w:t>
      </w:r>
      <w:r w:rsidR="0007733D" w:rsidRPr="004453A7">
        <w:rPr>
          <w:lang w:val="lt-LT"/>
        </w:rPr>
        <w:t xml:space="preserve">ei simptomai nepraeina po </w:t>
      </w:r>
      <w:r w:rsidR="00DB115F" w:rsidRPr="004453A7">
        <w:rPr>
          <w:lang w:val="lt-LT"/>
        </w:rPr>
        <w:t>Icatibant Teva</w:t>
      </w:r>
      <w:r w:rsidR="0007733D" w:rsidRPr="004453A7">
        <w:rPr>
          <w:lang w:val="lt-LT"/>
        </w:rPr>
        <w:t xml:space="preserve"> dozės susišvirkštimo arba po to, kai </w:t>
      </w:r>
      <w:r w:rsidR="00DB115F" w:rsidRPr="004453A7">
        <w:rPr>
          <w:lang w:val="lt-LT"/>
        </w:rPr>
        <w:t>Icatibant Teva</w:t>
      </w:r>
      <w:r w:rsidR="0007733D" w:rsidRPr="004453A7">
        <w:rPr>
          <w:lang w:val="lt-LT"/>
        </w:rPr>
        <w:t xml:space="preserve"> sušvirkščia Jus prižiūrintis asmuo, reikia kreiptis medi</w:t>
      </w:r>
      <w:r w:rsidR="00E8737A">
        <w:rPr>
          <w:lang w:val="lt-LT"/>
        </w:rPr>
        <w:t>cininės</w:t>
      </w:r>
      <w:r w:rsidR="0007733D" w:rsidRPr="004453A7">
        <w:rPr>
          <w:lang w:val="lt-LT"/>
        </w:rPr>
        <w:t xml:space="preserve"> </w:t>
      </w:r>
      <w:r w:rsidR="00E8737A">
        <w:rPr>
          <w:lang w:val="lt-LT"/>
        </w:rPr>
        <w:t xml:space="preserve">pagalbos </w:t>
      </w:r>
      <w:r w:rsidR="0007733D" w:rsidRPr="004453A7">
        <w:rPr>
          <w:lang w:val="lt-LT"/>
        </w:rPr>
        <w:t xml:space="preserve">dėl papildomų </w:t>
      </w:r>
      <w:r w:rsidR="00DB115F" w:rsidRPr="004453A7">
        <w:rPr>
          <w:lang w:val="lt-LT"/>
        </w:rPr>
        <w:t>Icatibant Teva</w:t>
      </w:r>
      <w:r w:rsidR="0007733D" w:rsidRPr="004453A7">
        <w:rPr>
          <w:lang w:val="lt-LT"/>
        </w:rPr>
        <w:t xml:space="preserve"> injekcijų</w:t>
      </w:r>
      <w:r w:rsidR="00F35818" w:rsidRPr="004453A7">
        <w:rPr>
          <w:lang w:val="lt-LT"/>
        </w:rPr>
        <w:t>. Suaugusiems pacientams per 24 </w:t>
      </w:r>
      <w:r w:rsidR="0007733D" w:rsidRPr="004453A7">
        <w:rPr>
          <w:lang w:val="lt-LT"/>
        </w:rPr>
        <w:t xml:space="preserve">val. galima suleisti ne daugiau kaip 2 papildomas injekcijas. </w:t>
      </w:r>
    </w:p>
    <w:p w14:paraId="3AE43DEC" w14:textId="77777777" w:rsidR="00F35818" w:rsidRPr="004453A7" w:rsidRDefault="00F35818" w:rsidP="00DB115F">
      <w:pPr>
        <w:pStyle w:val="Antrat4"/>
        <w:rPr>
          <w:rFonts w:ascii="Times New Roman" w:hAnsi="Times New Roman"/>
          <w:sz w:val="22"/>
          <w:lang w:val="lt-LT"/>
        </w:rPr>
      </w:pPr>
    </w:p>
    <w:p w14:paraId="612868E4" w14:textId="77777777" w:rsidR="00DB115F" w:rsidRPr="004453A7" w:rsidRDefault="00DB115F" w:rsidP="00DB115F">
      <w:pPr>
        <w:pStyle w:val="Antrat4"/>
        <w:rPr>
          <w:rFonts w:ascii="Times New Roman" w:hAnsi="Times New Roman"/>
          <w:sz w:val="22"/>
          <w:lang w:val="lt-LT"/>
        </w:rPr>
      </w:pPr>
      <w:r w:rsidRPr="004453A7">
        <w:rPr>
          <w:rFonts w:ascii="Times New Roman" w:hAnsi="Times New Roman"/>
          <w:sz w:val="22"/>
          <w:lang w:val="lt-LT"/>
        </w:rPr>
        <w:t>Vaikams ir paaugliams</w:t>
      </w:r>
    </w:p>
    <w:p w14:paraId="664CCAB8" w14:textId="77777777" w:rsidR="00F34163" w:rsidRPr="004453A7" w:rsidRDefault="00DB115F" w:rsidP="0007733D">
      <w:pPr>
        <w:rPr>
          <w:snapToGrid/>
          <w:lang w:val="lt-LT"/>
        </w:rPr>
      </w:pPr>
      <w:r w:rsidRPr="004453A7">
        <w:rPr>
          <w:lang w:val="lt-LT"/>
        </w:rPr>
        <w:t>Icatibant Teva</w:t>
      </w:r>
      <w:r w:rsidR="0007733D" w:rsidRPr="004453A7">
        <w:rPr>
          <w:lang w:val="lt-LT"/>
        </w:rPr>
        <w:t xml:space="preserve"> nerekomenduojama vartoti jaunesniems kaip 2 metų a</w:t>
      </w:r>
      <w:r w:rsidRPr="004453A7">
        <w:rPr>
          <w:lang w:val="lt-LT"/>
        </w:rPr>
        <w:t>rba sveriantiems mažiau kaip 12 </w:t>
      </w:r>
      <w:r w:rsidR="0007733D" w:rsidRPr="004453A7">
        <w:rPr>
          <w:lang w:val="lt-LT"/>
        </w:rPr>
        <w:t>kg vaikams, nes šiems pacientams vaistas netirtas</w:t>
      </w:r>
      <w:r w:rsidRPr="004453A7">
        <w:rPr>
          <w:lang w:val="lt-LT"/>
        </w:rPr>
        <w:t>.</w:t>
      </w:r>
    </w:p>
    <w:p w14:paraId="2B09D128" w14:textId="77777777" w:rsidR="00F34163" w:rsidRPr="004453A7" w:rsidRDefault="00F34163" w:rsidP="00F34163">
      <w:pPr>
        <w:numPr>
          <w:ilvl w:val="12"/>
          <w:numId w:val="0"/>
        </w:numPr>
        <w:tabs>
          <w:tab w:val="clear" w:pos="567"/>
        </w:tabs>
        <w:spacing w:line="240" w:lineRule="auto"/>
        <w:rPr>
          <w:b/>
          <w:szCs w:val="24"/>
          <w:highlight w:val="yellow"/>
          <w:lang w:val="lt-LT"/>
        </w:rPr>
      </w:pPr>
    </w:p>
    <w:p w14:paraId="32A9BCFB" w14:textId="77777777" w:rsidR="00F34163" w:rsidRPr="004453A7" w:rsidRDefault="00F34163" w:rsidP="000610AF">
      <w:pPr>
        <w:pStyle w:val="Antrat4"/>
        <w:rPr>
          <w:rFonts w:ascii="Times New Roman" w:hAnsi="Times New Roman"/>
          <w:sz w:val="22"/>
          <w:lang w:val="lt-LT"/>
        </w:rPr>
      </w:pPr>
      <w:r w:rsidRPr="004453A7">
        <w:rPr>
          <w:rFonts w:ascii="Times New Roman" w:hAnsi="Times New Roman"/>
          <w:sz w:val="22"/>
          <w:lang w:val="lt-LT"/>
        </w:rPr>
        <w:t xml:space="preserve">Kiti vaistai ir </w:t>
      </w:r>
      <w:r w:rsidR="000610AF" w:rsidRPr="004453A7">
        <w:rPr>
          <w:rFonts w:ascii="Times New Roman" w:hAnsi="Times New Roman"/>
          <w:noProof/>
          <w:sz w:val="22"/>
          <w:szCs w:val="22"/>
          <w:lang w:val="lt-LT"/>
        </w:rPr>
        <w:t>Icatibant Teva</w:t>
      </w:r>
    </w:p>
    <w:p w14:paraId="34C3ADAB" w14:textId="77777777" w:rsidR="00596636" w:rsidRPr="004453A7" w:rsidRDefault="00596636" w:rsidP="00F34163">
      <w:pPr>
        <w:numPr>
          <w:ilvl w:val="12"/>
          <w:numId w:val="0"/>
        </w:numPr>
        <w:tabs>
          <w:tab w:val="clear" w:pos="567"/>
        </w:tabs>
        <w:spacing w:line="240" w:lineRule="auto"/>
        <w:ind w:right="-2"/>
        <w:rPr>
          <w:lang w:val="lt-LT"/>
        </w:rPr>
      </w:pPr>
      <w:r w:rsidRPr="004453A7">
        <w:rPr>
          <w:lang w:val="lt-LT"/>
        </w:rPr>
        <w:t xml:space="preserve">Jeigu vartojate ar neseniai vartojote kitų vaistų arba dėl to nesate tikri, apie tai pasakykite gydytojui. </w:t>
      </w:r>
    </w:p>
    <w:p w14:paraId="51EA53B5" w14:textId="77777777" w:rsidR="00596636" w:rsidRPr="004453A7" w:rsidRDefault="00596636" w:rsidP="00F34163">
      <w:pPr>
        <w:numPr>
          <w:ilvl w:val="12"/>
          <w:numId w:val="0"/>
        </w:numPr>
        <w:tabs>
          <w:tab w:val="clear" w:pos="567"/>
        </w:tabs>
        <w:spacing w:line="240" w:lineRule="auto"/>
        <w:ind w:right="-2"/>
        <w:rPr>
          <w:lang w:val="lt-LT"/>
        </w:rPr>
      </w:pPr>
    </w:p>
    <w:p w14:paraId="259A37BF" w14:textId="77777777" w:rsidR="00F34163" w:rsidRPr="004453A7" w:rsidRDefault="00596636" w:rsidP="00F34163">
      <w:pPr>
        <w:numPr>
          <w:ilvl w:val="12"/>
          <w:numId w:val="0"/>
        </w:numPr>
        <w:tabs>
          <w:tab w:val="clear" w:pos="567"/>
        </w:tabs>
        <w:spacing w:line="240" w:lineRule="auto"/>
        <w:ind w:right="-2"/>
        <w:rPr>
          <w:szCs w:val="24"/>
          <w:lang w:val="lt-LT"/>
        </w:rPr>
      </w:pPr>
      <w:r w:rsidRPr="004453A7">
        <w:rPr>
          <w:lang w:val="lt-LT"/>
        </w:rPr>
        <w:t>Nebuvo nustatyta, kad Icatibant Teva sąveikauja su kitais vaistais. Jei geriate vaistus, kurie yra angiotenziną konvertuojančio fermento (AKF) inhibitoriai (pavyzdžiui: kaptoprilį, enalaprilį, ramiprilį, kvinaprilį, lizinoprilį), kurie vartojami kraujo spaudimui sumažinti ar bet kokiu kitu tikslu, pasakykite tai gydytojui prieš vartodami Icatibant Teva.</w:t>
      </w:r>
    </w:p>
    <w:p w14:paraId="285970EE" w14:textId="77777777" w:rsidR="00F34163" w:rsidRPr="004453A7" w:rsidRDefault="00F34163" w:rsidP="00F34163">
      <w:pPr>
        <w:numPr>
          <w:ilvl w:val="12"/>
          <w:numId w:val="0"/>
        </w:numPr>
        <w:tabs>
          <w:tab w:val="clear" w:pos="567"/>
        </w:tabs>
        <w:spacing w:line="240" w:lineRule="auto"/>
        <w:rPr>
          <w:szCs w:val="24"/>
          <w:lang w:val="lt-LT"/>
        </w:rPr>
      </w:pPr>
    </w:p>
    <w:p w14:paraId="0A4E2C70" w14:textId="77777777" w:rsidR="00F34163" w:rsidRPr="004453A7" w:rsidRDefault="00596636" w:rsidP="00F34163">
      <w:pPr>
        <w:pStyle w:val="Antrat4"/>
        <w:rPr>
          <w:rFonts w:ascii="Times New Roman" w:hAnsi="Times New Roman"/>
          <w:sz w:val="22"/>
          <w:lang w:val="lt-LT"/>
        </w:rPr>
      </w:pPr>
      <w:r w:rsidRPr="004453A7">
        <w:rPr>
          <w:rFonts w:ascii="Times New Roman" w:hAnsi="Times New Roman"/>
          <w:sz w:val="22"/>
          <w:lang w:val="lt-LT"/>
        </w:rPr>
        <w:t>Nėštumas ir</w:t>
      </w:r>
      <w:r w:rsidR="00F34163" w:rsidRPr="004453A7">
        <w:rPr>
          <w:rFonts w:ascii="Times New Roman" w:hAnsi="Times New Roman"/>
          <w:sz w:val="22"/>
          <w:lang w:val="lt-LT"/>
        </w:rPr>
        <w:t xml:space="preserve"> žind</w:t>
      </w:r>
      <w:r w:rsidRPr="004453A7">
        <w:rPr>
          <w:rFonts w:ascii="Times New Roman" w:hAnsi="Times New Roman"/>
          <w:sz w:val="22"/>
          <w:lang w:val="lt-LT"/>
        </w:rPr>
        <w:t>ymo laikotarpis</w:t>
      </w:r>
    </w:p>
    <w:p w14:paraId="740B6D39" w14:textId="77777777" w:rsidR="00596636" w:rsidRPr="004453A7" w:rsidRDefault="00596636" w:rsidP="00F34163">
      <w:pPr>
        <w:numPr>
          <w:ilvl w:val="12"/>
          <w:numId w:val="0"/>
        </w:numPr>
        <w:tabs>
          <w:tab w:val="clear" w:pos="567"/>
        </w:tabs>
        <w:spacing w:line="240" w:lineRule="auto"/>
        <w:rPr>
          <w:lang w:val="lt-LT"/>
        </w:rPr>
      </w:pPr>
      <w:r w:rsidRPr="004453A7">
        <w:rPr>
          <w:lang w:val="lt-LT"/>
        </w:rPr>
        <w:t xml:space="preserve">Jeigu esate nėščia, žindote kūdikį, manote, kad galbūt esate nėščia arba planuojate pastoti, tai prieš vartodama šį vaistą pasitarkite su gydytoju. </w:t>
      </w:r>
    </w:p>
    <w:p w14:paraId="756A07CF" w14:textId="77777777" w:rsidR="00596636" w:rsidRPr="004453A7" w:rsidRDefault="00596636" w:rsidP="00F34163">
      <w:pPr>
        <w:numPr>
          <w:ilvl w:val="12"/>
          <w:numId w:val="0"/>
        </w:numPr>
        <w:tabs>
          <w:tab w:val="clear" w:pos="567"/>
        </w:tabs>
        <w:spacing w:line="240" w:lineRule="auto"/>
        <w:rPr>
          <w:lang w:val="lt-LT"/>
        </w:rPr>
      </w:pPr>
    </w:p>
    <w:p w14:paraId="7FBA83CF" w14:textId="77777777" w:rsidR="00F34163" w:rsidRPr="004453A7" w:rsidRDefault="00596636" w:rsidP="00F34163">
      <w:pPr>
        <w:numPr>
          <w:ilvl w:val="12"/>
          <w:numId w:val="0"/>
        </w:numPr>
        <w:tabs>
          <w:tab w:val="clear" w:pos="567"/>
        </w:tabs>
        <w:spacing w:line="240" w:lineRule="auto"/>
        <w:rPr>
          <w:szCs w:val="24"/>
          <w:lang w:val="lt-LT"/>
        </w:rPr>
      </w:pPr>
      <w:r w:rsidRPr="004453A7">
        <w:rPr>
          <w:lang w:val="lt-LT"/>
        </w:rPr>
        <w:t xml:space="preserve">Jei žindote, rekomenduojama nežindyti 12 valandų po paskutinės Icatibant Teva </w:t>
      </w:r>
      <w:r w:rsidR="00E8737A">
        <w:rPr>
          <w:lang w:val="lt-LT"/>
        </w:rPr>
        <w:t>pa</w:t>
      </w:r>
      <w:r w:rsidRPr="004453A7">
        <w:rPr>
          <w:lang w:val="lt-LT"/>
        </w:rPr>
        <w:t>vartojimo.</w:t>
      </w:r>
    </w:p>
    <w:p w14:paraId="315FA6E5" w14:textId="77777777" w:rsidR="00596636" w:rsidRPr="004453A7" w:rsidRDefault="00596636" w:rsidP="00F34163">
      <w:pPr>
        <w:pStyle w:val="Antrat4"/>
        <w:rPr>
          <w:rFonts w:ascii="Times New Roman" w:hAnsi="Times New Roman"/>
          <w:sz w:val="22"/>
          <w:lang w:val="lt-LT"/>
        </w:rPr>
      </w:pPr>
    </w:p>
    <w:p w14:paraId="3D925B0F" w14:textId="77777777" w:rsidR="00F34163" w:rsidRPr="004453A7" w:rsidRDefault="00F34163" w:rsidP="00F34163">
      <w:pPr>
        <w:pStyle w:val="Antrat4"/>
        <w:rPr>
          <w:rFonts w:ascii="Times New Roman" w:hAnsi="Times New Roman"/>
          <w:sz w:val="22"/>
          <w:lang w:val="lt-LT"/>
        </w:rPr>
      </w:pPr>
      <w:r w:rsidRPr="004453A7">
        <w:rPr>
          <w:rFonts w:ascii="Times New Roman" w:hAnsi="Times New Roman"/>
          <w:sz w:val="22"/>
          <w:lang w:val="lt-LT"/>
        </w:rPr>
        <w:t>Vairavimas ir mechanizmų valdymas</w:t>
      </w:r>
    </w:p>
    <w:p w14:paraId="32BC2D4F" w14:textId="77777777" w:rsidR="00F34163" w:rsidRPr="00612370" w:rsidRDefault="00596636" w:rsidP="00F34163">
      <w:pPr>
        <w:numPr>
          <w:ilvl w:val="12"/>
          <w:numId w:val="0"/>
        </w:numPr>
        <w:tabs>
          <w:tab w:val="clear" w:pos="567"/>
        </w:tabs>
        <w:spacing w:line="240" w:lineRule="auto"/>
        <w:ind w:right="-2"/>
        <w:rPr>
          <w:szCs w:val="24"/>
          <w:lang w:val="lt-LT"/>
        </w:rPr>
      </w:pPr>
      <w:r w:rsidRPr="00612370">
        <w:rPr>
          <w:lang w:val="lt-LT"/>
        </w:rPr>
        <w:t>Nevairuokite ir nevaldykite mechanizmų, jei jaučiatės pavargę ar apsvaigę po PAE priepuolio arba po Icatibant Teva vartojimo</w:t>
      </w:r>
      <w:r w:rsidR="00E8737A" w:rsidRPr="00612370">
        <w:rPr>
          <w:lang w:val="lt-LT"/>
        </w:rPr>
        <w:t>.</w:t>
      </w:r>
    </w:p>
    <w:p w14:paraId="782307E3" w14:textId="77777777" w:rsidR="00596636" w:rsidRPr="00612370" w:rsidRDefault="00596636" w:rsidP="00F34163">
      <w:pPr>
        <w:pStyle w:val="Antrat4"/>
        <w:rPr>
          <w:rFonts w:ascii="Times New Roman" w:hAnsi="Times New Roman"/>
          <w:noProof/>
          <w:sz w:val="22"/>
          <w:szCs w:val="22"/>
          <w:lang w:val="lt-LT"/>
        </w:rPr>
      </w:pPr>
    </w:p>
    <w:p w14:paraId="72F287A6" w14:textId="77777777" w:rsidR="00F34163" w:rsidRPr="00612370" w:rsidRDefault="000610AF" w:rsidP="00F34163">
      <w:pPr>
        <w:pStyle w:val="Antrat4"/>
        <w:rPr>
          <w:rFonts w:ascii="Times New Roman" w:hAnsi="Times New Roman"/>
          <w:sz w:val="22"/>
          <w:lang w:val="lt-LT"/>
        </w:rPr>
      </w:pPr>
      <w:r w:rsidRPr="00612370">
        <w:rPr>
          <w:rFonts w:ascii="Times New Roman" w:hAnsi="Times New Roman"/>
          <w:noProof/>
          <w:sz w:val="22"/>
          <w:szCs w:val="22"/>
          <w:lang w:val="lt-LT"/>
        </w:rPr>
        <w:t>Icatibant Teva</w:t>
      </w:r>
      <w:r w:rsidRPr="00612370">
        <w:rPr>
          <w:noProof/>
          <w:lang w:val="lt-LT"/>
        </w:rPr>
        <w:t xml:space="preserve"> </w:t>
      </w:r>
      <w:r w:rsidR="00F34163" w:rsidRPr="00612370">
        <w:rPr>
          <w:rFonts w:ascii="Times New Roman" w:hAnsi="Times New Roman"/>
          <w:sz w:val="22"/>
          <w:lang w:val="lt-LT"/>
        </w:rPr>
        <w:t xml:space="preserve">sudėtyje yra </w:t>
      </w:r>
      <w:r w:rsidR="00596636" w:rsidRPr="00612370">
        <w:rPr>
          <w:rFonts w:ascii="Times New Roman" w:hAnsi="Times New Roman"/>
          <w:color w:val="000000"/>
          <w:sz w:val="22"/>
          <w:lang w:val="lt-LT"/>
        </w:rPr>
        <w:t>natrio</w:t>
      </w:r>
    </w:p>
    <w:p w14:paraId="5D4AD2A1" w14:textId="77777777" w:rsidR="00F34163" w:rsidRPr="00612370" w:rsidRDefault="00500FDD" w:rsidP="00F34163">
      <w:pPr>
        <w:numPr>
          <w:ilvl w:val="12"/>
          <w:numId w:val="0"/>
        </w:numPr>
        <w:tabs>
          <w:tab w:val="clear" w:pos="567"/>
        </w:tabs>
        <w:spacing w:line="240" w:lineRule="auto"/>
        <w:ind w:right="-2"/>
        <w:rPr>
          <w:szCs w:val="24"/>
          <w:lang w:val="lt-LT"/>
        </w:rPr>
      </w:pPr>
      <w:r w:rsidRPr="00612370">
        <w:rPr>
          <w:lang w:val="lt-LT"/>
        </w:rPr>
        <w:t>Šio vaisto viename š</w:t>
      </w:r>
      <w:r w:rsidR="00596636" w:rsidRPr="00612370">
        <w:rPr>
          <w:lang w:val="lt-LT"/>
        </w:rPr>
        <w:t xml:space="preserve">virkšte </w:t>
      </w:r>
      <w:r w:rsidR="00DE7EF5" w:rsidRPr="00612370">
        <w:rPr>
          <w:lang w:val="lt-LT"/>
        </w:rPr>
        <w:t>yra mažiau kaip 1 mmol (23 </w:t>
      </w:r>
      <w:r w:rsidR="00596636" w:rsidRPr="00612370">
        <w:rPr>
          <w:lang w:val="lt-LT"/>
        </w:rPr>
        <w:t>m</w:t>
      </w:r>
      <w:r w:rsidR="00E8737A" w:rsidRPr="00612370">
        <w:rPr>
          <w:lang w:val="lt-LT"/>
        </w:rPr>
        <w:t>g</w:t>
      </w:r>
      <w:r w:rsidR="00596636" w:rsidRPr="00612370">
        <w:rPr>
          <w:lang w:val="lt-LT"/>
        </w:rPr>
        <w:t>) natrio, t. y. jis beveik neturi reikšmės</w:t>
      </w:r>
      <w:r w:rsidR="00E8737A" w:rsidRPr="00612370">
        <w:rPr>
          <w:lang w:val="lt-LT"/>
        </w:rPr>
        <w:t>.</w:t>
      </w:r>
    </w:p>
    <w:p w14:paraId="1A7F56EA" w14:textId="77777777" w:rsidR="00F34163" w:rsidRPr="00612370" w:rsidRDefault="00F34163" w:rsidP="00F34163">
      <w:pPr>
        <w:numPr>
          <w:ilvl w:val="12"/>
          <w:numId w:val="0"/>
        </w:numPr>
        <w:tabs>
          <w:tab w:val="clear" w:pos="567"/>
        </w:tabs>
        <w:spacing w:line="240" w:lineRule="auto"/>
        <w:ind w:right="-2"/>
        <w:rPr>
          <w:szCs w:val="24"/>
          <w:lang w:val="lt-LT"/>
        </w:rPr>
      </w:pPr>
    </w:p>
    <w:p w14:paraId="2235FC1E" w14:textId="77777777" w:rsidR="00ED73D5" w:rsidRPr="00612370" w:rsidRDefault="00ED73D5" w:rsidP="00F34163">
      <w:pPr>
        <w:numPr>
          <w:ilvl w:val="12"/>
          <w:numId w:val="0"/>
        </w:numPr>
        <w:tabs>
          <w:tab w:val="clear" w:pos="567"/>
        </w:tabs>
        <w:spacing w:line="240" w:lineRule="auto"/>
        <w:ind w:right="-2"/>
        <w:rPr>
          <w:szCs w:val="24"/>
          <w:lang w:val="lt-LT"/>
        </w:rPr>
      </w:pPr>
    </w:p>
    <w:p w14:paraId="0C15CBB7" w14:textId="77777777" w:rsidR="00F34163" w:rsidRPr="00612370" w:rsidRDefault="00F34163" w:rsidP="000610AF">
      <w:pPr>
        <w:pStyle w:val="Antrat3"/>
        <w:spacing w:before="0" w:after="0" w:line="240" w:lineRule="auto"/>
        <w:rPr>
          <w:rFonts w:ascii="Times New Roman" w:hAnsi="Times New Roman"/>
          <w:sz w:val="22"/>
          <w:lang w:val="lt-LT"/>
        </w:rPr>
      </w:pPr>
      <w:r w:rsidRPr="00612370">
        <w:rPr>
          <w:rFonts w:ascii="Times New Roman" w:hAnsi="Times New Roman"/>
          <w:sz w:val="22"/>
          <w:lang w:val="lt-LT"/>
        </w:rPr>
        <w:t>3.</w:t>
      </w:r>
      <w:r w:rsidRPr="00612370">
        <w:rPr>
          <w:rFonts w:ascii="Times New Roman" w:hAnsi="Times New Roman"/>
          <w:sz w:val="22"/>
          <w:lang w:val="lt-LT"/>
        </w:rPr>
        <w:tab/>
        <w:t xml:space="preserve">Kaip vartoti </w:t>
      </w:r>
      <w:r w:rsidR="000610AF" w:rsidRPr="00612370">
        <w:rPr>
          <w:rFonts w:ascii="Times New Roman" w:hAnsi="Times New Roman"/>
          <w:noProof/>
          <w:sz w:val="22"/>
          <w:szCs w:val="22"/>
          <w:lang w:val="lt-LT"/>
        </w:rPr>
        <w:t>Icatibant Teva</w:t>
      </w:r>
    </w:p>
    <w:p w14:paraId="3B34E387" w14:textId="77777777" w:rsidR="00596636" w:rsidRPr="00612370" w:rsidRDefault="00596636" w:rsidP="00F34163">
      <w:pPr>
        <w:numPr>
          <w:ilvl w:val="12"/>
          <w:numId w:val="0"/>
        </w:numPr>
        <w:tabs>
          <w:tab w:val="clear" w:pos="567"/>
        </w:tabs>
        <w:spacing w:line="240" w:lineRule="auto"/>
        <w:ind w:right="-2"/>
        <w:rPr>
          <w:lang w:val="lt-LT"/>
        </w:rPr>
      </w:pPr>
    </w:p>
    <w:p w14:paraId="770986C9" w14:textId="77777777" w:rsidR="00596636" w:rsidRPr="00612370" w:rsidRDefault="00596636" w:rsidP="00F34163">
      <w:pPr>
        <w:numPr>
          <w:ilvl w:val="12"/>
          <w:numId w:val="0"/>
        </w:numPr>
        <w:tabs>
          <w:tab w:val="clear" w:pos="567"/>
        </w:tabs>
        <w:spacing w:line="240" w:lineRule="auto"/>
        <w:ind w:right="-2"/>
        <w:rPr>
          <w:lang w:val="lt-LT"/>
        </w:rPr>
      </w:pPr>
      <w:r w:rsidRPr="00612370">
        <w:rPr>
          <w:lang w:val="lt-LT"/>
        </w:rPr>
        <w:t xml:space="preserve">Visada vartokite šį vaistą tiksliai kaip nurodė gydytojas. Jeigu abejojate, kreipkitės į gydytoją. </w:t>
      </w:r>
    </w:p>
    <w:p w14:paraId="4384B791" w14:textId="77777777" w:rsidR="00596636" w:rsidRPr="00612370" w:rsidRDefault="00596636" w:rsidP="00F34163">
      <w:pPr>
        <w:numPr>
          <w:ilvl w:val="12"/>
          <w:numId w:val="0"/>
        </w:numPr>
        <w:tabs>
          <w:tab w:val="clear" w:pos="567"/>
        </w:tabs>
        <w:spacing w:line="240" w:lineRule="auto"/>
        <w:ind w:right="-2"/>
        <w:rPr>
          <w:lang w:val="lt-LT"/>
        </w:rPr>
      </w:pPr>
    </w:p>
    <w:p w14:paraId="55831AE7" w14:textId="77777777" w:rsidR="00F34163" w:rsidRPr="00612370" w:rsidRDefault="00596636" w:rsidP="00F34163">
      <w:pPr>
        <w:numPr>
          <w:ilvl w:val="12"/>
          <w:numId w:val="0"/>
        </w:numPr>
        <w:tabs>
          <w:tab w:val="clear" w:pos="567"/>
        </w:tabs>
        <w:spacing w:line="240" w:lineRule="auto"/>
        <w:ind w:right="-2"/>
        <w:rPr>
          <w:lang w:val="lt-LT"/>
        </w:rPr>
      </w:pPr>
      <w:r w:rsidRPr="00612370">
        <w:rPr>
          <w:lang w:val="lt-LT"/>
        </w:rPr>
        <w:t>Jei anksčiau niekada Jums nebuvo skiriamas Icatibant Teva, pirmąją vaisto dozę Jums turi sušvirkšti gydytojas arba slaugytojas. Jūsų gydytojas pasakys, kada saugu Jus išleisti namo. Po pokalbio su gydytoju arba slaugytoj</w:t>
      </w:r>
      <w:r w:rsidR="00E8737A" w:rsidRPr="00612370">
        <w:rPr>
          <w:lang w:val="lt-LT"/>
        </w:rPr>
        <w:t>u</w:t>
      </w:r>
      <w:r w:rsidRPr="00612370">
        <w:rPr>
          <w:lang w:val="lt-LT"/>
        </w:rPr>
        <w:t xml:space="preserve"> ir po to, kai išmoksite poodinių injekcijų (švirkščiama po oda) atlikimo metodikos, kai Jums pasireikš PAE priepuolis, Jūs galėsite patys susišvirkšti Icatibant Teva arba Icatibant Teva Jums galės sušvirkšti Jus prižiūrintis asmuo. Svarbu, kad Icatibant Teva būtų švirkščiamas po oda (poodinė injekcija) iškart, kai tik pastebėsite angio</w:t>
      </w:r>
      <w:r w:rsidR="00FA3A59" w:rsidRPr="00612370">
        <w:rPr>
          <w:lang w:val="lt-LT"/>
        </w:rPr>
        <w:t xml:space="preserve">neurozinės </w:t>
      </w:r>
      <w:r w:rsidRPr="00612370">
        <w:rPr>
          <w:lang w:val="lt-LT"/>
        </w:rPr>
        <w:t>edemos priepuolį. Jus prižiūrintis sveikatos priežiūros specialistas pamokys Jus ir Jus prižiūrintį asmenį, kaip saugiai sušvirkšti Icatibant Teva pagal pakuotės lapelio nurodymus.</w:t>
      </w:r>
    </w:p>
    <w:p w14:paraId="21ABF8F8" w14:textId="77777777" w:rsidR="00596636" w:rsidRPr="00612370" w:rsidRDefault="00596636" w:rsidP="00F34163">
      <w:pPr>
        <w:numPr>
          <w:ilvl w:val="12"/>
          <w:numId w:val="0"/>
        </w:numPr>
        <w:tabs>
          <w:tab w:val="clear" w:pos="567"/>
        </w:tabs>
        <w:spacing w:line="240" w:lineRule="auto"/>
        <w:ind w:right="-2"/>
        <w:rPr>
          <w:lang w:val="lt-LT"/>
        </w:rPr>
      </w:pPr>
    </w:p>
    <w:p w14:paraId="5D7B0EE5" w14:textId="77777777" w:rsidR="000911B0" w:rsidRPr="00612370" w:rsidRDefault="00596636" w:rsidP="00F34163">
      <w:pPr>
        <w:numPr>
          <w:ilvl w:val="12"/>
          <w:numId w:val="0"/>
        </w:numPr>
        <w:tabs>
          <w:tab w:val="clear" w:pos="567"/>
        </w:tabs>
        <w:spacing w:line="240" w:lineRule="auto"/>
        <w:ind w:right="-2"/>
        <w:rPr>
          <w:b/>
          <w:lang w:val="lt-LT"/>
        </w:rPr>
      </w:pPr>
      <w:r w:rsidRPr="00612370">
        <w:rPr>
          <w:b/>
          <w:lang w:val="lt-LT"/>
        </w:rPr>
        <w:t xml:space="preserve">Kada ir kaip dažnai vartojamas </w:t>
      </w:r>
      <w:r w:rsidR="000911B0" w:rsidRPr="00612370">
        <w:rPr>
          <w:b/>
          <w:lang w:val="lt-LT"/>
        </w:rPr>
        <w:t>Icatibant Teva</w:t>
      </w:r>
      <w:r w:rsidRPr="00612370">
        <w:rPr>
          <w:b/>
          <w:lang w:val="lt-LT"/>
        </w:rPr>
        <w:t xml:space="preserve">? </w:t>
      </w:r>
    </w:p>
    <w:p w14:paraId="54F747FF" w14:textId="77777777" w:rsidR="000911B0" w:rsidRPr="00612370" w:rsidRDefault="00596636" w:rsidP="00F34163">
      <w:pPr>
        <w:numPr>
          <w:ilvl w:val="12"/>
          <w:numId w:val="0"/>
        </w:numPr>
        <w:tabs>
          <w:tab w:val="clear" w:pos="567"/>
        </w:tabs>
        <w:spacing w:line="240" w:lineRule="auto"/>
        <w:ind w:right="-2"/>
        <w:rPr>
          <w:lang w:val="lt-LT"/>
        </w:rPr>
      </w:pPr>
      <w:r w:rsidRPr="00612370">
        <w:rPr>
          <w:lang w:val="lt-LT"/>
        </w:rPr>
        <w:t xml:space="preserve">Jūsų gydytojas nustatys tikslią </w:t>
      </w:r>
      <w:r w:rsidR="000911B0" w:rsidRPr="00612370">
        <w:rPr>
          <w:lang w:val="lt-LT"/>
        </w:rPr>
        <w:t>Icatibant Teva</w:t>
      </w:r>
      <w:r w:rsidRPr="00612370">
        <w:rPr>
          <w:lang w:val="lt-LT"/>
        </w:rPr>
        <w:t xml:space="preserve"> dozę ir pasakys Jums, kaip dažnai ji turi būti suleidžiama. </w:t>
      </w:r>
    </w:p>
    <w:p w14:paraId="2D91F58D" w14:textId="77777777" w:rsidR="000911B0" w:rsidRPr="00612370" w:rsidRDefault="000911B0" w:rsidP="00F34163">
      <w:pPr>
        <w:numPr>
          <w:ilvl w:val="12"/>
          <w:numId w:val="0"/>
        </w:numPr>
        <w:tabs>
          <w:tab w:val="clear" w:pos="567"/>
        </w:tabs>
        <w:spacing w:line="240" w:lineRule="auto"/>
        <w:ind w:right="-2"/>
        <w:rPr>
          <w:lang w:val="lt-LT"/>
        </w:rPr>
      </w:pPr>
    </w:p>
    <w:p w14:paraId="5385FBFC" w14:textId="77777777" w:rsidR="000911B0" w:rsidRPr="00612370" w:rsidRDefault="00596636" w:rsidP="00F34163">
      <w:pPr>
        <w:numPr>
          <w:ilvl w:val="12"/>
          <w:numId w:val="0"/>
        </w:numPr>
        <w:tabs>
          <w:tab w:val="clear" w:pos="567"/>
        </w:tabs>
        <w:spacing w:line="240" w:lineRule="auto"/>
        <w:ind w:right="-2"/>
        <w:rPr>
          <w:b/>
          <w:lang w:val="lt-LT"/>
        </w:rPr>
      </w:pPr>
      <w:r w:rsidRPr="00612370">
        <w:rPr>
          <w:b/>
          <w:lang w:val="lt-LT"/>
        </w:rPr>
        <w:t>Suaugusie</w:t>
      </w:r>
      <w:r w:rsidR="00FA3A59" w:rsidRPr="00612370">
        <w:rPr>
          <w:b/>
          <w:lang w:val="lt-LT"/>
        </w:rPr>
        <w:t>siems</w:t>
      </w:r>
      <w:r w:rsidRPr="00612370">
        <w:rPr>
          <w:b/>
          <w:lang w:val="lt-LT"/>
        </w:rPr>
        <w:t xml:space="preserve"> </w:t>
      </w:r>
    </w:p>
    <w:p w14:paraId="5620E39D" w14:textId="77777777" w:rsidR="00E8737A" w:rsidRPr="00612370" w:rsidRDefault="00596636" w:rsidP="00037B8B">
      <w:pPr>
        <w:numPr>
          <w:ilvl w:val="0"/>
          <w:numId w:val="19"/>
        </w:numPr>
        <w:tabs>
          <w:tab w:val="clear" w:pos="567"/>
        </w:tabs>
        <w:spacing w:line="240" w:lineRule="auto"/>
        <w:ind w:left="567" w:right="-2" w:hanging="567"/>
        <w:rPr>
          <w:lang w:val="lt-LT"/>
        </w:rPr>
      </w:pPr>
      <w:r w:rsidRPr="00612370">
        <w:rPr>
          <w:lang w:val="lt-LT"/>
        </w:rPr>
        <w:t xml:space="preserve">Rekomenduojama </w:t>
      </w:r>
      <w:r w:rsidR="00267BB8" w:rsidRPr="00612370">
        <w:rPr>
          <w:lang w:val="lt-LT"/>
        </w:rPr>
        <w:t xml:space="preserve">Icatibant Teva </w:t>
      </w:r>
      <w:r w:rsidR="000911B0" w:rsidRPr="00612370">
        <w:rPr>
          <w:lang w:val="lt-LT"/>
        </w:rPr>
        <w:t>dozė yra viena injekcija (3 ml, 30 </w:t>
      </w:r>
      <w:r w:rsidRPr="00612370">
        <w:rPr>
          <w:lang w:val="lt-LT"/>
        </w:rPr>
        <w:t>mg), kuri suleidžiama į poodį (po oda), kai pasireiškia angio</w:t>
      </w:r>
      <w:r w:rsidR="00FA3A59" w:rsidRPr="00612370">
        <w:rPr>
          <w:lang w:val="lt-LT"/>
        </w:rPr>
        <w:t xml:space="preserve">neurozinės </w:t>
      </w:r>
      <w:r w:rsidRPr="00612370">
        <w:rPr>
          <w:lang w:val="lt-LT"/>
        </w:rPr>
        <w:t xml:space="preserve">edemos priepuolis (pavyzdžiui, padidėjęs odos patinimas, ypač veido ir kaklo srityje, arba stiprus ir stiprėjantis pilvo skausmas). </w:t>
      </w:r>
    </w:p>
    <w:p w14:paraId="46C8DB8C" w14:textId="77777777" w:rsidR="00E8737A" w:rsidRPr="00612370" w:rsidRDefault="00E8737A" w:rsidP="00037B8B">
      <w:pPr>
        <w:tabs>
          <w:tab w:val="clear" w:pos="567"/>
        </w:tabs>
        <w:spacing w:line="240" w:lineRule="auto"/>
        <w:ind w:left="567" w:right="-2"/>
        <w:rPr>
          <w:lang w:val="lt-LT"/>
        </w:rPr>
      </w:pPr>
    </w:p>
    <w:p w14:paraId="229B57B6" w14:textId="77777777" w:rsidR="000911B0" w:rsidRPr="00612370" w:rsidRDefault="00596636" w:rsidP="00037B8B">
      <w:pPr>
        <w:numPr>
          <w:ilvl w:val="0"/>
          <w:numId w:val="19"/>
        </w:numPr>
        <w:tabs>
          <w:tab w:val="clear" w:pos="567"/>
        </w:tabs>
        <w:spacing w:line="240" w:lineRule="auto"/>
        <w:ind w:left="567" w:right="-2" w:hanging="567"/>
        <w:rPr>
          <w:lang w:val="lt-LT"/>
        </w:rPr>
      </w:pPr>
      <w:r w:rsidRPr="00612370">
        <w:rPr>
          <w:lang w:val="lt-LT"/>
        </w:rPr>
        <w:t>Jei simptomai po 6 valandų nepraeina, pasiteiraukite gydytojo dėl papildomų</w:t>
      </w:r>
      <w:r w:rsidR="000911B0" w:rsidRPr="00612370">
        <w:rPr>
          <w:lang w:val="lt-LT"/>
        </w:rPr>
        <w:t xml:space="preserve"> Icatibant Teva </w:t>
      </w:r>
      <w:r w:rsidRPr="00612370">
        <w:rPr>
          <w:lang w:val="lt-LT"/>
        </w:rPr>
        <w:t>i</w:t>
      </w:r>
      <w:r w:rsidR="000911B0" w:rsidRPr="00612370">
        <w:rPr>
          <w:lang w:val="lt-LT"/>
        </w:rPr>
        <w:t>njekcijų. Suaugusiesiems per 24 </w:t>
      </w:r>
      <w:r w:rsidRPr="00612370">
        <w:rPr>
          <w:lang w:val="lt-LT"/>
        </w:rPr>
        <w:t>val. galimos ne daugiau kaip dvi papildomos injekcijos.</w:t>
      </w:r>
    </w:p>
    <w:p w14:paraId="3C80B064" w14:textId="77777777" w:rsidR="000911B0" w:rsidRPr="00612370" w:rsidRDefault="000911B0" w:rsidP="00E8737A">
      <w:pPr>
        <w:numPr>
          <w:ilvl w:val="12"/>
          <w:numId w:val="0"/>
        </w:numPr>
        <w:tabs>
          <w:tab w:val="clear" w:pos="567"/>
        </w:tabs>
        <w:spacing w:line="240" w:lineRule="auto"/>
        <w:ind w:left="567" w:right="-2" w:hanging="567"/>
        <w:rPr>
          <w:lang w:val="lt-LT"/>
        </w:rPr>
      </w:pPr>
    </w:p>
    <w:p w14:paraId="2FFBCCE9" w14:textId="77777777" w:rsidR="000911B0" w:rsidRPr="00612370" w:rsidRDefault="00596636" w:rsidP="00037B8B">
      <w:pPr>
        <w:numPr>
          <w:ilvl w:val="0"/>
          <w:numId w:val="19"/>
        </w:numPr>
        <w:tabs>
          <w:tab w:val="clear" w:pos="567"/>
        </w:tabs>
        <w:spacing w:line="240" w:lineRule="auto"/>
        <w:ind w:left="567" w:right="-2" w:hanging="567"/>
        <w:rPr>
          <w:b/>
          <w:lang w:val="lt-LT"/>
        </w:rPr>
      </w:pPr>
      <w:r w:rsidRPr="00612370">
        <w:rPr>
          <w:b/>
          <w:lang w:val="lt-LT"/>
        </w:rPr>
        <w:t xml:space="preserve">Per 24 val. laikotarpį negalima švirkšti daugiau kaip 3 injekcijų; be to, jei manote, kad Jums reikia daugiau kaip 8 injekcijų per mėnesį, kreipkitės patarimo į gydytoją. </w:t>
      </w:r>
    </w:p>
    <w:p w14:paraId="69F0E5A7" w14:textId="77777777" w:rsidR="000911B0" w:rsidRPr="00612370" w:rsidRDefault="000911B0" w:rsidP="000911B0">
      <w:pPr>
        <w:pStyle w:val="Sraopastraipa"/>
        <w:rPr>
          <w:lang w:val="lt-LT"/>
        </w:rPr>
      </w:pPr>
    </w:p>
    <w:p w14:paraId="59A71DCB" w14:textId="77777777" w:rsidR="000911B0" w:rsidRPr="00612370" w:rsidRDefault="00596636" w:rsidP="000911B0">
      <w:pPr>
        <w:tabs>
          <w:tab w:val="clear" w:pos="567"/>
        </w:tabs>
        <w:spacing w:line="240" w:lineRule="auto"/>
        <w:ind w:right="-2"/>
        <w:rPr>
          <w:lang w:val="lt-LT"/>
        </w:rPr>
      </w:pPr>
      <w:r w:rsidRPr="00612370">
        <w:rPr>
          <w:b/>
          <w:lang w:val="lt-LT"/>
        </w:rPr>
        <w:t>Vaika</w:t>
      </w:r>
      <w:r w:rsidR="00C92C98" w:rsidRPr="00612370">
        <w:rPr>
          <w:b/>
          <w:lang w:val="lt-LT"/>
        </w:rPr>
        <w:t>ms</w:t>
      </w:r>
      <w:r w:rsidRPr="00612370">
        <w:rPr>
          <w:b/>
          <w:lang w:val="lt-LT"/>
        </w:rPr>
        <w:t xml:space="preserve"> ir paauglia</w:t>
      </w:r>
      <w:r w:rsidR="00C92C98" w:rsidRPr="00612370">
        <w:rPr>
          <w:b/>
          <w:lang w:val="lt-LT"/>
        </w:rPr>
        <w:t>ms</w:t>
      </w:r>
      <w:r w:rsidRPr="00612370">
        <w:rPr>
          <w:b/>
          <w:lang w:val="lt-LT"/>
        </w:rPr>
        <w:t xml:space="preserve"> nuo 2 iki 17 metų </w:t>
      </w:r>
    </w:p>
    <w:p w14:paraId="7B2EE4B0" w14:textId="77777777" w:rsidR="000911B0" w:rsidRPr="00612370" w:rsidRDefault="00596636" w:rsidP="00037B8B">
      <w:pPr>
        <w:numPr>
          <w:ilvl w:val="0"/>
          <w:numId w:val="20"/>
        </w:numPr>
        <w:tabs>
          <w:tab w:val="clear" w:pos="567"/>
        </w:tabs>
        <w:spacing w:line="240" w:lineRule="auto"/>
        <w:ind w:left="567" w:right="-2" w:hanging="567"/>
        <w:rPr>
          <w:lang w:val="lt-LT"/>
        </w:rPr>
      </w:pPr>
      <w:r w:rsidRPr="00612370">
        <w:rPr>
          <w:lang w:val="lt-LT"/>
        </w:rPr>
        <w:t xml:space="preserve">Rekomenduojama </w:t>
      </w:r>
      <w:r w:rsidR="000911B0" w:rsidRPr="00612370">
        <w:rPr>
          <w:lang w:val="lt-LT"/>
        </w:rPr>
        <w:t>Icatibant Teva dozė yra viena nuo 1 ml iki daugiausia 3 </w:t>
      </w:r>
      <w:r w:rsidRPr="00612370">
        <w:rPr>
          <w:lang w:val="lt-LT"/>
        </w:rPr>
        <w:t>ml (priklausomai nuo svorio) injekcija, kuri suleidžiama po oda, kai pasireiškia angio</w:t>
      </w:r>
      <w:r w:rsidR="00C92C98" w:rsidRPr="00612370">
        <w:rPr>
          <w:lang w:val="lt-LT"/>
        </w:rPr>
        <w:t xml:space="preserve">neurozinės </w:t>
      </w:r>
      <w:r w:rsidRPr="00612370">
        <w:rPr>
          <w:lang w:val="lt-LT"/>
        </w:rPr>
        <w:t xml:space="preserve">edemos priepuolio simptomai (pavyzdžiui, padidėjęs odos patinimas, ypač veido ir kaklo srityje, arba stiprus ir stiprėjantis pilvo skausmas). </w:t>
      </w:r>
    </w:p>
    <w:p w14:paraId="51081C03" w14:textId="77777777" w:rsidR="000911B0" w:rsidRPr="00612370" w:rsidRDefault="000911B0" w:rsidP="00653B20">
      <w:pPr>
        <w:tabs>
          <w:tab w:val="clear" w:pos="567"/>
        </w:tabs>
        <w:spacing w:line="240" w:lineRule="auto"/>
        <w:ind w:left="567" w:right="-2" w:hanging="567"/>
        <w:rPr>
          <w:lang w:val="lt-LT"/>
        </w:rPr>
      </w:pPr>
    </w:p>
    <w:p w14:paraId="3F278478" w14:textId="77777777" w:rsidR="000911B0" w:rsidRPr="00612370" w:rsidRDefault="00596636" w:rsidP="00037B8B">
      <w:pPr>
        <w:numPr>
          <w:ilvl w:val="0"/>
          <w:numId w:val="20"/>
        </w:numPr>
        <w:tabs>
          <w:tab w:val="clear" w:pos="567"/>
        </w:tabs>
        <w:spacing w:line="240" w:lineRule="auto"/>
        <w:ind w:left="567" w:right="-2" w:hanging="567"/>
        <w:rPr>
          <w:lang w:val="lt-LT"/>
        </w:rPr>
      </w:pPr>
      <w:r w:rsidRPr="00612370">
        <w:rPr>
          <w:lang w:val="lt-LT"/>
        </w:rPr>
        <w:t xml:space="preserve">Žr. naudojimo instrukcijų skyrių dėl tinkamos injekcijos dozės. </w:t>
      </w:r>
    </w:p>
    <w:p w14:paraId="6A11C037" w14:textId="77777777" w:rsidR="000911B0" w:rsidRPr="00612370" w:rsidRDefault="000911B0" w:rsidP="00653B20">
      <w:pPr>
        <w:tabs>
          <w:tab w:val="clear" w:pos="567"/>
        </w:tabs>
        <w:spacing w:line="240" w:lineRule="auto"/>
        <w:ind w:left="567" w:right="-2" w:hanging="567"/>
        <w:rPr>
          <w:lang w:val="lt-LT"/>
        </w:rPr>
      </w:pPr>
    </w:p>
    <w:p w14:paraId="4607E8E7" w14:textId="77777777" w:rsidR="000911B0" w:rsidRPr="00612370" w:rsidRDefault="00596636" w:rsidP="00037B8B">
      <w:pPr>
        <w:numPr>
          <w:ilvl w:val="0"/>
          <w:numId w:val="20"/>
        </w:numPr>
        <w:tabs>
          <w:tab w:val="clear" w:pos="567"/>
        </w:tabs>
        <w:spacing w:line="240" w:lineRule="auto"/>
        <w:ind w:left="567" w:right="-2" w:hanging="567"/>
        <w:rPr>
          <w:lang w:val="lt-LT"/>
        </w:rPr>
      </w:pPr>
      <w:r w:rsidRPr="00612370">
        <w:rPr>
          <w:lang w:val="lt-LT"/>
        </w:rPr>
        <w:t xml:space="preserve">Jeigu nesate tikri, kokią dozę susišvirkšti, klauskite gydytojo, vaistininko arba slaugytojo. </w:t>
      </w:r>
    </w:p>
    <w:p w14:paraId="387EC77A" w14:textId="77777777" w:rsidR="000911B0" w:rsidRPr="00612370" w:rsidRDefault="000911B0" w:rsidP="00653B20">
      <w:pPr>
        <w:tabs>
          <w:tab w:val="clear" w:pos="567"/>
        </w:tabs>
        <w:spacing w:line="240" w:lineRule="auto"/>
        <w:ind w:left="567" w:right="-2" w:hanging="567"/>
        <w:rPr>
          <w:lang w:val="lt-LT"/>
        </w:rPr>
      </w:pPr>
    </w:p>
    <w:p w14:paraId="72B759D3" w14:textId="77777777" w:rsidR="000911B0" w:rsidRPr="00612370" w:rsidRDefault="00596636" w:rsidP="00037B8B">
      <w:pPr>
        <w:numPr>
          <w:ilvl w:val="0"/>
          <w:numId w:val="20"/>
        </w:numPr>
        <w:tabs>
          <w:tab w:val="clear" w:pos="567"/>
        </w:tabs>
        <w:spacing w:line="240" w:lineRule="auto"/>
        <w:ind w:left="567" w:right="-2" w:hanging="567"/>
        <w:rPr>
          <w:b/>
          <w:lang w:val="lt-LT"/>
        </w:rPr>
      </w:pPr>
      <w:r w:rsidRPr="00612370">
        <w:rPr>
          <w:b/>
          <w:lang w:val="lt-LT"/>
        </w:rPr>
        <w:t xml:space="preserve">Jeigu simptomai pablogėja arba nepalengvėja, privalote nedelsdami kreiptis medicininės pagalbos. </w:t>
      </w:r>
    </w:p>
    <w:p w14:paraId="7EFDF0EE" w14:textId="77777777" w:rsidR="000911B0" w:rsidRPr="00612370" w:rsidRDefault="000911B0" w:rsidP="000911B0">
      <w:pPr>
        <w:tabs>
          <w:tab w:val="clear" w:pos="567"/>
        </w:tabs>
        <w:spacing w:line="240" w:lineRule="auto"/>
        <w:ind w:right="-2"/>
        <w:rPr>
          <w:lang w:val="lt-LT"/>
        </w:rPr>
      </w:pPr>
    </w:p>
    <w:p w14:paraId="6F10CF46" w14:textId="77777777" w:rsidR="000911B0" w:rsidRPr="00612370" w:rsidRDefault="00596636" w:rsidP="000911B0">
      <w:pPr>
        <w:tabs>
          <w:tab w:val="clear" w:pos="567"/>
        </w:tabs>
        <w:spacing w:line="240" w:lineRule="auto"/>
        <w:ind w:right="-2"/>
        <w:rPr>
          <w:lang w:val="lt-LT"/>
        </w:rPr>
      </w:pPr>
      <w:r w:rsidRPr="00612370">
        <w:rPr>
          <w:b/>
          <w:lang w:val="lt-LT"/>
        </w:rPr>
        <w:t xml:space="preserve">Kaip </w:t>
      </w:r>
      <w:r w:rsidR="00267BB8" w:rsidRPr="00612370">
        <w:rPr>
          <w:b/>
          <w:lang w:val="lt-LT"/>
        </w:rPr>
        <w:t xml:space="preserve">Icatibant Teva </w:t>
      </w:r>
      <w:r w:rsidRPr="00612370">
        <w:rPr>
          <w:b/>
          <w:lang w:val="lt-LT"/>
        </w:rPr>
        <w:t xml:space="preserve">turi būti švirkščiamas? </w:t>
      </w:r>
    </w:p>
    <w:p w14:paraId="72EC9129" w14:textId="77777777" w:rsidR="005E7FB2" w:rsidRPr="00612370" w:rsidRDefault="005E7FB2" w:rsidP="000911B0">
      <w:pPr>
        <w:tabs>
          <w:tab w:val="clear" w:pos="567"/>
        </w:tabs>
        <w:spacing w:line="240" w:lineRule="auto"/>
        <w:ind w:right="-2"/>
        <w:rPr>
          <w:lang w:val="lt-LT"/>
        </w:rPr>
      </w:pPr>
      <w:r w:rsidRPr="00612370">
        <w:rPr>
          <w:lang w:val="lt-LT"/>
        </w:rPr>
        <w:t>Icatibant Teva</w:t>
      </w:r>
      <w:r w:rsidR="00596636" w:rsidRPr="00612370">
        <w:rPr>
          <w:lang w:val="lt-LT"/>
        </w:rPr>
        <w:t xml:space="preserve"> skirtas vartoti po oda. Kiekvieną švirkštą galima vartoti tik vieną kartą. </w:t>
      </w:r>
    </w:p>
    <w:p w14:paraId="7889BEE9" w14:textId="77777777" w:rsidR="005E7FB2" w:rsidRPr="00612370" w:rsidRDefault="005E7FB2" w:rsidP="000911B0">
      <w:pPr>
        <w:tabs>
          <w:tab w:val="clear" w:pos="567"/>
        </w:tabs>
        <w:spacing w:line="240" w:lineRule="auto"/>
        <w:ind w:right="-2"/>
        <w:rPr>
          <w:lang w:val="lt-LT"/>
        </w:rPr>
      </w:pPr>
    </w:p>
    <w:p w14:paraId="576DFBEF" w14:textId="77777777" w:rsidR="005E7FB2" w:rsidRPr="00612370" w:rsidRDefault="005E7FB2" w:rsidP="000911B0">
      <w:pPr>
        <w:tabs>
          <w:tab w:val="clear" w:pos="567"/>
        </w:tabs>
        <w:spacing w:line="240" w:lineRule="auto"/>
        <w:ind w:right="-2"/>
        <w:rPr>
          <w:lang w:val="lt-LT"/>
        </w:rPr>
      </w:pPr>
      <w:r w:rsidRPr="00612370">
        <w:rPr>
          <w:lang w:val="lt-LT"/>
        </w:rPr>
        <w:t>Icatibant Teva</w:t>
      </w:r>
      <w:r w:rsidR="00596636" w:rsidRPr="00612370">
        <w:rPr>
          <w:lang w:val="lt-LT"/>
        </w:rPr>
        <w:t xml:space="preserve"> švirkščiamas trumpa adata į riebalinį sluoksnį po oda pilvo srityje. </w:t>
      </w:r>
    </w:p>
    <w:p w14:paraId="3166F371" w14:textId="77777777" w:rsidR="005E7FB2" w:rsidRPr="00612370" w:rsidRDefault="005E7FB2" w:rsidP="000911B0">
      <w:pPr>
        <w:tabs>
          <w:tab w:val="clear" w:pos="567"/>
        </w:tabs>
        <w:spacing w:line="240" w:lineRule="auto"/>
        <w:ind w:right="-2"/>
        <w:rPr>
          <w:lang w:val="lt-LT"/>
        </w:rPr>
      </w:pPr>
    </w:p>
    <w:p w14:paraId="5595F3F1" w14:textId="77777777" w:rsidR="005E7FB2" w:rsidRPr="00612370" w:rsidRDefault="00596636" w:rsidP="000911B0">
      <w:pPr>
        <w:tabs>
          <w:tab w:val="clear" w:pos="567"/>
        </w:tabs>
        <w:spacing w:line="240" w:lineRule="auto"/>
        <w:ind w:right="-2"/>
        <w:rPr>
          <w:lang w:val="lt-LT"/>
        </w:rPr>
      </w:pPr>
      <w:r w:rsidRPr="00612370">
        <w:rPr>
          <w:lang w:val="lt-LT"/>
        </w:rPr>
        <w:t xml:space="preserve">Jeigu kiltų daugiau klausimų dėl šio vaisto vartojimo, kreipkitės į gydytoją arba vaistininką. </w:t>
      </w:r>
    </w:p>
    <w:p w14:paraId="74BC3FBC" w14:textId="77777777" w:rsidR="005E7FB2" w:rsidRPr="00612370" w:rsidRDefault="005E7FB2" w:rsidP="000911B0">
      <w:pPr>
        <w:tabs>
          <w:tab w:val="clear" w:pos="567"/>
        </w:tabs>
        <w:spacing w:line="240" w:lineRule="auto"/>
        <w:ind w:right="-2"/>
        <w:rPr>
          <w:lang w:val="lt-LT"/>
        </w:rPr>
      </w:pPr>
    </w:p>
    <w:p w14:paraId="74E611AB" w14:textId="77777777" w:rsidR="005E7FB2" w:rsidRPr="00612370" w:rsidRDefault="00596636" w:rsidP="000911B0">
      <w:pPr>
        <w:tabs>
          <w:tab w:val="clear" w:pos="567"/>
        </w:tabs>
        <w:spacing w:line="240" w:lineRule="auto"/>
        <w:ind w:right="-2"/>
        <w:rPr>
          <w:b/>
          <w:lang w:val="lt-LT"/>
        </w:rPr>
      </w:pPr>
      <w:r w:rsidRPr="00612370">
        <w:rPr>
          <w:b/>
          <w:lang w:val="lt-LT"/>
        </w:rPr>
        <w:t xml:space="preserve">Šios nuoseklios instrukcijos skirtos: </w:t>
      </w:r>
    </w:p>
    <w:p w14:paraId="3940CF6C" w14:textId="77777777" w:rsidR="005E7FB2" w:rsidRPr="00612370" w:rsidRDefault="00596636" w:rsidP="00037B8B">
      <w:pPr>
        <w:numPr>
          <w:ilvl w:val="0"/>
          <w:numId w:val="21"/>
        </w:numPr>
        <w:tabs>
          <w:tab w:val="clear" w:pos="567"/>
        </w:tabs>
        <w:spacing w:line="240" w:lineRule="auto"/>
        <w:ind w:left="567" w:right="-2" w:hanging="567"/>
        <w:rPr>
          <w:b/>
          <w:lang w:val="lt-LT"/>
        </w:rPr>
      </w:pPr>
      <w:r w:rsidRPr="00612370">
        <w:rPr>
          <w:b/>
          <w:lang w:val="lt-LT"/>
        </w:rPr>
        <w:t xml:space="preserve">savarankiškai atliekantiems injekciją (suaugusiesiems); </w:t>
      </w:r>
    </w:p>
    <w:p w14:paraId="06623748" w14:textId="77777777" w:rsidR="005E7FB2" w:rsidRPr="00612370" w:rsidRDefault="00596636" w:rsidP="00037B8B">
      <w:pPr>
        <w:numPr>
          <w:ilvl w:val="0"/>
          <w:numId w:val="21"/>
        </w:numPr>
        <w:tabs>
          <w:tab w:val="clear" w:pos="567"/>
        </w:tabs>
        <w:spacing w:line="240" w:lineRule="auto"/>
        <w:ind w:left="567" w:right="-2" w:hanging="567"/>
        <w:rPr>
          <w:b/>
          <w:lang w:val="lt-LT"/>
        </w:rPr>
      </w:pPr>
      <w:r w:rsidRPr="00612370">
        <w:rPr>
          <w:b/>
          <w:lang w:val="lt-LT"/>
        </w:rPr>
        <w:t>kai injekciją suaugusiesiems, paaugliams arba vyresniems nei 2 metų (sve</w:t>
      </w:r>
      <w:r w:rsidR="005E7FB2" w:rsidRPr="00612370">
        <w:rPr>
          <w:b/>
          <w:lang w:val="lt-LT"/>
        </w:rPr>
        <w:t>riantiems ne mažiau kaip 12 </w:t>
      </w:r>
      <w:r w:rsidRPr="00612370">
        <w:rPr>
          <w:b/>
          <w:lang w:val="lt-LT"/>
        </w:rPr>
        <w:t xml:space="preserve">kg) vaikams atlieka juos prižiūrintis asmuo arba sveikatos priežiūros specialistas. </w:t>
      </w:r>
    </w:p>
    <w:p w14:paraId="00EF7EDB" w14:textId="77777777" w:rsidR="005E7FB2" w:rsidRPr="00612370" w:rsidRDefault="005E7FB2" w:rsidP="005E7FB2">
      <w:pPr>
        <w:tabs>
          <w:tab w:val="clear" w:pos="567"/>
        </w:tabs>
        <w:spacing w:line="240" w:lineRule="auto"/>
        <w:ind w:left="567" w:right="-2" w:hanging="567"/>
        <w:rPr>
          <w:b/>
          <w:lang w:val="lt-LT"/>
        </w:rPr>
      </w:pPr>
    </w:p>
    <w:p w14:paraId="7EE245C9" w14:textId="77777777" w:rsidR="005E7FB2" w:rsidRPr="00612370" w:rsidRDefault="00596636" w:rsidP="000911B0">
      <w:pPr>
        <w:tabs>
          <w:tab w:val="clear" w:pos="567"/>
        </w:tabs>
        <w:spacing w:line="240" w:lineRule="auto"/>
        <w:ind w:right="-2"/>
        <w:rPr>
          <w:lang w:val="lt-LT"/>
        </w:rPr>
      </w:pPr>
      <w:r w:rsidRPr="00612370">
        <w:rPr>
          <w:lang w:val="lt-LT"/>
        </w:rPr>
        <w:t xml:space="preserve">Instrukcijoje yra šie etapai: </w:t>
      </w:r>
    </w:p>
    <w:p w14:paraId="499C32FF" w14:textId="77777777" w:rsidR="005E7FB2" w:rsidRPr="00612370" w:rsidRDefault="005E7FB2" w:rsidP="000911B0">
      <w:pPr>
        <w:tabs>
          <w:tab w:val="clear" w:pos="567"/>
        </w:tabs>
        <w:spacing w:line="240" w:lineRule="auto"/>
        <w:ind w:right="-2"/>
        <w:rPr>
          <w:lang w:val="lt-LT"/>
        </w:rPr>
      </w:pPr>
    </w:p>
    <w:p w14:paraId="085D3323" w14:textId="77777777" w:rsidR="005E7FB2" w:rsidRPr="00612370" w:rsidRDefault="00596636" w:rsidP="005E7FB2">
      <w:pPr>
        <w:numPr>
          <w:ilvl w:val="0"/>
          <w:numId w:val="12"/>
        </w:numPr>
        <w:tabs>
          <w:tab w:val="clear" w:pos="567"/>
        </w:tabs>
        <w:spacing w:line="240" w:lineRule="auto"/>
        <w:ind w:left="567" w:right="-2" w:hanging="567"/>
        <w:rPr>
          <w:lang w:val="lt-LT"/>
        </w:rPr>
      </w:pPr>
      <w:r w:rsidRPr="00612370">
        <w:rPr>
          <w:lang w:val="lt-LT"/>
        </w:rPr>
        <w:t xml:space="preserve">bendroji informacija; </w:t>
      </w:r>
    </w:p>
    <w:p w14:paraId="7A7F78AA" w14:textId="77777777" w:rsidR="005E7FB2" w:rsidRPr="00612370" w:rsidRDefault="00596636" w:rsidP="00ED73D5">
      <w:pPr>
        <w:spacing w:line="240" w:lineRule="auto"/>
        <w:ind w:right="-2"/>
        <w:rPr>
          <w:lang w:val="lt-LT"/>
        </w:rPr>
      </w:pPr>
      <w:r w:rsidRPr="00612370">
        <w:rPr>
          <w:lang w:val="lt-LT"/>
        </w:rPr>
        <w:t>2a)</w:t>
      </w:r>
      <w:r w:rsidR="00ED73D5" w:rsidRPr="00612370">
        <w:rPr>
          <w:lang w:val="lt-LT"/>
        </w:rPr>
        <w:tab/>
      </w:r>
      <w:r w:rsidRPr="00612370">
        <w:rPr>
          <w:lang w:val="lt-LT"/>
        </w:rPr>
        <w:t>švirkšto paruošimas vaikams ir paauglia</w:t>
      </w:r>
      <w:r w:rsidR="005E7FB2" w:rsidRPr="00612370">
        <w:rPr>
          <w:lang w:val="lt-LT"/>
        </w:rPr>
        <w:t>ms (2–17 metų), sveriantiems 65 </w:t>
      </w:r>
      <w:r w:rsidRPr="00612370">
        <w:rPr>
          <w:lang w:val="lt-LT"/>
        </w:rPr>
        <w:t xml:space="preserve">kg ar mažiau; </w:t>
      </w:r>
    </w:p>
    <w:p w14:paraId="0744FF62" w14:textId="77777777" w:rsidR="005E7FB2" w:rsidRPr="00612370" w:rsidRDefault="00596636" w:rsidP="00ED73D5">
      <w:pPr>
        <w:spacing w:line="240" w:lineRule="auto"/>
        <w:ind w:right="-2"/>
        <w:rPr>
          <w:lang w:val="lt-LT"/>
        </w:rPr>
      </w:pPr>
      <w:r w:rsidRPr="00612370">
        <w:rPr>
          <w:lang w:val="lt-LT"/>
        </w:rPr>
        <w:t>2b)</w:t>
      </w:r>
      <w:r w:rsidR="00ED73D5" w:rsidRPr="00612370">
        <w:rPr>
          <w:lang w:val="lt-LT"/>
        </w:rPr>
        <w:tab/>
      </w:r>
      <w:r w:rsidRPr="00612370">
        <w:rPr>
          <w:lang w:val="lt-LT"/>
        </w:rPr>
        <w:t xml:space="preserve">švirkšto ir adatos paruošimas injekcijai (visiems pacientams); </w:t>
      </w:r>
    </w:p>
    <w:p w14:paraId="7D05FC2F" w14:textId="77777777" w:rsidR="005E7FB2" w:rsidRPr="00612370" w:rsidRDefault="00596636" w:rsidP="005E7FB2">
      <w:pPr>
        <w:numPr>
          <w:ilvl w:val="0"/>
          <w:numId w:val="13"/>
        </w:numPr>
        <w:tabs>
          <w:tab w:val="clear" w:pos="567"/>
        </w:tabs>
        <w:spacing w:line="240" w:lineRule="auto"/>
        <w:ind w:left="567" w:right="-2" w:hanging="567"/>
        <w:rPr>
          <w:lang w:val="lt-LT"/>
        </w:rPr>
      </w:pPr>
      <w:r w:rsidRPr="00612370">
        <w:rPr>
          <w:lang w:val="lt-LT"/>
        </w:rPr>
        <w:t xml:space="preserve">injekcijos vietos paruošimas; </w:t>
      </w:r>
    </w:p>
    <w:p w14:paraId="69A89002" w14:textId="77777777" w:rsidR="005E7FB2" w:rsidRPr="004453A7" w:rsidRDefault="00596636" w:rsidP="005E7FB2">
      <w:pPr>
        <w:numPr>
          <w:ilvl w:val="0"/>
          <w:numId w:val="13"/>
        </w:numPr>
        <w:tabs>
          <w:tab w:val="clear" w:pos="567"/>
        </w:tabs>
        <w:spacing w:line="240" w:lineRule="auto"/>
        <w:ind w:left="567" w:right="-2" w:hanging="567"/>
        <w:rPr>
          <w:lang w:val="lt-LT"/>
        </w:rPr>
      </w:pPr>
      <w:r w:rsidRPr="004453A7">
        <w:rPr>
          <w:lang w:val="lt-LT"/>
        </w:rPr>
        <w:t xml:space="preserve">tirpalo švirkštimas; </w:t>
      </w:r>
    </w:p>
    <w:p w14:paraId="02A97D2A" w14:textId="77777777" w:rsidR="00596636" w:rsidRPr="004453A7" w:rsidRDefault="00596636" w:rsidP="005E7FB2">
      <w:pPr>
        <w:numPr>
          <w:ilvl w:val="0"/>
          <w:numId w:val="13"/>
        </w:numPr>
        <w:tabs>
          <w:tab w:val="clear" w:pos="567"/>
        </w:tabs>
        <w:spacing w:line="240" w:lineRule="auto"/>
        <w:ind w:left="567" w:right="-2" w:hanging="567"/>
        <w:rPr>
          <w:lang w:val="lt-LT"/>
        </w:rPr>
      </w:pPr>
      <w:r w:rsidRPr="004453A7">
        <w:rPr>
          <w:lang w:val="lt-LT"/>
        </w:rPr>
        <w:t>švirkšto, adatos ir adatos dangtelio atliekų tvarkymas</w:t>
      </w:r>
    </w:p>
    <w:p w14:paraId="3B335EF8" w14:textId="77777777" w:rsidR="00F34163" w:rsidRPr="004453A7" w:rsidRDefault="00F34163" w:rsidP="00F34163">
      <w:pPr>
        <w:numPr>
          <w:ilvl w:val="12"/>
          <w:numId w:val="0"/>
        </w:numPr>
        <w:tabs>
          <w:tab w:val="clear" w:pos="567"/>
        </w:tabs>
        <w:spacing w:line="240" w:lineRule="auto"/>
        <w:ind w:right="-2"/>
        <w:rPr>
          <w:szCs w:val="24"/>
          <w:lang w:val="lt-LT"/>
        </w:rPr>
      </w:pPr>
    </w:p>
    <w:p w14:paraId="3CCF181A" w14:textId="77777777" w:rsidR="00F34163" w:rsidRPr="004453A7" w:rsidRDefault="00F34163" w:rsidP="00F34163">
      <w:pPr>
        <w:numPr>
          <w:ilvl w:val="12"/>
          <w:numId w:val="0"/>
        </w:numPr>
        <w:tabs>
          <w:tab w:val="clear" w:pos="567"/>
        </w:tabs>
        <w:spacing w:line="240" w:lineRule="auto"/>
        <w:ind w:right="-2"/>
        <w:rPr>
          <w:szCs w:val="24"/>
          <w:lang w:val="lt-LT"/>
        </w:rPr>
      </w:pPr>
    </w:p>
    <w:p w14:paraId="6FDC7D47" w14:textId="77777777" w:rsidR="005E7FB2" w:rsidRPr="004453A7" w:rsidRDefault="005E7FB2" w:rsidP="005E7FB2">
      <w:pPr>
        <w:numPr>
          <w:ilvl w:val="12"/>
          <w:numId w:val="0"/>
        </w:numPr>
        <w:tabs>
          <w:tab w:val="clear" w:pos="567"/>
        </w:tabs>
        <w:spacing w:line="240" w:lineRule="auto"/>
        <w:ind w:right="-2"/>
        <w:jc w:val="center"/>
        <w:rPr>
          <w:b/>
          <w:szCs w:val="24"/>
          <w:lang w:val="lt-LT"/>
        </w:rPr>
      </w:pPr>
      <w:r w:rsidRPr="004453A7">
        <w:rPr>
          <w:b/>
          <w:lang w:val="lt-LT"/>
        </w:rPr>
        <w:t>Nuosekli injekcijos atlikimo instrukcija</w:t>
      </w:r>
    </w:p>
    <w:p w14:paraId="78BEF2D8" w14:textId="77777777" w:rsidR="005E7FB2" w:rsidRPr="004453A7" w:rsidRDefault="005E7FB2" w:rsidP="00F34163">
      <w:pPr>
        <w:numPr>
          <w:ilvl w:val="12"/>
          <w:numId w:val="0"/>
        </w:numPr>
        <w:tabs>
          <w:tab w:val="clear" w:pos="567"/>
        </w:tabs>
        <w:spacing w:line="240" w:lineRule="auto"/>
        <w:ind w:right="-2"/>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7FB2" w:rsidRPr="004453A7" w14:paraId="7BC31177" w14:textId="77777777" w:rsidTr="00F917CF">
        <w:tc>
          <w:tcPr>
            <w:tcW w:w="9287" w:type="dxa"/>
          </w:tcPr>
          <w:p w14:paraId="50773198" w14:textId="77777777" w:rsidR="005E7FB2" w:rsidRPr="004453A7" w:rsidRDefault="005E7FB2" w:rsidP="00F917CF">
            <w:pPr>
              <w:numPr>
                <w:ilvl w:val="12"/>
                <w:numId w:val="0"/>
              </w:numPr>
              <w:tabs>
                <w:tab w:val="clear" w:pos="567"/>
              </w:tabs>
              <w:spacing w:line="240" w:lineRule="auto"/>
              <w:ind w:right="-2"/>
              <w:jc w:val="center"/>
              <w:outlineLvl w:val="0"/>
              <w:rPr>
                <w:b/>
                <w:lang w:val="lt-LT"/>
              </w:rPr>
            </w:pPr>
            <w:r w:rsidRPr="004453A7">
              <w:rPr>
                <w:b/>
                <w:lang w:val="lt-LT"/>
              </w:rPr>
              <w:t xml:space="preserve">1) </w:t>
            </w:r>
            <w:r w:rsidR="00F917CF" w:rsidRPr="004453A7">
              <w:rPr>
                <w:b/>
                <w:lang w:val="lt-LT"/>
              </w:rPr>
              <w:t>Bendroji informacija:</w:t>
            </w:r>
          </w:p>
          <w:p w14:paraId="07B66811" w14:textId="77777777" w:rsidR="005E7FB2" w:rsidRPr="004453A7" w:rsidRDefault="005E7FB2" w:rsidP="00F917CF">
            <w:pPr>
              <w:numPr>
                <w:ilvl w:val="12"/>
                <w:numId w:val="0"/>
              </w:numPr>
              <w:tabs>
                <w:tab w:val="clear" w:pos="567"/>
              </w:tabs>
              <w:spacing w:line="240" w:lineRule="auto"/>
              <w:ind w:right="-2"/>
              <w:outlineLvl w:val="0"/>
              <w:rPr>
                <w:b/>
                <w:lang w:val="lt-LT"/>
              </w:rPr>
            </w:pPr>
          </w:p>
        </w:tc>
      </w:tr>
      <w:tr w:rsidR="005E7FB2" w:rsidRPr="005542E1" w14:paraId="481B8307" w14:textId="77777777" w:rsidTr="00F917CF">
        <w:tc>
          <w:tcPr>
            <w:tcW w:w="9287" w:type="dxa"/>
          </w:tcPr>
          <w:p w14:paraId="0581F267" w14:textId="77777777" w:rsidR="00F917CF"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 xml:space="preserve">Prieš pradėdami procesą, nuvalykite darbo vietą (paviršių), kurį naudosite. </w:t>
            </w:r>
          </w:p>
          <w:p w14:paraId="653D09BF" w14:textId="77777777" w:rsidR="00F917CF"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 xml:space="preserve">Nusiplaukite rankas su muilu ir vandeniu. </w:t>
            </w:r>
          </w:p>
          <w:p w14:paraId="71ABC44B" w14:textId="77777777" w:rsidR="00F917CF"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 xml:space="preserve">Išimkite užpildytą švirkštą iš dėžutės. </w:t>
            </w:r>
          </w:p>
          <w:p w14:paraId="65965E44" w14:textId="77777777" w:rsidR="00F917CF"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 xml:space="preserve">Nuimkite ant užpildyto švirkšto galo esantį dangtelį, jį atsukdami. </w:t>
            </w:r>
          </w:p>
          <w:p w14:paraId="54AB3BA1" w14:textId="77777777" w:rsidR="005E7FB2" w:rsidRPr="004453A7" w:rsidRDefault="00F917CF" w:rsidP="00F917CF">
            <w:pPr>
              <w:numPr>
                <w:ilvl w:val="0"/>
                <w:numId w:val="14"/>
              </w:numPr>
              <w:tabs>
                <w:tab w:val="clear" w:pos="567"/>
              </w:tabs>
              <w:spacing w:line="240" w:lineRule="auto"/>
              <w:ind w:left="567" w:right="-2" w:hanging="567"/>
              <w:outlineLvl w:val="0"/>
              <w:rPr>
                <w:lang w:val="lt-LT"/>
              </w:rPr>
            </w:pPr>
            <w:r w:rsidRPr="004453A7">
              <w:rPr>
                <w:lang w:val="lt-LT"/>
              </w:rPr>
              <w:t>Atsukę dangtelį, padėkite užpildytą švirkštą</w:t>
            </w:r>
            <w:r w:rsidR="00DE7EF5">
              <w:rPr>
                <w:lang w:val="lt-LT"/>
              </w:rPr>
              <w:t>.</w:t>
            </w:r>
          </w:p>
        </w:tc>
      </w:tr>
      <w:tr w:rsidR="005E7FB2" w:rsidRPr="005542E1" w14:paraId="2A212453" w14:textId="77777777" w:rsidTr="00F917CF">
        <w:tc>
          <w:tcPr>
            <w:tcW w:w="9287" w:type="dxa"/>
          </w:tcPr>
          <w:p w14:paraId="627E80D4" w14:textId="77777777" w:rsidR="00F917CF" w:rsidRPr="004453A7" w:rsidRDefault="005E7FB2" w:rsidP="00DE7EF5">
            <w:pPr>
              <w:numPr>
                <w:ilvl w:val="12"/>
                <w:numId w:val="0"/>
              </w:numPr>
              <w:tabs>
                <w:tab w:val="clear" w:pos="567"/>
              </w:tabs>
              <w:spacing w:line="240" w:lineRule="auto"/>
              <w:ind w:right="-2"/>
              <w:outlineLvl w:val="0"/>
              <w:rPr>
                <w:b/>
                <w:lang w:val="lt-LT"/>
              </w:rPr>
            </w:pPr>
            <w:r w:rsidRPr="004453A7">
              <w:rPr>
                <w:b/>
                <w:lang w:val="lt-LT"/>
              </w:rPr>
              <w:t xml:space="preserve">2a) </w:t>
            </w:r>
            <w:r w:rsidR="00F917CF" w:rsidRPr="004453A7">
              <w:rPr>
                <w:b/>
                <w:lang w:val="lt-LT"/>
              </w:rPr>
              <w:t>Švirkšto paruošimas vaikams ir paaugliams (2–17 metų), sveriantiems 65 kg</w:t>
            </w:r>
            <w:r w:rsidR="00E23E75">
              <w:rPr>
                <w:b/>
                <w:lang w:val="lt-LT"/>
              </w:rPr>
              <w:t xml:space="preserve"> </w:t>
            </w:r>
            <w:r w:rsidR="00F917CF" w:rsidRPr="004453A7">
              <w:rPr>
                <w:b/>
                <w:lang w:val="lt-LT"/>
              </w:rPr>
              <w:t>arba mažiau</w:t>
            </w:r>
            <w:r w:rsidR="00E23E75">
              <w:rPr>
                <w:b/>
                <w:lang w:val="lt-LT"/>
              </w:rPr>
              <w:t>:</w:t>
            </w:r>
          </w:p>
        </w:tc>
      </w:tr>
      <w:tr w:rsidR="005E7FB2" w:rsidRPr="005542E1" w14:paraId="6ACB02AC" w14:textId="77777777" w:rsidTr="00F917CF">
        <w:tc>
          <w:tcPr>
            <w:tcW w:w="9287" w:type="dxa"/>
          </w:tcPr>
          <w:p w14:paraId="547B5FCA" w14:textId="77777777" w:rsidR="00F917CF" w:rsidRPr="004453A7" w:rsidRDefault="00F917CF" w:rsidP="00037B8B">
            <w:pPr>
              <w:numPr>
                <w:ilvl w:val="12"/>
                <w:numId w:val="0"/>
              </w:numPr>
              <w:tabs>
                <w:tab w:val="clear" w:pos="567"/>
              </w:tabs>
              <w:spacing w:line="240" w:lineRule="auto"/>
              <w:ind w:right="-2"/>
              <w:outlineLvl w:val="0"/>
              <w:rPr>
                <w:b/>
                <w:lang w:val="lt-LT"/>
              </w:rPr>
            </w:pPr>
            <w:r w:rsidRPr="004453A7">
              <w:rPr>
                <w:b/>
                <w:lang w:val="lt-LT"/>
              </w:rPr>
              <w:t>Svarbi informacija sveikatos priežiūros specialistams ir prižiūrintiems asmenims</w:t>
            </w:r>
          </w:p>
          <w:p w14:paraId="1C16A7D8" w14:textId="77777777" w:rsidR="00F917CF" w:rsidRPr="004453A7" w:rsidRDefault="00F917CF" w:rsidP="00F917CF">
            <w:pPr>
              <w:numPr>
                <w:ilvl w:val="12"/>
                <w:numId w:val="0"/>
              </w:numPr>
              <w:tabs>
                <w:tab w:val="clear" w:pos="567"/>
              </w:tabs>
              <w:spacing w:line="240" w:lineRule="auto"/>
              <w:ind w:right="-2"/>
              <w:outlineLvl w:val="0"/>
              <w:rPr>
                <w:lang w:val="lt-LT"/>
              </w:rPr>
            </w:pPr>
          </w:p>
          <w:p w14:paraId="2C31CCAE" w14:textId="77777777" w:rsidR="00F917CF" w:rsidRPr="004453A7" w:rsidRDefault="00F917CF" w:rsidP="00F917CF">
            <w:pPr>
              <w:numPr>
                <w:ilvl w:val="12"/>
                <w:numId w:val="0"/>
              </w:numPr>
              <w:tabs>
                <w:tab w:val="clear" w:pos="567"/>
              </w:tabs>
              <w:spacing w:line="240" w:lineRule="auto"/>
              <w:ind w:right="-2"/>
              <w:outlineLvl w:val="0"/>
              <w:rPr>
                <w:lang w:val="lt-LT"/>
              </w:rPr>
            </w:pPr>
            <w:r w:rsidRPr="004453A7">
              <w:rPr>
                <w:lang w:val="lt-LT"/>
              </w:rPr>
              <w:t xml:space="preserve">Kai dozė yra mažesnė kaip 30 mg (3 ml), reikės tokios įrangos tinkamai dozei ištraukti (žr. toliau): </w:t>
            </w:r>
          </w:p>
          <w:p w14:paraId="0D86066E" w14:textId="77777777" w:rsidR="00F917CF" w:rsidRPr="004453A7" w:rsidRDefault="00F917CF" w:rsidP="00F917CF">
            <w:pPr>
              <w:numPr>
                <w:ilvl w:val="12"/>
                <w:numId w:val="0"/>
              </w:numPr>
              <w:tabs>
                <w:tab w:val="clear" w:pos="567"/>
              </w:tabs>
              <w:spacing w:line="240" w:lineRule="auto"/>
              <w:ind w:right="-2"/>
              <w:outlineLvl w:val="0"/>
              <w:rPr>
                <w:lang w:val="lt-LT"/>
              </w:rPr>
            </w:pPr>
          </w:p>
          <w:p w14:paraId="69B16DEB" w14:textId="77777777" w:rsidR="00F917CF" w:rsidRPr="004453A7" w:rsidRDefault="00F917CF" w:rsidP="0074234D">
            <w:pPr>
              <w:numPr>
                <w:ilvl w:val="12"/>
                <w:numId w:val="0"/>
              </w:numPr>
              <w:tabs>
                <w:tab w:val="clear" w:pos="567"/>
              </w:tabs>
              <w:spacing w:line="240" w:lineRule="auto"/>
              <w:ind w:left="567" w:right="-2"/>
              <w:outlineLvl w:val="0"/>
              <w:rPr>
                <w:lang w:val="lt-LT"/>
              </w:rPr>
            </w:pPr>
            <w:r w:rsidRPr="004453A7">
              <w:rPr>
                <w:lang w:val="lt-LT"/>
              </w:rPr>
              <w:t xml:space="preserve">a) Icatibant Teva užpildyto švirkšto (su ikatibanto tirpalu); </w:t>
            </w:r>
          </w:p>
          <w:p w14:paraId="56D2C6E8" w14:textId="77777777" w:rsidR="00F917CF" w:rsidRPr="004453A7" w:rsidRDefault="00F917CF" w:rsidP="0074234D">
            <w:pPr>
              <w:numPr>
                <w:ilvl w:val="12"/>
                <w:numId w:val="0"/>
              </w:numPr>
              <w:tabs>
                <w:tab w:val="clear" w:pos="567"/>
              </w:tabs>
              <w:spacing w:line="240" w:lineRule="auto"/>
              <w:ind w:left="567" w:right="-2"/>
              <w:outlineLvl w:val="0"/>
              <w:rPr>
                <w:lang w:val="lt-LT"/>
              </w:rPr>
            </w:pPr>
            <w:r w:rsidRPr="004453A7">
              <w:rPr>
                <w:lang w:val="lt-LT"/>
              </w:rPr>
              <w:t>b) sujungėjo (adapterio);</w:t>
            </w:r>
          </w:p>
          <w:p w14:paraId="6F2599C1" w14:textId="77777777" w:rsidR="005E7FB2" w:rsidRPr="004453A7" w:rsidRDefault="00F917CF" w:rsidP="0074234D">
            <w:pPr>
              <w:numPr>
                <w:ilvl w:val="12"/>
                <w:numId w:val="0"/>
              </w:numPr>
              <w:tabs>
                <w:tab w:val="clear" w:pos="567"/>
              </w:tabs>
              <w:spacing w:line="240" w:lineRule="auto"/>
              <w:ind w:left="567" w:right="-2"/>
              <w:outlineLvl w:val="0"/>
              <w:rPr>
                <w:b/>
                <w:lang w:val="lt-LT"/>
              </w:rPr>
            </w:pPr>
            <w:r w:rsidRPr="004453A7">
              <w:rPr>
                <w:lang w:val="lt-LT"/>
              </w:rPr>
              <w:t>c) 3  ml graduo</w:t>
            </w:r>
            <w:r w:rsidR="00DE7EF5">
              <w:rPr>
                <w:lang w:val="lt-LT"/>
              </w:rPr>
              <w:t>t</w:t>
            </w:r>
            <w:r w:rsidRPr="004453A7">
              <w:rPr>
                <w:lang w:val="lt-LT"/>
              </w:rPr>
              <w:t>o švirkšto</w:t>
            </w:r>
            <w:r w:rsidR="00864381">
              <w:rPr>
                <w:lang w:val="lt-LT"/>
              </w:rPr>
              <w:t>.</w:t>
            </w:r>
          </w:p>
          <w:p w14:paraId="10887B66" w14:textId="77777777" w:rsidR="005E7FB2" w:rsidRPr="004453A7" w:rsidRDefault="005E7FB2" w:rsidP="0074234D">
            <w:pPr>
              <w:tabs>
                <w:tab w:val="clear" w:pos="567"/>
              </w:tabs>
              <w:spacing w:line="240" w:lineRule="auto"/>
              <w:ind w:left="567" w:right="-2"/>
              <w:outlineLvl w:val="0"/>
              <w:rPr>
                <w:lang w:val="lt-LT"/>
              </w:rPr>
            </w:pPr>
          </w:p>
          <w:p w14:paraId="5EF2BC50" w14:textId="07A9B68A" w:rsidR="005E7FB2" w:rsidRPr="004453A7" w:rsidRDefault="00194925" w:rsidP="0074234D">
            <w:pPr>
              <w:tabs>
                <w:tab w:val="clear" w:pos="567"/>
              </w:tabs>
              <w:spacing w:line="240" w:lineRule="auto"/>
              <w:ind w:left="567" w:right="-2"/>
              <w:jc w:val="center"/>
              <w:outlineLvl w:val="0"/>
              <w:rPr>
                <w:lang w:val="lt-LT"/>
              </w:rPr>
            </w:pPr>
            <w:r>
              <w:rPr>
                <w:noProof/>
                <w:lang w:val="lt-LT" w:eastAsia="lt-LT"/>
              </w:rPr>
              <w:drawing>
                <wp:inline distT="0" distB="0" distL="0" distR="0" wp14:anchorId="10963B1C" wp14:editId="07EC19E2">
                  <wp:extent cx="2343150" cy="1333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333500"/>
                          </a:xfrm>
                          <a:prstGeom prst="rect">
                            <a:avLst/>
                          </a:prstGeom>
                          <a:noFill/>
                          <a:ln>
                            <a:noFill/>
                          </a:ln>
                        </pic:spPr>
                      </pic:pic>
                    </a:graphicData>
                  </a:graphic>
                </wp:inline>
              </w:drawing>
            </w:r>
          </w:p>
          <w:p w14:paraId="212F351C" w14:textId="77777777" w:rsidR="005E7FB2" w:rsidRPr="004453A7" w:rsidRDefault="005E7FB2" w:rsidP="00F917CF">
            <w:pPr>
              <w:tabs>
                <w:tab w:val="clear" w:pos="567"/>
              </w:tabs>
              <w:spacing w:line="240" w:lineRule="auto"/>
              <w:ind w:right="-2"/>
              <w:jc w:val="center"/>
              <w:outlineLvl w:val="0"/>
              <w:rPr>
                <w:lang w:val="lt-LT"/>
              </w:rPr>
            </w:pPr>
          </w:p>
          <w:p w14:paraId="2B154A2A" w14:textId="77777777" w:rsidR="005E7FB2" w:rsidRPr="004453A7" w:rsidRDefault="00F917CF" w:rsidP="00F917CF">
            <w:pPr>
              <w:tabs>
                <w:tab w:val="clear" w:pos="567"/>
              </w:tabs>
              <w:spacing w:line="240" w:lineRule="auto"/>
              <w:ind w:right="-2"/>
              <w:outlineLvl w:val="0"/>
              <w:rPr>
                <w:lang w:val="lt-LT"/>
              </w:rPr>
            </w:pPr>
            <w:r w:rsidRPr="004453A7">
              <w:rPr>
                <w:lang w:val="lt-LT"/>
              </w:rPr>
              <w:t>Injekcijai reikalingą tūrį mililitrais reikia ištraukti į tuščią 3 ml graduotą švirkštą (žr. lentelę toliau).</w:t>
            </w:r>
          </w:p>
        </w:tc>
      </w:tr>
    </w:tbl>
    <w:p w14:paraId="09328363" w14:textId="77777777" w:rsidR="005E7FB2" w:rsidRPr="004453A7" w:rsidRDefault="005E7FB2" w:rsidP="005E7FB2">
      <w:pPr>
        <w:numPr>
          <w:ilvl w:val="12"/>
          <w:numId w:val="0"/>
        </w:numPr>
        <w:tabs>
          <w:tab w:val="clear" w:pos="567"/>
        </w:tabs>
        <w:spacing w:line="240" w:lineRule="auto"/>
        <w:ind w:right="-2"/>
        <w:jc w:val="center"/>
        <w:outlineLvl w:val="0"/>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7FB2" w:rsidRPr="004453A7" w14:paraId="65ACB5D0" w14:textId="77777777" w:rsidTr="00F917CF">
        <w:tc>
          <w:tcPr>
            <w:tcW w:w="9287" w:type="dxa"/>
          </w:tcPr>
          <w:p w14:paraId="71E72D07" w14:textId="77777777" w:rsidR="005E7FB2" w:rsidRPr="004453A7" w:rsidRDefault="005E7FB2" w:rsidP="00F917CF">
            <w:pPr>
              <w:pStyle w:val="Default"/>
              <w:rPr>
                <w:sz w:val="22"/>
                <w:szCs w:val="22"/>
                <w:lang w:val="lt-LT"/>
              </w:rPr>
            </w:pPr>
            <w:r w:rsidRPr="004453A7">
              <w:rPr>
                <w:b/>
                <w:bCs/>
                <w:sz w:val="22"/>
                <w:szCs w:val="22"/>
                <w:lang w:val="lt-LT"/>
              </w:rPr>
              <w:t>1</w:t>
            </w:r>
            <w:r w:rsidR="00267BB8" w:rsidRPr="004453A7">
              <w:rPr>
                <w:b/>
                <w:bCs/>
                <w:sz w:val="22"/>
                <w:szCs w:val="22"/>
                <w:lang w:val="lt-LT"/>
              </w:rPr>
              <w:t xml:space="preserve"> lentelė</w:t>
            </w:r>
            <w:r w:rsidRPr="004453A7">
              <w:rPr>
                <w:b/>
                <w:bCs/>
                <w:sz w:val="22"/>
                <w:szCs w:val="22"/>
                <w:lang w:val="lt-LT"/>
              </w:rPr>
              <w:t>: Do</w:t>
            </w:r>
            <w:r w:rsidR="00267BB8" w:rsidRPr="004453A7">
              <w:rPr>
                <w:b/>
                <w:bCs/>
                <w:sz w:val="22"/>
                <w:szCs w:val="22"/>
                <w:lang w:val="lt-LT"/>
              </w:rPr>
              <w:t>zavimas vaikams ir paaugliams</w:t>
            </w:r>
            <w:r w:rsidRPr="004453A7">
              <w:rPr>
                <w:b/>
                <w:bCs/>
                <w:sz w:val="22"/>
                <w:szCs w:val="22"/>
                <w:lang w:val="lt-LT"/>
              </w:rPr>
              <w:t xml:space="preserve"> </w:t>
            </w:r>
          </w:p>
          <w:p w14:paraId="4CB74AFF" w14:textId="77777777" w:rsidR="005E7FB2" w:rsidRPr="004453A7" w:rsidRDefault="005E7FB2" w:rsidP="00F917CF">
            <w:pPr>
              <w:numPr>
                <w:ilvl w:val="12"/>
                <w:numId w:val="0"/>
              </w:numPr>
              <w:tabs>
                <w:tab w:val="clear" w:pos="567"/>
              </w:tabs>
              <w:spacing w:line="240" w:lineRule="auto"/>
              <w:ind w:right="-2"/>
              <w:outlineLvl w:val="0"/>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4422"/>
            </w:tblGrid>
            <w:tr w:rsidR="005E7FB2" w:rsidRPr="005542E1" w14:paraId="30CD6BBA" w14:textId="77777777" w:rsidTr="00F917CF">
              <w:tc>
                <w:tcPr>
                  <w:tcW w:w="4528" w:type="dxa"/>
                </w:tcPr>
                <w:p w14:paraId="2EC4F061" w14:textId="77777777" w:rsidR="005E7FB2" w:rsidRPr="004453A7" w:rsidRDefault="00267BB8" w:rsidP="00F917CF">
                  <w:pPr>
                    <w:numPr>
                      <w:ilvl w:val="12"/>
                      <w:numId w:val="0"/>
                    </w:numPr>
                    <w:tabs>
                      <w:tab w:val="clear" w:pos="567"/>
                    </w:tabs>
                    <w:spacing w:line="240" w:lineRule="auto"/>
                    <w:ind w:right="-2"/>
                    <w:jc w:val="center"/>
                    <w:outlineLvl w:val="0"/>
                    <w:rPr>
                      <w:b/>
                      <w:lang w:val="lt-LT"/>
                    </w:rPr>
                  </w:pPr>
                  <w:r w:rsidRPr="004453A7">
                    <w:rPr>
                      <w:b/>
                      <w:lang w:val="lt-LT"/>
                    </w:rPr>
                    <w:t>Svoris</w:t>
                  </w:r>
                </w:p>
              </w:tc>
              <w:tc>
                <w:tcPr>
                  <w:tcW w:w="4528" w:type="dxa"/>
                </w:tcPr>
                <w:p w14:paraId="5446879D" w14:textId="77777777" w:rsidR="005E7FB2" w:rsidRPr="004453A7" w:rsidRDefault="005E7FB2" w:rsidP="00267BB8">
                  <w:pPr>
                    <w:numPr>
                      <w:ilvl w:val="12"/>
                      <w:numId w:val="0"/>
                    </w:numPr>
                    <w:tabs>
                      <w:tab w:val="clear" w:pos="567"/>
                    </w:tabs>
                    <w:spacing w:line="240" w:lineRule="auto"/>
                    <w:ind w:right="-2"/>
                    <w:jc w:val="center"/>
                    <w:outlineLvl w:val="0"/>
                    <w:rPr>
                      <w:b/>
                      <w:lang w:val="lt-LT"/>
                    </w:rPr>
                  </w:pPr>
                  <w:r w:rsidRPr="004453A7">
                    <w:rPr>
                      <w:b/>
                      <w:lang w:val="lt-LT"/>
                    </w:rPr>
                    <w:t>Inje</w:t>
                  </w:r>
                  <w:r w:rsidR="00267BB8" w:rsidRPr="004453A7">
                    <w:rPr>
                      <w:b/>
                      <w:lang w:val="lt-LT"/>
                    </w:rPr>
                    <w:t>kcijos tūris</w:t>
                  </w:r>
                </w:p>
              </w:tc>
            </w:tr>
            <w:tr w:rsidR="005E7FB2" w:rsidRPr="005542E1" w14:paraId="297EB692" w14:textId="77777777" w:rsidTr="00F917CF">
              <w:tc>
                <w:tcPr>
                  <w:tcW w:w="4528" w:type="dxa"/>
                  <w:shd w:val="clear" w:color="auto" w:fill="D9D9D9"/>
                </w:tcPr>
                <w:p w14:paraId="53AA824E" w14:textId="77777777" w:rsidR="005E7FB2" w:rsidRPr="004453A7" w:rsidRDefault="00267BB8" w:rsidP="00267BB8">
                  <w:pPr>
                    <w:numPr>
                      <w:ilvl w:val="12"/>
                      <w:numId w:val="0"/>
                    </w:numPr>
                    <w:tabs>
                      <w:tab w:val="clear" w:pos="567"/>
                    </w:tabs>
                    <w:spacing w:line="240" w:lineRule="auto"/>
                    <w:ind w:right="-2"/>
                    <w:jc w:val="center"/>
                    <w:outlineLvl w:val="0"/>
                    <w:rPr>
                      <w:lang w:val="lt-LT"/>
                    </w:rPr>
                  </w:pPr>
                  <w:r w:rsidRPr="004453A7">
                    <w:rPr>
                      <w:lang w:val="lt-LT"/>
                    </w:rPr>
                    <w:t xml:space="preserve">Nuo </w:t>
                  </w:r>
                  <w:r w:rsidR="005E7FB2" w:rsidRPr="004453A7">
                    <w:rPr>
                      <w:lang w:val="lt-LT"/>
                    </w:rPr>
                    <w:t xml:space="preserve">12 kg </w:t>
                  </w:r>
                  <w:r w:rsidRPr="004453A7">
                    <w:rPr>
                      <w:lang w:val="lt-LT"/>
                    </w:rPr>
                    <w:t>iki</w:t>
                  </w:r>
                  <w:r w:rsidR="005E7FB2" w:rsidRPr="004453A7">
                    <w:rPr>
                      <w:lang w:val="lt-LT"/>
                    </w:rPr>
                    <w:t xml:space="preserve"> 25 kg</w:t>
                  </w:r>
                </w:p>
              </w:tc>
              <w:tc>
                <w:tcPr>
                  <w:tcW w:w="4528" w:type="dxa"/>
                  <w:shd w:val="clear" w:color="auto" w:fill="D9D9D9"/>
                </w:tcPr>
                <w:p w14:paraId="4F55CBF8"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1,</w:t>
                  </w:r>
                  <w:r w:rsidR="005E7FB2" w:rsidRPr="004453A7">
                    <w:rPr>
                      <w:lang w:val="lt-LT"/>
                    </w:rPr>
                    <w:t>0 ml</w:t>
                  </w:r>
                </w:p>
              </w:tc>
            </w:tr>
            <w:tr w:rsidR="005E7FB2" w:rsidRPr="005542E1" w14:paraId="6CBF10CF" w14:textId="77777777" w:rsidTr="00F917CF">
              <w:tc>
                <w:tcPr>
                  <w:tcW w:w="4528" w:type="dxa"/>
                </w:tcPr>
                <w:p w14:paraId="7D2ED1D5"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Nuo 26 kg iki</w:t>
                  </w:r>
                  <w:r w:rsidR="005E7FB2" w:rsidRPr="004453A7">
                    <w:rPr>
                      <w:lang w:val="lt-LT"/>
                    </w:rPr>
                    <w:t xml:space="preserve"> 40 kg</w:t>
                  </w:r>
                </w:p>
              </w:tc>
              <w:tc>
                <w:tcPr>
                  <w:tcW w:w="4528" w:type="dxa"/>
                </w:tcPr>
                <w:p w14:paraId="0834CD92" w14:textId="77777777" w:rsidR="005E7FB2" w:rsidRPr="004453A7" w:rsidRDefault="005E7FB2" w:rsidP="00267BB8">
                  <w:pPr>
                    <w:numPr>
                      <w:ilvl w:val="12"/>
                      <w:numId w:val="0"/>
                    </w:numPr>
                    <w:tabs>
                      <w:tab w:val="clear" w:pos="567"/>
                    </w:tabs>
                    <w:spacing w:line="240" w:lineRule="auto"/>
                    <w:ind w:right="-2"/>
                    <w:jc w:val="center"/>
                    <w:outlineLvl w:val="0"/>
                    <w:rPr>
                      <w:lang w:val="lt-LT"/>
                    </w:rPr>
                  </w:pPr>
                  <w:r w:rsidRPr="004453A7">
                    <w:rPr>
                      <w:lang w:val="lt-LT"/>
                    </w:rPr>
                    <w:t>1</w:t>
                  </w:r>
                  <w:r w:rsidR="00267BB8" w:rsidRPr="004453A7">
                    <w:rPr>
                      <w:lang w:val="lt-LT"/>
                    </w:rPr>
                    <w:t>,</w:t>
                  </w:r>
                  <w:r w:rsidRPr="004453A7">
                    <w:rPr>
                      <w:lang w:val="lt-LT"/>
                    </w:rPr>
                    <w:t>5 ml</w:t>
                  </w:r>
                </w:p>
              </w:tc>
            </w:tr>
            <w:tr w:rsidR="005E7FB2" w:rsidRPr="005542E1" w14:paraId="1D6727EB" w14:textId="77777777" w:rsidTr="00F917CF">
              <w:tc>
                <w:tcPr>
                  <w:tcW w:w="4528" w:type="dxa"/>
                  <w:shd w:val="clear" w:color="auto" w:fill="D9D9D9"/>
                </w:tcPr>
                <w:p w14:paraId="78F4CCEE"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Nuo 41 kg iki</w:t>
                  </w:r>
                  <w:r w:rsidR="005E7FB2" w:rsidRPr="004453A7">
                    <w:rPr>
                      <w:lang w:val="lt-LT"/>
                    </w:rPr>
                    <w:t xml:space="preserve"> 50 kg</w:t>
                  </w:r>
                </w:p>
              </w:tc>
              <w:tc>
                <w:tcPr>
                  <w:tcW w:w="4528" w:type="dxa"/>
                  <w:shd w:val="clear" w:color="auto" w:fill="D9D9D9"/>
                </w:tcPr>
                <w:p w14:paraId="6266D0DA"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2,</w:t>
                  </w:r>
                  <w:r w:rsidR="005E7FB2" w:rsidRPr="004453A7">
                    <w:rPr>
                      <w:lang w:val="lt-LT"/>
                    </w:rPr>
                    <w:t>0 ml</w:t>
                  </w:r>
                </w:p>
              </w:tc>
            </w:tr>
            <w:tr w:rsidR="005E7FB2" w:rsidRPr="005542E1" w14:paraId="73299FDF" w14:textId="77777777" w:rsidTr="00F917CF">
              <w:tc>
                <w:tcPr>
                  <w:tcW w:w="4528" w:type="dxa"/>
                </w:tcPr>
                <w:p w14:paraId="19732B5B"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Nuo 51 kg iki</w:t>
                  </w:r>
                  <w:r w:rsidR="005E7FB2" w:rsidRPr="004453A7">
                    <w:rPr>
                      <w:lang w:val="lt-LT"/>
                    </w:rPr>
                    <w:t xml:space="preserve"> 65 kg</w:t>
                  </w:r>
                </w:p>
              </w:tc>
              <w:tc>
                <w:tcPr>
                  <w:tcW w:w="4528" w:type="dxa"/>
                </w:tcPr>
                <w:p w14:paraId="7252F262" w14:textId="77777777" w:rsidR="005E7FB2" w:rsidRPr="004453A7" w:rsidRDefault="00267BB8" w:rsidP="00F917CF">
                  <w:pPr>
                    <w:numPr>
                      <w:ilvl w:val="12"/>
                      <w:numId w:val="0"/>
                    </w:numPr>
                    <w:tabs>
                      <w:tab w:val="clear" w:pos="567"/>
                    </w:tabs>
                    <w:spacing w:line="240" w:lineRule="auto"/>
                    <w:ind w:right="-2"/>
                    <w:jc w:val="center"/>
                    <w:outlineLvl w:val="0"/>
                    <w:rPr>
                      <w:lang w:val="lt-LT"/>
                    </w:rPr>
                  </w:pPr>
                  <w:r w:rsidRPr="004453A7">
                    <w:rPr>
                      <w:lang w:val="lt-LT"/>
                    </w:rPr>
                    <w:t>2,</w:t>
                  </w:r>
                  <w:r w:rsidR="005E7FB2" w:rsidRPr="004453A7">
                    <w:rPr>
                      <w:lang w:val="lt-LT"/>
                    </w:rPr>
                    <w:t>5 ml</w:t>
                  </w:r>
                </w:p>
              </w:tc>
            </w:tr>
          </w:tbl>
          <w:p w14:paraId="1EE71B09" w14:textId="77777777" w:rsidR="005E7FB2" w:rsidRPr="004453A7" w:rsidRDefault="005E7FB2" w:rsidP="00F917CF">
            <w:pPr>
              <w:numPr>
                <w:ilvl w:val="12"/>
                <w:numId w:val="0"/>
              </w:numPr>
              <w:tabs>
                <w:tab w:val="clear" w:pos="567"/>
              </w:tabs>
              <w:spacing w:line="240" w:lineRule="auto"/>
              <w:ind w:right="-2"/>
              <w:outlineLvl w:val="0"/>
              <w:rPr>
                <w:b/>
                <w:lang w:val="lt-LT"/>
              </w:rPr>
            </w:pPr>
          </w:p>
          <w:p w14:paraId="2304E6D6" w14:textId="77777777" w:rsidR="005E7FB2" w:rsidRPr="004453A7" w:rsidRDefault="00267BB8" w:rsidP="00F917CF">
            <w:pPr>
              <w:numPr>
                <w:ilvl w:val="12"/>
                <w:numId w:val="0"/>
              </w:numPr>
              <w:tabs>
                <w:tab w:val="clear" w:pos="567"/>
              </w:tabs>
              <w:spacing w:line="240" w:lineRule="auto"/>
              <w:ind w:right="-2"/>
              <w:outlineLvl w:val="0"/>
              <w:rPr>
                <w:lang w:val="lt-LT"/>
              </w:rPr>
            </w:pPr>
            <w:r w:rsidRPr="004453A7">
              <w:rPr>
                <w:b/>
                <w:lang w:val="lt-LT"/>
              </w:rPr>
              <w:t>Daugiau nei 65 kg</w:t>
            </w:r>
            <w:r w:rsidRPr="004453A7">
              <w:rPr>
                <w:lang w:val="lt-LT"/>
              </w:rPr>
              <w:t xml:space="preserve"> sveriantys pacientai naudos visą užpildyto švirkšto turinį (3 ml)</w:t>
            </w:r>
            <w:r w:rsidR="00E23E75">
              <w:rPr>
                <w:lang w:val="lt-LT"/>
              </w:rPr>
              <w:t>.</w:t>
            </w:r>
          </w:p>
          <w:p w14:paraId="0E186CEC" w14:textId="778114FB" w:rsidR="005E7FB2" w:rsidRPr="004453A7" w:rsidRDefault="00194925" w:rsidP="00F917CF">
            <w:pPr>
              <w:numPr>
                <w:ilvl w:val="12"/>
                <w:numId w:val="0"/>
              </w:numPr>
              <w:tabs>
                <w:tab w:val="clear" w:pos="567"/>
              </w:tabs>
              <w:spacing w:line="240" w:lineRule="auto"/>
              <w:ind w:left="1134" w:right="-2" w:hanging="1134"/>
              <w:outlineLvl w:val="0"/>
              <w:rPr>
                <w:b/>
                <w:lang w:val="lt-LT"/>
              </w:rPr>
            </w:pPr>
            <w:r>
              <w:rPr>
                <w:noProof/>
                <w:lang w:val="lt-LT" w:eastAsia="lt-LT"/>
              </w:rPr>
              <w:drawing>
                <wp:inline distT="0" distB="0" distL="0" distR="0" wp14:anchorId="6E66602F" wp14:editId="2127309F">
                  <wp:extent cx="676275" cy="5143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514350"/>
                          </a:xfrm>
                          <a:prstGeom prst="rect">
                            <a:avLst/>
                          </a:prstGeom>
                          <a:noFill/>
                          <a:ln>
                            <a:noFill/>
                          </a:ln>
                        </pic:spPr>
                      </pic:pic>
                    </a:graphicData>
                  </a:graphic>
                </wp:inline>
              </w:drawing>
            </w:r>
            <w:r w:rsidR="005E7FB2" w:rsidRPr="004453A7">
              <w:rPr>
                <w:lang w:val="lt-LT"/>
              </w:rPr>
              <w:t xml:space="preserve"> </w:t>
            </w:r>
            <w:r w:rsidR="00267BB8" w:rsidRPr="004453A7">
              <w:rPr>
                <w:b/>
                <w:lang w:val="lt-LT"/>
              </w:rPr>
              <w:t>Jei nesate tikri, kokį tirpalo tūrį ištraukti, klauskite gydytojo, vaistininko arba slaugytojo</w:t>
            </w:r>
            <w:r w:rsidR="005E7FB2" w:rsidRPr="004453A7">
              <w:rPr>
                <w:b/>
                <w:lang w:val="lt-LT"/>
              </w:rPr>
              <w:t>.</w:t>
            </w:r>
          </w:p>
          <w:p w14:paraId="5A1750A8" w14:textId="77777777" w:rsidR="005E7FB2" w:rsidRPr="004453A7" w:rsidRDefault="005E7FB2" w:rsidP="00F917CF">
            <w:pPr>
              <w:numPr>
                <w:ilvl w:val="12"/>
                <w:numId w:val="0"/>
              </w:numPr>
              <w:tabs>
                <w:tab w:val="clear" w:pos="567"/>
              </w:tabs>
              <w:spacing w:line="240" w:lineRule="auto"/>
              <w:ind w:right="-2"/>
              <w:outlineLvl w:val="0"/>
              <w:rPr>
                <w:b/>
                <w:lang w:val="lt-LT"/>
              </w:rPr>
            </w:pPr>
          </w:p>
          <w:p w14:paraId="4B7E1C57" w14:textId="77777777" w:rsidR="005E7FB2" w:rsidRPr="004453A7" w:rsidRDefault="005E7FB2" w:rsidP="00F917CF">
            <w:pPr>
              <w:numPr>
                <w:ilvl w:val="12"/>
                <w:numId w:val="0"/>
              </w:numPr>
              <w:tabs>
                <w:tab w:val="clear" w:pos="567"/>
              </w:tabs>
              <w:spacing w:line="240" w:lineRule="auto"/>
              <w:ind w:right="-2"/>
              <w:outlineLvl w:val="0"/>
              <w:rPr>
                <w:lang w:val="lt-LT"/>
              </w:rPr>
            </w:pPr>
            <w:r w:rsidRPr="004453A7">
              <w:rPr>
                <w:lang w:val="lt-LT"/>
              </w:rPr>
              <w:t xml:space="preserve">1) </w:t>
            </w:r>
            <w:r w:rsidR="00267BB8" w:rsidRPr="004453A7">
              <w:rPr>
                <w:lang w:val="lt-LT"/>
              </w:rPr>
              <w:t>Nuimkite dangtelius nuo kiekvieno sujungėjo galo</w:t>
            </w:r>
            <w:r w:rsidRPr="004453A7">
              <w:rPr>
                <w:lang w:val="lt-LT"/>
              </w:rPr>
              <w:t>.</w:t>
            </w:r>
          </w:p>
          <w:p w14:paraId="4012113E" w14:textId="77777777" w:rsidR="005E7FB2" w:rsidRPr="004453A7" w:rsidRDefault="005E7FB2" w:rsidP="00F917CF">
            <w:pPr>
              <w:numPr>
                <w:ilvl w:val="12"/>
                <w:numId w:val="0"/>
              </w:numPr>
              <w:tabs>
                <w:tab w:val="clear" w:pos="567"/>
              </w:tabs>
              <w:spacing w:line="240" w:lineRule="auto"/>
              <w:ind w:right="-2"/>
              <w:outlineLvl w:val="0"/>
              <w:rPr>
                <w:lang w:val="lt-LT"/>
              </w:rPr>
            </w:pPr>
          </w:p>
          <w:p w14:paraId="102C56FC" w14:textId="1EC05E46" w:rsidR="005E7FB2" w:rsidRPr="004453A7" w:rsidRDefault="00194925" w:rsidP="00F917CF">
            <w:pPr>
              <w:numPr>
                <w:ilvl w:val="12"/>
                <w:numId w:val="0"/>
              </w:numPr>
              <w:tabs>
                <w:tab w:val="clear" w:pos="567"/>
              </w:tabs>
              <w:spacing w:line="240" w:lineRule="auto"/>
              <w:ind w:right="-2"/>
              <w:outlineLvl w:val="0"/>
              <w:rPr>
                <w:b/>
                <w:lang w:val="lt-LT"/>
              </w:rPr>
            </w:pPr>
            <w:r>
              <w:rPr>
                <w:noProof/>
                <w:lang w:val="lt-LT" w:eastAsia="lt-LT"/>
              </w:rPr>
              <w:drawing>
                <wp:inline distT="0" distB="0" distL="0" distR="0" wp14:anchorId="6884E20F" wp14:editId="3F75A178">
                  <wp:extent cx="676275" cy="514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514350"/>
                          </a:xfrm>
                          <a:prstGeom prst="rect">
                            <a:avLst/>
                          </a:prstGeom>
                          <a:noFill/>
                          <a:ln>
                            <a:noFill/>
                          </a:ln>
                        </pic:spPr>
                      </pic:pic>
                    </a:graphicData>
                  </a:graphic>
                </wp:inline>
              </w:drawing>
            </w:r>
            <w:r w:rsidR="00AC2E9C" w:rsidRPr="004453A7">
              <w:rPr>
                <w:b/>
                <w:lang w:val="lt-LT"/>
              </w:rPr>
              <w:t>Venkite paliesti sujungėjo galus ir švirkšto viršūnę, kad jų neužterštume.</w:t>
            </w:r>
          </w:p>
          <w:p w14:paraId="1011C4C3" w14:textId="77777777" w:rsidR="005E7FB2" w:rsidRPr="004453A7" w:rsidRDefault="005E7FB2" w:rsidP="00F917CF">
            <w:pPr>
              <w:numPr>
                <w:ilvl w:val="12"/>
                <w:numId w:val="0"/>
              </w:numPr>
              <w:tabs>
                <w:tab w:val="clear" w:pos="567"/>
              </w:tabs>
              <w:spacing w:line="240" w:lineRule="auto"/>
              <w:ind w:right="-2"/>
              <w:outlineLvl w:val="0"/>
              <w:rPr>
                <w:b/>
                <w:lang w:val="lt-LT"/>
              </w:rPr>
            </w:pPr>
          </w:p>
          <w:p w14:paraId="14B61DB2" w14:textId="77777777" w:rsidR="005E7FB2" w:rsidRDefault="005E7FB2" w:rsidP="00037B8B">
            <w:pPr>
              <w:numPr>
                <w:ilvl w:val="12"/>
                <w:numId w:val="0"/>
              </w:numPr>
              <w:tabs>
                <w:tab w:val="clear" w:pos="567"/>
              </w:tabs>
              <w:spacing w:line="240" w:lineRule="auto"/>
              <w:ind w:right="-2"/>
              <w:outlineLvl w:val="0"/>
              <w:rPr>
                <w:lang w:val="lt-LT"/>
              </w:rPr>
            </w:pPr>
            <w:r w:rsidRPr="004453A7">
              <w:rPr>
                <w:lang w:val="lt-LT"/>
              </w:rPr>
              <w:t xml:space="preserve">2) </w:t>
            </w:r>
            <w:r w:rsidR="00AC2E9C" w:rsidRPr="004453A7">
              <w:rPr>
                <w:lang w:val="lt-LT"/>
              </w:rPr>
              <w:t>Ant užpildyto švirkšto užsukite sujungėją</w:t>
            </w:r>
            <w:r w:rsidRPr="004453A7">
              <w:rPr>
                <w:lang w:val="lt-LT"/>
              </w:rPr>
              <w:t>.</w:t>
            </w:r>
          </w:p>
          <w:p w14:paraId="299DF9A0" w14:textId="77777777" w:rsidR="007B685A" w:rsidRPr="004453A7" w:rsidRDefault="007B685A" w:rsidP="00037B8B">
            <w:pPr>
              <w:numPr>
                <w:ilvl w:val="12"/>
                <w:numId w:val="0"/>
              </w:numPr>
              <w:tabs>
                <w:tab w:val="clear" w:pos="567"/>
              </w:tabs>
              <w:spacing w:line="240" w:lineRule="auto"/>
              <w:ind w:right="-2"/>
              <w:outlineLvl w:val="0"/>
              <w:rPr>
                <w:lang w:val="lt-LT"/>
              </w:rPr>
            </w:pPr>
          </w:p>
          <w:p w14:paraId="2C7E3F4D" w14:textId="77777777" w:rsidR="00171BFF" w:rsidRPr="004453A7" w:rsidRDefault="007B685A" w:rsidP="00037B8B">
            <w:pPr>
              <w:numPr>
                <w:ilvl w:val="12"/>
                <w:numId w:val="0"/>
              </w:numPr>
              <w:tabs>
                <w:tab w:val="clear" w:pos="567"/>
              </w:tabs>
              <w:spacing w:line="240" w:lineRule="auto"/>
              <w:ind w:right="-2"/>
              <w:outlineLvl w:val="0"/>
              <w:rPr>
                <w:lang w:val="lt-LT"/>
              </w:rPr>
            </w:pPr>
            <w:r>
              <w:rPr>
                <w:lang w:val="lt-LT"/>
              </w:rPr>
              <w:t>3)</w:t>
            </w:r>
            <w:r w:rsidRPr="004453A7">
              <w:rPr>
                <w:lang w:val="lt-LT"/>
              </w:rPr>
              <w:t xml:space="preserve"> </w:t>
            </w:r>
            <w:r w:rsidR="00171BFF" w:rsidRPr="004453A7">
              <w:rPr>
                <w:lang w:val="lt-LT"/>
              </w:rPr>
              <w:t xml:space="preserve">Prijunkite graduotą </w:t>
            </w:r>
            <w:r w:rsidR="00D34E5C" w:rsidRPr="004453A7">
              <w:rPr>
                <w:lang w:val="lt-LT"/>
              </w:rPr>
              <w:t xml:space="preserve">švirkštą </w:t>
            </w:r>
            <w:r w:rsidR="00171BFF" w:rsidRPr="004453A7">
              <w:rPr>
                <w:lang w:val="lt-LT"/>
              </w:rPr>
              <w:t>prie</w:t>
            </w:r>
            <w:r w:rsidR="00D34E5C" w:rsidRPr="004453A7">
              <w:rPr>
                <w:lang w:val="lt-LT"/>
              </w:rPr>
              <w:t xml:space="preserve"> kito sujungėjo galo ir įsitikinkite, kad abi jungtys saugiai pritvirtintos</w:t>
            </w:r>
            <w:r w:rsidR="00E23E75">
              <w:rPr>
                <w:lang w:val="lt-LT"/>
              </w:rPr>
              <w:t>.</w:t>
            </w:r>
          </w:p>
          <w:p w14:paraId="024F2E17" w14:textId="77777777" w:rsidR="005E7FB2" w:rsidRPr="004453A7" w:rsidRDefault="005E7FB2" w:rsidP="00F917CF">
            <w:pPr>
              <w:numPr>
                <w:ilvl w:val="12"/>
                <w:numId w:val="0"/>
              </w:numPr>
              <w:tabs>
                <w:tab w:val="clear" w:pos="567"/>
              </w:tabs>
              <w:spacing w:line="240" w:lineRule="auto"/>
              <w:ind w:left="284" w:right="-2" w:hanging="284"/>
              <w:outlineLvl w:val="0"/>
              <w:rPr>
                <w:lang w:val="lt-LT"/>
              </w:rPr>
            </w:pPr>
          </w:p>
          <w:p w14:paraId="32A7D5EA" w14:textId="318D63F1" w:rsidR="005E7FB2" w:rsidRPr="004453A7" w:rsidRDefault="00194925" w:rsidP="00F917CF">
            <w:pPr>
              <w:numPr>
                <w:ilvl w:val="12"/>
                <w:numId w:val="0"/>
              </w:numPr>
              <w:tabs>
                <w:tab w:val="clear" w:pos="567"/>
              </w:tabs>
              <w:spacing w:line="240" w:lineRule="auto"/>
              <w:ind w:left="284" w:right="-2" w:hanging="284"/>
              <w:jc w:val="center"/>
              <w:outlineLvl w:val="0"/>
              <w:rPr>
                <w:lang w:val="lt-LT"/>
              </w:rPr>
            </w:pPr>
            <w:r>
              <w:rPr>
                <w:noProof/>
                <w:sz w:val="20"/>
                <w:lang w:val="lt-LT" w:eastAsia="lt-LT"/>
              </w:rPr>
              <w:drawing>
                <wp:inline distT="0" distB="0" distL="0" distR="0" wp14:anchorId="4CE1445F" wp14:editId="5A7ABC0F">
                  <wp:extent cx="3810000" cy="495300"/>
                  <wp:effectExtent l="0" t="0" r="0" b="0"/>
                  <wp:docPr id="4"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495300"/>
                          </a:xfrm>
                          <a:prstGeom prst="rect">
                            <a:avLst/>
                          </a:prstGeom>
                          <a:noFill/>
                          <a:ln>
                            <a:noFill/>
                          </a:ln>
                        </pic:spPr>
                      </pic:pic>
                    </a:graphicData>
                  </a:graphic>
                </wp:inline>
              </w:drawing>
            </w:r>
          </w:p>
          <w:p w14:paraId="6BC63644" w14:textId="77777777" w:rsidR="005E7FB2" w:rsidRPr="004453A7" w:rsidRDefault="005E7FB2" w:rsidP="00F917CF">
            <w:pPr>
              <w:numPr>
                <w:ilvl w:val="12"/>
                <w:numId w:val="0"/>
              </w:numPr>
              <w:tabs>
                <w:tab w:val="clear" w:pos="567"/>
              </w:tabs>
              <w:spacing w:line="240" w:lineRule="auto"/>
              <w:ind w:left="284" w:right="-2" w:hanging="284"/>
              <w:outlineLvl w:val="0"/>
              <w:rPr>
                <w:lang w:val="lt-LT"/>
              </w:rPr>
            </w:pPr>
          </w:p>
          <w:p w14:paraId="2E1CD1C1" w14:textId="77777777" w:rsidR="005E7FB2" w:rsidRPr="004453A7" w:rsidRDefault="00171BFF" w:rsidP="00037B8B">
            <w:pPr>
              <w:pStyle w:val="Default"/>
              <w:rPr>
                <w:sz w:val="22"/>
                <w:szCs w:val="22"/>
                <w:lang w:val="lt-LT"/>
              </w:rPr>
            </w:pPr>
            <w:r w:rsidRPr="004453A7">
              <w:rPr>
                <w:b/>
                <w:bCs/>
                <w:sz w:val="22"/>
                <w:szCs w:val="22"/>
                <w:lang w:val="lt-LT"/>
              </w:rPr>
              <w:t>Ik</w:t>
            </w:r>
            <w:r w:rsidR="005E7FB2" w:rsidRPr="004453A7">
              <w:rPr>
                <w:b/>
                <w:bCs/>
                <w:sz w:val="22"/>
                <w:szCs w:val="22"/>
                <w:lang w:val="lt-LT"/>
              </w:rPr>
              <w:t>atibant</w:t>
            </w:r>
            <w:r w:rsidRPr="004453A7">
              <w:rPr>
                <w:b/>
                <w:bCs/>
                <w:sz w:val="22"/>
                <w:szCs w:val="22"/>
                <w:lang w:val="lt-LT"/>
              </w:rPr>
              <w:t>o tirpalo per</w:t>
            </w:r>
            <w:r w:rsidR="00C92C98">
              <w:rPr>
                <w:b/>
                <w:bCs/>
                <w:sz w:val="22"/>
                <w:szCs w:val="22"/>
                <w:lang w:val="lt-LT"/>
              </w:rPr>
              <w:t>py</w:t>
            </w:r>
            <w:r w:rsidRPr="004453A7">
              <w:rPr>
                <w:b/>
                <w:bCs/>
                <w:sz w:val="22"/>
                <w:szCs w:val="22"/>
                <w:lang w:val="lt-LT"/>
              </w:rPr>
              <w:t>limas į graduotą švirkštą</w:t>
            </w:r>
            <w:r w:rsidR="005E7FB2" w:rsidRPr="004453A7">
              <w:rPr>
                <w:b/>
                <w:bCs/>
                <w:sz w:val="22"/>
                <w:szCs w:val="22"/>
                <w:lang w:val="lt-LT"/>
              </w:rPr>
              <w:t>:</w:t>
            </w:r>
          </w:p>
          <w:p w14:paraId="22A7A71E" w14:textId="77777777" w:rsidR="005E7FB2" w:rsidRPr="004453A7" w:rsidRDefault="005E7FB2" w:rsidP="00F917CF">
            <w:pPr>
              <w:pStyle w:val="Default"/>
              <w:rPr>
                <w:lang w:val="lt-LT"/>
              </w:rPr>
            </w:pPr>
          </w:p>
          <w:p w14:paraId="14C2E0C0" w14:textId="77777777" w:rsidR="005E7FB2" w:rsidRPr="004453A7" w:rsidRDefault="005E7FB2" w:rsidP="00037B8B">
            <w:pPr>
              <w:pStyle w:val="Default"/>
              <w:rPr>
                <w:sz w:val="22"/>
                <w:szCs w:val="22"/>
                <w:lang w:val="lt-LT"/>
              </w:rPr>
            </w:pPr>
            <w:r w:rsidRPr="007B685A">
              <w:rPr>
                <w:sz w:val="22"/>
                <w:szCs w:val="22"/>
                <w:lang w:val="lt-LT"/>
              </w:rPr>
              <w:t xml:space="preserve">1) </w:t>
            </w:r>
            <w:r w:rsidR="00171BFF" w:rsidRPr="007B685A">
              <w:rPr>
                <w:sz w:val="22"/>
                <w:szCs w:val="22"/>
                <w:lang w:val="lt-LT"/>
              </w:rPr>
              <w:t>Norint pradėti ikat</w:t>
            </w:r>
            <w:r w:rsidR="007B685A" w:rsidRPr="00037B8B">
              <w:rPr>
                <w:sz w:val="22"/>
                <w:szCs w:val="22"/>
                <w:lang w:val="lt-LT"/>
              </w:rPr>
              <w:t>i</w:t>
            </w:r>
            <w:r w:rsidR="00171BFF" w:rsidRPr="007B685A">
              <w:rPr>
                <w:sz w:val="22"/>
                <w:szCs w:val="22"/>
                <w:lang w:val="lt-LT"/>
              </w:rPr>
              <w:t>banto per</w:t>
            </w:r>
            <w:r w:rsidR="00C92C98">
              <w:rPr>
                <w:sz w:val="22"/>
                <w:szCs w:val="22"/>
                <w:lang w:val="lt-LT"/>
              </w:rPr>
              <w:t>py</w:t>
            </w:r>
            <w:r w:rsidR="00171BFF" w:rsidRPr="007B685A">
              <w:rPr>
                <w:sz w:val="22"/>
                <w:szCs w:val="22"/>
                <w:lang w:val="lt-LT"/>
              </w:rPr>
              <w:t>limą, stumkite užpildyto švirkšto stūmoklį (pačioje toliau esančio paveikslo kairėje pusėje)</w:t>
            </w:r>
            <w:r w:rsidRPr="007B685A">
              <w:rPr>
                <w:sz w:val="22"/>
                <w:szCs w:val="22"/>
                <w:lang w:val="lt-LT"/>
              </w:rPr>
              <w:t>.</w:t>
            </w:r>
            <w:r w:rsidRPr="004453A7">
              <w:rPr>
                <w:sz w:val="22"/>
                <w:szCs w:val="22"/>
                <w:lang w:val="lt-LT"/>
              </w:rPr>
              <w:t xml:space="preserve"> </w:t>
            </w:r>
          </w:p>
          <w:p w14:paraId="08C6E1DE" w14:textId="09569B59" w:rsidR="00517575" w:rsidRDefault="00517575" w:rsidP="00F917CF">
            <w:pPr>
              <w:numPr>
                <w:ilvl w:val="12"/>
                <w:numId w:val="0"/>
              </w:numPr>
              <w:tabs>
                <w:tab w:val="clear" w:pos="567"/>
              </w:tabs>
              <w:spacing w:line="240" w:lineRule="auto"/>
              <w:ind w:right="-2"/>
              <w:outlineLvl w:val="0"/>
              <w:rPr>
                <w:b/>
                <w:lang w:val="lt-LT"/>
              </w:rPr>
            </w:pPr>
          </w:p>
          <w:p w14:paraId="5A925AFB" w14:textId="77777777" w:rsidR="00517575" w:rsidRDefault="00517575" w:rsidP="00F917CF">
            <w:pPr>
              <w:numPr>
                <w:ilvl w:val="12"/>
                <w:numId w:val="0"/>
              </w:numPr>
              <w:tabs>
                <w:tab w:val="clear" w:pos="567"/>
              </w:tabs>
              <w:spacing w:line="240" w:lineRule="auto"/>
              <w:ind w:right="-2"/>
              <w:outlineLvl w:val="0"/>
              <w:rPr>
                <w:b/>
                <w:lang w:val="lt-LT"/>
              </w:rPr>
            </w:pPr>
          </w:p>
          <w:p w14:paraId="5D369746" w14:textId="03B67347" w:rsidR="00517575" w:rsidRDefault="00517575" w:rsidP="00F917CF">
            <w:pPr>
              <w:numPr>
                <w:ilvl w:val="12"/>
                <w:numId w:val="0"/>
              </w:numPr>
              <w:tabs>
                <w:tab w:val="clear" w:pos="567"/>
              </w:tabs>
              <w:spacing w:line="240" w:lineRule="auto"/>
              <w:ind w:right="-2"/>
              <w:outlineLvl w:val="0"/>
              <w:rPr>
                <w:b/>
                <w:lang w:val="lt-LT"/>
              </w:rPr>
            </w:pPr>
          </w:p>
          <w:p w14:paraId="09712FF5" w14:textId="49165AAA" w:rsidR="00AD11A6" w:rsidRDefault="00AD11A6" w:rsidP="00F917CF">
            <w:pPr>
              <w:numPr>
                <w:ilvl w:val="12"/>
                <w:numId w:val="0"/>
              </w:numPr>
              <w:tabs>
                <w:tab w:val="clear" w:pos="567"/>
              </w:tabs>
              <w:spacing w:line="240" w:lineRule="auto"/>
              <w:ind w:right="-2"/>
              <w:outlineLvl w:val="0"/>
              <w:rPr>
                <w:b/>
                <w:lang w:val="lt-LT"/>
              </w:rPr>
            </w:pPr>
          </w:p>
          <w:p w14:paraId="79A1043F" w14:textId="7E41923F" w:rsidR="00AD11A6" w:rsidRDefault="00AD11A6" w:rsidP="00F917CF">
            <w:pPr>
              <w:numPr>
                <w:ilvl w:val="12"/>
                <w:numId w:val="0"/>
              </w:numPr>
              <w:tabs>
                <w:tab w:val="clear" w:pos="567"/>
              </w:tabs>
              <w:spacing w:line="240" w:lineRule="auto"/>
              <w:ind w:right="-2"/>
              <w:outlineLvl w:val="0"/>
              <w:rPr>
                <w:b/>
                <w:lang w:val="lt-LT"/>
              </w:rPr>
            </w:pPr>
          </w:p>
          <w:p w14:paraId="349481FC" w14:textId="422466C1" w:rsidR="00AD11A6" w:rsidRDefault="00AD11A6" w:rsidP="00F917CF">
            <w:pPr>
              <w:numPr>
                <w:ilvl w:val="12"/>
                <w:numId w:val="0"/>
              </w:numPr>
              <w:tabs>
                <w:tab w:val="clear" w:pos="567"/>
              </w:tabs>
              <w:spacing w:line="240" w:lineRule="auto"/>
              <w:ind w:right="-2"/>
              <w:outlineLvl w:val="0"/>
              <w:rPr>
                <w:b/>
                <w:lang w:val="lt-LT"/>
              </w:rPr>
            </w:pPr>
          </w:p>
          <w:p w14:paraId="02F0AB8D" w14:textId="337EB594" w:rsidR="00AD11A6" w:rsidRDefault="00AD11A6" w:rsidP="00F917CF">
            <w:pPr>
              <w:numPr>
                <w:ilvl w:val="12"/>
                <w:numId w:val="0"/>
              </w:numPr>
              <w:tabs>
                <w:tab w:val="clear" w:pos="567"/>
              </w:tabs>
              <w:spacing w:line="240" w:lineRule="auto"/>
              <w:ind w:right="-2"/>
              <w:outlineLvl w:val="0"/>
              <w:rPr>
                <w:b/>
                <w:lang w:val="lt-LT"/>
              </w:rPr>
            </w:pPr>
          </w:p>
          <w:p w14:paraId="1F08CEFA" w14:textId="44BC4BBE" w:rsidR="00AD11A6" w:rsidRDefault="00AD11A6" w:rsidP="00F917CF">
            <w:pPr>
              <w:numPr>
                <w:ilvl w:val="12"/>
                <w:numId w:val="0"/>
              </w:numPr>
              <w:tabs>
                <w:tab w:val="clear" w:pos="567"/>
              </w:tabs>
              <w:spacing w:line="240" w:lineRule="auto"/>
              <w:ind w:right="-2"/>
              <w:outlineLvl w:val="0"/>
              <w:rPr>
                <w:b/>
                <w:lang w:val="lt-LT"/>
              </w:rPr>
            </w:pPr>
          </w:p>
          <w:p w14:paraId="06B29E28" w14:textId="065CD0A7" w:rsidR="00AD11A6" w:rsidRDefault="00AD11A6" w:rsidP="00F917CF">
            <w:pPr>
              <w:numPr>
                <w:ilvl w:val="12"/>
                <w:numId w:val="0"/>
              </w:numPr>
              <w:tabs>
                <w:tab w:val="clear" w:pos="567"/>
              </w:tabs>
              <w:spacing w:line="240" w:lineRule="auto"/>
              <w:ind w:right="-2"/>
              <w:outlineLvl w:val="0"/>
              <w:rPr>
                <w:b/>
                <w:lang w:val="lt-LT"/>
              </w:rPr>
            </w:pPr>
          </w:p>
          <w:p w14:paraId="31BD5742" w14:textId="3EFAB500" w:rsidR="00AD11A6" w:rsidRDefault="00AD11A6" w:rsidP="00F917CF">
            <w:pPr>
              <w:numPr>
                <w:ilvl w:val="12"/>
                <w:numId w:val="0"/>
              </w:numPr>
              <w:tabs>
                <w:tab w:val="clear" w:pos="567"/>
              </w:tabs>
              <w:spacing w:line="240" w:lineRule="auto"/>
              <w:ind w:right="-2"/>
              <w:outlineLvl w:val="0"/>
              <w:rPr>
                <w:b/>
                <w:lang w:val="lt-LT"/>
              </w:rPr>
            </w:pPr>
          </w:p>
          <w:p w14:paraId="32FE9333" w14:textId="77777777" w:rsidR="00AD11A6" w:rsidRDefault="00AD11A6" w:rsidP="00F917CF">
            <w:pPr>
              <w:numPr>
                <w:ilvl w:val="12"/>
                <w:numId w:val="0"/>
              </w:numPr>
              <w:tabs>
                <w:tab w:val="clear" w:pos="567"/>
              </w:tabs>
              <w:spacing w:line="240" w:lineRule="auto"/>
              <w:ind w:right="-2"/>
              <w:outlineLvl w:val="0"/>
              <w:rPr>
                <w:b/>
                <w:lang w:val="lt-LT"/>
              </w:rPr>
            </w:pPr>
          </w:p>
          <w:p w14:paraId="07414C78" w14:textId="52FA7FF6" w:rsidR="00517575" w:rsidRDefault="00517575" w:rsidP="00F917CF">
            <w:pPr>
              <w:numPr>
                <w:ilvl w:val="12"/>
                <w:numId w:val="0"/>
              </w:numPr>
              <w:tabs>
                <w:tab w:val="clear" w:pos="567"/>
              </w:tabs>
              <w:spacing w:line="240" w:lineRule="auto"/>
              <w:ind w:right="-2"/>
              <w:outlineLvl w:val="0"/>
              <w:rPr>
                <w:b/>
                <w:lang w:val="lt-LT"/>
              </w:rPr>
            </w:pPr>
          </w:p>
          <w:p w14:paraId="6F0BD316" w14:textId="08C45239" w:rsidR="00517575" w:rsidRDefault="00517575" w:rsidP="00F917CF">
            <w:pPr>
              <w:numPr>
                <w:ilvl w:val="12"/>
                <w:numId w:val="0"/>
              </w:numPr>
              <w:tabs>
                <w:tab w:val="clear" w:pos="567"/>
              </w:tabs>
              <w:spacing w:line="240" w:lineRule="auto"/>
              <w:ind w:right="-2"/>
              <w:outlineLvl w:val="0"/>
              <w:rPr>
                <w:b/>
                <w:lang w:val="lt-LT"/>
              </w:rPr>
            </w:pPr>
          </w:p>
          <w:p w14:paraId="6E92F85F" w14:textId="77777777" w:rsidR="00517575" w:rsidRPr="004453A7" w:rsidRDefault="00517575" w:rsidP="00F917CF">
            <w:pPr>
              <w:numPr>
                <w:ilvl w:val="12"/>
                <w:numId w:val="0"/>
              </w:numPr>
              <w:tabs>
                <w:tab w:val="clear" w:pos="567"/>
              </w:tabs>
              <w:spacing w:line="240" w:lineRule="auto"/>
              <w:ind w:right="-2"/>
              <w:outlineLvl w:val="0"/>
              <w:rPr>
                <w:b/>
                <w:lang w:val="lt-LT"/>
              </w:rPr>
            </w:pPr>
          </w:p>
          <w:p w14:paraId="6D44DA54" w14:textId="35DD9F98" w:rsidR="005E7FB2" w:rsidRPr="001B1D1C" w:rsidRDefault="00194925" w:rsidP="001F4856">
            <w:pPr>
              <w:pStyle w:val="Paantrat"/>
              <w:rPr>
                <w:lang w:val="lt-LT"/>
              </w:rPr>
            </w:pPr>
            <w:r>
              <w:rPr>
                <w:noProof/>
                <w:lang w:val="lt-LT" w:eastAsia="lt-LT"/>
              </w:rPr>
              <w:drawing>
                <wp:inline distT="0" distB="0" distL="0" distR="0" wp14:anchorId="7908D211" wp14:editId="5FBB7753">
                  <wp:extent cx="4019550" cy="10858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1085850"/>
                          </a:xfrm>
                          <a:prstGeom prst="rect">
                            <a:avLst/>
                          </a:prstGeom>
                          <a:noFill/>
                          <a:ln>
                            <a:noFill/>
                          </a:ln>
                        </pic:spPr>
                      </pic:pic>
                    </a:graphicData>
                  </a:graphic>
                </wp:inline>
              </w:drawing>
            </w:r>
          </w:p>
          <w:p w14:paraId="0578A79B" w14:textId="3F8AE642" w:rsidR="005E7FB2" w:rsidRPr="004453A7" w:rsidRDefault="00194925" w:rsidP="00F917CF">
            <w:pPr>
              <w:pStyle w:val="Default"/>
              <w:rPr>
                <w:lang w:val="lt-LT"/>
              </w:rPr>
            </w:pPr>
            <w:r>
              <w:rPr>
                <w:b/>
                <w:noProof/>
                <w:lang w:val="lt-LT" w:eastAsia="lt-LT"/>
              </w:rPr>
              <w:drawing>
                <wp:inline distT="0" distB="0" distL="0" distR="0" wp14:anchorId="626FC30B" wp14:editId="5186E84E">
                  <wp:extent cx="4019550" cy="10858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1085850"/>
                          </a:xfrm>
                          <a:prstGeom prst="rect">
                            <a:avLst/>
                          </a:prstGeom>
                          <a:noFill/>
                          <a:ln>
                            <a:noFill/>
                          </a:ln>
                        </pic:spPr>
                      </pic:pic>
                    </a:graphicData>
                  </a:graphic>
                </wp:inline>
              </w:drawing>
            </w:r>
          </w:p>
          <w:p w14:paraId="00C285C2" w14:textId="77777777" w:rsidR="005E7FB2" w:rsidRPr="004453A7" w:rsidRDefault="00171BFF" w:rsidP="00037B8B">
            <w:pPr>
              <w:pStyle w:val="Default"/>
              <w:rPr>
                <w:sz w:val="22"/>
                <w:szCs w:val="22"/>
                <w:lang w:val="lt-LT"/>
              </w:rPr>
            </w:pPr>
            <w:r w:rsidRPr="004453A7">
              <w:rPr>
                <w:sz w:val="22"/>
                <w:szCs w:val="22"/>
                <w:lang w:val="lt-LT"/>
              </w:rPr>
              <w:t>2) J</w:t>
            </w:r>
            <w:r w:rsidRPr="004453A7">
              <w:rPr>
                <w:lang w:val="lt-LT"/>
              </w:rPr>
              <w:t>ei ikatibanto tirpalas nepradeda tekėti į graduotą švirkštą, lengvai patraukite graduoto švirkšto stūmoklį, kol ikatibanto tirpalas pradės tekėti į graduotą švirkštą (žr. paveiksliuką toliau).</w:t>
            </w:r>
          </w:p>
          <w:p w14:paraId="4192098A" w14:textId="77777777" w:rsidR="005E7FB2" w:rsidRPr="004453A7" w:rsidRDefault="005E7FB2" w:rsidP="00F917CF">
            <w:pPr>
              <w:numPr>
                <w:ilvl w:val="12"/>
                <w:numId w:val="0"/>
              </w:numPr>
              <w:tabs>
                <w:tab w:val="clear" w:pos="567"/>
              </w:tabs>
              <w:spacing w:line="240" w:lineRule="auto"/>
              <w:ind w:right="-2"/>
              <w:outlineLvl w:val="0"/>
              <w:rPr>
                <w:b/>
                <w:lang w:val="lt-LT"/>
              </w:rPr>
            </w:pPr>
          </w:p>
          <w:p w14:paraId="1A84D777" w14:textId="720528C2" w:rsidR="007B685A" w:rsidRDefault="00194925" w:rsidP="00F917CF">
            <w:pPr>
              <w:numPr>
                <w:ilvl w:val="12"/>
                <w:numId w:val="0"/>
              </w:numPr>
              <w:tabs>
                <w:tab w:val="clear" w:pos="567"/>
              </w:tabs>
              <w:spacing w:line="240" w:lineRule="auto"/>
              <w:ind w:right="-2"/>
              <w:jc w:val="center"/>
              <w:outlineLvl w:val="0"/>
              <w:rPr>
                <w:b/>
                <w:lang w:val="lt-LT"/>
              </w:rPr>
            </w:pPr>
            <w:r>
              <w:rPr>
                <w:b/>
                <w:noProof/>
                <w:lang w:val="lt-LT" w:eastAsia="lt-LT"/>
              </w:rPr>
              <w:drawing>
                <wp:inline distT="0" distB="0" distL="0" distR="0" wp14:anchorId="749A7A59" wp14:editId="063673CD">
                  <wp:extent cx="4171950" cy="1133475"/>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950" cy="1133475"/>
                          </a:xfrm>
                          <a:prstGeom prst="rect">
                            <a:avLst/>
                          </a:prstGeom>
                          <a:noFill/>
                          <a:ln>
                            <a:noFill/>
                          </a:ln>
                        </pic:spPr>
                      </pic:pic>
                    </a:graphicData>
                  </a:graphic>
                </wp:inline>
              </w:drawing>
            </w:r>
          </w:p>
          <w:p w14:paraId="754AB77C" w14:textId="77777777" w:rsidR="007B685A" w:rsidRPr="004453A7" w:rsidRDefault="007B685A" w:rsidP="00F917CF">
            <w:pPr>
              <w:numPr>
                <w:ilvl w:val="12"/>
                <w:numId w:val="0"/>
              </w:numPr>
              <w:tabs>
                <w:tab w:val="clear" w:pos="567"/>
              </w:tabs>
              <w:spacing w:line="240" w:lineRule="auto"/>
              <w:ind w:right="-2"/>
              <w:jc w:val="center"/>
              <w:outlineLvl w:val="0"/>
              <w:rPr>
                <w:b/>
                <w:lang w:val="lt-LT"/>
              </w:rPr>
            </w:pPr>
          </w:p>
          <w:p w14:paraId="4E6E0648" w14:textId="24A05C81" w:rsidR="00171BFF" w:rsidRPr="004453A7" w:rsidRDefault="007B685A" w:rsidP="00037B8B">
            <w:pPr>
              <w:numPr>
                <w:ilvl w:val="12"/>
                <w:numId w:val="0"/>
              </w:numPr>
              <w:tabs>
                <w:tab w:val="clear" w:pos="567"/>
              </w:tabs>
              <w:spacing w:line="240" w:lineRule="auto"/>
              <w:ind w:right="-2"/>
              <w:outlineLvl w:val="0"/>
              <w:rPr>
                <w:lang w:val="lt-LT"/>
              </w:rPr>
            </w:pPr>
            <w:r>
              <w:rPr>
                <w:lang w:val="lt-LT"/>
              </w:rPr>
              <w:t xml:space="preserve">3) </w:t>
            </w:r>
            <w:r w:rsidR="00171BFF" w:rsidRPr="004453A7">
              <w:rPr>
                <w:lang w:val="lt-LT"/>
              </w:rPr>
              <w:t>Toliau stumkite užpildyto švirkšto stūmoklį, kol injekcijai reikiamas tūris (dozė) bus per</w:t>
            </w:r>
            <w:r w:rsidR="00C92C98">
              <w:rPr>
                <w:lang w:val="lt-LT"/>
              </w:rPr>
              <w:t>p</w:t>
            </w:r>
            <w:r w:rsidR="00517575">
              <w:rPr>
                <w:lang w:val="lt-LT"/>
              </w:rPr>
              <w:t>i</w:t>
            </w:r>
            <w:r w:rsidR="00171BFF" w:rsidRPr="004453A7">
              <w:rPr>
                <w:lang w:val="lt-LT"/>
              </w:rPr>
              <w:t xml:space="preserve">ltas </w:t>
            </w:r>
            <w:r w:rsidR="00171BFF" w:rsidRPr="00517575">
              <w:rPr>
                <w:lang w:val="lt-LT"/>
              </w:rPr>
              <w:t>į</w:t>
            </w:r>
            <w:r>
              <w:rPr>
                <w:lang w:val="lt-LT"/>
              </w:rPr>
              <w:t xml:space="preserve"> </w:t>
            </w:r>
            <w:r w:rsidR="00171BFF" w:rsidRPr="004453A7">
              <w:rPr>
                <w:lang w:val="lt-LT"/>
              </w:rPr>
              <w:t>graduotą švirkštą. Informacija apie dozavimą žr. 1 lentelėje.</w:t>
            </w:r>
          </w:p>
          <w:p w14:paraId="6DF3EA45" w14:textId="77777777" w:rsidR="005E7FB2" w:rsidRPr="004453A7" w:rsidRDefault="005E7FB2" w:rsidP="00F917CF">
            <w:pPr>
              <w:numPr>
                <w:ilvl w:val="12"/>
                <w:numId w:val="0"/>
              </w:numPr>
              <w:tabs>
                <w:tab w:val="clear" w:pos="567"/>
              </w:tabs>
              <w:spacing w:line="240" w:lineRule="auto"/>
              <w:ind w:right="-2"/>
              <w:outlineLvl w:val="0"/>
              <w:rPr>
                <w:b/>
                <w:lang w:val="lt-LT"/>
              </w:rPr>
            </w:pPr>
          </w:p>
          <w:p w14:paraId="416F4B68" w14:textId="77777777" w:rsidR="005E7FB2" w:rsidRPr="004453A7" w:rsidRDefault="005E7FB2" w:rsidP="00F917CF">
            <w:pPr>
              <w:numPr>
                <w:ilvl w:val="12"/>
                <w:numId w:val="0"/>
              </w:numPr>
              <w:tabs>
                <w:tab w:val="clear" w:pos="567"/>
              </w:tabs>
              <w:spacing w:line="240" w:lineRule="auto"/>
              <w:ind w:right="-2"/>
              <w:outlineLvl w:val="0"/>
              <w:rPr>
                <w:b/>
                <w:lang w:val="lt-LT"/>
              </w:rPr>
            </w:pPr>
          </w:p>
        </w:tc>
      </w:tr>
    </w:tbl>
    <w:p w14:paraId="2DC7CF05" w14:textId="77777777" w:rsidR="005E7FB2" w:rsidRPr="004453A7" w:rsidRDefault="005E7FB2" w:rsidP="005E7FB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gridCol w:w="43"/>
      </w:tblGrid>
      <w:tr w:rsidR="0074234D" w:rsidRPr="005542E1" w14:paraId="6110F1A5" w14:textId="77777777" w:rsidTr="00517575">
        <w:tc>
          <w:tcPr>
            <w:tcW w:w="9060" w:type="dxa"/>
            <w:gridSpan w:val="2"/>
          </w:tcPr>
          <w:p w14:paraId="58A3F02C" w14:textId="77777777" w:rsidR="0074234D" w:rsidRPr="004453A7" w:rsidRDefault="0074234D" w:rsidP="00D32725">
            <w:pPr>
              <w:pStyle w:val="Default"/>
              <w:tabs>
                <w:tab w:val="left" w:pos="2127"/>
              </w:tabs>
              <w:rPr>
                <w:sz w:val="22"/>
                <w:szCs w:val="22"/>
                <w:lang w:val="lt-LT"/>
              </w:rPr>
            </w:pPr>
            <w:r w:rsidRPr="004453A7">
              <w:rPr>
                <w:b/>
                <w:bCs/>
                <w:sz w:val="22"/>
                <w:szCs w:val="22"/>
                <w:lang w:val="lt-LT"/>
              </w:rPr>
              <w:t xml:space="preserve">Jei graduotame švirkšte yra oro: </w:t>
            </w:r>
          </w:p>
          <w:p w14:paraId="24419AEF" w14:textId="77777777" w:rsidR="0074234D" w:rsidRPr="004453A7" w:rsidRDefault="0074234D" w:rsidP="00D32725">
            <w:pPr>
              <w:pStyle w:val="Default"/>
              <w:tabs>
                <w:tab w:val="left" w:pos="2127"/>
              </w:tabs>
              <w:rPr>
                <w:b/>
                <w:bCs/>
                <w:sz w:val="22"/>
                <w:szCs w:val="22"/>
                <w:lang w:val="lt-LT"/>
              </w:rPr>
            </w:pPr>
          </w:p>
          <w:p w14:paraId="03E1793A" w14:textId="77777777" w:rsidR="0074234D" w:rsidRPr="004453A7" w:rsidRDefault="0074234D" w:rsidP="00D32725">
            <w:pPr>
              <w:pStyle w:val="Default"/>
              <w:tabs>
                <w:tab w:val="left" w:pos="2127"/>
              </w:tabs>
              <w:rPr>
                <w:sz w:val="22"/>
                <w:szCs w:val="22"/>
                <w:lang w:val="lt-LT"/>
              </w:rPr>
            </w:pPr>
            <w:r w:rsidRPr="004453A7">
              <w:rPr>
                <w:sz w:val="22"/>
                <w:szCs w:val="22"/>
                <w:lang w:val="lt-LT"/>
              </w:rPr>
              <w:t>• Pasukite sujungtus švirkštus taip, kad užpildytas švirkštas būtų viršuje (žr. paveikslą toliau)</w:t>
            </w:r>
            <w:r w:rsidR="007B685A">
              <w:rPr>
                <w:sz w:val="22"/>
                <w:szCs w:val="22"/>
                <w:lang w:val="lt-LT"/>
              </w:rPr>
              <w:t>.</w:t>
            </w:r>
          </w:p>
          <w:p w14:paraId="7BF45499" w14:textId="77777777" w:rsidR="0074234D" w:rsidRPr="004453A7" w:rsidRDefault="0074234D" w:rsidP="00D32725">
            <w:pPr>
              <w:pStyle w:val="Default"/>
              <w:tabs>
                <w:tab w:val="left" w:pos="2127"/>
              </w:tabs>
              <w:rPr>
                <w:sz w:val="22"/>
                <w:szCs w:val="22"/>
                <w:lang w:val="lt-LT"/>
              </w:rPr>
            </w:pPr>
          </w:p>
          <w:p w14:paraId="675E6A11" w14:textId="5AE9D40E" w:rsidR="0074234D" w:rsidRPr="004453A7" w:rsidRDefault="00194925" w:rsidP="00D32725">
            <w:pPr>
              <w:pStyle w:val="Default"/>
              <w:tabs>
                <w:tab w:val="left" w:pos="2127"/>
              </w:tabs>
              <w:jc w:val="center"/>
              <w:rPr>
                <w:sz w:val="22"/>
                <w:szCs w:val="22"/>
                <w:lang w:val="lt-LT"/>
              </w:rPr>
            </w:pPr>
            <w:r>
              <w:rPr>
                <w:noProof/>
                <w:sz w:val="22"/>
                <w:szCs w:val="22"/>
                <w:lang w:val="lt-LT" w:eastAsia="lt-LT"/>
              </w:rPr>
              <w:drawing>
                <wp:inline distT="0" distB="0" distL="0" distR="0" wp14:anchorId="6554A41D" wp14:editId="74B83C2F">
                  <wp:extent cx="1200150" cy="3590925"/>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3590925"/>
                          </a:xfrm>
                          <a:prstGeom prst="rect">
                            <a:avLst/>
                          </a:prstGeom>
                          <a:noFill/>
                          <a:ln>
                            <a:noFill/>
                          </a:ln>
                        </pic:spPr>
                      </pic:pic>
                    </a:graphicData>
                  </a:graphic>
                </wp:inline>
              </w:drawing>
            </w:r>
          </w:p>
          <w:p w14:paraId="2C17EB03" w14:textId="77777777" w:rsidR="0074234D" w:rsidRPr="004453A7" w:rsidRDefault="0074234D" w:rsidP="00D32725">
            <w:pPr>
              <w:pStyle w:val="Default"/>
              <w:tabs>
                <w:tab w:val="left" w:pos="2127"/>
              </w:tabs>
              <w:jc w:val="center"/>
              <w:rPr>
                <w:b/>
                <w:bCs/>
                <w:sz w:val="22"/>
                <w:szCs w:val="22"/>
                <w:lang w:val="lt-LT"/>
              </w:rPr>
            </w:pPr>
          </w:p>
          <w:p w14:paraId="2C9FADF4" w14:textId="77777777" w:rsidR="0074234D" w:rsidRPr="004453A7" w:rsidRDefault="0074234D" w:rsidP="00D32725">
            <w:pPr>
              <w:pStyle w:val="Default"/>
              <w:tabs>
                <w:tab w:val="left" w:pos="2127"/>
              </w:tabs>
              <w:ind w:left="142" w:hanging="142"/>
              <w:rPr>
                <w:sz w:val="22"/>
                <w:szCs w:val="22"/>
                <w:lang w:val="lt-LT"/>
              </w:rPr>
            </w:pPr>
            <w:r w:rsidRPr="004453A7">
              <w:rPr>
                <w:sz w:val="22"/>
                <w:szCs w:val="22"/>
                <w:lang w:val="lt-LT"/>
              </w:rPr>
              <w:t>• P</w:t>
            </w:r>
            <w:r w:rsidR="00DC03D5" w:rsidRPr="004453A7">
              <w:rPr>
                <w:sz w:val="22"/>
                <w:szCs w:val="22"/>
                <w:lang w:val="lt-LT"/>
              </w:rPr>
              <w:t xml:space="preserve">astumkite graduoto švirkšto stūmoklį, kad oras </w:t>
            </w:r>
            <w:r w:rsidR="00C92C98">
              <w:rPr>
                <w:sz w:val="22"/>
                <w:szCs w:val="22"/>
                <w:lang w:val="lt-LT"/>
              </w:rPr>
              <w:t>patektų</w:t>
            </w:r>
            <w:r w:rsidR="00DC03D5" w:rsidRPr="004453A7">
              <w:rPr>
                <w:sz w:val="22"/>
                <w:szCs w:val="22"/>
                <w:lang w:val="lt-LT"/>
              </w:rPr>
              <w:t xml:space="preserve"> atgal į užpildytą švirkštą (šį žingsnį gali tekti pakartoti kelis kartus).</w:t>
            </w:r>
            <w:r w:rsidRPr="004453A7">
              <w:rPr>
                <w:sz w:val="22"/>
                <w:szCs w:val="22"/>
                <w:lang w:val="lt-LT"/>
              </w:rPr>
              <w:t xml:space="preserve"> </w:t>
            </w:r>
          </w:p>
          <w:p w14:paraId="04E137A5" w14:textId="77777777" w:rsidR="0074234D" w:rsidRPr="004453A7" w:rsidRDefault="0074234D" w:rsidP="00D32725">
            <w:pPr>
              <w:pStyle w:val="Default"/>
              <w:tabs>
                <w:tab w:val="left" w:pos="2127"/>
              </w:tabs>
              <w:rPr>
                <w:b/>
                <w:bCs/>
                <w:sz w:val="22"/>
                <w:szCs w:val="22"/>
                <w:lang w:val="lt-LT"/>
              </w:rPr>
            </w:pPr>
          </w:p>
          <w:p w14:paraId="4F206BCA" w14:textId="77777777" w:rsidR="0074234D" w:rsidRPr="004453A7" w:rsidRDefault="0074234D" w:rsidP="00D32725">
            <w:pPr>
              <w:pStyle w:val="Default"/>
              <w:tabs>
                <w:tab w:val="left" w:pos="2127"/>
              </w:tabs>
              <w:rPr>
                <w:sz w:val="22"/>
                <w:szCs w:val="22"/>
                <w:lang w:val="lt-LT"/>
              </w:rPr>
            </w:pPr>
            <w:r w:rsidRPr="004453A7">
              <w:rPr>
                <w:sz w:val="22"/>
                <w:szCs w:val="22"/>
                <w:lang w:val="lt-LT"/>
              </w:rPr>
              <w:t xml:space="preserve">• </w:t>
            </w:r>
            <w:r w:rsidR="00DC03D5" w:rsidRPr="004453A7">
              <w:rPr>
                <w:sz w:val="22"/>
                <w:szCs w:val="22"/>
                <w:lang w:val="lt-LT"/>
              </w:rPr>
              <w:t>Ištraukite reikiamą ikatibanto tirpalo tūrį.</w:t>
            </w:r>
            <w:r w:rsidRPr="004453A7">
              <w:rPr>
                <w:sz w:val="22"/>
                <w:szCs w:val="22"/>
                <w:lang w:val="lt-LT"/>
              </w:rPr>
              <w:t xml:space="preserve"> </w:t>
            </w:r>
          </w:p>
          <w:p w14:paraId="29D3FCBA" w14:textId="77777777" w:rsidR="0074234D" w:rsidRPr="004453A7" w:rsidRDefault="0074234D" w:rsidP="00D32725">
            <w:pPr>
              <w:pStyle w:val="Default"/>
              <w:tabs>
                <w:tab w:val="left" w:pos="2127"/>
              </w:tabs>
              <w:rPr>
                <w:b/>
                <w:bCs/>
                <w:sz w:val="22"/>
                <w:szCs w:val="22"/>
                <w:lang w:val="lt-LT"/>
              </w:rPr>
            </w:pPr>
          </w:p>
          <w:p w14:paraId="449324F7" w14:textId="77777777" w:rsidR="0074234D" w:rsidRPr="004453A7" w:rsidRDefault="0074234D" w:rsidP="00D32725">
            <w:pPr>
              <w:pStyle w:val="Default"/>
              <w:tabs>
                <w:tab w:val="left" w:pos="2127"/>
              </w:tabs>
              <w:rPr>
                <w:sz w:val="22"/>
                <w:szCs w:val="22"/>
                <w:lang w:val="lt-LT"/>
              </w:rPr>
            </w:pPr>
            <w:r w:rsidRPr="004453A7">
              <w:rPr>
                <w:sz w:val="22"/>
                <w:szCs w:val="22"/>
                <w:lang w:val="lt-LT"/>
              </w:rPr>
              <w:t xml:space="preserve">4) </w:t>
            </w:r>
            <w:r w:rsidR="00DC03D5" w:rsidRPr="004453A7">
              <w:rPr>
                <w:sz w:val="22"/>
                <w:szCs w:val="22"/>
                <w:lang w:val="lt-LT"/>
              </w:rPr>
              <w:t>Nuimkite užpildytą švirkštą nuo graduoto švirkšto.</w:t>
            </w:r>
            <w:r w:rsidRPr="004453A7">
              <w:rPr>
                <w:sz w:val="22"/>
                <w:szCs w:val="22"/>
                <w:lang w:val="lt-LT"/>
              </w:rPr>
              <w:t xml:space="preserve"> </w:t>
            </w:r>
          </w:p>
          <w:p w14:paraId="5BFDF6D0" w14:textId="77777777" w:rsidR="0074234D" w:rsidRPr="004453A7" w:rsidRDefault="0074234D" w:rsidP="00D32725">
            <w:pPr>
              <w:pStyle w:val="Default"/>
              <w:tabs>
                <w:tab w:val="left" w:pos="2127"/>
              </w:tabs>
              <w:rPr>
                <w:sz w:val="22"/>
                <w:szCs w:val="22"/>
                <w:lang w:val="lt-LT"/>
              </w:rPr>
            </w:pPr>
          </w:p>
          <w:p w14:paraId="38F276A9" w14:textId="77777777" w:rsidR="0074234D" w:rsidRPr="004453A7" w:rsidRDefault="0074234D" w:rsidP="00D32725">
            <w:pPr>
              <w:pStyle w:val="Default"/>
              <w:tabs>
                <w:tab w:val="left" w:pos="2127"/>
              </w:tabs>
              <w:rPr>
                <w:sz w:val="22"/>
                <w:szCs w:val="22"/>
                <w:lang w:val="lt-LT"/>
              </w:rPr>
            </w:pPr>
            <w:r w:rsidRPr="004453A7">
              <w:rPr>
                <w:sz w:val="22"/>
                <w:szCs w:val="22"/>
                <w:lang w:val="lt-LT"/>
              </w:rPr>
              <w:t xml:space="preserve">5) </w:t>
            </w:r>
            <w:r w:rsidR="00DC03D5" w:rsidRPr="004453A7">
              <w:rPr>
                <w:sz w:val="22"/>
                <w:szCs w:val="22"/>
                <w:lang w:val="lt-LT"/>
              </w:rPr>
              <w:t xml:space="preserve">Išmeskite užpildytą </w:t>
            </w:r>
            <w:r w:rsidR="00193794">
              <w:rPr>
                <w:sz w:val="22"/>
                <w:szCs w:val="22"/>
                <w:lang w:val="lt-LT"/>
              </w:rPr>
              <w:t>š</w:t>
            </w:r>
            <w:r w:rsidR="00DC03D5" w:rsidRPr="004453A7">
              <w:rPr>
                <w:sz w:val="22"/>
                <w:szCs w:val="22"/>
                <w:lang w:val="lt-LT"/>
              </w:rPr>
              <w:t>virkštą ir sujungėją į aštrių atliekų talpyklę</w:t>
            </w:r>
            <w:r w:rsidRPr="004453A7">
              <w:rPr>
                <w:sz w:val="22"/>
                <w:szCs w:val="22"/>
                <w:lang w:val="lt-LT"/>
              </w:rPr>
              <w:t xml:space="preserve">. </w:t>
            </w:r>
          </w:p>
          <w:p w14:paraId="48BEF6DA" w14:textId="77777777" w:rsidR="0074234D" w:rsidRPr="004453A7" w:rsidRDefault="0074234D" w:rsidP="00D32725">
            <w:pPr>
              <w:pStyle w:val="Default"/>
              <w:tabs>
                <w:tab w:val="left" w:pos="2127"/>
              </w:tabs>
              <w:rPr>
                <w:b/>
                <w:bCs/>
                <w:sz w:val="22"/>
                <w:szCs w:val="22"/>
                <w:lang w:val="lt-LT"/>
              </w:rPr>
            </w:pPr>
          </w:p>
        </w:tc>
      </w:tr>
      <w:tr w:rsidR="0074234D" w:rsidRPr="005542E1" w14:paraId="749A54FF" w14:textId="77777777" w:rsidTr="00517575">
        <w:tc>
          <w:tcPr>
            <w:tcW w:w="9060" w:type="dxa"/>
            <w:gridSpan w:val="2"/>
          </w:tcPr>
          <w:p w14:paraId="621328B9" w14:textId="77777777" w:rsidR="00DC03D5" w:rsidRPr="004453A7" w:rsidRDefault="0074234D" w:rsidP="00D32725">
            <w:pPr>
              <w:pStyle w:val="Default"/>
              <w:ind w:left="426" w:hanging="426"/>
              <w:jc w:val="center"/>
              <w:rPr>
                <w:b/>
                <w:bCs/>
                <w:sz w:val="22"/>
                <w:szCs w:val="22"/>
                <w:lang w:val="lt-LT"/>
              </w:rPr>
            </w:pPr>
            <w:r w:rsidRPr="004453A7">
              <w:rPr>
                <w:b/>
                <w:bCs/>
                <w:sz w:val="22"/>
                <w:szCs w:val="22"/>
                <w:lang w:val="lt-LT"/>
              </w:rPr>
              <w:t xml:space="preserve">2b) </w:t>
            </w:r>
            <w:r w:rsidR="00DC03D5" w:rsidRPr="004453A7">
              <w:rPr>
                <w:b/>
                <w:bCs/>
                <w:sz w:val="22"/>
                <w:szCs w:val="22"/>
                <w:lang w:val="lt-LT"/>
              </w:rPr>
              <w:t xml:space="preserve">Švirkšto ir adatos paruošimas </w:t>
            </w:r>
          </w:p>
          <w:p w14:paraId="140E1C9F" w14:textId="77777777" w:rsidR="0074234D" w:rsidRPr="004453A7" w:rsidRDefault="00DC03D5" w:rsidP="00D32725">
            <w:pPr>
              <w:pStyle w:val="Default"/>
              <w:ind w:left="426" w:hanging="426"/>
              <w:jc w:val="center"/>
              <w:rPr>
                <w:sz w:val="22"/>
                <w:szCs w:val="22"/>
                <w:lang w:val="lt-LT"/>
              </w:rPr>
            </w:pPr>
            <w:r w:rsidRPr="004453A7">
              <w:rPr>
                <w:b/>
                <w:bCs/>
                <w:sz w:val="22"/>
                <w:szCs w:val="22"/>
                <w:lang w:val="lt-LT"/>
              </w:rPr>
              <w:t>Visiems pacientams (suaugusiems, paaugliams ir vaikams)</w:t>
            </w:r>
          </w:p>
          <w:p w14:paraId="7C6CCA50" w14:textId="77777777" w:rsidR="0074234D" w:rsidRPr="004453A7" w:rsidRDefault="0074234D" w:rsidP="00D32725">
            <w:pPr>
              <w:pStyle w:val="Default"/>
              <w:rPr>
                <w:b/>
                <w:bCs/>
                <w:sz w:val="22"/>
                <w:szCs w:val="22"/>
                <w:lang w:val="lt-LT"/>
              </w:rPr>
            </w:pPr>
          </w:p>
        </w:tc>
      </w:tr>
      <w:tr w:rsidR="0074234D" w:rsidRPr="005542E1" w14:paraId="65A32DE3" w14:textId="77777777" w:rsidTr="00517575">
        <w:tc>
          <w:tcPr>
            <w:tcW w:w="9060" w:type="dxa"/>
            <w:gridSpan w:val="2"/>
          </w:tcPr>
          <w:p w14:paraId="5FBBB73E" w14:textId="73B00B93" w:rsidR="0074234D" w:rsidRPr="004453A7" w:rsidRDefault="00194925" w:rsidP="00D32725">
            <w:pPr>
              <w:pStyle w:val="Default"/>
              <w:ind w:left="426" w:hanging="426"/>
              <w:jc w:val="center"/>
              <w:rPr>
                <w:b/>
                <w:bCs/>
                <w:sz w:val="22"/>
                <w:szCs w:val="22"/>
                <w:lang w:val="lt-LT"/>
              </w:rPr>
            </w:pPr>
            <w:r>
              <w:rPr>
                <w:b/>
                <w:bCs/>
                <w:noProof/>
                <w:sz w:val="22"/>
                <w:szCs w:val="22"/>
                <w:lang w:val="lt-LT" w:eastAsia="lt-LT"/>
              </w:rPr>
              <w:drawing>
                <wp:inline distT="0" distB="0" distL="0" distR="0" wp14:anchorId="7E6A5BD2" wp14:editId="616ED361">
                  <wp:extent cx="1733550" cy="1457325"/>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1457325"/>
                          </a:xfrm>
                          <a:prstGeom prst="rect">
                            <a:avLst/>
                          </a:prstGeom>
                          <a:noFill/>
                          <a:ln>
                            <a:noFill/>
                          </a:ln>
                        </pic:spPr>
                      </pic:pic>
                    </a:graphicData>
                  </a:graphic>
                </wp:inline>
              </w:drawing>
            </w:r>
          </w:p>
          <w:p w14:paraId="3F71A20F" w14:textId="77777777" w:rsidR="0074234D" w:rsidRPr="004453A7" w:rsidRDefault="0074234D" w:rsidP="00D32725">
            <w:pPr>
              <w:pStyle w:val="Default"/>
              <w:ind w:left="426" w:hanging="426"/>
              <w:jc w:val="center"/>
              <w:rPr>
                <w:b/>
                <w:bCs/>
                <w:sz w:val="22"/>
                <w:szCs w:val="22"/>
                <w:lang w:val="lt-LT"/>
              </w:rPr>
            </w:pPr>
          </w:p>
          <w:p w14:paraId="0562FFCE" w14:textId="77777777" w:rsidR="0074234D" w:rsidRPr="004453A7" w:rsidRDefault="0074234D" w:rsidP="00D32725">
            <w:pPr>
              <w:pStyle w:val="Default"/>
              <w:rPr>
                <w:lang w:val="lt-LT"/>
              </w:rPr>
            </w:pPr>
          </w:p>
          <w:p w14:paraId="41FC39F5" w14:textId="77777777" w:rsidR="0074234D" w:rsidRPr="004453A7" w:rsidRDefault="0074234D" w:rsidP="00D32725">
            <w:pPr>
              <w:pStyle w:val="Default"/>
              <w:rPr>
                <w:sz w:val="22"/>
                <w:szCs w:val="22"/>
                <w:lang w:val="lt-LT"/>
              </w:rPr>
            </w:pPr>
            <w:r w:rsidRPr="004453A7">
              <w:rPr>
                <w:sz w:val="22"/>
                <w:szCs w:val="22"/>
                <w:lang w:val="lt-LT"/>
              </w:rPr>
              <w:t xml:space="preserve">• </w:t>
            </w:r>
            <w:r w:rsidR="00DC03D5" w:rsidRPr="00864381">
              <w:rPr>
                <w:sz w:val="22"/>
                <w:szCs w:val="22"/>
                <w:lang w:val="lt-LT"/>
              </w:rPr>
              <w:t>Išimkite adatos dangtelį iš lizdinės plokštelės</w:t>
            </w:r>
            <w:r w:rsidRPr="00864381">
              <w:rPr>
                <w:sz w:val="22"/>
                <w:szCs w:val="22"/>
                <w:lang w:val="lt-LT"/>
              </w:rPr>
              <w:t>.</w:t>
            </w:r>
            <w:r w:rsidRPr="004453A7">
              <w:rPr>
                <w:sz w:val="22"/>
                <w:szCs w:val="22"/>
                <w:lang w:val="lt-LT"/>
              </w:rPr>
              <w:t xml:space="preserve"> </w:t>
            </w:r>
          </w:p>
          <w:p w14:paraId="044847B8" w14:textId="77777777" w:rsidR="0074234D" w:rsidRPr="004453A7" w:rsidRDefault="0074234D" w:rsidP="00D32725">
            <w:pPr>
              <w:pStyle w:val="Default"/>
              <w:rPr>
                <w:sz w:val="22"/>
                <w:szCs w:val="22"/>
                <w:lang w:val="lt-LT"/>
              </w:rPr>
            </w:pPr>
          </w:p>
          <w:p w14:paraId="63F41DE8" w14:textId="4153AF51" w:rsidR="0074234D" w:rsidRPr="004453A7" w:rsidRDefault="0074234D" w:rsidP="00D32725">
            <w:pPr>
              <w:pStyle w:val="Default"/>
              <w:rPr>
                <w:sz w:val="22"/>
                <w:szCs w:val="22"/>
                <w:lang w:val="lt-LT"/>
              </w:rPr>
            </w:pPr>
            <w:r w:rsidRPr="004453A7">
              <w:rPr>
                <w:sz w:val="22"/>
                <w:szCs w:val="22"/>
                <w:lang w:val="lt-LT"/>
              </w:rPr>
              <w:t xml:space="preserve">• </w:t>
            </w:r>
            <w:r w:rsidR="000B64A1" w:rsidRPr="000B64A1">
              <w:rPr>
                <w:sz w:val="22"/>
                <w:szCs w:val="22"/>
                <w:lang w:val="lt-LT"/>
              </w:rPr>
              <w:t xml:space="preserve">Pasukite adatos dangtelį, kad sulaužytumėte </w:t>
            </w:r>
            <w:r w:rsidR="008A7076">
              <w:rPr>
                <w:sz w:val="22"/>
                <w:szCs w:val="22"/>
                <w:lang w:val="lt-LT"/>
              </w:rPr>
              <w:t>apsaugą</w:t>
            </w:r>
            <w:r w:rsidR="00DC03D5" w:rsidRPr="004453A7">
              <w:rPr>
                <w:sz w:val="22"/>
                <w:szCs w:val="22"/>
                <w:lang w:val="lt-LT"/>
              </w:rPr>
              <w:t xml:space="preserve"> (adata turi likti adatos dangtelyje)</w:t>
            </w:r>
            <w:r w:rsidRPr="004453A7">
              <w:rPr>
                <w:sz w:val="22"/>
                <w:szCs w:val="22"/>
                <w:lang w:val="lt-LT"/>
              </w:rPr>
              <w:t xml:space="preserve">. </w:t>
            </w:r>
          </w:p>
          <w:p w14:paraId="272C32BC" w14:textId="77777777" w:rsidR="0074234D" w:rsidRPr="004453A7" w:rsidRDefault="0074234D" w:rsidP="00D32725">
            <w:pPr>
              <w:pStyle w:val="Default"/>
              <w:ind w:left="426" w:hanging="426"/>
              <w:rPr>
                <w:b/>
                <w:bCs/>
                <w:sz w:val="22"/>
                <w:szCs w:val="22"/>
                <w:lang w:val="lt-LT"/>
              </w:rPr>
            </w:pPr>
          </w:p>
        </w:tc>
      </w:tr>
      <w:tr w:rsidR="0074234D" w:rsidRPr="004453A7" w14:paraId="7858E3F3" w14:textId="77777777" w:rsidTr="00517575">
        <w:tc>
          <w:tcPr>
            <w:tcW w:w="9060" w:type="dxa"/>
            <w:gridSpan w:val="2"/>
          </w:tcPr>
          <w:p w14:paraId="40244444" w14:textId="77777777" w:rsidR="0074234D" w:rsidRPr="004453A7" w:rsidRDefault="0074234D" w:rsidP="00D32725">
            <w:pPr>
              <w:pStyle w:val="Default"/>
              <w:jc w:val="center"/>
              <w:rPr>
                <w:b/>
                <w:bCs/>
                <w:sz w:val="22"/>
                <w:szCs w:val="22"/>
                <w:lang w:val="lt-LT"/>
              </w:rPr>
            </w:pPr>
          </w:p>
          <w:p w14:paraId="4A5BC6A2" w14:textId="77777777" w:rsidR="0074234D" w:rsidRPr="004453A7" w:rsidRDefault="0074234D" w:rsidP="00D32725">
            <w:pPr>
              <w:pStyle w:val="Default"/>
              <w:rPr>
                <w:sz w:val="22"/>
                <w:szCs w:val="22"/>
                <w:lang w:val="lt-LT"/>
              </w:rPr>
            </w:pPr>
            <w:r w:rsidRPr="004453A7">
              <w:rPr>
                <w:sz w:val="22"/>
                <w:szCs w:val="22"/>
                <w:lang w:val="lt-LT"/>
              </w:rPr>
              <w:t xml:space="preserve">• </w:t>
            </w:r>
            <w:r w:rsidR="00DC03D5" w:rsidRPr="004453A7">
              <w:rPr>
                <w:sz w:val="22"/>
                <w:szCs w:val="22"/>
                <w:lang w:val="lt-LT"/>
              </w:rPr>
              <w:t>Tvirtai suimkite švirkštą</w:t>
            </w:r>
            <w:r w:rsidRPr="004453A7">
              <w:rPr>
                <w:sz w:val="22"/>
                <w:szCs w:val="22"/>
                <w:lang w:val="lt-LT"/>
              </w:rPr>
              <w:t xml:space="preserve">. </w:t>
            </w:r>
            <w:r w:rsidR="00DC03D5" w:rsidRPr="004453A7">
              <w:rPr>
                <w:sz w:val="22"/>
                <w:szCs w:val="22"/>
                <w:lang w:val="lt-LT"/>
              </w:rPr>
              <w:t xml:space="preserve">Atsargiai prijunkite adatą prie bespalviu tirpalu </w:t>
            </w:r>
            <w:r w:rsidR="00C50F35" w:rsidRPr="004453A7">
              <w:rPr>
                <w:sz w:val="22"/>
                <w:szCs w:val="22"/>
                <w:lang w:val="lt-LT"/>
              </w:rPr>
              <w:t>užpildyto švirkšto</w:t>
            </w:r>
            <w:r w:rsidRPr="004453A7">
              <w:rPr>
                <w:sz w:val="22"/>
                <w:szCs w:val="22"/>
                <w:lang w:val="lt-LT"/>
              </w:rPr>
              <w:t xml:space="preserve">. </w:t>
            </w:r>
          </w:p>
          <w:p w14:paraId="3DE01E34" w14:textId="77777777" w:rsidR="0074234D" w:rsidRPr="004453A7" w:rsidRDefault="0074234D" w:rsidP="00D32725">
            <w:pPr>
              <w:pStyle w:val="Default"/>
              <w:rPr>
                <w:sz w:val="22"/>
                <w:szCs w:val="22"/>
                <w:lang w:val="lt-LT"/>
              </w:rPr>
            </w:pPr>
          </w:p>
          <w:p w14:paraId="59F37333" w14:textId="77777777" w:rsidR="0074234D" w:rsidRPr="00324035" w:rsidRDefault="00C50F35" w:rsidP="00D32725">
            <w:pPr>
              <w:pStyle w:val="Default"/>
              <w:rPr>
                <w:sz w:val="22"/>
                <w:lang w:val="lt-LT"/>
              </w:rPr>
            </w:pPr>
            <w:r w:rsidRPr="004453A7">
              <w:rPr>
                <w:sz w:val="22"/>
                <w:szCs w:val="22"/>
                <w:lang w:val="lt-LT"/>
              </w:rPr>
              <w:t>• Prisukite švirkštą prie adatos, kol ji tebėra dangtelyje</w:t>
            </w:r>
            <w:r w:rsidR="0074234D" w:rsidRPr="004453A7">
              <w:rPr>
                <w:sz w:val="22"/>
                <w:szCs w:val="22"/>
                <w:lang w:val="lt-LT"/>
              </w:rPr>
              <w:t xml:space="preserve">. </w:t>
            </w:r>
          </w:p>
          <w:p w14:paraId="6B976236" w14:textId="77777777" w:rsidR="0074234D" w:rsidRPr="004453A7" w:rsidRDefault="0074234D" w:rsidP="00D32725">
            <w:pPr>
              <w:pStyle w:val="Default"/>
              <w:rPr>
                <w:sz w:val="22"/>
                <w:szCs w:val="22"/>
                <w:lang w:val="lt-LT"/>
              </w:rPr>
            </w:pPr>
          </w:p>
          <w:p w14:paraId="299FA708" w14:textId="77777777" w:rsidR="0074234D" w:rsidRPr="004453A7" w:rsidRDefault="0074234D" w:rsidP="00D32725">
            <w:pPr>
              <w:pStyle w:val="Default"/>
              <w:rPr>
                <w:sz w:val="22"/>
                <w:szCs w:val="22"/>
                <w:lang w:val="lt-LT"/>
              </w:rPr>
            </w:pPr>
            <w:r w:rsidRPr="004453A7">
              <w:rPr>
                <w:sz w:val="22"/>
                <w:szCs w:val="22"/>
                <w:lang w:val="lt-LT"/>
              </w:rPr>
              <w:t xml:space="preserve">• </w:t>
            </w:r>
            <w:r w:rsidR="00C50F35" w:rsidRPr="004453A7">
              <w:rPr>
                <w:sz w:val="22"/>
                <w:szCs w:val="22"/>
                <w:lang w:val="lt-LT"/>
              </w:rPr>
              <w:t>Patraukdami švirkštą ištraukite adatą iš jos dangtelio. Stūmoklio netraukite</w:t>
            </w:r>
            <w:r w:rsidRPr="004453A7">
              <w:rPr>
                <w:sz w:val="22"/>
                <w:szCs w:val="22"/>
                <w:lang w:val="lt-LT"/>
              </w:rPr>
              <w:t xml:space="preserve">. </w:t>
            </w:r>
          </w:p>
          <w:p w14:paraId="6CD7A9A8" w14:textId="079BB689" w:rsidR="0074234D" w:rsidRPr="004453A7" w:rsidRDefault="00194925" w:rsidP="00D32725">
            <w:pPr>
              <w:pStyle w:val="Default"/>
              <w:rPr>
                <w:sz w:val="22"/>
                <w:szCs w:val="22"/>
                <w:lang w:val="lt-LT"/>
              </w:rPr>
            </w:pPr>
            <w:r>
              <w:rPr>
                <w:b/>
                <w:bCs/>
                <w:noProof/>
                <w:sz w:val="22"/>
                <w:szCs w:val="22"/>
                <w:lang w:val="lt-LT" w:eastAsia="lt-LT"/>
              </w:rPr>
              <w:drawing>
                <wp:inline distT="0" distB="0" distL="0" distR="0" wp14:anchorId="51517D9A" wp14:editId="33CE2CDC">
                  <wp:extent cx="2066925" cy="151447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6925" cy="1514475"/>
                          </a:xfrm>
                          <a:prstGeom prst="rect">
                            <a:avLst/>
                          </a:prstGeom>
                          <a:noFill/>
                          <a:ln>
                            <a:noFill/>
                          </a:ln>
                        </pic:spPr>
                      </pic:pic>
                    </a:graphicData>
                  </a:graphic>
                </wp:inline>
              </w:drawing>
            </w:r>
          </w:p>
          <w:p w14:paraId="28948460" w14:textId="77777777" w:rsidR="0074234D" w:rsidRPr="004453A7" w:rsidRDefault="0074234D" w:rsidP="00D32725">
            <w:pPr>
              <w:pStyle w:val="Default"/>
              <w:rPr>
                <w:sz w:val="22"/>
                <w:szCs w:val="22"/>
                <w:lang w:val="lt-LT"/>
              </w:rPr>
            </w:pPr>
            <w:r w:rsidRPr="004453A7">
              <w:rPr>
                <w:sz w:val="22"/>
                <w:szCs w:val="22"/>
                <w:lang w:val="lt-LT"/>
              </w:rPr>
              <w:t xml:space="preserve">• </w:t>
            </w:r>
            <w:r w:rsidR="00C50F35" w:rsidRPr="004453A7">
              <w:rPr>
                <w:sz w:val="22"/>
                <w:szCs w:val="22"/>
                <w:lang w:val="lt-LT"/>
              </w:rPr>
              <w:t>Dabar švirkštas paruoštas injekcijai</w:t>
            </w:r>
            <w:r w:rsidRPr="004453A7">
              <w:rPr>
                <w:sz w:val="22"/>
                <w:szCs w:val="22"/>
                <w:lang w:val="lt-LT"/>
              </w:rPr>
              <w:t xml:space="preserve">. </w:t>
            </w:r>
          </w:p>
          <w:p w14:paraId="64A7118B" w14:textId="77777777" w:rsidR="0074234D" w:rsidRPr="004453A7" w:rsidRDefault="0074234D" w:rsidP="00D32725">
            <w:pPr>
              <w:pStyle w:val="Default"/>
              <w:ind w:left="426" w:hanging="426"/>
              <w:rPr>
                <w:b/>
                <w:bCs/>
                <w:sz w:val="22"/>
                <w:szCs w:val="22"/>
                <w:lang w:val="lt-LT"/>
              </w:rPr>
            </w:pPr>
          </w:p>
        </w:tc>
      </w:tr>
      <w:tr w:rsidR="0074234D" w:rsidRPr="004453A7" w14:paraId="66719B77" w14:textId="77777777" w:rsidTr="00517575">
        <w:tc>
          <w:tcPr>
            <w:tcW w:w="9060" w:type="dxa"/>
            <w:gridSpan w:val="2"/>
          </w:tcPr>
          <w:p w14:paraId="052DD50C" w14:textId="77777777" w:rsidR="0074234D" w:rsidRPr="004453A7" w:rsidRDefault="0074234D" w:rsidP="00D32725">
            <w:pPr>
              <w:pStyle w:val="Default"/>
              <w:jc w:val="center"/>
              <w:rPr>
                <w:sz w:val="22"/>
                <w:szCs w:val="22"/>
                <w:lang w:val="lt-LT"/>
              </w:rPr>
            </w:pPr>
            <w:r w:rsidRPr="004453A7">
              <w:rPr>
                <w:b/>
                <w:bCs/>
                <w:sz w:val="22"/>
                <w:szCs w:val="22"/>
                <w:lang w:val="lt-LT"/>
              </w:rPr>
              <w:t xml:space="preserve">3) </w:t>
            </w:r>
            <w:r w:rsidR="00C50F35" w:rsidRPr="004453A7">
              <w:rPr>
                <w:b/>
                <w:bCs/>
                <w:sz w:val="22"/>
                <w:szCs w:val="22"/>
                <w:lang w:val="lt-LT"/>
              </w:rPr>
              <w:t>Injekcijos vietos paruošimas</w:t>
            </w:r>
          </w:p>
          <w:p w14:paraId="4A52D2E6" w14:textId="77777777" w:rsidR="0074234D" w:rsidRPr="004453A7" w:rsidRDefault="0074234D" w:rsidP="00D32725">
            <w:pPr>
              <w:pStyle w:val="Default"/>
              <w:ind w:left="426" w:hanging="426"/>
              <w:jc w:val="center"/>
              <w:rPr>
                <w:b/>
                <w:bCs/>
                <w:sz w:val="22"/>
                <w:szCs w:val="22"/>
                <w:lang w:val="lt-LT"/>
              </w:rPr>
            </w:pPr>
          </w:p>
        </w:tc>
      </w:tr>
      <w:tr w:rsidR="0074234D" w:rsidRPr="00363F39" w14:paraId="1C044F07" w14:textId="77777777" w:rsidTr="00517575">
        <w:tc>
          <w:tcPr>
            <w:tcW w:w="9060" w:type="dxa"/>
            <w:gridSpan w:val="2"/>
          </w:tcPr>
          <w:p w14:paraId="2F66233C" w14:textId="25D9ADDE" w:rsidR="0074234D" w:rsidRPr="004453A7" w:rsidRDefault="00194925" w:rsidP="00D32725">
            <w:pPr>
              <w:pStyle w:val="Default"/>
              <w:jc w:val="center"/>
              <w:rPr>
                <w:lang w:val="lt-LT"/>
              </w:rPr>
            </w:pPr>
            <w:r>
              <w:rPr>
                <w:noProof/>
                <w:lang w:val="lt-LT" w:eastAsia="lt-LT"/>
              </w:rPr>
              <w:drawing>
                <wp:inline distT="0" distB="0" distL="0" distR="0" wp14:anchorId="7B28C911" wp14:editId="294DB9B2">
                  <wp:extent cx="1724025" cy="1533525"/>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4025" cy="1533525"/>
                          </a:xfrm>
                          <a:prstGeom prst="rect">
                            <a:avLst/>
                          </a:prstGeom>
                          <a:noFill/>
                          <a:ln>
                            <a:noFill/>
                          </a:ln>
                        </pic:spPr>
                      </pic:pic>
                    </a:graphicData>
                  </a:graphic>
                </wp:inline>
              </w:drawing>
            </w:r>
          </w:p>
          <w:p w14:paraId="7C628A10"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C50F35" w:rsidRPr="004453A7">
              <w:rPr>
                <w:sz w:val="22"/>
                <w:szCs w:val="22"/>
                <w:lang w:val="lt-LT"/>
              </w:rPr>
              <w:t>Pasir</w:t>
            </w:r>
            <w:r w:rsidR="00193794">
              <w:rPr>
                <w:sz w:val="22"/>
                <w:szCs w:val="22"/>
                <w:lang w:val="lt-LT"/>
              </w:rPr>
              <w:t>i</w:t>
            </w:r>
            <w:r w:rsidR="00C50F35" w:rsidRPr="004453A7">
              <w:rPr>
                <w:sz w:val="22"/>
                <w:szCs w:val="22"/>
                <w:lang w:val="lt-LT"/>
              </w:rPr>
              <w:t xml:space="preserve">nkite injekcijos vietą. Injekcijos vieta turi būti odos raukšlė bet kurioje pilvo pusėje, apie </w:t>
            </w:r>
            <w:r w:rsidRPr="004453A7">
              <w:rPr>
                <w:sz w:val="22"/>
                <w:szCs w:val="22"/>
                <w:lang w:val="lt-LT"/>
              </w:rPr>
              <w:t>5</w:t>
            </w:r>
            <w:r w:rsidRPr="004453A7">
              <w:rPr>
                <w:sz w:val="22"/>
                <w:szCs w:val="22"/>
                <w:lang w:val="lt-LT"/>
              </w:rPr>
              <w:noBreakHyphen/>
              <w:t>10 </w:t>
            </w:r>
            <w:r w:rsidR="00C50F35" w:rsidRPr="004453A7">
              <w:rPr>
                <w:sz w:val="22"/>
                <w:szCs w:val="22"/>
                <w:lang w:val="lt-LT"/>
              </w:rPr>
              <w:t>cm (2-4 coliai</w:t>
            </w:r>
            <w:r w:rsidRPr="004453A7">
              <w:rPr>
                <w:sz w:val="22"/>
                <w:szCs w:val="22"/>
                <w:lang w:val="lt-LT"/>
              </w:rPr>
              <w:t xml:space="preserve">) </w:t>
            </w:r>
            <w:r w:rsidR="00C50F35" w:rsidRPr="004453A7">
              <w:rPr>
                <w:sz w:val="22"/>
                <w:szCs w:val="22"/>
                <w:lang w:val="lt-LT"/>
              </w:rPr>
              <w:t>žemiau bambos. Ši</w:t>
            </w:r>
            <w:r w:rsidR="00864381">
              <w:rPr>
                <w:sz w:val="22"/>
                <w:szCs w:val="22"/>
                <w:lang w:val="lt-LT"/>
              </w:rPr>
              <w:t xml:space="preserve"> </w:t>
            </w:r>
            <w:r w:rsidR="00C50F35" w:rsidRPr="004453A7">
              <w:rPr>
                <w:sz w:val="22"/>
                <w:szCs w:val="22"/>
                <w:lang w:val="lt-LT"/>
              </w:rPr>
              <w:t xml:space="preserve">sritis turi būti mažiausiai </w:t>
            </w:r>
            <w:r w:rsidR="00864381">
              <w:rPr>
                <w:sz w:val="22"/>
                <w:szCs w:val="22"/>
                <w:lang w:val="lt-LT"/>
              </w:rPr>
              <w:t>5 cm (2 coliai</w:t>
            </w:r>
            <w:r w:rsidRPr="004453A7">
              <w:rPr>
                <w:sz w:val="22"/>
                <w:szCs w:val="22"/>
                <w:lang w:val="lt-LT"/>
              </w:rPr>
              <w:t xml:space="preserve">) </w:t>
            </w:r>
            <w:r w:rsidR="00C50F35" w:rsidRPr="004453A7">
              <w:rPr>
                <w:sz w:val="22"/>
                <w:szCs w:val="22"/>
                <w:lang w:val="lt-LT"/>
              </w:rPr>
              <w:t>atstumu nuo bet kokio rando</w:t>
            </w:r>
            <w:r w:rsidRPr="004453A7">
              <w:rPr>
                <w:sz w:val="22"/>
                <w:szCs w:val="22"/>
                <w:lang w:val="lt-LT"/>
              </w:rPr>
              <w:t xml:space="preserve">. </w:t>
            </w:r>
            <w:r w:rsidR="00C50F35" w:rsidRPr="004453A7">
              <w:rPr>
                <w:sz w:val="22"/>
                <w:szCs w:val="22"/>
                <w:lang w:val="lt-LT"/>
              </w:rPr>
              <w:t>Nesirinkite vietos, kuri yra sumušta, patinusi ar skausminga.</w:t>
            </w:r>
            <w:r w:rsidRPr="004453A7">
              <w:rPr>
                <w:sz w:val="22"/>
                <w:szCs w:val="22"/>
                <w:lang w:val="lt-LT"/>
              </w:rPr>
              <w:t xml:space="preserve"> </w:t>
            </w:r>
          </w:p>
          <w:p w14:paraId="6B577CC6" w14:textId="77777777" w:rsidR="0074234D" w:rsidRPr="004453A7" w:rsidRDefault="0074234D" w:rsidP="00D32725">
            <w:pPr>
              <w:pStyle w:val="Default"/>
              <w:rPr>
                <w:sz w:val="22"/>
                <w:szCs w:val="22"/>
                <w:lang w:val="lt-LT"/>
              </w:rPr>
            </w:pPr>
          </w:p>
          <w:p w14:paraId="165AA69A" w14:textId="77777777" w:rsidR="0074234D" w:rsidRPr="004453A7" w:rsidRDefault="0074234D" w:rsidP="00D32725">
            <w:pPr>
              <w:pStyle w:val="Default"/>
              <w:rPr>
                <w:sz w:val="22"/>
                <w:szCs w:val="22"/>
                <w:lang w:val="lt-LT"/>
              </w:rPr>
            </w:pPr>
            <w:r w:rsidRPr="004453A7">
              <w:rPr>
                <w:sz w:val="22"/>
                <w:szCs w:val="22"/>
                <w:lang w:val="lt-LT"/>
              </w:rPr>
              <w:t xml:space="preserve">• </w:t>
            </w:r>
            <w:r w:rsidR="00C50F35" w:rsidRPr="004453A7">
              <w:rPr>
                <w:sz w:val="22"/>
                <w:szCs w:val="22"/>
                <w:lang w:val="lt-LT"/>
              </w:rPr>
              <w:t>Nuvalykite injekcijos vietą spiritu suvilgytu tamponėliu ir palaukite, kol ji išdžius.</w:t>
            </w:r>
            <w:r w:rsidRPr="004453A7">
              <w:rPr>
                <w:sz w:val="22"/>
                <w:szCs w:val="22"/>
                <w:lang w:val="lt-LT"/>
              </w:rPr>
              <w:t xml:space="preserve"> </w:t>
            </w:r>
          </w:p>
          <w:p w14:paraId="2EB6205D" w14:textId="77777777" w:rsidR="0074234D" w:rsidRPr="004453A7" w:rsidRDefault="0074234D" w:rsidP="00D32725">
            <w:pPr>
              <w:pStyle w:val="Default"/>
              <w:rPr>
                <w:b/>
                <w:bCs/>
                <w:sz w:val="22"/>
                <w:szCs w:val="22"/>
                <w:lang w:val="lt-LT"/>
              </w:rPr>
            </w:pPr>
          </w:p>
        </w:tc>
      </w:tr>
      <w:tr w:rsidR="0074234D" w:rsidRPr="004453A7" w14:paraId="50D513E4" w14:textId="77777777" w:rsidTr="00517575">
        <w:tc>
          <w:tcPr>
            <w:tcW w:w="9060" w:type="dxa"/>
            <w:gridSpan w:val="2"/>
          </w:tcPr>
          <w:p w14:paraId="6C587EB5" w14:textId="77777777" w:rsidR="0074234D" w:rsidRPr="004453A7" w:rsidRDefault="0074234D" w:rsidP="00D32725">
            <w:pPr>
              <w:pStyle w:val="Default"/>
              <w:jc w:val="center"/>
              <w:rPr>
                <w:sz w:val="22"/>
                <w:szCs w:val="22"/>
                <w:lang w:val="lt-LT"/>
              </w:rPr>
            </w:pPr>
            <w:r w:rsidRPr="004453A7">
              <w:rPr>
                <w:b/>
                <w:bCs/>
                <w:sz w:val="22"/>
                <w:szCs w:val="22"/>
                <w:lang w:val="lt-LT"/>
              </w:rPr>
              <w:t xml:space="preserve">4) </w:t>
            </w:r>
            <w:r w:rsidR="00C50F35" w:rsidRPr="004453A7">
              <w:rPr>
                <w:b/>
                <w:bCs/>
                <w:sz w:val="22"/>
                <w:szCs w:val="22"/>
                <w:lang w:val="lt-LT"/>
              </w:rPr>
              <w:t>Tirpalo švirkštimas</w:t>
            </w:r>
            <w:r w:rsidRPr="004453A7">
              <w:rPr>
                <w:b/>
                <w:bCs/>
                <w:sz w:val="22"/>
                <w:szCs w:val="22"/>
                <w:lang w:val="lt-LT"/>
              </w:rPr>
              <w:t xml:space="preserve"> </w:t>
            </w:r>
          </w:p>
          <w:p w14:paraId="1A01C451" w14:textId="77777777" w:rsidR="0074234D" w:rsidRPr="004453A7" w:rsidRDefault="0074234D" w:rsidP="00D32725">
            <w:pPr>
              <w:pStyle w:val="Default"/>
              <w:jc w:val="center"/>
              <w:rPr>
                <w:b/>
                <w:bCs/>
                <w:sz w:val="22"/>
                <w:szCs w:val="22"/>
                <w:lang w:val="lt-LT"/>
              </w:rPr>
            </w:pPr>
          </w:p>
        </w:tc>
      </w:tr>
      <w:tr w:rsidR="0074234D" w:rsidRPr="00363F39" w14:paraId="1939DB57" w14:textId="77777777" w:rsidTr="00517575">
        <w:trPr>
          <w:gridAfter w:val="1"/>
          <w:wAfter w:w="43" w:type="dxa"/>
        </w:trPr>
        <w:tc>
          <w:tcPr>
            <w:tcW w:w="9017" w:type="dxa"/>
          </w:tcPr>
          <w:p w14:paraId="19690213" w14:textId="2816AEC9" w:rsidR="0074234D" w:rsidRPr="004453A7" w:rsidRDefault="00194925" w:rsidP="00D32725">
            <w:pPr>
              <w:pStyle w:val="Default"/>
              <w:jc w:val="center"/>
              <w:rPr>
                <w:lang w:val="lt-LT"/>
              </w:rPr>
            </w:pPr>
            <w:r>
              <w:rPr>
                <w:b/>
                <w:bCs/>
                <w:noProof/>
                <w:sz w:val="22"/>
                <w:szCs w:val="22"/>
                <w:lang w:val="lt-LT" w:eastAsia="lt-LT"/>
              </w:rPr>
              <w:drawing>
                <wp:inline distT="0" distB="0" distL="0" distR="0" wp14:anchorId="66B69DE4" wp14:editId="1D141FDA">
                  <wp:extent cx="1695450" cy="1895475"/>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5450" cy="1895475"/>
                          </a:xfrm>
                          <a:prstGeom prst="rect">
                            <a:avLst/>
                          </a:prstGeom>
                          <a:noFill/>
                          <a:ln>
                            <a:noFill/>
                          </a:ln>
                        </pic:spPr>
                      </pic:pic>
                    </a:graphicData>
                  </a:graphic>
                </wp:inline>
              </w:drawing>
            </w:r>
          </w:p>
          <w:p w14:paraId="6C814A1F" w14:textId="77777777" w:rsidR="0074234D" w:rsidRPr="004453A7" w:rsidRDefault="0074234D" w:rsidP="00D32725">
            <w:pPr>
              <w:pStyle w:val="Default"/>
              <w:rPr>
                <w:sz w:val="22"/>
                <w:szCs w:val="22"/>
                <w:lang w:val="lt-LT"/>
              </w:rPr>
            </w:pPr>
            <w:r w:rsidRPr="004453A7">
              <w:rPr>
                <w:sz w:val="22"/>
                <w:szCs w:val="22"/>
                <w:lang w:val="lt-LT"/>
              </w:rPr>
              <w:t xml:space="preserve">• </w:t>
            </w:r>
            <w:r w:rsidR="00C50F35" w:rsidRPr="004453A7">
              <w:rPr>
                <w:sz w:val="22"/>
                <w:szCs w:val="22"/>
                <w:lang w:val="lt-LT"/>
              </w:rPr>
              <w:t>Laikykite švirkštą viena ranka, suėmę dviem pirštais, nykštį laikykite ant stūmoklio pagrindo</w:t>
            </w:r>
            <w:r w:rsidRPr="004453A7">
              <w:rPr>
                <w:sz w:val="22"/>
                <w:szCs w:val="22"/>
                <w:lang w:val="lt-LT"/>
              </w:rPr>
              <w:t xml:space="preserve">. </w:t>
            </w:r>
          </w:p>
          <w:p w14:paraId="37058272" w14:textId="77777777" w:rsidR="0074234D" w:rsidRPr="004453A7" w:rsidRDefault="0074234D" w:rsidP="00D32725">
            <w:pPr>
              <w:pStyle w:val="Default"/>
              <w:rPr>
                <w:sz w:val="22"/>
                <w:szCs w:val="22"/>
                <w:lang w:val="lt-LT"/>
              </w:rPr>
            </w:pPr>
          </w:p>
          <w:p w14:paraId="696A1A91"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9F42E6" w:rsidRPr="004453A7">
              <w:rPr>
                <w:sz w:val="22"/>
                <w:szCs w:val="22"/>
                <w:lang w:val="lt-LT"/>
              </w:rPr>
              <w:t>Įsitikinkite, kad švirkšte nėra oro burbuliukų, stumdami stūmoklį, kol ant adatos galo pasirodys pirmasis lašas.</w:t>
            </w:r>
            <w:r w:rsidRPr="004453A7">
              <w:rPr>
                <w:sz w:val="22"/>
                <w:szCs w:val="22"/>
                <w:lang w:val="lt-LT"/>
              </w:rPr>
              <w:t xml:space="preserve"> </w:t>
            </w:r>
          </w:p>
          <w:p w14:paraId="268A0DA3" w14:textId="77777777" w:rsidR="0074234D" w:rsidRPr="004453A7" w:rsidRDefault="0074234D" w:rsidP="00D32725">
            <w:pPr>
              <w:pStyle w:val="Default"/>
              <w:rPr>
                <w:b/>
                <w:bCs/>
                <w:sz w:val="22"/>
                <w:szCs w:val="22"/>
                <w:lang w:val="lt-LT"/>
              </w:rPr>
            </w:pPr>
          </w:p>
        </w:tc>
      </w:tr>
      <w:tr w:rsidR="0074234D" w:rsidRPr="00363F39" w14:paraId="2EEED3AF" w14:textId="77777777" w:rsidTr="00517575">
        <w:trPr>
          <w:gridAfter w:val="1"/>
          <w:wAfter w:w="43" w:type="dxa"/>
        </w:trPr>
        <w:tc>
          <w:tcPr>
            <w:tcW w:w="9017" w:type="dxa"/>
          </w:tcPr>
          <w:p w14:paraId="5BA06A20" w14:textId="77777777" w:rsidR="0074234D" w:rsidRPr="004453A7" w:rsidRDefault="0074234D" w:rsidP="00D32725">
            <w:pPr>
              <w:pStyle w:val="Default"/>
              <w:jc w:val="center"/>
              <w:rPr>
                <w:b/>
                <w:bCs/>
                <w:sz w:val="22"/>
                <w:szCs w:val="22"/>
                <w:lang w:val="lt-LT"/>
              </w:rPr>
            </w:pPr>
          </w:p>
          <w:p w14:paraId="34143F71" w14:textId="44302197" w:rsidR="0074234D" w:rsidRPr="004453A7" w:rsidRDefault="00194925" w:rsidP="00D32725">
            <w:pPr>
              <w:pStyle w:val="Default"/>
              <w:jc w:val="center"/>
              <w:rPr>
                <w:lang w:val="lt-LT"/>
              </w:rPr>
            </w:pPr>
            <w:r>
              <w:rPr>
                <w:noProof/>
                <w:lang w:val="lt-LT" w:eastAsia="lt-LT"/>
              </w:rPr>
              <w:drawing>
                <wp:inline distT="0" distB="0" distL="0" distR="0" wp14:anchorId="06D41277" wp14:editId="042CC28C">
                  <wp:extent cx="2047875" cy="164782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7875" cy="1647825"/>
                          </a:xfrm>
                          <a:prstGeom prst="rect">
                            <a:avLst/>
                          </a:prstGeom>
                          <a:noFill/>
                          <a:ln>
                            <a:noFill/>
                          </a:ln>
                        </pic:spPr>
                      </pic:pic>
                    </a:graphicData>
                  </a:graphic>
                </wp:inline>
              </w:drawing>
            </w:r>
          </w:p>
          <w:p w14:paraId="07D2A886" w14:textId="77777777" w:rsidR="0074234D" w:rsidRPr="004453A7" w:rsidRDefault="0074234D" w:rsidP="00D32725">
            <w:pPr>
              <w:pStyle w:val="Default"/>
              <w:rPr>
                <w:sz w:val="22"/>
                <w:szCs w:val="22"/>
                <w:lang w:val="lt-LT"/>
              </w:rPr>
            </w:pPr>
            <w:r w:rsidRPr="004453A7">
              <w:rPr>
                <w:sz w:val="22"/>
                <w:szCs w:val="22"/>
                <w:lang w:val="lt-LT"/>
              </w:rPr>
              <w:t xml:space="preserve">• </w:t>
            </w:r>
            <w:r w:rsidR="009F42E6" w:rsidRPr="004453A7">
              <w:rPr>
                <w:sz w:val="22"/>
                <w:szCs w:val="22"/>
                <w:lang w:val="lt-LT"/>
              </w:rPr>
              <w:t xml:space="preserve">Laikykite švirkštą </w:t>
            </w:r>
            <w:r w:rsidRPr="004453A7">
              <w:rPr>
                <w:sz w:val="22"/>
                <w:szCs w:val="22"/>
                <w:lang w:val="lt-LT"/>
              </w:rPr>
              <w:t xml:space="preserve">45-90 </w:t>
            </w:r>
            <w:r w:rsidR="009F42E6" w:rsidRPr="004453A7">
              <w:rPr>
                <w:sz w:val="22"/>
                <w:szCs w:val="22"/>
                <w:lang w:val="lt-LT"/>
              </w:rPr>
              <w:t>laipsnių kampu, adatą pasukę odos paviršiaus kryptimi.</w:t>
            </w:r>
          </w:p>
          <w:p w14:paraId="3797C152" w14:textId="77777777" w:rsidR="0074234D" w:rsidRPr="004453A7" w:rsidRDefault="0074234D" w:rsidP="00D32725">
            <w:pPr>
              <w:pStyle w:val="Default"/>
              <w:rPr>
                <w:sz w:val="22"/>
                <w:szCs w:val="22"/>
                <w:lang w:val="lt-LT"/>
              </w:rPr>
            </w:pPr>
          </w:p>
          <w:p w14:paraId="53E039CF"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9F42E6" w:rsidRPr="004453A7">
              <w:rPr>
                <w:lang w:val="lt-LT"/>
              </w:rPr>
              <w:t>Laikydami švirkštą vienoje rankoje, kitos rankos nykščiu ir pirštais švelniai suimkite odą anksčiau dezinfekuotoje injekcijos vietoje.</w:t>
            </w:r>
          </w:p>
          <w:p w14:paraId="5C169DED" w14:textId="77777777" w:rsidR="0074234D" w:rsidRPr="004453A7" w:rsidRDefault="0074234D" w:rsidP="00D32725">
            <w:pPr>
              <w:pStyle w:val="Default"/>
              <w:rPr>
                <w:sz w:val="22"/>
                <w:szCs w:val="22"/>
                <w:lang w:val="lt-LT"/>
              </w:rPr>
            </w:pPr>
          </w:p>
          <w:p w14:paraId="6AB5843B" w14:textId="77777777" w:rsidR="0074234D" w:rsidRPr="004453A7" w:rsidRDefault="0074234D" w:rsidP="00D32725">
            <w:pPr>
              <w:pStyle w:val="Default"/>
              <w:rPr>
                <w:sz w:val="22"/>
                <w:szCs w:val="22"/>
                <w:lang w:val="lt-LT"/>
              </w:rPr>
            </w:pPr>
            <w:r w:rsidRPr="004453A7">
              <w:rPr>
                <w:sz w:val="22"/>
                <w:szCs w:val="22"/>
                <w:lang w:val="lt-LT"/>
              </w:rPr>
              <w:t xml:space="preserve">• </w:t>
            </w:r>
            <w:r w:rsidR="009F42E6" w:rsidRPr="004453A7">
              <w:rPr>
                <w:lang w:val="lt-LT"/>
              </w:rPr>
              <w:t>Laikykite odos raukšlę, priartinkite švirkštą prie odos ir greitai durkite adatą į odos raukšlę.</w:t>
            </w:r>
          </w:p>
          <w:p w14:paraId="509EC44B" w14:textId="77777777" w:rsidR="0074234D" w:rsidRPr="004453A7" w:rsidRDefault="0074234D" w:rsidP="00D32725">
            <w:pPr>
              <w:pStyle w:val="Default"/>
              <w:rPr>
                <w:sz w:val="22"/>
                <w:szCs w:val="22"/>
                <w:lang w:val="lt-LT"/>
              </w:rPr>
            </w:pPr>
          </w:p>
          <w:p w14:paraId="75DD4A8F"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9F42E6" w:rsidRPr="004453A7">
              <w:rPr>
                <w:lang w:val="lt-LT"/>
              </w:rPr>
              <w:t>Lėtai stumkite švirkšto stūmoklį, ranką laikykite vienoje vietoje, kol visas tirpalas bus sušvirkštas į odą ir švirkšte nebeliks jokio skysčio</w:t>
            </w:r>
            <w:r w:rsidRPr="004453A7">
              <w:rPr>
                <w:sz w:val="22"/>
                <w:szCs w:val="22"/>
                <w:lang w:val="lt-LT"/>
              </w:rPr>
              <w:t xml:space="preserve">. </w:t>
            </w:r>
          </w:p>
          <w:p w14:paraId="45823D92" w14:textId="77777777" w:rsidR="0074234D" w:rsidRPr="004453A7" w:rsidRDefault="0074234D" w:rsidP="00D32725">
            <w:pPr>
              <w:pStyle w:val="Default"/>
              <w:rPr>
                <w:sz w:val="22"/>
                <w:szCs w:val="22"/>
                <w:lang w:val="lt-LT"/>
              </w:rPr>
            </w:pPr>
          </w:p>
          <w:p w14:paraId="3080D9FD" w14:textId="77777777" w:rsidR="0074234D" w:rsidRPr="004453A7" w:rsidRDefault="0074234D" w:rsidP="00D32725">
            <w:pPr>
              <w:pStyle w:val="Default"/>
              <w:rPr>
                <w:sz w:val="22"/>
                <w:szCs w:val="22"/>
                <w:lang w:val="lt-LT"/>
              </w:rPr>
            </w:pPr>
            <w:r w:rsidRPr="004453A7">
              <w:rPr>
                <w:sz w:val="22"/>
                <w:szCs w:val="22"/>
                <w:lang w:val="lt-LT"/>
              </w:rPr>
              <w:t xml:space="preserve">• </w:t>
            </w:r>
            <w:r w:rsidR="009F42E6" w:rsidRPr="004453A7">
              <w:rPr>
                <w:lang w:val="lt-LT"/>
              </w:rPr>
              <w:t>Stumkite stūmoklį lėtai, kad tai truktų apie 30 sekundžių.</w:t>
            </w:r>
            <w:r w:rsidRPr="004453A7">
              <w:rPr>
                <w:sz w:val="22"/>
                <w:szCs w:val="22"/>
                <w:lang w:val="lt-LT"/>
              </w:rPr>
              <w:t xml:space="preserve"> </w:t>
            </w:r>
          </w:p>
          <w:p w14:paraId="5A37917B" w14:textId="77777777" w:rsidR="0074234D" w:rsidRPr="004453A7" w:rsidRDefault="0074234D" w:rsidP="00D32725">
            <w:pPr>
              <w:pStyle w:val="Default"/>
              <w:rPr>
                <w:sz w:val="22"/>
                <w:szCs w:val="22"/>
                <w:lang w:val="lt-LT"/>
              </w:rPr>
            </w:pPr>
          </w:p>
          <w:p w14:paraId="20D4FBF8" w14:textId="77777777" w:rsidR="0074234D" w:rsidRPr="004453A7" w:rsidRDefault="0074234D" w:rsidP="00D32725">
            <w:pPr>
              <w:pStyle w:val="Default"/>
              <w:rPr>
                <w:sz w:val="22"/>
                <w:szCs w:val="22"/>
                <w:lang w:val="lt-LT"/>
              </w:rPr>
            </w:pPr>
            <w:r w:rsidRPr="004453A7">
              <w:rPr>
                <w:sz w:val="22"/>
                <w:szCs w:val="22"/>
                <w:lang w:val="lt-LT"/>
              </w:rPr>
              <w:t xml:space="preserve">• </w:t>
            </w:r>
            <w:r w:rsidR="009F42E6" w:rsidRPr="004453A7">
              <w:rPr>
                <w:lang w:val="lt-LT"/>
              </w:rPr>
              <w:t>Atleiskite odos raukšlę ir švelniai ištraukite adatą.</w:t>
            </w:r>
            <w:r w:rsidRPr="004453A7">
              <w:rPr>
                <w:sz w:val="22"/>
                <w:szCs w:val="22"/>
                <w:lang w:val="lt-LT"/>
              </w:rPr>
              <w:t xml:space="preserve"> </w:t>
            </w:r>
          </w:p>
          <w:p w14:paraId="25D31C3B" w14:textId="77777777" w:rsidR="0074234D" w:rsidRPr="004453A7" w:rsidRDefault="0074234D" w:rsidP="00D32725">
            <w:pPr>
              <w:pStyle w:val="Default"/>
              <w:jc w:val="center"/>
              <w:rPr>
                <w:b/>
                <w:bCs/>
                <w:sz w:val="22"/>
                <w:szCs w:val="22"/>
                <w:lang w:val="lt-LT"/>
              </w:rPr>
            </w:pPr>
          </w:p>
        </w:tc>
      </w:tr>
      <w:tr w:rsidR="0074234D" w:rsidRPr="00363F39" w14:paraId="5AC204D4" w14:textId="77777777" w:rsidTr="00517575">
        <w:trPr>
          <w:gridAfter w:val="1"/>
          <w:wAfter w:w="43" w:type="dxa"/>
        </w:trPr>
        <w:tc>
          <w:tcPr>
            <w:tcW w:w="9017" w:type="dxa"/>
          </w:tcPr>
          <w:p w14:paraId="1B3BA8A8" w14:textId="77777777" w:rsidR="0074234D" w:rsidRPr="004453A7" w:rsidRDefault="009F42E6" w:rsidP="00D32725">
            <w:pPr>
              <w:pStyle w:val="Default"/>
              <w:jc w:val="center"/>
              <w:rPr>
                <w:b/>
                <w:bCs/>
                <w:sz w:val="22"/>
                <w:szCs w:val="22"/>
                <w:lang w:val="lt-LT"/>
              </w:rPr>
            </w:pPr>
            <w:r w:rsidRPr="004453A7">
              <w:rPr>
                <w:b/>
                <w:lang w:val="lt-LT"/>
              </w:rPr>
              <w:t>5) Švirkšto, adatos ir adatos dangtelio atliekų tvarkymas</w:t>
            </w:r>
          </w:p>
        </w:tc>
      </w:tr>
      <w:tr w:rsidR="0074234D" w:rsidRPr="00363F39" w14:paraId="3AFA77FE" w14:textId="77777777" w:rsidTr="00517575">
        <w:trPr>
          <w:gridAfter w:val="1"/>
          <w:wAfter w:w="43" w:type="dxa"/>
        </w:trPr>
        <w:tc>
          <w:tcPr>
            <w:tcW w:w="9017" w:type="dxa"/>
          </w:tcPr>
          <w:p w14:paraId="60402403" w14:textId="77777777" w:rsidR="0074234D" w:rsidRPr="004453A7" w:rsidRDefault="0074234D" w:rsidP="00D32725">
            <w:pPr>
              <w:pStyle w:val="Default"/>
              <w:jc w:val="center"/>
              <w:rPr>
                <w:b/>
                <w:bCs/>
                <w:sz w:val="22"/>
                <w:szCs w:val="22"/>
                <w:lang w:val="lt-LT"/>
              </w:rPr>
            </w:pPr>
          </w:p>
          <w:p w14:paraId="17B26F9E" w14:textId="745EE510" w:rsidR="0074234D" w:rsidRPr="004453A7" w:rsidRDefault="00194925" w:rsidP="00D32725">
            <w:pPr>
              <w:pStyle w:val="Default"/>
              <w:jc w:val="center"/>
              <w:rPr>
                <w:lang w:val="lt-LT"/>
              </w:rPr>
            </w:pPr>
            <w:r>
              <w:rPr>
                <w:noProof/>
                <w:lang w:val="lt-LT" w:eastAsia="lt-LT"/>
              </w:rPr>
              <w:drawing>
                <wp:inline distT="0" distB="0" distL="0" distR="0" wp14:anchorId="3E4C4F97" wp14:editId="7B2FD081">
                  <wp:extent cx="1581150" cy="158115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3370C2C9" w14:textId="77777777" w:rsidR="0074234D" w:rsidRPr="004453A7" w:rsidRDefault="0074234D" w:rsidP="00D32725">
            <w:pPr>
              <w:pStyle w:val="Default"/>
              <w:ind w:left="142" w:hanging="142"/>
              <w:rPr>
                <w:sz w:val="22"/>
                <w:szCs w:val="22"/>
                <w:lang w:val="lt-LT"/>
              </w:rPr>
            </w:pPr>
            <w:r w:rsidRPr="004453A7">
              <w:rPr>
                <w:sz w:val="22"/>
                <w:szCs w:val="22"/>
                <w:lang w:val="lt-LT"/>
              </w:rPr>
              <w:t xml:space="preserve">• </w:t>
            </w:r>
            <w:r w:rsidR="009F42E6" w:rsidRPr="004453A7">
              <w:rPr>
                <w:lang w:val="lt-LT"/>
              </w:rPr>
              <w:t>Švirkštą, adatą ir adatos dangtelį išmeskite į aštrių atliekų talpyklą, kuri skirta atliekoms, galinčioms sužeisti, jei nebus tinkamai sutvarkytos, kitus asmenis</w:t>
            </w:r>
            <w:r w:rsidR="007B685A">
              <w:rPr>
                <w:lang w:val="lt-LT"/>
              </w:rPr>
              <w:t>.</w:t>
            </w:r>
          </w:p>
          <w:p w14:paraId="07ED7051" w14:textId="77777777" w:rsidR="0074234D" w:rsidRPr="004453A7" w:rsidRDefault="0074234D" w:rsidP="00D32725">
            <w:pPr>
              <w:pStyle w:val="Default"/>
              <w:rPr>
                <w:b/>
                <w:bCs/>
                <w:sz w:val="22"/>
                <w:szCs w:val="22"/>
                <w:lang w:val="lt-LT"/>
              </w:rPr>
            </w:pPr>
          </w:p>
        </w:tc>
      </w:tr>
    </w:tbl>
    <w:p w14:paraId="35DA1754" w14:textId="77777777" w:rsidR="0074234D" w:rsidRPr="004453A7" w:rsidRDefault="0074234D" w:rsidP="0074234D">
      <w:pPr>
        <w:numPr>
          <w:ilvl w:val="12"/>
          <w:numId w:val="0"/>
        </w:numPr>
        <w:tabs>
          <w:tab w:val="clear" w:pos="567"/>
        </w:tabs>
        <w:spacing w:line="240" w:lineRule="auto"/>
        <w:ind w:right="-2"/>
        <w:jc w:val="center"/>
        <w:outlineLvl w:val="0"/>
        <w:rPr>
          <w:b/>
          <w:lang w:val="lt-LT"/>
        </w:rPr>
      </w:pPr>
    </w:p>
    <w:p w14:paraId="0ABDB302" w14:textId="77777777" w:rsidR="0074234D" w:rsidRPr="004453A7" w:rsidRDefault="0074234D" w:rsidP="0074234D">
      <w:pPr>
        <w:numPr>
          <w:ilvl w:val="12"/>
          <w:numId w:val="0"/>
        </w:numPr>
        <w:tabs>
          <w:tab w:val="clear" w:pos="567"/>
        </w:tabs>
        <w:spacing w:line="240" w:lineRule="auto"/>
        <w:ind w:right="-2"/>
        <w:rPr>
          <w:lang w:val="lt-LT"/>
        </w:rPr>
      </w:pPr>
    </w:p>
    <w:p w14:paraId="2A88FDC3" w14:textId="77777777" w:rsidR="00B13893" w:rsidRPr="004453A7" w:rsidRDefault="00B13893" w:rsidP="00B13893">
      <w:pPr>
        <w:pStyle w:val="Antrat3"/>
        <w:spacing w:before="0" w:after="0" w:line="240" w:lineRule="auto"/>
        <w:rPr>
          <w:rFonts w:ascii="Times New Roman" w:hAnsi="Times New Roman"/>
          <w:sz w:val="22"/>
          <w:lang w:val="lt-LT"/>
        </w:rPr>
      </w:pPr>
      <w:r w:rsidRPr="00151D71">
        <w:rPr>
          <w:rFonts w:ascii="Times New Roman" w:hAnsi="Times New Roman"/>
          <w:sz w:val="22"/>
          <w:lang w:val="lt-LT"/>
        </w:rPr>
        <w:t>4.</w:t>
      </w:r>
      <w:r w:rsidRPr="00151D71">
        <w:rPr>
          <w:rFonts w:ascii="Times New Roman" w:hAnsi="Times New Roman"/>
          <w:sz w:val="22"/>
          <w:lang w:val="lt-LT"/>
        </w:rPr>
        <w:tab/>
        <w:t>Galimas šalutinis poveikis</w:t>
      </w:r>
    </w:p>
    <w:p w14:paraId="647BF7DB" w14:textId="77777777" w:rsidR="0074234D" w:rsidRPr="004453A7" w:rsidRDefault="0074234D" w:rsidP="0074234D">
      <w:pPr>
        <w:numPr>
          <w:ilvl w:val="12"/>
          <w:numId w:val="0"/>
        </w:numPr>
        <w:tabs>
          <w:tab w:val="clear" w:pos="567"/>
        </w:tabs>
        <w:spacing w:line="240" w:lineRule="auto"/>
        <w:ind w:right="-2"/>
        <w:rPr>
          <w:lang w:val="lt-LT"/>
        </w:rPr>
      </w:pPr>
    </w:p>
    <w:p w14:paraId="02E07A7C" w14:textId="77777777" w:rsidR="0074234D" w:rsidRPr="004453A7" w:rsidRDefault="009F42E6" w:rsidP="0074234D">
      <w:pPr>
        <w:numPr>
          <w:ilvl w:val="12"/>
          <w:numId w:val="0"/>
        </w:numPr>
        <w:tabs>
          <w:tab w:val="clear" w:pos="567"/>
        </w:tabs>
        <w:spacing w:line="240" w:lineRule="auto"/>
        <w:ind w:right="-2"/>
        <w:rPr>
          <w:lang w:val="lt-LT"/>
        </w:rPr>
      </w:pPr>
      <w:r w:rsidRPr="004453A7">
        <w:rPr>
          <w:lang w:val="lt-LT"/>
        </w:rPr>
        <w:t>Šis vaistas, kaip ir visi kiti, gali sukelti šalutinį poveikį, nors jis pasireiškia ne visiems žmonėms. Beveik visiems pacientams, kuriems skiriamas Icatibant Teva, būna injekcijos vietos reakcija (pvz., odos sudirgimas, patinimas, skausmas, niež</w:t>
      </w:r>
      <w:r w:rsidR="00193794">
        <w:rPr>
          <w:lang w:val="lt-LT"/>
        </w:rPr>
        <w:t>ėjimas</w:t>
      </w:r>
      <w:r w:rsidRPr="004453A7">
        <w:rPr>
          <w:lang w:val="lt-LT"/>
        </w:rPr>
        <w:t>, odos paraudimas ir deginimo pojūtis). Šis poveikis nėra stiprus ir dažniausiai greitai praeina be papildomo gydymo.</w:t>
      </w:r>
    </w:p>
    <w:p w14:paraId="78C78610" w14:textId="77777777" w:rsidR="009F42E6" w:rsidRPr="004453A7" w:rsidRDefault="009F42E6" w:rsidP="0074234D">
      <w:pPr>
        <w:numPr>
          <w:ilvl w:val="12"/>
          <w:numId w:val="0"/>
        </w:numPr>
        <w:tabs>
          <w:tab w:val="clear" w:pos="567"/>
        </w:tabs>
        <w:spacing w:line="240" w:lineRule="auto"/>
        <w:ind w:right="-2"/>
        <w:rPr>
          <w:lang w:val="lt-LT"/>
        </w:rPr>
      </w:pPr>
    </w:p>
    <w:p w14:paraId="196F1BAA" w14:textId="6EC98C4B" w:rsidR="009F42E6" w:rsidRPr="004453A7" w:rsidRDefault="00AD3EB8" w:rsidP="0074234D">
      <w:pPr>
        <w:tabs>
          <w:tab w:val="clear" w:pos="567"/>
        </w:tabs>
        <w:autoSpaceDE w:val="0"/>
        <w:autoSpaceDN w:val="0"/>
        <w:adjustRightInd w:val="0"/>
        <w:spacing w:line="240" w:lineRule="auto"/>
        <w:rPr>
          <w:b/>
          <w:lang w:val="lt-LT"/>
        </w:rPr>
      </w:pPr>
      <w:r w:rsidRPr="00AD3EB8">
        <w:rPr>
          <w:b/>
          <w:lang w:val="lt-LT"/>
        </w:rPr>
        <w:t>Labai dažni šalutinio poveikio reiškiniai (gali pasireikšti ne rečiau kaip 1 iš 10 asmenų):</w:t>
      </w:r>
    </w:p>
    <w:p w14:paraId="5684F8F0" w14:textId="77777777" w:rsidR="009F42E6" w:rsidRPr="004453A7" w:rsidRDefault="009F42E6" w:rsidP="0074234D">
      <w:pPr>
        <w:tabs>
          <w:tab w:val="clear" w:pos="567"/>
        </w:tabs>
        <w:autoSpaceDE w:val="0"/>
        <w:autoSpaceDN w:val="0"/>
        <w:adjustRightInd w:val="0"/>
        <w:spacing w:line="240" w:lineRule="auto"/>
        <w:rPr>
          <w:lang w:val="lt-LT"/>
        </w:rPr>
      </w:pPr>
      <w:r w:rsidRPr="004453A7">
        <w:rPr>
          <w:lang w:val="lt-LT"/>
        </w:rPr>
        <w:t xml:space="preserve">Papildomos reakcijos injekcijos vietoje (spaudimo pojūtis, mėlynės, susilpnėję jutimai ir (arba) tirpulys, iškilus niežinis </w:t>
      </w:r>
      <w:r w:rsidR="00193794">
        <w:rPr>
          <w:lang w:val="lt-LT"/>
        </w:rPr>
        <w:t>iš</w:t>
      </w:r>
      <w:r w:rsidRPr="004453A7">
        <w:rPr>
          <w:lang w:val="lt-LT"/>
        </w:rPr>
        <w:t xml:space="preserve">bėrimas ir šilumos pojūtis). </w:t>
      </w:r>
    </w:p>
    <w:p w14:paraId="464EE129" w14:textId="77777777" w:rsidR="009F42E6" w:rsidRPr="004453A7" w:rsidRDefault="009F42E6" w:rsidP="0074234D">
      <w:pPr>
        <w:tabs>
          <w:tab w:val="clear" w:pos="567"/>
        </w:tabs>
        <w:autoSpaceDE w:val="0"/>
        <w:autoSpaceDN w:val="0"/>
        <w:adjustRightInd w:val="0"/>
        <w:spacing w:line="240" w:lineRule="auto"/>
        <w:rPr>
          <w:lang w:val="lt-LT"/>
        </w:rPr>
      </w:pPr>
    </w:p>
    <w:p w14:paraId="5B20B0CB" w14:textId="451806CB" w:rsidR="00B13893" w:rsidRPr="004453A7" w:rsidRDefault="00AD3EB8" w:rsidP="0074234D">
      <w:pPr>
        <w:tabs>
          <w:tab w:val="clear" w:pos="567"/>
        </w:tabs>
        <w:autoSpaceDE w:val="0"/>
        <w:autoSpaceDN w:val="0"/>
        <w:adjustRightInd w:val="0"/>
        <w:spacing w:line="240" w:lineRule="auto"/>
        <w:rPr>
          <w:b/>
          <w:lang w:val="lt-LT"/>
        </w:rPr>
      </w:pPr>
      <w:r w:rsidRPr="00AD3EB8">
        <w:rPr>
          <w:b/>
          <w:lang w:val="lt-LT"/>
        </w:rPr>
        <w:t>Dažni šalutinio poveikio reiškiniai (gali pasireikšti rečiau kaip 1 iš 10 asmenų):</w:t>
      </w:r>
    </w:p>
    <w:p w14:paraId="102B3FDB"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Pykinimas</w:t>
      </w:r>
      <w:r w:rsidR="00193794">
        <w:rPr>
          <w:lang w:val="lt-LT"/>
        </w:rPr>
        <w:t>;</w:t>
      </w:r>
      <w:r w:rsidRPr="004453A7">
        <w:rPr>
          <w:lang w:val="lt-LT"/>
        </w:rPr>
        <w:t xml:space="preserve"> </w:t>
      </w:r>
    </w:p>
    <w:p w14:paraId="663D5B72"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Galvos skausmas</w:t>
      </w:r>
      <w:r w:rsidR="00193794">
        <w:rPr>
          <w:lang w:val="lt-LT"/>
        </w:rPr>
        <w:t>;</w:t>
      </w:r>
      <w:r w:rsidRPr="004453A7">
        <w:rPr>
          <w:lang w:val="lt-LT"/>
        </w:rPr>
        <w:t xml:space="preserve"> </w:t>
      </w:r>
    </w:p>
    <w:p w14:paraId="5AEA08AB"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Galvos svaigimas</w:t>
      </w:r>
      <w:r w:rsidR="00193794">
        <w:rPr>
          <w:lang w:val="lt-LT"/>
        </w:rPr>
        <w:t>;</w:t>
      </w:r>
      <w:r w:rsidRPr="004453A7">
        <w:rPr>
          <w:lang w:val="lt-LT"/>
        </w:rPr>
        <w:t xml:space="preserve"> </w:t>
      </w:r>
    </w:p>
    <w:p w14:paraId="5F5B634F"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Karščiavimas</w:t>
      </w:r>
      <w:r w:rsidR="00193794">
        <w:rPr>
          <w:lang w:val="lt-LT"/>
        </w:rPr>
        <w:t>;</w:t>
      </w:r>
      <w:r w:rsidRPr="004453A7">
        <w:rPr>
          <w:lang w:val="lt-LT"/>
        </w:rPr>
        <w:t xml:space="preserve"> </w:t>
      </w:r>
    </w:p>
    <w:p w14:paraId="4FFDA9B6"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Niežėjimas</w:t>
      </w:r>
      <w:r w:rsidR="00193794">
        <w:rPr>
          <w:lang w:val="lt-LT"/>
        </w:rPr>
        <w:t>;</w:t>
      </w:r>
      <w:r w:rsidRPr="004453A7">
        <w:rPr>
          <w:lang w:val="lt-LT"/>
        </w:rPr>
        <w:t xml:space="preserve"> </w:t>
      </w:r>
    </w:p>
    <w:p w14:paraId="5164870E"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Išbėrimas</w:t>
      </w:r>
      <w:r w:rsidR="00193794">
        <w:rPr>
          <w:lang w:val="lt-LT"/>
        </w:rPr>
        <w:t>;</w:t>
      </w:r>
      <w:r w:rsidRPr="004453A7">
        <w:rPr>
          <w:lang w:val="lt-LT"/>
        </w:rPr>
        <w:t xml:space="preserve"> </w:t>
      </w:r>
    </w:p>
    <w:p w14:paraId="189DF90F"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Odos paraudimas</w:t>
      </w:r>
      <w:r w:rsidR="00193794">
        <w:rPr>
          <w:lang w:val="lt-LT"/>
        </w:rPr>
        <w:t>;</w:t>
      </w:r>
      <w:r w:rsidRPr="004453A7">
        <w:rPr>
          <w:lang w:val="lt-LT"/>
        </w:rPr>
        <w:t xml:space="preserve"> </w:t>
      </w:r>
    </w:p>
    <w:p w14:paraId="7F68672C"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Pakitę kepenų funkcijos tyrimo rodmenys</w:t>
      </w:r>
      <w:r w:rsidR="00193794">
        <w:rPr>
          <w:lang w:val="lt-LT"/>
        </w:rPr>
        <w:t>.</w:t>
      </w:r>
      <w:r w:rsidRPr="004453A7">
        <w:rPr>
          <w:lang w:val="lt-LT"/>
        </w:rPr>
        <w:t xml:space="preserve"> </w:t>
      </w:r>
    </w:p>
    <w:p w14:paraId="634B0210" w14:textId="77777777" w:rsidR="00B13893" w:rsidRPr="004453A7" w:rsidRDefault="00B13893" w:rsidP="0074234D">
      <w:pPr>
        <w:tabs>
          <w:tab w:val="clear" w:pos="567"/>
        </w:tabs>
        <w:autoSpaceDE w:val="0"/>
        <w:autoSpaceDN w:val="0"/>
        <w:adjustRightInd w:val="0"/>
        <w:spacing w:line="240" w:lineRule="auto"/>
        <w:rPr>
          <w:lang w:val="lt-LT"/>
        </w:rPr>
      </w:pPr>
    </w:p>
    <w:p w14:paraId="4F9AFC0C" w14:textId="45C962CD" w:rsidR="00B13893" w:rsidRPr="004453A7" w:rsidRDefault="00AD3EB8" w:rsidP="0074234D">
      <w:pPr>
        <w:tabs>
          <w:tab w:val="clear" w:pos="567"/>
        </w:tabs>
        <w:autoSpaceDE w:val="0"/>
        <w:autoSpaceDN w:val="0"/>
        <w:adjustRightInd w:val="0"/>
        <w:spacing w:line="240" w:lineRule="auto"/>
        <w:rPr>
          <w:b/>
          <w:lang w:val="lt-LT"/>
        </w:rPr>
      </w:pPr>
      <w:r>
        <w:rPr>
          <w:b/>
          <w:lang w:val="lt-LT"/>
        </w:rPr>
        <w:t>D</w:t>
      </w:r>
      <w:r w:rsidRPr="00AD3EB8">
        <w:rPr>
          <w:b/>
          <w:lang w:val="lt-LT"/>
        </w:rPr>
        <w:t>ažnis nežinomas (negali būti apskaičiuotas pagal turimus duomenis):</w:t>
      </w:r>
    </w:p>
    <w:p w14:paraId="07C44935"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 xml:space="preserve">Dilgėlinė </w:t>
      </w:r>
    </w:p>
    <w:p w14:paraId="10391880" w14:textId="77777777" w:rsidR="00B13893" w:rsidRPr="004453A7" w:rsidRDefault="00B13893" w:rsidP="0074234D">
      <w:pPr>
        <w:tabs>
          <w:tab w:val="clear" w:pos="567"/>
        </w:tabs>
        <w:autoSpaceDE w:val="0"/>
        <w:autoSpaceDN w:val="0"/>
        <w:adjustRightInd w:val="0"/>
        <w:spacing w:line="240" w:lineRule="auto"/>
        <w:rPr>
          <w:lang w:val="lt-LT"/>
        </w:rPr>
      </w:pPr>
    </w:p>
    <w:p w14:paraId="796D9A59" w14:textId="77777777" w:rsidR="00B13893" w:rsidRPr="004453A7" w:rsidRDefault="009F42E6" w:rsidP="0074234D">
      <w:pPr>
        <w:tabs>
          <w:tab w:val="clear" w:pos="567"/>
        </w:tabs>
        <w:autoSpaceDE w:val="0"/>
        <w:autoSpaceDN w:val="0"/>
        <w:adjustRightInd w:val="0"/>
        <w:spacing w:line="240" w:lineRule="auto"/>
        <w:rPr>
          <w:lang w:val="lt-LT"/>
        </w:rPr>
      </w:pPr>
      <w:r w:rsidRPr="004453A7">
        <w:rPr>
          <w:lang w:val="lt-LT"/>
        </w:rPr>
        <w:t xml:space="preserve">Jei priepuolio simptomai po </w:t>
      </w:r>
      <w:r w:rsidR="00B13893" w:rsidRPr="004453A7">
        <w:rPr>
          <w:lang w:val="lt-LT"/>
        </w:rPr>
        <w:t>Icatibant Teva</w:t>
      </w:r>
      <w:r w:rsidRPr="004453A7">
        <w:rPr>
          <w:lang w:val="lt-LT"/>
        </w:rPr>
        <w:t xml:space="preserve"> injekcijos pasunkėjo, nedelsdami pasakykite gydytojui. Jeigu pasireiškė šalutinis poveikis, įskaitant šiame lapelyje nenurodytą, pasakykite gydytojui. </w:t>
      </w:r>
    </w:p>
    <w:p w14:paraId="7CC73CD8" w14:textId="77777777" w:rsidR="00F34163" w:rsidRPr="004453A7" w:rsidRDefault="00F34163" w:rsidP="00F34163">
      <w:pPr>
        <w:numPr>
          <w:ilvl w:val="12"/>
          <w:numId w:val="0"/>
        </w:numPr>
        <w:tabs>
          <w:tab w:val="clear" w:pos="567"/>
        </w:tabs>
        <w:spacing w:line="240" w:lineRule="auto"/>
        <w:rPr>
          <w:szCs w:val="24"/>
          <w:lang w:val="lt-LT"/>
        </w:rPr>
      </w:pPr>
    </w:p>
    <w:p w14:paraId="027615B2" w14:textId="77777777" w:rsidR="00F34163" w:rsidRPr="004453A7" w:rsidRDefault="00F34163" w:rsidP="00F34163">
      <w:pPr>
        <w:spacing w:line="240" w:lineRule="auto"/>
        <w:rPr>
          <w:b/>
          <w:szCs w:val="24"/>
          <w:lang w:val="lt-LT"/>
        </w:rPr>
      </w:pPr>
      <w:r w:rsidRPr="004453A7">
        <w:rPr>
          <w:b/>
          <w:noProof/>
          <w:szCs w:val="24"/>
          <w:lang w:val="lt-LT"/>
        </w:rPr>
        <w:t>Pranešimas apie šalutinį poveikį</w:t>
      </w:r>
    </w:p>
    <w:p w14:paraId="072AFE72" w14:textId="7559D4AA" w:rsidR="00F34163" w:rsidRPr="00AD3EB8" w:rsidRDefault="00AD3EB8" w:rsidP="00324035">
      <w:pPr>
        <w:ind w:right="-29"/>
        <w:rPr>
          <w:noProof/>
          <w:lang w:val="lt-LT"/>
        </w:rPr>
      </w:pPr>
      <w:r w:rsidRPr="00324035">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24035">
        <w:rPr>
          <w:color w:val="0000EE"/>
          <w:u w:val="single"/>
          <w:lang w:val="lt-LT"/>
        </w:rPr>
        <w:t>https://vvkt.</w:t>
      </w:r>
      <w:r w:rsidRPr="00324035">
        <w:rPr>
          <w:color w:val="0000EE"/>
          <w:szCs w:val="22"/>
          <w:u w:val="single"/>
          <w:lang w:val="lt-LT" w:eastAsia="lt-LT"/>
        </w:rPr>
        <w:t>lrv.</w:t>
      </w:r>
      <w:r w:rsidRPr="00324035">
        <w:rPr>
          <w:color w:val="0000EE"/>
          <w:u w:val="single"/>
          <w:lang w:val="lt-LT"/>
        </w:rPr>
        <w:t>lt/</w:t>
      </w:r>
      <w:r w:rsidRPr="00324035">
        <w:rPr>
          <w:color w:val="0000EE"/>
          <w:szCs w:val="22"/>
          <w:u w:val="single"/>
          <w:lang w:val="lt-LT" w:eastAsia="lt-LT"/>
        </w:rPr>
        <w:t>lt/</w:t>
      </w:r>
      <w:r w:rsidRPr="00324035">
        <w:rPr>
          <w:szCs w:val="22"/>
          <w:lang w:val="lt-LT" w:eastAsia="lt-LT"/>
        </w:rPr>
        <w:t xml:space="preserve"> nurodytais būdais arba paskambinti nemokamu telefonu </w:t>
      </w:r>
      <w:r w:rsidR="00324035">
        <w:rPr>
          <w:szCs w:val="22"/>
          <w:lang w:val="lt-LT" w:eastAsia="lt-LT"/>
        </w:rPr>
        <w:t>+370</w:t>
      </w:r>
      <w:r w:rsidRPr="00324035">
        <w:rPr>
          <w:szCs w:val="22"/>
          <w:lang w:val="lt-LT" w:eastAsia="lt-LT"/>
        </w:rPr>
        <w:t xml:space="preserve"> 800 73 568. Pranešdami apie šalutinį poveikį galite mums padėti gauti daugiau informacijos apie šio vaisto saugumą.</w:t>
      </w:r>
    </w:p>
    <w:p w14:paraId="17701869" w14:textId="77777777" w:rsidR="00AA148B" w:rsidRPr="004453A7" w:rsidRDefault="00AA148B" w:rsidP="00AA148B">
      <w:pPr>
        <w:ind w:right="-449"/>
        <w:rPr>
          <w:noProof/>
          <w:szCs w:val="24"/>
          <w:lang w:val="lt-LT"/>
        </w:rPr>
      </w:pPr>
    </w:p>
    <w:p w14:paraId="42653912" w14:textId="77777777" w:rsidR="00447DE7" w:rsidRPr="004453A7" w:rsidRDefault="00447DE7" w:rsidP="00AA148B">
      <w:pPr>
        <w:ind w:right="-449"/>
        <w:rPr>
          <w:noProof/>
          <w:szCs w:val="24"/>
          <w:lang w:val="lt-LT"/>
        </w:rPr>
      </w:pPr>
    </w:p>
    <w:p w14:paraId="404B3654" w14:textId="77777777" w:rsidR="00F34163" w:rsidRPr="004453A7" w:rsidRDefault="00F34163" w:rsidP="000610AF">
      <w:pPr>
        <w:pStyle w:val="Antrat3"/>
        <w:spacing w:before="0" w:after="0" w:line="240" w:lineRule="auto"/>
        <w:rPr>
          <w:rFonts w:ascii="Times New Roman" w:hAnsi="Times New Roman"/>
          <w:sz w:val="22"/>
          <w:lang w:val="lt-LT"/>
        </w:rPr>
      </w:pPr>
      <w:r w:rsidRPr="004453A7">
        <w:rPr>
          <w:rFonts w:ascii="Times New Roman" w:hAnsi="Times New Roman"/>
          <w:sz w:val="22"/>
          <w:lang w:val="lt-LT"/>
        </w:rPr>
        <w:t>5.</w:t>
      </w:r>
      <w:r w:rsidRPr="004453A7">
        <w:rPr>
          <w:rFonts w:ascii="Times New Roman" w:hAnsi="Times New Roman"/>
          <w:sz w:val="22"/>
          <w:lang w:val="lt-LT"/>
        </w:rPr>
        <w:tab/>
        <w:t xml:space="preserve">Kaip laikyti </w:t>
      </w:r>
      <w:r w:rsidR="000610AF" w:rsidRPr="004453A7">
        <w:rPr>
          <w:rFonts w:ascii="Times New Roman" w:hAnsi="Times New Roman"/>
          <w:noProof/>
          <w:sz w:val="22"/>
          <w:szCs w:val="22"/>
          <w:lang w:val="lt-LT"/>
        </w:rPr>
        <w:t>Icatibant Teva</w:t>
      </w:r>
    </w:p>
    <w:p w14:paraId="206FFAF3" w14:textId="77777777" w:rsidR="00F34163" w:rsidRPr="004453A7" w:rsidRDefault="00F34163" w:rsidP="00F34163">
      <w:pPr>
        <w:numPr>
          <w:ilvl w:val="12"/>
          <w:numId w:val="0"/>
        </w:numPr>
        <w:tabs>
          <w:tab w:val="clear" w:pos="567"/>
        </w:tabs>
        <w:spacing w:line="240" w:lineRule="auto"/>
        <w:ind w:right="-2"/>
        <w:rPr>
          <w:szCs w:val="24"/>
          <w:lang w:val="lt-LT"/>
        </w:rPr>
      </w:pPr>
    </w:p>
    <w:p w14:paraId="02FB0C3B" w14:textId="77777777" w:rsidR="00F34163" w:rsidRPr="004453A7" w:rsidRDefault="00F34163" w:rsidP="00F34163">
      <w:pPr>
        <w:numPr>
          <w:ilvl w:val="12"/>
          <w:numId w:val="0"/>
        </w:numPr>
        <w:tabs>
          <w:tab w:val="clear" w:pos="567"/>
        </w:tabs>
        <w:spacing w:line="240" w:lineRule="auto"/>
        <w:ind w:right="-2"/>
        <w:rPr>
          <w:szCs w:val="24"/>
          <w:lang w:val="lt-LT"/>
        </w:rPr>
      </w:pPr>
      <w:r w:rsidRPr="004453A7">
        <w:rPr>
          <w:noProof/>
          <w:szCs w:val="24"/>
          <w:lang w:val="lt-LT"/>
        </w:rPr>
        <w:t>Šį vaistą laikykite vaikams nepastebimoje ir nepasiekiamoje vietoje.</w:t>
      </w:r>
    </w:p>
    <w:p w14:paraId="7410DFA3" w14:textId="77777777" w:rsidR="00F34163" w:rsidRPr="004453A7" w:rsidRDefault="00F34163" w:rsidP="00F34163">
      <w:pPr>
        <w:numPr>
          <w:ilvl w:val="12"/>
          <w:numId w:val="0"/>
        </w:numPr>
        <w:tabs>
          <w:tab w:val="clear" w:pos="567"/>
        </w:tabs>
        <w:spacing w:line="240" w:lineRule="auto"/>
        <w:ind w:right="-2"/>
        <w:rPr>
          <w:szCs w:val="24"/>
          <w:lang w:val="lt-LT"/>
        </w:rPr>
      </w:pPr>
    </w:p>
    <w:p w14:paraId="466076DD" w14:textId="77777777" w:rsidR="00F34163" w:rsidRPr="004453A7" w:rsidRDefault="00B13893" w:rsidP="00F34163">
      <w:pPr>
        <w:numPr>
          <w:ilvl w:val="12"/>
          <w:numId w:val="0"/>
        </w:numPr>
        <w:tabs>
          <w:tab w:val="clear" w:pos="567"/>
        </w:tabs>
        <w:spacing w:line="240" w:lineRule="auto"/>
        <w:ind w:right="-2"/>
        <w:rPr>
          <w:szCs w:val="24"/>
          <w:lang w:val="lt-LT"/>
        </w:rPr>
      </w:pPr>
      <w:r w:rsidRPr="004453A7">
        <w:rPr>
          <w:noProof/>
          <w:szCs w:val="24"/>
          <w:lang w:val="lt-LT"/>
        </w:rPr>
        <w:t xml:space="preserve">Ant </w:t>
      </w:r>
      <w:r w:rsidR="00F34163" w:rsidRPr="004453A7">
        <w:rPr>
          <w:noProof/>
          <w:szCs w:val="24"/>
          <w:lang w:val="lt-LT"/>
        </w:rPr>
        <w:t>etiketės</w:t>
      </w:r>
      <w:r w:rsidRPr="004453A7">
        <w:rPr>
          <w:noProof/>
          <w:szCs w:val="24"/>
          <w:lang w:val="lt-LT"/>
        </w:rPr>
        <w:t xml:space="preserve"> ir d</w:t>
      </w:r>
      <w:r w:rsidR="00F34163" w:rsidRPr="004453A7">
        <w:rPr>
          <w:noProof/>
          <w:szCs w:val="24"/>
          <w:lang w:val="lt-LT"/>
        </w:rPr>
        <w:t>ėžutės</w:t>
      </w:r>
      <w:r w:rsidRPr="004453A7">
        <w:rPr>
          <w:noProof/>
          <w:szCs w:val="24"/>
          <w:lang w:val="lt-LT"/>
        </w:rPr>
        <w:t xml:space="preserve"> </w:t>
      </w:r>
      <w:r w:rsidR="00F34163" w:rsidRPr="004453A7">
        <w:rPr>
          <w:noProof/>
          <w:szCs w:val="24"/>
          <w:lang w:val="lt-LT"/>
        </w:rPr>
        <w:t xml:space="preserve">po </w:t>
      </w:r>
      <w:r w:rsidR="00151D71">
        <w:rPr>
          <w:noProof/>
          <w:szCs w:val="24"/>
          <w:lang w:val="lt-LT"/>
        </w:rPr>
        <w:t>„</w:t>
      </w:r>
      <w:r w:rsidRPr="004453A7">
        <w:rPr>
          <w:noProof/>
          <w:szCs w:val="24"/>
          <w:lang w:val="lt-LT"/>
        </w:rPr>
        <w:t>EXP</w:t>
      </w:r>
      <w:r w:rsidR="00151D71">
        <w:rPr>
          <w:noProof/>
          <w:szCs w:val="24"/>
          <w:lang w:val="lt-LT"/>
        </w:rPr>
        <w:t>“</w:t>
      </w:r>
      <w:r w:rsidR="00F34163" w:rsidRPr="004453A7">
        <w:rPr>
          <w:noProof/>
          <w:szCs w:val="24"/>
          <w:lang w:val="lt-LT"/>
        </w:rPr>
        <w:t xml:space="preserve"> nurodytam tinkamumo laikui pasibaigus, šio vaisto vartoti negalima.</w:t>
      </w:r>
      <w:r w:rsidR="00864381">
        <w:rPr>
          <w:szCs w:val="24"/>
          <w:lang w:val="lt-LT"/>
        </w:rPr>
        <w:t xml:space="preserve"> </w:t>
      </w:r>
      <w:r w:rsidR="00F34163" w:rsidRPr="004453A7">
        <w:rPr>
          <w:noProof/>
          <w:szCs w:val="24"/>
          <w:lang w:val="lt-LT"/>
        </w:rPr>
        <w:t>Vaistas tinkamas vartoti iki pask</w:t>
      </w:r>
      <w:r w:rsidRPr="004453A7">
        <w:rPr>
          <w:noProof/>
          <w:szCs w:val="24"/>
          <w:lang w:val="lt-LT"/>
        </w:rPr>
        <w:t>utinės nurodyto mėnesio dienos.</w:t>
      </w:r>
    </w:p>
    <w:p w14:paraId="7DBCD66C" w14:textId="77777777" w:rsidR="00F34163" w:rsidRPr="004453A7" w:rsidRDefault="00F34163" w:rsidP="00F34163">
      <w:pPr>
        <w:numPr>
          <w:ilvl w:val="12"/>
          <w:numId w:val="0"/>
        </w:numPr>
        <w:tabs>
          <w:tab w:val="clear" w:pos="567"/>
        </w:tabs>
        <w:spacing w:line="240" w:lineRule="auto"/>
        <w:ind w:right="-2"/>
        <w:rPr>
          <w:szCs w:val="24"/>
          <w:lang w:val="lt-LT"/>
        </w:rPr>
      </w:pPr>
    </w:p>
    <w:p w14:paraId="507ADAC7" w14:textId="77777777" w:rsidR="00B13893" w:rsidRPr="004453A7" w:rsidRDefault="00B13893" w:rsidP="00F34163">
      <w:pPr>
        <w:numPr>
          <w:ilvl w:val="12"/>
          <w:numId w:val="0"/>
        </w:numPr>
        <w:tabs>
          <w:tab w:val="clear" w:pos="567"/>
        </w:tabs>
        <w:spacing w:line="240" w:lineRule="auto"/>
        <w:ind w:right="-2"/>
        <w:rPr>
          <w:lang w:val="lt-LT"/>
        </w:rPr>
      </w:pPr>
      <w:r w:rsidRPr="004453A7">
        <w:rPr>
          <w:lang w:val="lt-LT"/>
        </w:rPr>
        <w:t>Laikyti ne aukštesnėje kaip 25</w:t>
      </w:r>
      <w:r w:rsidR="00151D71">
        <w:rPr>
          <w:lang w:val="lt-LT"/>
        </w:rPr>
        <w:t> </w:t>
      </w:r>
      <w:r w:rsidRPr="004453A7">
        <w:rPr>
          <w:lang w:val="lt-LT"/>
        </w:rPr>
        <w:t xml:space="preserve">ºC temperatūroje. Negalima užšaldyti. </w:t>
      </w:r>
    </w:p>
    <w:p w14:paraId="1427F3B7" w14:textId="77777777" w:rsidR="00B13893" w:rsidRPr="004453A7" w:rsidRDefault="00B13893" w:rsidP="00F34163">
      <w:pPr>
        <w:numPr>
          <w:ilvl w:val="12"/>
          <w:numId w:val="0"/>
        </w:numPr>
        <w:tabs>
          <w:tab w:val="clear" w:pos="567"/>
        </w:tabs>
        <w:spacing w:line="240" w:lineRule="auto"/>
        <w:ind w:right="-2"/>
        <w:rPr>
          <w:lang w:val="lt-LT"/>
        </w:rPr>
      </w:pPr>
    </w:p>
    <w:p w14:paraId="5BBD6AC7" w14:textId="77777777" w:rsidR="00B13893" w:rsidRPr="004453A7" w:rsidRDefault="00B13893" w:rsidP="00F34163">
      <w:pPr>
        <w:numPr>
          <w:ilvl w:val="12"/>
          <w:numId w:val="0"/>
        </w:numPr>
        <w:tabs>
          <w:tab w:val="clear" w:pos="567"/>
        </w:tabs>
        <w:spacing w:line="240" w:lineRule="auto"/>
        <w:ind w:right="-2"/>
        <w:rPr>
          <w:lang w:val="lt-LT"/>
        </w:rPr>
      </w:pPr>
      <w:r w:rsidRPr="004453A7">
        <w:rPr>
          <w:lang w:val="lt-LT"/>
        </w:rPr>
        <w:t xml:space="preserve">Pastebėjus vaisto ar švirkšto pakuotės pažeidimų, kokių nors kitų matomų apgadinimo požymių, pavyzdžiui, tirpalas yra drumzlinas, jame yra plaukiojančių dalelių, pasikeitusi tirpalo spalva, vaisto vartoti negalima. </w:t>
      </w:r>
    </w:p>
    <w:p w14:paraId="0CB63015" w14:textId="77777777" w:rsidR="00B13893" w:rsidRPr="004453A7" w:rsidRDefault="00B13893" w:rsidP="00F34163">
      <w:pPr>
        <w:numPr>
          <w:ilvl w:val="12"/>
          <w:numId w:val="0"/>
        </w:numPr>
        <w:tabs>
          <w:tab w:val="clear" w:pos="567"/>
        </w:tabs>
        <w:spacing w:line="240" w:lineRule="auto"/>
        <w:ind w:right="-2"/>
        <w:rPr>
          <w:lang w:val="lt-LT"/>
        </w:rPr>
      </w:pPr>
    </w:p>
    <w:p w14:paraId="445F5CA9" w14:textId="77777777" w:rsidR="00F34163" w:rsidRPr="004453A7" w:rsidRDefault="00B13893" w:rsidP="00F34163">
      <w:pPr>
        <w:numPr>
          <w:ilvl w:val="12"/>
          <w:numId w:val="0"/>
        </w:numPr>
        <w:tabs>
          <w:tab w:val="clear" w:pos="567"/>
        </w:tabs>
        <w:spacing w:line="240" w:lineRule="auto"/>
        <w:ind w:right="-2"/>
        <w:rPr>
          <w:szCs w:val="24"/>
          <w:lang w:val="lt-LT"/>
        </w:rPr>
      </w:pPr>
      <w:r w:rsidRPr="004453A7">
        <w:rPr>
          <w:lang w:val="lt-LT"/>
        </w:rPr>
        <w:t>Vaistų negalima iš</w:t>
      </w:r>
      <w:r w:rsidR="00F26152">
        <w:rPr>
          <w:lang w:val="lt-LT"/>
        </w:rPr>
        <w:t>mesti</w:t>
      </w:r>
      <w:r w:rsidRPr="004453A7">
        <w:rPr>
          <w:lang w:val="lt-LT"/>
        </w:rPr>
        <w:t xml:space="preserve"> į kanalizaciją arba su buitinėmis atliekomis. Kaip išmesti nereikalingus vaistus, klauskite vaistininko. Šios priemonės padės apsaugoti aplinką.</w:t>
      </w:r>
    </w:p>
    <w:p w14:paraId="1972A0BB" w14:textId="77777777" w:rsidR="00F34163" w:rsidRPr="004453A7" w:rsidRDefault="00F34163" w:rsidP="00F34163">
      <w:pPr>
        <w:numPr>
          <w:ilvl w:val="12"/>
          <w:numId w:val="0"/>
        </w:numPr>
        <w:tabs>
          <w:tab w:val="clear" w:pos="567"/>
        </w:tabs>
        <w:spacing w:line="240" w:lineRule="auto"/>
        <w:ind w:right="-2"/>
        <w:rPr>
          <w:noProof/>
          <w:szCs w:val="24"/>
          <w:lang w:val="lt-LT"/>
        </w:rPr>
      </w:pPr>
    </w:p>
    <w:p w14:paraId="5D8CD789" w14:textId="77777777" w:rsidR="00447DE7" w:rsidRPr="004453A7" w:rsidRDefault="00447DE7" w:rsidP="00F34163">
      <w:pPr>
        <w:numPr>
          <w:ilvl w:val="12"/>
          <w:numId w:val="0"/>
        </w:numPr>
        <w:tabs>
          <w:tab w:val="clear" w:pos="567"/>
        </w:tabs>
        <w:spacing w:line="240" w:lineRule="auto"/>
        <w:ind w:right="-2"/>
        <w:rPr>
          <w:noProof/>
          <w:szCs w:val="24"/>
          <w:lang w:val="lt-LT"/>
        </w:rPr>
      </w:pPr>
    </w:p>
    <w:p w14:paraId="7F35860C" w14:textId="77777777" w:rsidR="00F34163" w:rsidRPr="004453A7" w:rsidRDefault="00F34163" w:rsidP="00F34163">
      <w:pPr>
        <w:pStyle w:val="Antrat3"/>
        <w:spacing w:before="0" w:after="0" w:line="240" w:lineRule="auto"/>
        <w:rPr>
          <w:rFonts w:ascii="Times New Roman" w:hAnsi="Times New Roman"/>
          <w:sz w:val="22"/>
          <w:lang w:val="lt-LT"/>
        </w:rPr>
      </w:pPr>
      <w:r w:rsidRPr="004453A7">
        <w:rPr>
          <w:rFonts w:ascii="Times New Roman" w:hAnsi="Times New Roman"/>
          <w:sz w:val="22"/>
          <w:lang w:val="lt-LT"/>
        </w:rPr>
        <w:t>6.</w:t>
      </w:r>
      <w:r w:rsidRPr="004453A7">
        <w:rPr>
          <w:rFonts w:ascii="Times New Roman" w:hAnsi="Times New Roman"/>
          <w:b w:val="0"/>
          <w:sz w:val="22"/>
          <w:lang w:val="lt-LT"/>
        </w:rPr>
        <w:tab/>
      </w:r>
      <w:r w:rsidRPr="004453A7">
        <w:rPr>
          <w:rFonts w:ascii="Times New Roman" w:hAnsi="Times New Roman"/>
          <w:sz w:val="22"/>
          <w:lang w:val="lt-LT"/>
        </w:rPr>
        <w:t>Pakuotės turinys ir kita informacija</w:t>
      </w:r>
    </w:p>
    <w:p w14:paraId="43646E0C" w14:textId="77777777" w:rsidR="00F34163" w:rsidRPr="004453A7" w:rsidRDefault="00F34163" w:rsidP="00F34163">
      <w:pPr>
        <w:numPr>
          <w:ilvl w:val="12"/>
          <w:numId w:val="0"/>
        </w:numPr>
        <w:tabs>
          <w:tab w:val="clear" w:pos="567"/>
        </w:tabs>
        <w:spacing w:line="240" w:lineRule="auto"/>
        <w:rPr>
          <w:szCs w:val="24"/>
          <w:lang w:val="lt-LT"/>
        </w:rPr>
      </w:pPr>
    </w:p>
    <w:p w14:paraId="7EDEAD94" w14:textId="77777777" w:rsidR="00F34163" w:rsidRPr="004453A7" w:rsidRDefault="000610AF" w:rsidP="00F34163">
      <w:pPr>
        <w:pStyle w:val="Antrat4"/>
        <w:rPr>
          <w:rFonts w:ascii="Times New Roman" w:hAnsi="Times New Roman"/>
          <w:sz w:val="22"/>
          <w:lang w:val="lt-LT"/>
        </w:rPr>
      </w:pPr>
      <w:r w:rsidRPr="004453A7">
        <w:rPr>
          <w:rFonts w:ascii="Times New Roman" w:hAnsi="Times New Roman"/>
          <w:noProof/>
          <w:sz w:val="22"/>
          <w:szCs w:val="22"/>
          <w:lang w:val="lt-LT"/>
        </w:rPr>
        <w:t>Icatibant Teva</w:t>
      </w:r>
      <w:r w:rsidR="00F34163" w:rsidRPr="004453A7">
        <w:rPr>
          <w:rFonts w:ascii="Times New Roman" w:hAnsi="Times New Roman"/>
          <w:sz w:val="22"/>
          <w:lang w:val="lt-LT"/>
        </w:rPr>
        <w:t xml:space="preserve"> sudėtis </w:t>
      </w:r>
    </w:p>
    <w:p w14:paraId="3FB60432" w14:textId="77777777" w:rsidR="00F34163" w:rsidRPr="004453A7" w:rsidRDefault="00F34163" w:rsidP="004E6EF3">
      <w:pPr>
        <w:numPr>
          <w:ilvl w:val="0"/>
          <w:numId w:val="5"/>
        </w:numPr>
        <w:tabs>
          <w:tab w:val="clear" w:pos="567"/>
        </w:tabs>
        <w:spacing w:line="240" w:lineRule="auto"/>
        <w:ind w:left="567" w:right="-2" w:hanging="567"/>
        <w:rPr>
          <w:szCs w:val="24"/>
          <w:lang w:val="lt-LT"/>
        </w:rPr>
      </w:pPr>
      <w:r w:rsidRPr="004453A7">
        <w:rPr>
          <w:noProof/>
          <w:szCs w:val="24"/>
          <w:lang w:val="lt-LT"/>
        </w:rPr>
        <w:t>Veiklioji medžiaga yra</w:t>
      </w:r>
      <w:r w:rsidR="00B13893" w:rsidRPr="004453A7">
        <w:rPr>
          <w:noProof/>
          <w:szCs w:val="24"/>
          <w:lang w:val="lt-LT"/>
        </w:rPr>
        <w:t xml:space="preserve"> ikatibantas.</w:t>
      </w:r>
      <w:r w:rsidR="00151D71">
        <w:rPr>
          <w:noProof/>
          <w:szCs w:val="24"/>
          <w:lang w:val="lt-LT"/>
        </w:rPr>
        <w:t xml:space="preserve"> </w:t>
      </w:r>
      <w:r w:rsidR="00B13893" w:rsidRPr="004453A7">
        <w:rPr>
          <w:noProof/>
          <w:szCs w:val="24"/>
          <w:lang w:val="lt-LT"/>
        </w:rPr>
        <w:t>Kiekviename užpildytame švirkšte yra 30 mg ikatibanto (acetato pavidalu).</w:t>
      </w:r>
    </w:p>
    <w:p w14:paraId="44CBCEB3" w14:textId="77777777" w:rsidR="00F34163" w:rsidRPr="004453A7" w:rsidRDefault="00B13893" w:rsidP="004E6EF3">
      <w:pPr>
        <w:numPr>
          <w:ilvl w:val="0"/>
          <w:numId w:val="5"/>
        </w:numPr>
        <w:tabs>
          <w:tab w:val="clear" w:pos="567"/>
        </w:tabs>
        <w:spacing w:line="240" w:lineRule="auto"/>
        <w:ind w:left="567" w:right="-2" w:hanging="567"/>
        <w:rPr>
          <w:szCs w:val="24"/>
          <w:lang w:val="lt-LT"/>
        </w:rPr>
      </w:pPr>
      <w:r w:rsidRPr="004453A7">
        <w:rPr>
          <w:noProof/>
          <w:szCs w:val="24"/>
          <w:lang w:val="lt-LT"/>
        </w:rPr>
        <w:t>Pagalbin</w:t>
      </w:r>
      <w:r w:rsidR="00F34163" w:rsidRPr="004453A7">
        <w:rPr>
          <w:noProof/>
          <w:szCs w:val="24"/>
          <w:lang w:val="lt-LT"/>
        </w:rPr>
        <w:t>ės medžiagos yra</w:t>
      </w:r>
      <w:r w:rsidRPr="004453A7">
        <w:rPr>
          <w:noProof/>
          <w:szCs w:val="24"/>
          <w:lang w:val="lt-LT"/>
        </w:rPr>
        <w:t xml:space="preserve"> </w:t>
      </w:r>
      <w:r w:rsidRPr="004453A7">
        <w:rPr>
          <w:lang w:val="lt-LT"/>
        </w:rPr>
        <w:t>natrio chloridas, ledinė acto rūgštis</w:t>
      </w:r>
      <w:r w:rsidR="00A969EF">
        <w:rPr>
          <w:lang w:val="lt-LT"/>
        </w:rPr>
        <w:t xml:space="preserve"> </w:t>
      </w:r>
      <w:r w:rsidR="00A969EF" w:rsidRPr="00A969EF">
        <w:rPr>
          <w:lang w:val="lt-LT"/>
        </w:rPr>
        <w:t>(pH reguliavimui)</w:t>
      </w:r>
      <w:r w:rsidRPr="004453A7">
        <w:rPr>
          <w:lang w:val="lt-LT"/>
        </w:rPr>
        <w:t xml:space="preserve">, natrio hidroksidas </w:t>
      </w:r>
      <w:r w:rsidR="00A969EF" w:rsidRPr="00A969EF">
        <w:rPr>
          <w:lang w:val="lt-LT"/>
        </w:rPr>
        <w:t xml:space="preserve">(pH reguliavimui) </w:t>
      </w:r>
      <w:r w:rsidRPr="004453A7">
        <w:rPr>
          <w:lang w:val="lt-LT"/>
        </w:rPr>
        <w:t>ir injekcinis vanduo</w:t>
      </w:r>
      <w:r w:rsidR="00F34163" w:rsidRPr="004453A7">
        <w:rPr>
          <w:noProof/>
          <w:szCs w:val="24"/>
          <w:lang w:val="lt-LT"/>
        </w:rPr>
        <w:t>.</w:t>
      </w:r>
      <w:r w:rsidR="00F34163" w:rsidRPr="004453A7">
        <w:rPr>
          <w:i/>
          <w:color w:val="008000"/>
          <w:szCs w:val="24"/>
          <w:lang w:val="lt-LT"/>
        </w:rPr>
        <w:t xml:space="preserve"> </w:t>
      </w:r>
    </w:p>
    <w:p w14:paraId="59C58F61" w14:textId="77777777" w:rsidR="00F34163" w:rsidRPr="004453A7" w:rsidRDefault="00F34163" w:rsidP="00F34163">
      <w:pPr>
        <w:numPr>
          <w:ilvl w:val="12"/>
          <w:numId w:val="0"/>
        </w:numPr>
        <w:tabs>
          <w:tab w:val="clear" w:pos="567"/>
        </w:tabs>
        <w:spacing w:line="240" w:lineRule="auto"/>
        <w:ind w:right="-2"/>
        <w:rPr>
          <w:szCs w:val="24"/>
          <w:lang w:val="lt-LT"/>
        </w:rPr>
      </w:pPr>
    </w:p>
    <w:p w14:paraId="0B1A5ABA" w14:textId="77777777" w:rsidR="00F34163" w:rsidRPr="004453A7" w:rsidRDefault="000610AF" w:rsidP="00F34163">
      <w:pPr>
        <w:pStyle w:val="Antrat4"/>
        <w:rPr>
          <w:rFonts w:ascii="Times New Roman" w:hAnsi="Times New Roman"/>
          <w:sz w:val="22"/>
          <w:lang w:val="lt-LT"/>
        </w:rPr>
      </w:pPr>
      <w:r w:rsidRPr="004453A7">
        <w:rPr>
          <w:rFonts w:ascii="Times New Roman" w:hAnsi="Times New Roman"/>
          <w:noProof/>
          <w:sz w:val="22"/>
          <w:szCs w:val="22"/>
          <w:lang w:val="lt-LT"/>
        </w:rPr>
        <w:t>Icatibant Teva</w:t>
      </w:r>
      <w:r w:rsidR="00F34163" w:rsidRPr="004453A7">
        <w:rPr>
          <w:rFonts w:ascii="Times New Roman" w:hAnsi="Times New Roman"/>
          <w:sz w:val="22"/>
          <w:lang w:val="lt-LT"/>
        </w:rPr>
        <w:t xml:space="preserve"> išvaizda ir kiekis pakuotėje</w:t>
      </w:r>
    </w:p>
    <w:p w14:paraId="0D1746EC" w14:textId="77777777" w:rsidR="00C16DE5" w:rsidRPr="004453A7" w:rsidRDefault="00C16DE5" w:rsidP="00B13893">
      <w:pPr>
        <w:numPr>
          <w:ilvl w:val="12"/>
          <w:numId w:val="0"/>
        </w:numPr>
        <w:tabs>
          <w:tab w:val="clear" w:pos="567"/>
        </w:tabs>
        <w:spacing w:line="240" w:lineRule="auto"/>
        <w:ind w:right="-2"/>
        <w:rPr>
          <w:lang w:val="lt-LT"/>
        </w:rPr>
      </w:pPr>
      <w:r w:rsidRPr="004453A7">
        <w:rPr>
          <w:lang w:val="lt-LT"/>
        </w:rPr>
        <w:t>Icatibant Teva</w:t>
      </w:r>
      <w:r w:rsidR="00B13893" w:rsidRPr="004453A7">
        <w:rPr>
          <w:lang w:val="lt-LT"/>
        </w:rPr>
        <w:t xml:space="preserve"> yra skaidrus, bespalvis </w:t>
      </w:r>
      <w:r w:rsidRPr="004453A7">
        <w:rPr>
          <w:lang w:val="lt-LT"/>
        </w:rPr>
        <w:t xml:space="preserve">skystis. 3 ml tirpalo yra 3 ml talpos </w:t>
      </w:r>
      <w:r w:rsidR="00B13893" w:rsidRPr="004453A7">
        <w:rPr>
          <w:lang w:val="lt-LT"/>
        </w:rPr>
        <w:t>užpildytame stikliniame švirkšte</w:t>
      </w:r>
      <w:r w:rsidRPr="004453A7">
        <w:rPr>
          <w:lang w:val="lt-LT"/>
        </w:rPr>
        <w:t xml:space="preserve"> su stūmokliniu kamščiu</w:t>
      </w:r>
      <w:r w:rsidR="00B13893" w:rsidRPr="004453A7">
        <w:rPr>
          <w:lang w:val="lt-LT"/>
        </w:rPr>
        <w:t>.</w:t>
      </w:r>
      <w:r w:rsidRPr="004453A7">
        <w:rPr>
          <w:lang w:val="lt-LT"/>
        </w:rPr>
        <w:t xml:space="preserve"> Pakuotėje taip pat yra hipoderminė adata</w:t>
      </w:r>
      <w:r w:rsidR="004E6EF3">
        <w:rPr>
          <w:lang w:val="lt-LT"/>
        </w:rPr>
        <w:t xml:space="preserve"> </w:t>
      </w:r>
      <w:r w:rsidR="00A969EF" w:rsidRPr="00A969EF">
        <w:rPr>
          <w:lang w:val="lt-LT"/>
        </w:rPr>
        <w:t>(25</w:t>
      </w:r>
      <w:r w:rsidR="002875E6">
        <w:rPr>
          <w:lang w:val="lt-LT"/>
        </w:rPr>
        <w:t> </w:t>
      </w:r>
      <w:r w:rsidR="00A969EF" w:rsidRPr="00A969EF">
        <w:rPr>
          <w:lang w:val="lt-LT"/>
        </w:rPr>
        <w:t>G, 16</w:t>
      </w:r>
      <w:r w:rsidR="002875E6">
        <w:rPr>
          <w:lang w:val="lt-LT"/>
        </w:rPr>
        <w:t> </w:t>
      </w:r>
      <w:r w:rsidR="00A969EF" w:rsidRPr="00A969EF">
        <w:rPr>
          <w:lang w:val="lt-LT"/>
        </w:rPr>
        <w:t>mm)</w:t>
      </w:r>
      <w:r w:rsidR="00A969EF">
        <w:rPr>
          <w:lang w:val="lt-LT"/>
        </w:rPr>
        <w:t xml:space="preserve"> </w:t>
      </w:r>
      <w:r w:rsidRPr="004453A7">
        <w:rPr>
          <w:lang w:val="lt-LT"/>
        </w:rPr>
        <w:t xml:space="preserve">. </w:t>
      </w:r>
    </w:p>
    <w:p w14:paraId="51088BCC" w14:textId="77777777" w:rsidR="00C16DE5" w:rsidRPr="004453A7" w:rsidRDefault="00C16DE5" w:rsidP="00B13893">
      <w:pPr>
        <w:numPr>
          <w:ilvl w:val="12"/>
          <w:numId w:val="0"/>
        </w:numPr>
        <w:tabs>
          <w:tab w:val="clear" w:pos="567"/>
        </w:tabs>
        <w:spacing w:line="240" w:lineRule="auto"/>
        <w:ind w:right="-2"/>
        <w:rPr>
          <w:lang w:val="lt-LT"/>
        </w:rPr>
      </w:pPr>
    </w:p>
    <w:p w14:paraId="4FE7F690" w14:textId="77777777" w:rsidR="00C16DE5" w:rsidRPr="004453A7" w:rsidRDefault="00C16DE5" w:rsidP="00B13893">
      <w:pPr>
        <w:numPr>
          <w:ilvl w:val="12"/>
          <w:numId w:val="0"/>
        </w:numPr>
        <w:tabs>
          <w:tab w:val="clear" w:pos="567"/>
        </w:tabs>
        <w:spacing w:line="240" w:lineRule="auto"/>
        <w:ind w:right="-2"/>
        <w:rPr>
          <w:lang w:val="lt-LT"/>
        </w:rPr>
      </w:pPr>
      <w:r w:rsidRPr="004453A7">
        <w:rPr>
          <w:lang w:val="lt-LT"/>
        </w:rPr>
        <w:t xml:space="preserve">Icatibant Teva tiekiamas vienoje pakuotėje, kurioje yra vienas užpildytas švirkštas ir viena adata, arba sudėtinėje pakuotėje, kurioje yra trys kartono dėžutės, kurių kiekvienoje yra vienas užpildytas švirkštas ir viena adata. </w:t>
      </w:r>
    </w:p>
    <w:p w14:paraId="10EAC9E8" w14:textId="77777777" w:rsidR="00C16DE5" w:rsidRPr="004453A7" w:rsidRDefault="00C16DE5" w:rsidP="00B13893">
      <w:pPr>
        <w:numPr>
          <w:ilvl w:val="12"/>
          <w:numId w:val="0"/>
        </w:numPr>
        <w:tabs>
          <w:tab w:val="clear" w:pos="567"/>
        </w:tabs>
        <w:spacing w:line="240" w:lineRule="auto"/>
        <w:ind w:right="-2"/>
        <w:rPr>
          <w:lang w:val="lt-LT"/>
        </w:rPr>
      </w:pPr>
    </w:p>
    <w:p w14:paraId="1A5089B9" w14:textId="77777777" w:rsidR="00C16DE5" w:rsidRPr="004453A7" w:rsidRDefault="00C16DE5" w:rsidP="00B13893">
      <w:pPr>
        <w:numPr>
          <w:ilvl w:val="12"/>
          <w:numId w:val="0"/>
        </w:numPr>
        <w:tabs>
          <w:tab w:val="clear" w:pos="567"/>
        </w:tabs>
        <w:spacing w:line="240" w:lineRule="auto"/>
        <w:ind w:right="-2"/>
        <w:rPr>
          <w:szCs w:val="24"/>
          <w:lang w:val="lt-LT"/>
        </w:rPr>
      </w:pPr>
      <w:r w:rsidRPr="004453A7">
        <w:rPr>
          <w:lang w:val="lt-LT"/>
        </w:rPr>
        <w:t>Gali būti tiekiamos ne visų dydžių pakuotės</w:t>
      </w:r>
      <w:r w:rsidR="004E6EF3">
        <w:rPr>
          <w:lang w:val="lt-LT"/>
        </w:rPr>
        <w:t>.</w:t>
      </w:r>
    </w:p>
    <w:p w14:paraId="1EC039C7" w14:textId="77777777" w:rsidR="00C16DE5" w:rsidRPr="004453A7" w:rsidRDefault="00C16DE5" w:rsidP="00F34163">
      <w:pPr>
        <w:pStyle w:val="Antrat4"/>
        <w:rPr>
          <w:rFonts w:ascii="Times New Roman" w:hAnsi="Times New Roman"/>
          <w:sz w:val="22"/>
          <w:lang w:val="lt-LT"/>
        </w:rPr>
      </w:pPr>
    </w:p>
    <w:p w14:paraId="4F754A47" w14:textId="77777777" w:rsidR="00F34163" w:rsidRPr="004453A7" w:rsidRDefault="00461F31" w:rsidP="00F34163">
      <w:pPr>
        <w:pStyle w:val="Antrat4"/>
        <w:rPr>
          <w:rFonts w:ascii="Times New Roman" w:hAnsi="Times New Roman"/>
          <w:sz w:val="22"/>
          <w:lang w:val="lt-LT"/>
        </w:rPr>
      </w:pPr>
      <w:r w:rsidRPr="004453A7">
        <w:rPr>
          <w:rFonts w:ascii="Times New Roman" w:hAnsi="Times New Roman"/>
          <w:sz w:val="22"/>
          <w:lang w:val="lt-LT"/>
        </w:rPr>
        <w:t>Registruotojas</w:t>
      </w:r>
      <w:r w:rsidR="00F34163" w:rsidRPr="004453A7">
        <w:rPr>
          <w:rFonts w:ascii="Times New Roman" w:hAnsi="Times New Roman"/>
          <w:sz w:val="22"/>
          <w:lang w:val="lt-LT"/>
        </w:rPr>
        <w:t xml:space="preserve"> ir gamintojas</w:t>
      </w:r>
    </w:p>
    <w:p w14:paraId="61AF6E77" w14:textId="77777777" w:rsidR="00F34163" w:rsidRDefault="00F34163" w:rsidP="00F34163">
      <w:pPr>
        <w:numPr>
          <w:ilvl w:val="12"/>
          <w:numId w:val="0"/>
        </w:numPr>
        <w:tabs>
          <w:tab w:val="clear" w:pos="567"/>
        </w:tabs>
        <w:spacing w:line="240" w:lineRule="auto"/>
        <w:ind w:right="-2"/>
        <w:rPr>
          <w:szCs w:val="24"/>
          <w:lang w:val="lt-LT"/>
        </w:rPr>
      </w:pPr>
    </w:p>
    <w:p w14:paraId="222DC1EB" w14:textId="77777777" w:rsidR="004740FB" w:rsidRPr="00037B8B" w:rsidRDefault="004740FB" w:rsidP="00F34163">
      <w:pPr>
        <w:numPr>
          <w:ilvl w:val="12"/>
          <w:numId w:val="0"/>
        </w:numPr>
        <w:tabs>
          <w:tab w:val="clear" w:pos="567"/>
        </w:tabs>
        <w:spacing w:line="240" w:lineRule="auto"/>
        <w:ind w:right="-2"/>
        <w:rPr>
          <w:i/>
          <w:szCs w:val="24"/>
          <w:lang w:val="lt-LT"/>
        </w:rPr>
      </w:pPr>
      <w:r w:rsidRPr="00037B8B">
        <w:rPr>
          <w:i/>
          <w:szCs w:val="24"/>
          <w:lang w:val="lt-LT"/>
        </w:rPr>
        <w:t>Registruotojas</w:t>
      </w:r>
    </w:p>
    <w:p w14:paraId="5075236B" w14:textId="77777777" w:rsidR="00C16DE5" w:rsidRPr="00864381" w:rsidRDefault="00C16DE5" w:rsidP="00C16DE5">
      <w:pPr>
        <w:tabs>
          <w:tab w:val="clear" w:pos="567"/>
          <w:tab w:val="left" w:pos="9214"/>
        </w:tabs>
        <w:spacing w:line="240" w:lineRule="auto"/>
        <w:ind w:right="282"/>
        <w:rPr>
          <w:bCs/>
          <w:szCs w:val="22"/>
          <w:lang w:val="lt-LT"/>
        </w:rPr>
      </w:pPr>
      <w:r w:rsidRPr="00864381">
        <w:rPr>
          <w:bCs/>
          <w:szCs w:val="22"/>
          <w:lang w:val="lt-LT"/>
        </w:rPr>
        <w:t xml:space="preserve">Teva B.V. </w:t>
      </w:r>
    </w:p>
    <w:p w14:paraId="38DCB1EA" w14:textId="77777777" w:rsidR="00C16DE5" w:rsidRPr="00864381" w:rsidRDefault="00C16DE5" w:rsidP="00C16DE5">
      <w:pPr>
        <w:tabs>
          <w:tab w:val="clear" w:pos="567"/>
          <w:tab w:val="left" w:pos="9214"/>
        </w:tabs>
        <w:spacing w:line="240" w:lineRule="auto"/>
        <w:ind w:right="282"/>
        <w:rPr>
          <w:bCs/>
          <w:szCs w:val="22"/>
          <w:lang w:val="lt-LT"/>
        </w:rPr>
      </w:pPr>
      <w:r w:rsidRPr="00864381">
        <w:rPr>
          <w:szCs w:val="22"/>
          <w:lang w:val="lt-LT"/>
        </w:rPr>
        <w:t>Swensweg 5</w:t>
      </w:r>
    </w:p>
    <w:p w14:paraId="05A22305" w14:textId="77777777" w:rsidR="00C16DE5" w:rsidRPr="00864381" w:rsidRDefault="00C16DE5" w:rsidP="00C16DE5">
      <w:pPr>
        <w:tabs>
          <w:tab w:val="clear" w:pos="567"/>
          <w:tab w:val="left" w:pos="9214"/>
        </w:tabs>
        <w:spacing w:line="240" w:lineRule="auto"/>
        <w:ind w:right="282"/>
        <w:rPr>
          <w:bCs/>
          <w:szCs w:val="22"/>
          <w:lang w:val="lt-LT"/>
        </w:rPr>
      </w:pPr>
      <w:r w:rsidRPr="00864381">
        <w:rPr>
          <w:szCs w:val="22"/>
          <w:lang w:val="lt-LT"/>
        </w:rPr>
        <w:t>2031 GA Haarlem</w:t>
      </w:r>
      <w:r w:rsidRPr="00864381">
        <w:rPr>
          <w:bCs/>
          <w:szCs w:val="22"/>
          <w:lang w:val="lt-LT"/>
        </w:rPr>
        <w:t xml:space="preserve"> </w:t>
      </w:r>
    </w:p>
    <w:p w14:paraId="38263575" w14:textId="77777777" w:rsidR="00C16DE5" w:rsidRPr="004453A7" w:rsidRDefault="00C16DE5" w:rsidP="00C16DE5">
      <w:pPr>
        <w:tabs>
          <w:tab w:val="clear" w:pos="567"/>
          <w:tab w:val="left" w:pos="9214"/>
        </w:tabs>
        <w:spacing w:line="240" w:lineRule="auto"/>
        <w:ind w:right="282"/>
        <w:rPr>
          <w:noProof/>
          <w:szCs w:val="22"/>
          <w:lang w:val="lt-LT"/>
        </w:rPr>
      </w:pPr>
      <w:r w:rsidRPr="00864381">
        <w:rPr>
          <w:bCs/>
          <w:szCs w:val="22"/>
          <w:lang w:val="lt-LT"/>
        </w:rPr>
        <w:t>Nyderlandai</w:t>
      </w:r>
      <w:r w:rsidRPr="004453A7">
        <w:rPr>
          <w:noProof/>
          <w:szCs w:val="22"/>
          <w:lang w:val="lt-LT"/>
        </w:rPr>
        <w:t xml:space="preserve"> </w:t>
      </w:r>
    </w:p>
    <w:p w14:paraId="2CDD9DA6" w14:textId="77777777" w:rsidR="00F34163" w:rsidRDefault="00F34163" w:rsidP="00F34163">
      <w:pPr>
        <w:numPr>
          <w:ilvl w:val="12"/>
          <w:numId w:val="0"/>
        </w:numPr>
        <w:tabs>
          <w:tab w:val="clear" w:pos="567"/>
        </w:tabs>
        <w:spacing w:line="240" w:lineRule="auto"/>
        <w:ind w:right="-2"/>
        <w:rPr>
          <w:szCs w:val="24"/>
          <w:lang w:val="lt-LT"/>
        </w:rPr>
      </w:pPr>
    </w:p>
    <w:p w14:paraId="4CF5C278" w14:textId="77777777" w:rsidR="004740FB" w:rsidRPr="00037B8B" w:rsidRDefault="004740FB" w:rsidP="00F34163">
      <w:pPr>
        <w:numPr>
          <w:ilvl w:val="12"/>
          <w:numId w:val="0"/>
        </w:numPr>
        <w:tabs>
          <w:tab w:val="clear" w:pos="567"/>
        </w:tabs>
        <w:spacing w:line="240" w:lineRule="auto"/>
        <w:ind w:right="-2"/>
        <w:rPr>
          <w:i/>
          <w:szCs w:val="24"/>
          <w:lang w:val="lt-LT"/>
        </w:rPr>
      </w:pPr>
      <w:r w:rsidRPr="00037B8B">
        <w:rPr>
          <w:i/>
          <w:szCs w:val="24"/>
          <w:lang w:val="lt-LT"/>
        </w:rPr>
        <w:t>Gamintojas</w:t>
      </w:r>
    </w:p>
    <w:p w14:paraId="0B325548" w14:textId="77777777" w:rsidR="004740FB" w:rsidRPr="004740FB" w:rsidRDefault="004740FB" w:rsidP="004740FB">
      <w:pPr>
        <w:numPr>
          <w:ilvl w:val="12"/>
          <w:numId w:val="0"/>
        </w:numPr>
        <w:tabs>
          <w:tab w:val="clear" w:pos="567"/>
        </w:tabs>
        <w:spacing w:line="240" w:lineRule="auto"/>
        <w:ind w:right="-2"/>
        <w:rPr>
          <w:szCs w:val="24"/>
          <w:lang w:val="lt-LT"/>
        </w:rPr>
      </w:pPr>
      <w:r w:rsidRPr="004740FB">
        <w:rPr>
          <w:szCs w:val="24"/>
          <w:lang w:val="lt-LT"/>
        </w:rPr>
        <w:t>Merckle GmbH</w:t>
      </w:r>
    </w:p>
    <w:p w14:paraId="24FE5CE9" w14:textId="77777777" w:rsidR="004740FB" w:rsidRPr="004740FB" w:rsidRDefault="004740FB" w:rsidP="004740FB">
      <w:pPr>
        <w:numPr>
          <w:ilvl w:val="12"/>
          <w:numId w:val="0"/>
        </w:numPr>
        <w:tabs>
          <w:tab w:val="clear" w:pos="567"/>
        </w:tabs>
        <w:spacing w:line="240" w:lineRule="auto"/>
        <w:ind w:right="-2"/>
        <w:rPr>
          <w:szCs w:val="24"/>
          <w:lang w:val="lt-LT"/>
        </w:rPr>
      </w:pPr>
      <w:r w:rsidRPr="004740FB">
        <w:rPr>
          <w:szCs w:val="24"/>
          <w:lang w:val="lt-LT"/>
        </w:rPr>
        <w:t>Ludwig-Merckle-Strasse 3</w:t>
      </w:r>
    </w:p>
    <w:p w14:paraId="4D3F217F" w14:textId="77777777" w:rsidR="004740FB" w:rsidRPr="004740FB" w:rsidRDefault="004740FB" w:rsidP="004740FB">
      <w:pPr>
        <w:numPr>
          <w:ilvl w:val="12"/>
          <w:numId w:val="0"/>
        </w:numPr>
        <w:tabs>
          <w:tab w:val="clear" w:pos="567"/>
        </w:tabs>
        <w:spacing w:line="240" w:lineRule="auto"/>
        <w:ind w:right="-2"/>
        <w:rPr>
          <w:szCs w:val="24"/>
          <w:lang w:val="lt-LT"/>
        </w:rPr>
      </w:pPr>
      <w:r>
        <w:rPr>
          <w:szCs w:val="24"/>
          <w:lang w:val="lt-LT"/>
        </w:rPr>
        <w:t xml:space="preserve">Blaubeuren </w:t>
      </w:r>
      <w:r w:rsidRPr="004740FB">
        <w:rPr>
          <w:szCs w:val="24"/>
          <w:lang w:val="lt-LT"/>
        </w:rPr>
        <w:t>89143</w:t>
      </w:r>
    </w:p>
    <w:p w14:paraId="09F4F096" w14:textId="77777777" w:rsidR="004740FB" w:rsidRDefault="004740FB" w:rsidP="004740FB">
      <w:pPr>
        <w:numPr>
          <w:ilvl w:val="12"/>
          <w:numId w:val="0"/>
        </w:numPr>
        <w:tabs>
          <w:tab w:val="clear" w:pos="567"/>
        </w:tabs>
        <w:spacing w:line="240" w:lineRule="auto"/>
        <w:ind w:right="-2"/>
        <w:rPr>
          <w:szCs w:val="24"/>
          <w:lang w:val="lt-LT"/>
        </w:rPr>
      </w:pPr>
      <w:r>
        <w:rPr>
          <w:szCs w:val="24"/>
          <w:lang w:val="lt-LT"/>
        </w:rPr>
        <w:t>Vokietija</w:t>
      </w:r>
    </w:p>
    <w:p w14:paraId="14BE701B" w14:textId="77777777" w:rsidR="004740FB" w:rsidRPr="004453A7" w:rsidRDefault="004740FB" w:rsidP="004740FB">
      <w:pPr>
        <w:numPr>
          <w:ilvl w:val="12"/>
          <w:numId w:val="0"/>
        </w:numPr>
        <w:tabs>
          <w:tab w:val="clear" w:pos="567"/>
        </w:tabs>
        <w:spacing w:line="240" w:lineRule="auto"/>
        <w:ind w:right="-2"/>
        <w:rPr>
          <w:szCs w:val="24"/>
          <w:lang w:val="lt-LT"/>
        </w:rPr>
      </w:pPr>
    </w:p>
    <w:p w14:paraId="68DF6577" w14:textId="77777777" w:rsidR="00F34163" w:rsidRDefault="00F34163" w:rsidP="00F34163">
      <w:pPr>
        <w:numPr>
          <w:ilvl w:val="12"/>
          <w:numId w:val="0"/>
        </w:numPr>
        <w:spacing w:line="240" w:lineRule="auto"/>
        <w:ind w:right="-2"/>
        <w:rPr>
          <w:noProof/>
          <w:szCs w:val="24"/>
          <w:lang w:val="lt-LT"/>
        </w:rPr>
      </w:pPr>
      <w:r w:rsidRPr="004453A7">
        <w:rPr>
          <w:noProof/>
          <w:szCs w:val="24"/>
          <w:lang w:val="lt-LT"/>
        </w:rPr>
        <w:t xml:space="preserve">Jeigu apie šį vaistą norite sužinoti daugiau, kreipkitės į vietinį </w:t>
      </w:r>
      <w:r w:rsidR="00461F31" w:rsidRPr="004453A7">
        <w:rPr>
          <w:noProof/>
          <w:szCs w:val="24"/>
          <w:lang w:val="lt-LT"/>
        </w:rPr>
        <w:t>registruotojo</w:t>
      </w:r>
      <w:r w:rsidRPr="004453A7">
        <w:rPr>
          <w:noProof/>
          <w:szCs w:val="24"/>
          <w:lang w:val="lt-LT"/>
        </w:rPr>
        <w:t xml:space="preserve"> atstovą</w:t>
      </w:r>
      <w:r w:rsidR="00447DE7" w:rsidRPr="004453A7">
        <w:rPr>
          <w:noProof/>
          <w:szCs w:val="24"/>
          <w:lang w:val="lt-LT"/>
        </w:rPr>
        <w:t>.</w:t>
      </w:r>
    </w:p>
    <w:p w14:paraId="5D448622" w14:textId="77777777" w:rsidR="00B917A2" w:rsidRPr="004453A7" w:rsidRDefault="00B917A2" w:rsidP="00F34163">
      <w:pPr>
        <w:numPr>
          <w:ilvl w:val="12"/>
          <w:numId w:val="0"/>
        </w:numPr>
        <w:spacing w:line="240" w:lineRule="auto"/>
        <w:ind w:right="-2"/>
        <w:rPr>
          <w:noProof/>
          <w:szCs w:val="24"/>
          <w:lang w:val="lt-LT"/>
        </w:rPr>
      </w:pPr>
    </w:p>
    <w:p w14:paraId="28DAA284" w14:textId="77777777" w:rsidR="00C16DE5" w:rsidRPr="004453A7" w:rsidRDefault="00C16DE5" w:rsidP="00C16DE5">
      <w:pPr>
        <w:pStyle w:val="BTEMEASMCA"/>
        <w:rPr>
          <w:sz w:val="22"/>
          <w:szCs w:val="22"/>
          <w:lang w:val="lt-LT"/>
        </w:rPr>
      </w:pPr>
      <w:r w:rsidRPr="004453A7">
        <w:rPr>
          <w:sz w:val="22"/>
          <w:szCs w:val="22"/>
          <w:lang w:val="lt-LT"/>
        </w:rPr>
        <w:t>UAB Teva Baltics</w:t>
      </w:r>
    </w:p>
    <w:p w14:paraId="66996576" w14:textId="77777777" w:rsidR="00C16DE5" w:rsidRPr="004453A7" w:rsidRDefault="00C16DE5" w:rsidP="00C16DE5">
      <w:pPr>
        <w:pStyle w:val="BTEMEASMCA"/>
        <w:rPr>
          <w:sz w:val="22"/>
          <w:szCs w:val="22"/>
          <w:lang w:val="lt-LT"/>
        </w:rPr>
      </w:pPr>
      <w:r w:rsidRPr="004453A7">
        <w:rPr>
          <w:sz w:val="22"/>
          <w:szCs w:val="22"/>
          <w:lang w:val="lt-LT"/>
        </w:rPr>
        <w:t>Molėtų pl. 5</w:t>
      </w:r>
    </w:p>
    <w:p w14:paraId="25D652F5" w14:textId="77777777" w:rsidR="00C16DE5" w:rsidRPr="00612370" w:rsidRDefault="00C16DE5" w:rsidP="00C16DE5">
      <w:pPr>
        <w:pStyle w:val="BTEMEASMCA"/>
        <w:rPr>
          <w:sz w:val="22"/>
          <w:szCs w:val="22"/>
          <w:lang w:val="lt-LT"/>
        </w:rPr>
      </w:pPr>
      <w:r w:rsidRPr="00612370">
        <w:rPr>
          <w:sz w:val="22"/>
          <w:szCs w:val="22"/>
          <w:lang w:val="lt-LT"/>
        </w:rPr>
        <w:t>LT-08409 Vilnius</w:t>
      </w:r>
    </w:p>
    <w:p w14:paraId="2A395AD8" w14:textId="77777777" w:rsidR="00C16DE5" w:rsidRPr="00612370" w:rsidRDefault="00C16DE5" w:rsidP="00C16DE5">
      <w:pPr>
        <w:pStyle w:val="BTEMEASMCA"/>
        <w:rPr>
          <w:sz w:val="22"/>
          <w:szCs w:val="22"/>
          <w:lang w:val="lt-LT"/>
        </w:rPr>
      </w:pPr>
      <w:r w:rsidRPr="00612370">
        <w:rPr>
          <w:sz w:val="22"/>
          <w:szCs w:val="22"/>
          <w:lang w:val="lt-LT"/>
        </w:rPr>
        <w:t>Tel. +370 5 266 02 03</w:t>
      </w:r>
    </w:p>
    <w:p w14:paraId="755EE223" w14:textId="77777777" w:rsidR="00F34163" w:rsidRPr="00612370" w:rsidRDefault="00F34163" w:rsidP="00F34163">
      <w:pPr>
        <w:numPr>
          <w:ilvl w:val="12"/>
          <w:numId w:val="0"/>
        </w:numPr>
        <w:ind w:right="-2"/>
        <w:rPr>
          <w:lang w:val="lt-LT"/>
        </w:rPr>
      </w:pPr>
    </w:p>
    <w:p w14:paraId="54165877" w14:textId="77777777" w:rsidR="00F34163" w:rsidRDefault="00461F31" w:rsidP="00F34163">
      <w:pPr>
        <w:numPr>
          <w:ilvl w:val="12"/>
          <w:numId w:val="0"/>
        </w:numPr>
        <w:ind w:right="-2"/>
        <w:rPr>
          <w:lang w:val="lt-LT"/>
        </w:rPr>
      </w:pPr>
      <w:r w:rsidRPr="00612370">
        <w:rPr>
          <w:b/>
          <w:lang w:val="lt-LT"/>
        </w:rPr>
        <w:t xml:space="preserve">Šis </w:t>
      </w:r>
      <w:r w:rsidR="00A76206" w:rsidRPr="00612370">
        <w:rPr>
          <w:b/>
          <w:lang w:val="lt-LT"/>
        </w:rPr>
        <w:t>vaistas</w:t>
      </w:r>
      <w:r w:rsidR="00F34163" w:rsidRPr="00612370">
        <w:rPr>
          <w:b/>
          <w:lang w:val="lt-LT"/>
        </w:rPr>
        <w:t xml:space="preserve"> </w:t>
      </w:r>
      <w:r w:rsidR="00C016C2" w:rsidRPr="00612370">
        <w:rPr>
          <w:b/>
          <w:lang w:val="lt-LT"/>
        </w:rPr>
        <w:t>Europos ekonominės erdvės</w:t>
      </w:r>
      <w:r w:rsidR="00F34163" w:rsidRPr="00612370">
        <w:rPr>
          <w:b/>
          <w:lang w:val="lt-LT"/>
        </w:rPr>
        <w:t xml:space="preserve"> valstybėse narėse </w:t>
      </w:r>
      <w:r w:rsidR="00C016C2" w:rsidRPr="00612370">
        <w:rPr>
          <w:b/>
          <w:lang w:val="lt-LT"/>
        </w:rPr>
        <w:t xml:space="preserve">ir Jungtinėje Karalystėje (Šiaurės Airijoje) </w:t>
      </w:r>
      <w:r w:rsidRPr="00612370">
        <w:rPr>
          <w:b/>
          <w:lang w:val="lt-LT"/>
        </w:rPr>
        <w:t xml:space="preserve">registruotas </w:t>
      </w:r>
      <w:r w:rsidR="00F34163" w:rsidRPr="00612370">
        <w:rPr>
          <w:b/>
          <w:lang w:val="lt-LT"/>
        </w:rPr>
        <w:t>tokiais pavadinimais</w:t>
      </w:r>
      <w:r w:rsidR="00C16DE5" w:rsidRPr="00612370">
        <w:rPr>
          <w:lang w:val="lt-LT"/>
        </w:rPr>
        <w:t>:</w:t>
      </w:r>
    </w:p>
    <w:p w14:paraId="784CC1E4" w14:textId="77777777" w:rsidR="000D397F" w:rsidRPr="00612370" w:rsidRDefault="000D397F" w:rsidP="00F34163">
      <w:pPr>
        <w:numPr>
          <w:ilvl w:val="12"/>
          <w:numId w:val="0"/>
        </w:numPr>
        <w:ind w:right="-2"/>
        <w:rPr>
          <w:lang w:val="lt-LT"/>
        </w:rPr>
      </w:pPr>
    </w:p>
    <w:tbl>
      <w:tblPr>
        <w:tblW w:w="0" w:type="auto"/>
        <w:tblLook w:val="04A0" w:firstRow="1" w:lastRow="0" w:firstColumn="1" w:lastColumn="0" w:noHBand="0" w:noVBand="1"/>
      </w:tblPr>
      <w:tblGrid>
        <w:gridCol w:w="2033"/>
        <w:gridCol w:w="7037"/>
      </w:tblGrid>
      <w:tr w:rsidR="00A969EF" w:rsidRPr="00612370" w14:paraId="3AC0B78B" w14:textId="77777777" w:rsidTr="004F3BCE">
        <w:tc>
          <w:tcPr>
            <w:tcW w:w="2057" w:type="dxa"/>
          </w:tcPr>
          <w:p w14:paraId="33B740EA" w14:textId="77777777" w:rsidR="00A969EF" w:rsidRPr="00612370" w:rsidRDefault="00A969EF" w:rsidP="003F6932">
            <w:pPr>
              <w:numPr>
                <w:ilvl w:val="12"/>
                <w:numId w:val="0"/>
              </w:numPr>
              <w:tabs>
                <w:tab w:val="clear" w:pos="567"/>
              </w:tabs>
              <w:spacing w:line="240" w:lineRule="auto"/>
              <w:ind w:right="-2"/>
              <w:rPr>
                <w:lang w:val="lt-LT"/>
              </w:rPr>
            </w:pPr>
            <w:r w:rsidRPr="00612370">
              <w:rPr>
                <w:lang w:val="lt-LT"/>
              </w:rPr>
              <w:t>Austrija:</w:t>
            </w:r>
          </w:p>
        </w:tc>
        <w:tc>
          <w:tcPr>
            <w:tcW w:w="7229" w:type="dxa"/>
          </w:tcPr>
          <w:p w14:paraId="184218DE" w14:textId="77777777" w:rsidR="00A969EF" w:rsidRPr="00612370" w:rsidRDefault="00A969EF" w:rsidP="003F6932">
            <w:pPr>
              <w:numPr>
                <w:ilvl w:val="12"/>
                <w:numId w:val="0"/>
              </w:numPr>
              <w:tabs>
                <w:tab w:val="clear" w:pos="567"/>
              </w:tabs>
              <w:spacing w:line="240" w:lineRule="auto"/>
              <w:ind w:right="-2"/>
              <w:rPr>
                <w:lang w:val="lt-LT"/>
              </w:rPr>
            </w:pPr>
            <w:r w:rsidRPr="00612370">
              <w:rPr>
                <w:lang w:val="lt-LT"/>
              </w:rPr>
              <w:t>Icatibant ratiopharm 30</w:t>
            </w:r>
            <w:r w:rsidR="00B917A2" w:rsidRPr="00612370">
              <w:rPr>
                <w:lang w:val="lt-LT"/>
              </w:rPr>
              <w:t> </w:t>
            </w:r>
            <w:r w:rsidRPr="00612370">
              <w:rPr>
                <w:lang w:val="lt-LT"/>
              </w:rPr>
              <w:t>mg Injektionslösung in einer Fertigspritze</w:t>
            </w:r>
          </w:p>
        </w:tc>
      </w:tr>
      <w:tr w:rsidR="00A969EF" w:rsidRPr="003F6932" w14:paraId="766CB04C" w14:textId="77777777" w:rsidTr="004F3BCE">
        <w:tc>
          <w:tcPr>
            <w:tcW w:w="2057" w:type="dxa"/>
          </w:tcPr>
          <w:p w14:paraId="0E4E207F" w14:textId="77777777" w:rsidR="00A969EF" w:rsidRPr="00612370" w:rsidRDefault="00A969EF" w:rsidP="003F6932">
            <w:pPr>
              <w:numPr>
                <w:ilvl w:val="12"/>
                <w:numId w:val="0"/>
              </w:numPr>
              <w:tabs>
                <w:tab w:val="clear" w:pos="567"/>
              </w:tabs>
              <w:spacing w:line="240" w:lineRule="auto"/>
              <w:ind w:right="-2"/>
              <w:rPr>
                <w:lang w:val="lt-LT"/>
              </w:rPr>
            </w:pPr>
            <w:r w:rsidRPr="00612370">
              <w:rPr>
                <w:lang w:val="lt-LT"/>
              </w:rPr>
              <w:t>Belgija:</w:t>
            </w:r>
          </w:p>
        </w:tc>
        <w:tc>
          <w:tcPr>
            <w:tcW w:w="7229" w:type="dxa"/>
          </w:tcPr>
          <w:p w14:paraId="6641692C" w14:textId="77777777" w:rsidR="00A969EF" w:rsidRPr="003F6932" w:rsidRDefault="004E6EF3" w:rsidP="003F6932">
            <w:pPr>
              <w:numPr>
                <w:ilvl w:val="12"/>
                <w:numId w:val="0"/>
              </w:numPr>
              <w:tabs>
                <w:tab w:val="clear" w:pos="567"/>
              </w:tabs>
              <w:spacing w:line="240" w:lineRule="auto"/>
              <w:ind w:right="-2"/>
              <w:rPr>
                <w:lang w:val="lt-LT"/>
              </w:rPr>
            </w:pPr>
            <w:r w:rsidRPr="00612370">
              <w:rPr>
                <w:lang w:val="lt-LT"/>
              </w:rPr>
              <w:t>Icatibant Teva 30</w:t>
            </w:r>
            <w:r w:rsidR="00B917A2" w:rsidRPr="00612370">
              <w:rPr>
                <w:lang w:val="lt-LT"/>
              </w:rPr>
              <w:t> </w:t>
            </w:r>
            <w:r w:rsidRPr="00612370">
              <w:rPr>
                <w:lang w:val="lt-LT"/>
              </w:rPr>
              <w:t>mg oplossing voor njectie in een voorgevulde spuit/ solution injectable en seringue préremplie/ Injektionslösung in einer Fertigspritze</w:t>
            </w:r>
          </w:p>
        </w:tc>
      </w:tr>
      <w:tr w:rsidR="00A969EF" w:rsidRPr="00363F39" w14:paraId="116A4A68" w14:textId="77777777" w:rsidTr="004F3BCE">
        <w:tc>
          <w:tcPr>
            <w:tcW w:w="2057" w:type="dxa"/>
          </w:tcPr>
          <w:p w14:paraId="42B4425B"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Bulgarija:</w:t>
            </w:r>
          </w:p>
        </w:tc>
        <w:tc>
          <w:tcPr>
            <w:tcW w:w="7229" w:type="dxa"/>
          </w:tcPr>
          <w:p w14:paraId="18626285"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Икатибант Тева 30</w:t>
            </w:r>
            <w:r w:rsidR="00B917A2">
              <w:rPr>
                <w:lang w:val="lt-LT"/>
              </w:rPr>
              <w:t> </w:t>
            </w:r>
            <w:r w:rsidRPr="003F6932">
              <w:rPr>
                <w:lang w:val="lt-LT"/>
              </w:rPr>
              <w:t>mg инжекционен разтвор в предварително напълнена спринцовка</w:t>
            </w:r>
          </w:p>
        </w:tc>
      </w:tr>
      <w:tr w:rsidR="00A969EF" w:rsidRPr="00363F39" w14:paraId="7B69161A" w14:textId="77777777" w:rsidTr="004F3BCE">
        <w:tc>
          <w:tcPr>
            <w:tcW w:w="2057" w:type="dxa"/>
          </w:tcPr>
          <w:p w14:paraId="35B53333"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Kroatija:</w:t>
            </w:r>
          </w:p>
        </w:tc>
        <w:tc>
          <w:tcPr>
            <w:tcW w:w="7229" w:type="dxa"/>
          </w:tcPr>
          <w:p w14:paraId="037A06F2"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Ikatibant Teva 30</w:t>
            </w:r>
            <w:r w:rsidR="00B917A2">
              <w:rPr>
                <w:lang w:val="lt-LT"/>
              </w:rPr>
              <w:t> </w:t>
            </w:r>
            <w:r w:rsidRPr="003F6932">
              <w:rPr>
                <w:lang w:val="lt-LT"/>
              </w:rPr>
              <w:t>mg otopina za injekciju u napunjenoj štrcaljki</w:t>
            </w:r>
          </w:p>
        </w:tc>
      </w:tr>
      <w:tr w:rsidR="00A969EF" w:rsidRPr="003F6932" w14:paraId="3D257E3E" w14:textId="77777777" w:rsidTr="004F3BCE">
        <w:tc>
          <w:tcPr>
            <w:tcW w:w="2057" w:type="dxa"/>
          </w:tcPr>
          <w:p w14:paraId="021845D9"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Danija:</w:t>
            </w:r>
          </w:p>
        </w:tc>
        <w:tc>
          <w:tcPr>
            <w:tcW w:w="7229" w:type="dxa"/>
          </w:tcPr>
          <w:p w14:paraId="783C5212"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w:t>
            </w:r>
            <w:bookmarkStart w:id="1" w:name="_GoBack"/>
            <w:bookmarkEnd w:id="1"/>
          </w:p>
        </w:tc>
      </w:tr>
      <w:tr w:rsidR="00A969EF" w:rsidRPr="003F6932" w14:paraId="0A5E5BCE" w14:textId="77777777" w:rsidTr="004F3BCE">
        <w:tc>
          <w:tcPr>
            <w:tcW w:w="2057" w:type="dxa"/>
          </w:tcPr>
          <w:p w14:paraId="6268EB1C"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Estija:</w:t>
            </w:r>
          </w:p>
        </w:tc>
        <w:tc>
          <w:tcPr>
            <w:tcW w:w="7229" w:type="dxa"/>
          </w:tcPr>
          <w:p w14:paraId="6E108229"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w:t>
            </w:r>
          </w:p>
        </w:tc>
      </w:tr>
      <w:tr w:rsidR="00A969EF" w:rsidRPr="003F6932" w14:paraId="2F14400F" w14:textId="77777777" w:rsidTr="004F3BCE">
        <w:tc>
          <w:tcPr>
            <w:tcW w:w="2057" w:type="dxa"/>
          </w:tcPr>
          <w:p w14:paraId="60F49984"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Suomija:</w:t>
            </w:r>
          </w:p>
        </w:tc>
        <w:tc>
          <w:tcPr>
            <w:tcW w:w="7229" w:type="dxa"/>
          </w:tcPr>
          <w:p w14:paraId="22B25930"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ratiopharm 30</w:t>
            </w:r>
            <w:r w:rsidR="00B917A2">
              <w:rPr>
                <w:lang w:val="lt-LT"/>
              </w:rPr>
              <w:t> </w:t>
            </w:r>
            <w:r w:rsidRPr="003F6932">
              <w:rPr>
                <w:lang w:val="lt-LT"/>
              </w:rPr>
              <w:t>mg injektioneste, liuos, esitäytetty ruisku</w:t>
            </w:r>
          </w:p>
        </w:tc>
      </w:tr>
      <w:tr w:rsidR="00A969EF" w:rsidRPr="00363F39" w14:paraId="5120DDCC" w14:textId="77777777" w:rsidTr="004F3BCE">
        <w:tc>
          <w:tcPr>
            <w:tcW w:w="2057" w:type="dxa"/>
          </w:tcPr>
          <w:p w14:paraId="36EA4D13"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Vengrija:</w:t>
            </w:r>
          </w:p>
        </w:tc>
        <w:tc>
          <w:tcPr>
            <w:tcW w:w="7229" w:type="dxa"/>
          </w:tcPr>
          <w:p w14:paraId="559BB2A2"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 30</w:t>
            </w:r>
            <w:r w:rsidR="00B917A2">
              <w:rPr>
                <w:lang w:val="lt-LT"/>
              </w:rPr>
              <w:t> </w:t>
            </w:r>
            <w:r w:rsidRPr="003F6932">
              <w:rPr>
                <w:lang w:val="lt-LT"/>
              </w:rPr>
              <w:t>mg oldatos injekció előretöltött fecskendőben</w:t>
            </w:r>
          </w:p>
        </w:tc>
      </w:tr>
      <w:tr w:rsidR="00A969EF" w:rsidRPr="003F6932" w14:paraId="2F125CC4" w14:textId="77777777" w:rsidTr="004F3BCE">
        <w:tc>
          <w:tcPr>
            <w:tcW w:w="2057" w:type="dxa"/>
          </w:tcPr>
          <w:p w14:paraId="74E9B8FE"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Italija:</w:t>
            </w:r>
          </w:p>
        </w:tc>
        <w:tc>
          <w:tcPr>
            <w:tcW w:w="7229" w:type="dxa"/>
          </w:tcPr>
          <w:p w14:paraId="456AD8F7"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w:t>
            </w:r>
          </w:p>
        </w:tc>
      </w:tr>
      <w:tr w:rsidR="00A969EF" w:rsidRPr="00363F39" w14:paraId="30570AFE" w14:textId="77777777" w:rsidTr="004F3BCE">
        <w:tc>
          <w:tcPr>
            <w:tcW w:w="2057" w:type="dxa"/>
          </w:tcPr>
          <w:p w14:paraId="6E7D874B"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Lietuva:</w:t>
            </w:r>
          </w:p>
        </w:tc>
        <w:tc>
          <w:tcPr>
            <w:tcW w:w="7229" w:type="dxa"/>
          </w:tcPr>
          <w:p w14:paraId="60BC3C02" w14:textId="77777777" w:rsidR="00A969EF" w:rsidRPr="003F6932" w:rsidRDefault="004E6EF3" w:rsidP="003F6932">
            <w:pPr>
              <w:numPr>
                <w:ilvl w:val="12"/>
                <w:numId w:val="0"/>
              </w:numPr>
              <w:tabs>
                <w:tab w:val="clear" w:pos="567"/>
              </w:tabs>
              <w:spacing w:line="240" w:lineRule="auto"/>
              <w:ind w:right="-2"/>
              <w:rPr>
                <w:lang w:val="lt-LT"/>
              </w:rPr>
            </w:pPr>
            <w:r w:rsidRPr="003F6932">
              <w:rPr>
                <w:lang w:val="lt-LT"/>
              </w:rPr>
              <w:t>Icatibant Teva 30</w:t>
            </w:r>
            <w:r w:rsidR="00B917A2">
              <w:rPr>
                <w:lang w:val="lt-LT"/>
              </w:rPr>
              <w:t> </w:t>
            </w:r>
            <w:r w:rsidRPr="003F6932">
              <w:rPr>
                <w:lang w:val="lt-LT"/>
              </w:rPr>
              <w:t>mg injekcinis tirpalas užpildytame švirkšte</w:t>
            </w:r>
          </w:p>
        </w:tc>
      </w:tr>
      <w:tr w:rsidR="004E6EF3" w:rsidRPr="003F6932" w14:paraId="22126289" w14:textId="77777777" w:rsidTr="004F3BCE">
        <w:tc>
          <w:tcPr>
            <w:tcW w:w="2057" w:type="dxa"/>
          </w:tcPr>
          <w:p w14:paraId="164D8C31"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Nyderlandai:</w:t>
            </w:r>
          </w:p>
        </w:tc>
        <w:tc>
          <w:tcPr>
            <w:tcW w:w="7229" w:type="dxa"/>
          </w:tcPr>
          <w:p w14:paraId="3807E614"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Icatibant Teva 30</w:t>
            </w:r>
            <w:r w:rsidR="00B917A2">
              <w:rPr>
                <w:lang w:val="lt-LT"/>
              </w:rPr>
              <w:t> </w:t>
            </w:r>
            <w:r w:rsidRPr="003F6932">
              <w:rPr>
                <w:lang w:val="lt-LT"/>
              </w:rPr>
              <w:t>mg oplossing voor injectie, in voorgevulde spuit</w:t>
            </w:r>
          </w:p>
        </w:tc>
      </w:tr>
      <w:tr w:rsidR="004E6EF3" w:rsidRPr="003F6932" w14:paraId="57283AC2" w14:textId="77777777" w:rsidTr="004F3BCE">
        <w:tc>
          <w:tcPr>
            <w:tcW w:w="2057" w:type="dxa"/>
          </w:tcPr>
          <w:p w14:paraId="365AF05F"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Norvegija:</w:t>
            </w:r>
          </w:p>
        </w:tc>
        <w:tc>
          <w:tcPr>
            <w:tcW w:w="7229" w:type="dxa"/>
          </w:tcPr>
          <w:p w14:paraId="59C434BE"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Icatibant Teva</w:t>
            </w:r>
          </w:p>
        </w:tc>
      </w:tr>
      <w:tr w:rsidR="004E6EF3" w:rsidRPr="003F6932" w14:paraId="347A4076" w14:textId="77777777" w:rsidTr="004F3BCE">
        <w:tc>
          <w:tcPr>
            <w:tcW w:w="2057" w:type="dxa"/>
          </w:tcPr>
          <w:p w14:paraId="3D63073C"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Švedija:</w:t>
            </w:r>
          </w:p>
        </w:tc>
        <w:tc>
          <w:tcPr>
            <w:tcW w:w="7229" w:type="dxa"/>
          </w:tcPr>
          <w:p w14:paraId="1B194BB6"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Icatibant Teva</w:t>
            </w:r>
          </w:p>
        </w:tc>
      </w:tr>
      <w:tr w:rsidR="004E6EF3" w:rsidRPr="003F6932" w14:paraId="7BDA0088" w14:textId="77777777" w:rsidTr="004F3BCE">
        <w:tc>
          <w:tcPr>
            <w:tcW w:w="2057" w:type="dxa"/>
          </w:tcPr>
          <w:p w14:paraId="5107C350"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 xml:space="preserve">Jungtinė Karalystė </w:t>
            </w:r>
          </w:p>
          <w:p w14:paraId="31DCA2BD"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 xml:space="preserve">(Šiaurės Airija):           </w:t>
            </w:r>
          </w:p>
        </w:tc>
        <w:tc>
          <w:tcPr>
            <w:tcW w:w="7229" w:type="dxa"/>
          </w:tcPr>
          <w:p w14:paraId="785BFBDB" w14:textId="77777777" w:rsidR="004E6EF3" w:rsidRPr="003F6932" w:rsidRDefault="004E6EF3" w:rsidP="003F6932">
            <w:pPr>
              <w:numPr>
                <w:ilvl w:val="12"/>
                <w:numId w:val="0"/>
              </w:numPr>
              <w:tabs>
                <w:tab w:val="clear" w:pos="567"/>
              </w:tabs>
              <w:spacing w:line="240" w:lineRule="auto"/>
              <w:ind w:right="-2"/>
              <w:rPr>
                <w:lang w:val="lt-LT"/>
              </w:rPr>
            </w:pPr>
            <w:r w:rsidRPr="003F6932">
              <w:rPr>
                <w:lang w:val="lt-LT"/>
              </w:rPr>
              <w:t>Icatibant Teva 30</w:t>
            </w:r>
            <w:r w:rsidR="00B917A2">
              <w:rPr>
                <w:lang w:val="lt-LT"/>
              </w:rPr>
              <w:t> </w:t>
            </w:r>
            <w:r w:rsidRPr="003F6932">
              <w:rPr>
                <w:lang w:val="lt-LT"/>
              </w:rPr>
              <w:t>mg Solution for Injection in Pre-filled Syringe</w:t>
            </w:r>
          </w:p>
        </w:tc>
      </w:tr>
    </w:tbl>
    <w:p w14:paraId="75536AE6" w14:textId="77777777" w:rsidR="004D589A" w:rsidRPr="004453A7" w:rsidRDefault="004D589A" w:rsidP="00F34163">
      <w:pPr>
        <w:numPr>
          <w:ilvl w:val="12"/>
          <w:numId w:val="0"/>
        </w:numPr>
        <w:tabs>
          <w:tab w:val="clear" w:pos="567"/>
        </w:tabs>
        <w:spacing w:line="240" w:lineRule="auto"/>
        <w:ind w:right="-2"/>
        <w:rPr>
          <w:b/>
          <w:lang w:val="lt-LT"/>
        </w:rPr>
      </w:pPr>
    </w:p>
    <w:p w14:paraId="1C38DF62" w14:textId="2508468D" w:rsidR="00F34163" w:rsidRPr="004453A7" w:rsidRDefault="00F34163" w:rsidP="00F34163">
      <w:pPr>
        <w:numPr>
          <w:ilvl w:val="12"/>
          <w:numId w:val="0"/>
        </w:numPr>
        <w:tabs>
          <w:tab w:val="clear" w:pos="567"/>
        </w:tabs>
        <w:spacing w:line="240" w:lineRule="auto"/>
        <w:ind w:right="-2"/>
        <w:rPr>
          <w:b/>
          <w:lang w:val="lt-LT"/>
        </w:rPr>
      </w:pPr>
      <w:r w:rsidRPr="004453A7">
        <w:rPr>
          <w:b/>
          <w:lang w:val="lt-LT"/>
        </w:rPr>
        <w:t>Šis pakuotės lapel</w:t>
      </w:r>
      <w:r w:rsidR="00C16DE5" w:rsidRPr="004453A7">
        <w:rPr>
          <w:b/>
          <w:lang w:val="lt-LT"/>
        </w:rPr>
        <w:t>is paskutinį kartą peržiūrėtas</w:t>
      </w:r>
      <w:r w:rsidR="00EE29BE">
        <w:rPr>
          <w:b/>
          <w:lang w:val="lt-LT"/>
        </w:rPr>
        <w:t xml:space="preserve"> 2025-10-31</w:t>
      </w:r>
      <w:r w:rsidR="000D397F">
        <w:rPr>
          <w:b/>
          <w:lang w:val="lt-LT"/>
        </w:rPr>
        <w:t>.</w:t>
      </w:r>
    </w:p>
    <w:p w14:paraId="4CDE86BF" w14:textId="77777777" w:rsidR="00F34163" w:rsidRPr="004453A7" w:rsidRDefault="00F34163" w:rsidP="00F34163">
      <w:pPr>
        <w:numPr>
          <w:ilvl w:val="12"/>
          <w:numId w:val="0"/>
        </w:numPr>
        <w:spacing w:line="240" w:lineRule="auto"/>
        <w:ind w:right="-2"/>
        <w:rPr>
          <w:i/>
          <w:szCs w:val="24"/>
          <w:lang w:val="lt-LT"/>
        </w:rPr>
      </w:pPr>
    </w:p>
    <w:p w14:paraId="64FE93BC" w14:textId="77777777" w:rsidR="00324035" w:rsidRPr="00C86981" w:rsidRDefault="00324035" w:rsidP="00324035">
      <w:pPr>
        <w:jc w:val="both"/>
        <w:rPr>
          <w:szCs w:val="22"/>
          <w:lang w:val="lt-LT" w:eastAsia="lt-LT"/>
        </w:rPr>
      </w:pPr>
      <w:r w:rsidRPr="00C86981">
        <w:rPr>
          <w:szCs w:val="22"/>
          <w:lang w:val="lt-LT" w:eastAsia="lt-LT"/>
        </w:rPr>
        <w:t xml:space="preserve">Išsami informacija apie šį vaistą pateikiama Valstybinės vaistų kontrolės tarnybos prie Lietuvos Respublikos sveikatos apsaugos ministerijos tinklalapyje </w:t>
      </w:r>
      <w:r w:rsidRPr="00C86981">
        <w:rPr>
          <w:color w:val="0000EE"/>
          <w:szCs w:val="22"/>
          <w:u w:val="single"/>
          <w:lang w:val="lt-LT" w:eastAsia="lt-LT"/>
        </w:rPr>
        <w:t>https://vvkt.lrv.lt/lt/</w:t>
      </w:r>
      <w:r w:rsidRPr="00C86981">
        <w:rPr>
          <w:szCs w:val="22"/>
          <w:lang w:val="lt-LT" w:eastAsia="lt-LT"/>
        </w:rPr>
        <w:t>.</w:t>
      </w:r>
    </w:p>
    <w:p w14:paraId="3EA7CEE8" w14:textId="77777777" w:rsidR="00EC46F9" w:rsidRPr="004453A7" w:rsidRDefault="00EC46F9">
      <w:pPr>
        <w:rPr>
          <w:lang w:val="lt-LT"/>
        </w:rPr>
      </w:pPr>
    </w:p>
    <w:sectPr w:rsidR="00EC46F9" w:rsidRPr="004453A7" w:rsidSect="000D397F">
      <w:headerReference w:type="default" r:id="rId20"/>
      <w:footerReference w:type="default" r:id="rId21"/>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C4671" w14:textId="77777777" w:rsidR="00324035" w:rsidRDefault="00324035" w:rsidP="001B1D1C">
      <w:pPr>
        <w:spacing w:line="240" w:lineRule="auto"/>
      </w:pPr>
      <w:r>
        <w:separator/>
      </w:r>
    </w:p>
  </w:endnote>
  <w:endnote w:type="continuationSeparator" w:id="0">
    <w:p w14:paraId="3F295015" w14:textId="77777777" w:rsidR="00324035" w:rsidRDefault="00324035" w:rsidP="001B1D1C">
      <w:pPr>
        <w:spacing w:line="240" w:lineRule="auto"/>
      </w:pPr>
      <w:r>
        <w:continuationSeparator/>
      </w:r>
    </w:p>
  </w:endnote>
  <w:endnote w:type="continuationNotice" w:id="1">
    <w:p w14:paraId="18FA4CBD" w14:textId="77777777" w:rsidR="00324035" w:rsidRDefault="003240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838A" w14:textId="4EF9369D" w:rsidR="001B1D1C" w:rsidRDefault="001B1D1C">
    <w:pPr>
      <w:pStyle w:val="Porat"/>
      <w:jc w:val="center"/>
    </w:pPr>
    <w:r>
      <w:fldChar w:fldCharType="begin"/>
    </w:r>
    <w:r>
      <w:instrText xml:space="preserve"> PAGE   \* MERGEFORMAT </w:instrText>
    </w:r>
    <w:r>
      <w:fldChar w:fldCharType="separate"/>
    </w:r>
    <w:r w:rsidR="00EE29BE">
      <w:rPr>
        <w:noProof/>
      </w:rPr>
      <w:t>36</w:t>
    </w:r>
    <w:r>
      <w:rPr>
        <w:noProof/>
      </w:rPr>
      <w:fldChar w:fldCharType="end"/>
    </w:r>
  </w:p>
  <w:p w14:paraId="5E613B85" w14:textId="77777777" w:rsidR="001B1D1C" w:rsidRDefault="001B1D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E48FB" w14:textId="77777777" w:rsidR="00324035" w:rsidRDefault="00324035" w:rsidP="001B1D1C">
      <w:pPr>
        <w:spacing w:line="240" w:lineRule="auto"/>
      </w:pPr>
      <w:r>
        <w:separator/>
      </w:r>
    </w:p>
  </w:footnote>
  <w:footnote w:type="continuationSeparator" w:id="0">
    <w:p w14:paraId="4A8475E2" w14:textId="77777777" w:rsidR="00324035" w:rsidRDefault="00324035" w:rsidP="001B1D1C">
      <w:pPr>
        <w:spacing w:line="240" w:lineRule="auto"/>
      </w:pPr>
      <w:r>
        <w:continuationSeparator/>
      </w:r>
    </w:p>
  </w:footnote>
  <w:footnote w:type="continuationNotice" w:id="1">
    <w:p w14:paraId="04B3C4B2" w14:textId="77777777" w:rsidR="00324035" w:rsidRDefault="003240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7DE8" w14:textId="77777777" w:rsidR="00AE590B" w:rsidRDefault="00AE590B" w:rsidP="0055078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06442"/>
    <w:multiLevelType w:val="hybridMultilevel"/>
    <w:tmpl w:val="F0D840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D5AD8"/>
    <w:multiLevelType w:val="hybridMultilevel"/>
    <w:tmpl w:val="B6CAFC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34A70"/>
    <w:multiLevelType w:val="hybridMultilevel"/>
    <w:tmpl w:val="D40C8100"/>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E492D"/>
    <w:multiLevelType w:val="hybridMultilevel"/>
    <w:tmpl w:val="0EDA20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10F4E"/>
    <w:multiLevelType w:val="hybridMultilevel"/>
    <w:tmpl w:val="8BAE28E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D0E0D"/>
    <w:multiLevelType w:val="hybridMultilevel"/>
    <w:tmpl w:val="6DA48C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DB6705"/>
    <w:multiLevelType w:val="hybridMultilevel"/>
    <w:tmpl w:val="EFA4031C"/>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54998"/>
    <w:multiLevelType w:val="hybridMultilevel"/>
    <w:tmpl w:val="066A5EC4"/>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B7772"/>
    <w:multiLevelType w:val="hybridMultilevel"/>
    <w:tmpl w:val="4776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40378"/>
    <w:multiLevelType w:val="hybridMultilevel"/>
    <w:tmpl w:val="7FD0B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85C01"/>
    <w:multiLevelType w:val="hybridMultilevel"/>
    <w:tmpl w:val="B9BE3ACE"/>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30CCD"/>
    <w:multiLevelType w:val="hybridMultilevel"/>
    <w:tmpl w:val="0A64D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54E06"/>
    <w:multiLevelType w:val="hybridMultilevel"/>
    <w:tmpl w:val="DE6460A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8300C"/>
    <w:multiLevelType w:val="hybridMultilevel"/>
    <w:tmpl w:val="DE4468A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C3582"/>
    <w:multiLevelType w:val="hybridMultilevel"/>
    <w:tmpl w:val="EE0CFAC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2101DB"/>
    <w:multiLevelType w:val="hybridMultilevel"/>
    <w:tmpl w:val="D96CB2BE"/>
    <w:lvl w:ilvl="0" w:tplc="8D2EC21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6A3DFA"/>
    <w:multiLevelType w:val="hybridMultilevel"/>
    <w:tmpl w:val="D850EF6C"/>
    <w:lvl w:ilvl="0" w:tplc="FFFFFFFF">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1637"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5"/>
  </w:num>
  <w:num w:numId="8">
    <w:abstractNumId w:val="6"/>
  </w:num>
  <w:num w:numId="9">
    <w:abstractNumId w:val="15"/>
  </w:num>
  <w:num w:numId="10">
    <w:abstractNumId w:val="14"/>
  </w:num>
  <w:num w:numId="11">
    <w:abstractNumId w:val="13"/>
  </w:num>
  <w:num w:numId="12">
    <w:abstractNumId w:val="3"/>
  </w:num>
  <w:num w:numId="13">
    <w:abstractNumId w:val="16"/>
  </w:num>
  <w:num w:numId="14">
    <w:abstractNumId w:val="10"/>
  </w:num>
  <w:num w:numId="15">
    <w:abstractNumId w:val="11"/>
  </w:num>
  <w:num w:numId="16">
    <w:abstractNumId w:val="12"/>
  </w:num>
  <w:num w:numId="17">
    <w:abstractNumId w:val="4"/>
  </w:num>
  <w:num w:numId="18">
    <w:abstractNumId w:val="9"/>
  </w:num>
  <w:num w:numId="19">
    <w:abstractNumId w:val="7"/>
  </w:num>
  <w:num w:numId="20">
    <w:abstractNumId w:val="8"/>
  </w:num>
  <w:num w:numId="21">
    <w:abstractNumId w:val="19"/>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37B8B"/>
    <w:rsid w:val="00040EEF"/>
    <w:rsid w:val="00041DE6"/>
    <w:rsid w:val="000460DE"/>
    <w:rsid w:val="00052C1E"/>
    <w:rsid w:val="000610AF"/>
    <w:rsid w:val="00062634"/>
    <w:rsid w:val="0007631B"/>
    <w:rsid w:val="000768AA"/>
    <w:rsid w:val="0007733D"/>
    <w:rsid w:val="00082583"/>
    <w:rsid w:val="000911B0"/>
    <w:rsid w:val="00092FB4"/>
    <w:rsid w:val="000A58F3"/>
    <w:rsid w:val="000A79DC"/>
    <w:rsid w:val="000B64A1"/>
    <w:rsid w:val="000D1B5A"/>
    <w:rsid w:val="000D397F"/>
    <w:rsid w:val="000D5685"/>
    <w:rsid w:val="000E2DA3"/>
    <w:rsid w:val="000F54BB"/>
    <w:rsid w:val="00116BB9"/>
    <w:rsid w:val="00117186"/>
    <w:rsid w:val="00126F6D"/>
    <w:rsid w:val="00151D71"/>
    <w:rsid w:val="001532B2"/>
    <w:rsid w:val="00154AA9"/>
    <w:rsid w:val="00161220"/>
    <w:rsid w:val="00164DF8"/>
    <w:rsid w:val="00171BFF"/>
    <w:rsid w:val="0019232B"/>
    <w:rsid w:val="00193794"/>
    <w:rsid w:val="00194925"/>
    <w:rsid w:val="001A2C38"/>
    <w:rsid w:val="001A3DF1"/>
    <w:rsid w:val="001A4353"/>
    <w:rsid w:val="001A4C00"/>
    <w:rsid w:val="001B1D1C"/>
    <w:rsid w:val="001C1EC0"/>
    <w:rsid w:val="001F10B8"/>
    <w:rsid w:val="001F4856"/>
    <w:rsid w:val="0020609E"/>
    <w:rsid w:val="0021796F"/>
    <w:rsid w:val="002274D0"/>
    <w:rsid w:val="00241266"/>
    <w:rsid w:val="00242C69"/>
    <w:rsid w:val="00267BB8"/>
    <w:rsid w:val="00282366"/>
    <w:rsid w:val="002875E6"/>
    <w:rsid w:val="002927F2"/>
    <w:rsid w:val="002A08DA"/>
    <w:rsid w:val="002A3840"/>
    <w:rsid w:val="002A543C"/>
    <w:rsid w:val="002B7E33"/>
    <w:rsid w:val="002D5832"/>
    <w:rsid w:val="002E3061"/>
    <w:rsid w:val="002F6C45"/>
    <w:rsid w:val="00301799"/>
    <w:rsid w:val="00324035"/>
    <w:rsid w:val="00331196"/>
    <w:rsid w:val="00342884"/>
    <w:rsid w:val="00346387"/>
    <w:rsid w:val="00355525"/>
    <w:rsid w:val="00362CDE"/>
    <w:rsid w:val="0036377A"/>
    <w:rsid w:val="00363F39"/>
    <w:rsid w:val="00380E5E"/>
    <w:rsid w:val="003839FD"/>
    <w:rsid w:val="00397C48"/>
    <w:rsid w:val="003B637A"/>
    <w:rsid w:val="003D61F3"/>
    <w:rsid w:val="003D6FBC"/>
    <w:rsid w:val="003D7903"/>
    <w:rsid w:val="003E6D93"/>
    <w:rsid w:val="003F333C"/>
    <w:rsid w:val="003F6932"/>
    <w:rsid w:val="00417DC4"/>
    <w:rsid w:val="00421FE5"/>
    <w:rsid w:val="00444711"/>
    <w:rsid w:val="004453A7"/>
    <w:rsid w:val="00447DE7"/>
    <w:rsid w:val="00460430"/>
    <w:rsid w:val="00461F31"/>
    <w:rsid w:val="004740FB"/>
    <w:rsid w:val="004971F6"/>
    <w:rsid w:val="004D125A"/>
    <w:rsid w:val="004D52B4"/>
    <w:rsid w:val="004D589A"/>
    <w:rsid w:val="004E6EF3"/>
    <w:rsid w:val="004F3BCE"/>
    <w:rsid w:val="00500FDD"/>
    <w:rsid w:val="00503D27"/>
    <w:rsid w:val="00505ECF"/>
    <w:rsid w:val="00517575"/>
    <w:rsid w:val="0053501D"/>
    <w:rsid w:val="00550788"/>
    <w:rsid w:val="00550EE6"/>
    <w:rsid w:val="005542E1"/>
    <w:rsid w:val="005829CF"/>
    <w:rsid w:val="00585EF2"/>
    <w:rsid w:val="00596636"/>
    <w:rsid w:val="00597B83"/>
    <w:rsid w:val="005A2840"/>
    <w:rsid w:val="005C09D3"/>
    <w:rsid w:val="005D00C0"/>
    <w:rsid w:val="005D0870"/>
    <w:rsid w:val="005D2825"/>
    <w:rsid w:val="005E7FB2"/>
    <w:rsid w:val="005F037A"/>
    <w:rsid w:val="00601748"/>
    <w:rsid w:val="0060174D"/>
    <w:rsid w:val="00612370"/>
    <w:rsid w:val="0063254E"/>
    <w:rsid w:val="00653B20"/>
    <w:rsid w:val="00661027"/>
    <w:rsid w:val="00671890"/>
    <w:rsid w:val="00675B18"/>
    <w:rsid w:val="006B57CB"/>
    <w:rsid w:val="006B6EEB"/>
    <w:rsid w:val="006D1B14"/>
    <w:rsid w:val="006E0BDC"/>
    <w:rsid w:val="00700818"/>
    <w:rsid w:val="007046D8"/>
    <w:rsid w:val="00707742"/>
    <w:rsid w:val="00721DFC"/>
    <w:rsid w:val="0074234D"/>
    <w:rsid w:val="0074235F"/>
    <w:rsid w:val="007473B2"/>
    <w:rsid w:val="00785FC2"/>
    <w:rsid w:val="007A4048"/>
    <w:rsid w:val="007B5B95"/>
    <w:rsid w:val="007B685A"/>
    <w:rsid w:val="007C1B75"/>
    <w:rsid w:val="007D0B50"/>
    <w:rsid w:val="007D2D93"/>
    <w:rsid w:val="00801AE4"/>
    <w:rsid w:val="0080684F"/>
    <w:rsid w:val="00825C63"/>
    <w:rsid w:val="00826CB6"/>
    <w:rsid w:val="008327FC"/>
    <w:rsid w:val="00845BFF"/>
    <w:rsid w:val="00856BF6"/>
    <w:rsid w:val="00864381"/>
    <w:rsid w:val="008735EE"/>
    <w:rsid w:val="00874901"/>
    <w:rsid w:val="008847D7"/>
    <w:rsid w:val="008A7076"/>
    <w:rsid w:val="008B3C44"/>
    <w:rsid w:val="009145D6"/>
    <w:rsid w:val="00925AA2"/>
    <w:rsid w:val="0092687F"/>
    <w:rsid w:val="00943A29"/>
    <w:rsid w:val="00944644"/>
    <w:rsid w:val="009477DB"/>
    <w:rsid w:val="00972FD3"/>
    <w:rsid w:val="00977678"/>
    <w:rsid w:val="0098275A"/>
    <w:rsid w:val="00993B78"/>
    <w:rsid w:val="009A25B4"/>
    <w:rsid w:val="009A5C37"/>
    <w:rsid w:val="009A6720"/>
    <w:rsid w:val="009B484F"/>
    <w:rsid w:val="009E1D6E"/>
    <w:rsid w:val="009E77EC"/>
    <w:rsid w:val="009F42E6"/>
    <w:rsid w:val="00A25397"/>
    <w:rsid w:val="00A37279"/>
    <w:rsid w:val="00A64840"/>
    <w:rsid w:val="00A76206"/>
    <w:rsid w:val="00A969EF"/>
    <w:rsid w:val="00AA148B"/>
    <w:rsid w:val="00AC2E9C"/>
    <w:rsid w:val="00AD11A6"/>
    <w:rsid w:val="00AD2618"/>
    <w:rsid w:val="00AD3EB8"/>
    <w:rsid w:val="00AD5DA9"/>
    <w:rsid w:val="00AE590B"/>
    <w:rsid w:val="00B10BB9"/>
    <w:rsid w:val="00B13893"/>
    <w:rsid w:val="00B238B4"/>
    <w:rsid w:val="00B30C00"/>
    <w:rsid w:val="00B51C06"/>
    <w:rsid w:val="00B62E56"/>
    <w:rsid w:val="00B65E73"/>
    <w:rsid w:val="00B7244A"/>
    <w:rsid w:val="00B84BB6"/>
    <w:rsid w:val="00B917A2"/>
    <w:rsid w:val="00BA6A1D"/>
    <w:rsid w:val="00BB4EA5"/>
    <w:rsid w:val="00BC3BB8"/>
    <w:rsid w:val="00BC75C2"/>
    <w:rsid w:val="00BD0903"/>
    <w:rsid w:val="00C016C2"/>
    <w:rsid w:val="00C04150"/>
    <w:rsid w:val="00C05585"/>
    <w:rsid w:val="00C16DE5"/>
    <w:rsid w:val="00C50F35"/>
    <w:rsid w:val="00C5557B"/>
    <w:rsid w:val="00C833C8"/>
    <w:rsid w:val="00C8680A"/>
    <w:rsid w:val="00C86981"/>
    <w:rsid w:val="00C92C98"/>
    <w:rsid w:val="00CD2FE5"/>
    <w:rsid w:val="00CD5F9F"/>
    <w:rsid w:val="00CE4726"/>
    <w:rsid w:val="00CE6EC2"/>
    <w:rsid w:val="00D0287F"/>
    <w:rsid w:val="00D14A94"/>
    <w:rsid w:val="00D15ECA"/>
    <w:rsid w:val="00D32725"/>
    <w:rsid w:val="00D34E5C"/>
    <w:rsid w:val="00D6550C"/>
    <w:rsid w:val="00D96732"/>
    <w:rsid w:val="00DA05FF"/>
    <w:rsid w:val="00DB115F"/>
    <w:rsid w:val="00DB2652"/>
    <w:rsid w:val="00DC03D5"/>
    <w:rsid w:val="00DC0EA7"/>
    <w:rsid w:val="00DC1A53"/>
    <w:rsid w:val="00DE7EF5"/>
    <w:rsid w:val="00E012A4"/>
    <w:rsid w:val="00E01BF1"/>
    <w:rsid w:val="00E2116A"/>
    <w:rsid w:val="00E23E75"/>
    <w:rsid w:val="00E24EA0"/>
    <w:rsid w:val="00E278A4"/>
    <w:rsid w:val="00E328E6"/>
    <w:rsid w:val="00E56AAB"/>
    <w:rsid w:val="00E7064A"/>
    <w:rsid w:val="00E71BDC"/>
    <w:rsid w:val="00E8175F"/>
    <w:rsid w:val="00E8737A"/>
    <w:rsid w:val="00E87C8C"/>
    <w:rsid w:val="00EB3C73"/>
    <w:rsid w:val="00EC46F9"/>
    <w:rsid w:val="00ED73D5"/>
    <w:rsid w:val="00EE29BE"/>
    <w:rsid w:val="00EE604D"/>
    <w:rsid w:val="00EF473A"/>
    <w:rsid w:val="00EF552A"/>
    <w:rsid w:val="00F02E72"/>
    <w:rsid w:val="00F13E09"/>
    <w:rsid w:val="00F16A09"/>
    <w:rsid w:val="00F22D2D"/>
    <w:rsid w:val="00F23657"/>
    <w:rsid w:val="00F26152"/>
    <w:rsid w:val="00F34163"/>
    <w:rsid w:val="00F35818"/>
    <w:rsid w:val="00F43548"/>
    <w:rsid w:val="00F50FAE"/>
    <w:rsid w:val="00F65C3C"/>
    <w:rsid w:val="00F745F2"/>
    <w:rsid w:val="00F83B82"/>
    <w:rsid w:val="00F917CF"/>
    <w:rsid w:val="00FA3A59"/>
    <w:rsid w:val="00FB3B50"/>
    <w:rsid w:val="00FE3FD1"/>
    <w:rsid w:val="00FF5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440D"/>
  <w15:chartTrackingRefBased/>
  <w15:docId w15:val="{2DA0EB6B-1506-4B2B-898A-E524FDDA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7DC4"/>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0911B0"/>
    <w:pPr>
      <w:ind w:left="720"/>
    </w:pPr>
  </w:style>
  <w:style w:type="paragraph" w:styleId="Betarp">
    <w:name w:val="No Spacing"/>
    <w:uiPriority w:val="1"/>
    <w:qFormat/>
    <w:rsid w:val="001F4856"/>
    <w:pPr>
      <w:tabs>
        <w:tab w:val="left" w:pos="567"/>
      </w:tabs>
    </w:pPr>
    <w:rPr>
      <w:rFonts w:ascii="Times New Roman" w:eastAsia="Times New Roman" w:hAnsi="Times New Roman"/>
      <w:snapToGrid w:val="0"/>
      <w:sz w:val="22"/>
      <w:lang w:val="en-GB" w:eastAsia="en-US"/>
    </w:rPr>
  </w:style>
  <w:style w:type="paragraph" w:styleId="Paantrat">
    <w:name w:val="Subtitle"/>
    <w:basedOn w:val="prastasis"/>
    <w:next w:val="prastasis"/>
    <w:link w:val="PaantratDiagrama"/>
    <w:uiPriority w:val="11"/>
    <w:qFormat/>
    <w:rsid w:val="001F4856"/>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1F4856"/>
    <w:rPr>
      <w:rFonts w:ascii="Calibri Light" w:eastAsia="Times New Roman" w:hAnsi="Calibri Light" w:cs="Times New Roman"/>
      <w:snapToGrid w:val="0"/>
      <w:sz w:val="24"/>
      <w:szCs w:val="24"/>
      <w:lang w:val="en-GB"/>
    </w:rPr>
  </w:style>
  <w:style w:type="paragraph" w:styleId="HTMLiankstoformatuotas">
    <w:name w:val="HTML Preformatted"/>
    <w:basedOn w:val="prastasis"/>
    <w:link w:val="HTMLiankstoformatuotasDiagrama"/>
    <w:uiPriority w:val="99"/>
    <w:semiHidden/>
    <w:unhideWhenUsed/>
    <w:rsid w:val="0016122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en-US"/>
    </w:rPr>
  </w:style>
  <w:style w:type="character" w:customStyle="1" w:styleId="HTMLiankstoformatuotasDiagrama">
    <w:name w:val="HTML iš anksto formatuotas Diagrama"/>
    <w:link w:val="HTMLiankstoformatuotas"/>
    <w:uiPriority w:val="99"/>
    <w:semiHidden/>
    <w:rsid w:val="00161220"/>
    <w:rPr>
      <w:rFonts w:ascii="Courier New" w:eastAsia="Times New Roman" w:hAnsi="Courier New" w:cs="Courier New"/>
    </w:rPr>
  </w:style>
  <w:style w:type="character" w:customStyle="1" w:styleId="y2iqfc">
    <w:name w:val="y2iqfc"/>
    <w:rsid w:val="00161220"/>
  </w:style>
  <w:style w:type="table" w:styleId="Lentelstinklelis">
    <w:name w:val="Table Grid"/>
    <w:basedOn w:val="prastojilentel"/>
    <w:uiPriority w:val="59"/>
    <w:rsid w:val="00A96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369">
      <w:bodyDiv w:val="1"/>
      <w:marLeft w:val="0"/>
      <w:marRight w:val="0"/>
      <w:marTop w:val="0"/>
      <w:marBottom w:val="0"/>
      <w:divBdr>
        <w:top w:val="none" w:sz="0" w:space="0" w:color="auto"/>
        <w:left w:val="none" w:sz="0" w:space="0" w:color="auto"/>
        <w:bottom w:val="none" w:sz="0" w:space="0" w:color="auto"/>
        <w:right w:val="none" w:sz="0" w:space="0" w:color="auto"/>
      </w:divBdr>
    </w:div>
    <w:div w:id="50005433">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7103731">
      <w:bodyDiv w:val="1"/>
      <w:marLeft w:val="0"/>
      <w:marRight w:val="0"/>
      <w:marTop w:val="0"/>
      <w:marBottom w:val="0"/>
      <w:divBdr>
        <w:top w:val="none" w:sz="0" w:space="0" w:color="auto"/>
        <w:left w:val="none" w:sz="0" w:space="0" w:color="auto"/>
        <w:bottom w:val="none" w:sz="0" w:space="0" w:color="auto"/>
        <w:right w:val="none" w:sz="0" w:space="0" w:color="auto"/>
      </w:divBdr>
    </w:div>
    <w:div w:id="279727303">
      <w:bodyDiv w:val="1"/>
      <w:marLeft w:val="0"/>
      <w:marRight w:val="0"/>
      <w:marTop w:val="0"/>
      <w:marBottom w:val="0"/>
      <w:divBdr>
        <w:top w:val="none" w:sz="0" w:space="0" w:color="auto"/>
        <w:left w:val="none" w:sz="0" w:space="0" w:color="auto"/>
        <w:bottom w:val="none" w:sz="0" w:space="0" w:color="auto"/>
        <w:right w:val="none" w:sz="0" w:space="0" w:color="auto"/>
      </w:divBdr>
    </w:div>
    <w:div w:id="366836585">
      <w:bodyDiv w:val="1"/>
      <w:marLeft w:val="0"/>
      <w:marRight w:val="0"/>
      <w:marTop w:val="0"/>
      <w:marBottom w:val="0"/>
      <w:divBdr>
        <w:top w:val="none" w:sz="0" w:space="0" w:color="auto"/>
        <w:left w:val="none" w:sz="0" w:space="0" w:color="auto"/>
        <w:bottom w:val="none" w:sz="0" w:space="0" w:color="auto"/>
        <w:right w:val="none" w:sz="0" w:space="0" w:color="auto"/>
      </w:divBdr>
    </w:div>
    <w:div w:id="445973679">
      <w:bodyDiv w:val="1"/>
      <w:marLeft w:val="0"/>
      <w:marRight w:val="0"/>
      <w:marTop w:val="0"/>
      <w:marBottom w:val="0"/>
      <w:divBdr>
        <w:top w:val="none" w:sz="0" w:space="0" w:color="auto"/>
        <w:left w:val="none" w:sz="0" w:space="0" w:color="auto"/>
        <w:bottom w:val="none" w:sz="0" w:space="0" w:color="auto"/>
        <w:right w:val="none" w:sz="0" w:space="0" w:color="auto"/>
      </w:divBdr>
    </w:div>
    <w:div w:id="473566893">
      <w:bodyDiv w:val="1"/>
      <w:marLeft w:val="0"/>
      <w:marRight w:val="0"/>
      <w:marTop w:val="0"/>
      <w:marBottom w:val="0"/>
      <w:divBdr>
        <w:top w:val="none" w:sz="0" w:space="0" w:color="auto"/>
        <w:left w:val="none" w:sz="0" w:space="0" w:color="auto"/>
        <w:bottom w:val="none" w:sz="0" w:space="0" w:color="auto"/>
        <w:right w:val="none" w:sz="0" w:space="0" w:color="auto"/>
      </w:divBdr>
    </w:div>
    <w:div w:id="632367141">
      <w:bodyDiv w:val="1"/>
      <w:marLeft w:val="0"/>
      <w:marRight w:val="0"/>
      <w:marTop w:val="0"/>
      <w:marBottom w:val="0"/>
      <w:divBdr>
        <w:top w:val="none" w:sz="0" w:space="0" w:color="auto"/>
        <w:left w:val="none" w:sz="0" w:space="0" w:color="auto"/>
        <w:bottom w:val="none" w:sz="0" w:space="0" w:color="auto"/>
        <w:right w:val="none" w:sz="0" w:space="0" w:color="auto"/>
      </w:divBdr>
    </w:div>
    <w:div w:id="664866620">
      <w:bodyDiv w:val="1"/>
      <w:marLeft w:val="0"/>
      <w:marRight w:val="0"/>
      <w:marTop w:val="0"/>
      <w:marBottom w:val="0"/>
      <w:divBdr>
        <w:top w:val="none" w:sz="0" w:space="0" w:color="auto"/>
        <w:left w:val="none" w:sz="0" w:space="0" w:color="auto"/>
        <w:bottom w:val="none" w:sz="0" w:space="0" w:color="auto"/>
        <w:right w:val="none" w:sz="0" w:space="0" w:color="auto"/>
      </w:divBdr>
    </w:div>
    <w:div w:id="668950586">
      <w:bodyDiv w:val="1"/>
      <w:marLeft w:val="0"/>
      <w:marRight w:val="0"/>
      <w:marTop w:val="0"/>
      <w:marBottom w:val="0"/>
      <w:divBdr>
        <w:top w:val="none" w:sz="0" w:space="0" w:color="auto"/>
        <w:left w:val="none" w:sz="0" w:space="0" w:color="auto"/>
        <w:bottom w:val="none" w:sz="0" w:space="0" w:color="auto"/>
        <w:right w:val="none" w:sz="0" w:space="0" w:color="auto"/>
      </w:divBdr>
    </w:div>
    <w:div w:id="702749361">
      <w:bodyDiv w:val="1"/>
      <w:marLeft w:val="0"/>
      <w:marRight w:val="0"/>
      <w:marTop w:val="0"/>
      <w:marBottom w:val="0"/>
      <w:divBdr>
        <w:top w:val="none" w:sz="0" w:space="0" w:color="auto"/>
        <w:left w:val="none" w:sz="0" w:space="0" w:color="auto"/>
        <w:bottom w:val="none" w:sz="0" w:space="0" w:color="auto"/>
        <w:right w:val="none" w:sz="0" w:space="0" w:color="auto"/>
      </w:divBdr>
    </w:div>
    <w:div w:id="713578502">
      <w:bodyDiv w:val="1"/>
      <w:marLeft w:val="0"/>
      <w:marRight w:val="0"/>
      <w:marTop w:val="0"/>
      <w:marBottom w:val="0"/>
      <w:divBdr>
        <w:top w:val="none" w:sz="0" w:space="0" w:color="auto"/>
        <w:left w:val="none" w:sz="0" w:space="0" w:color="auto"/>
        <w:bottom w:val="none" w:sz="0" w:space="0" w:color="auto"/>
        <w:right w:val="none" w:sz="0" w:space="0" w:color="auto"/>
      </w:divBdr>
    </w:div>
    <w:div w:id="724645240">
      <w:bodyDiv w:val="1"/>
      <w:marLeft w:val="0"/>
      <w:marRight w:val="0"/>
      <w:marTop w:val="0"/>
      <w:marBottom w:val="0"/>
      <w:divBdr>
        <w:top w:val="none" w:sz="0" w:space="0" w:color="auto"/>
        <w:left w:val="none" w:sz="0" w:space="0" w:color="auto"/>
        <w:bottom w:val="none" w:sz="0" w:space="0" w:color="auto"/>
        <w:right w:val="none" w:sz="0" w:space="0" w:color="auto"/>
      </w:divBdr>
    </w:div>
    <w:div w:id="756101959">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74821176">
      <w:bodyDiv w:val="1"/>
      <w:marLeft w:val="0"/>
      <w:marRight w:val="0"/>
      <w:marTop w:val="0"/>
      <w:marBottom w:val="0"/>
      <w:divBdr>
        <w:top w:val="none" w:sz="0" w:space="0" w:color="auto"/>
        <w:left w:val="none" w:sz="0" w:space="0" w:color="auto"/>
        <w:bottom w:val="none" w:sz="0" w:space="0" w:color="auto"/>
        <w:right w:val="none" w:sz="0" w:space="0" w:color="auto"/>
      </w:divBdr>
    </w:div>
    <w:div w:id="108862259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73828351">
      <w:bodyDiv w:val="1"/>
      <w:marLeft w:val="0"/>
      <w:marRight w:val="0"/>
      <w:marTop w:val="0"/>
      <w:marBottom w:val="0"/>
      <w:divBdr>
        <w:top w:val="none" w:sz="0" w:space="0" w:color="auto"/>
        <w:left w:val="none" w:sz="0" w:space="0" w:color="auto"/>
        <w:bottom w:val="none" w:sz="0" w:space="0" w:color="auto"/>
        <w:right w:val="none" w:sz="0" w:space="0" w:color="auto"/>
      </w:divBdr>
    </w:div>
    <w:div w:id="1390959883">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4298561">
      <w:bodyDiv w:val="1"/>
      <w:marLeft w:val="0"/>
      <w:marRight w:val="0"/>
      <w:marTop w:val="0"/>
      <w:marBottom w:val="0"/>
      <w:divBdr>
        <w:top w:val="none" w:sz="0" w:space="0" w:color="auto"/>
        <w:left w:val="none" w:sz="0" w:space="0" w:color="auto"/>
        <w:bottom w:val="none" w:sz="0" w:space="0" w:color="auto"/>
        <w:right w:val="none" w:sz="0" w:space="0" w:color="auto"/>
      </w:divBdr>
    </w:div>
    <w:div w:id="1673340711">
      <w:bodyDiv w:val="1"/>
      <w:marLeft w:val="0"/>
      <w:marRight w:val="0"/>
      <w:marTop w:val="0"/>
      <w:marBottom w:val="0"/>
      <w:divBdr>
        <w:top w:val="none" w:sz="0" w:space="0" w:color="auto"/>
        <w:left w:val="none" w:sz="0" w:space="0" w:color="auto"/>
        <w:bottom w:val="none" w:sz="0" w:space="0" w:color="auto"/>
        <w:right w:val="none" w:sz="0" w:space="0" w:color="auto"/>
      </w:divBdr>
    </w:div>
    <w:div w:id="1807892924">
      <w:bodyDiv w:val="1"/>
      <w:marLeft w:val="0"/>
      <w:marRight w:val="0"/>
      <w:marTop w:val="0"/>
      <w:marBottom w:val="0"/>
      <w:divBdr>
        <w:top w:val="none" w:sz="0" w:space="0" w:color="auto"/>
        <w:left w:val="none" w:sz="0" w:space="0" w:color="auto"/>
        <w:bottom w:val="none" w:sz="0" w:space="0" w:color="auto"/>
        <w:right w:val="none" w:sz="0" w:space="0" w:color="auto"/>
      </w:divBdr>
    </w:div>
    <w:div w:id="1824660940">
      <w:bodyDiv w:val="1"/>
      <w:marLeft w:val="0"/>
      <w:marRight w:val="0"/>
      <w:marTop w:val="0"/>
      <w:marBottom w:val="0"/>
      <w:divBdr>
        <w:top w:val="none" w:sz="0" w:space="0" w:color="auto"/>
        <w:left w:val="none" w:sz="0" w:space="0" w:color="auto"/>
        <w:bottom w:val="none" w:sz="0" w:space="0" w:color="auto"/>
        <w:right w:val="none" w:sz="0" w:space="0" w:color="auto"/>
      </w:divBdr>
    </w:div>
    <w:div w:id="1826700936">
      <w:bodyDiv w:val="1"/>
      <w:marLeft w:val="0"/>
      <w:marRight w:val="0"/>
      <w:marTop w:val="0"/>
      <w:marBottom w:val="0"/>
      <w:divBdr>
        <w:top w:val="none" w:sz="0" w:space="0" w:color="auto"/>
        <w:left w:val="none" w:sz="0" w:space="0" w:color="auto"/>
        <w:bottom w:val="none" w:sz="0" w:space="0" w:color="auto"/>
        <w:right w:val="none" w:sz="0" w:space="0" w:color="auto"/>
      </w:divBdr>
    </w:div>
    <w:div w:id="1912696836">
      <w:bodyDiv w:val="1"/>
      <w:marLeft w:val="0"/>
      <w:marRight w:val="0"/>
      <w:marTop w:val="0"/>
      <w:marBottom w:val="0"/>
      <w:divBdr>
        <w:top w:val="none" w:sz="0" w:space="0" w:color="auto"/>
        <w:left w:val="none" w:sz="0" w:space="0" w:color="auto"/>
        <w:bottom w:val="none" w:sz="0" w:space="0" w:color="auto"/>
        <w:right w:val="none" w:sz="0" w:space="0" w:color="auto"/>
      </w:divBdr>
    </w:div>
    <w:div w:id="1996302958">
      <w:bodyDiv w:val="1"/>
      <w:marLeft w:val="0"/>
      <w:marRight w:val="0"/>
      <w:marTop w:val="0"/>
      <w:marBottom w:val="0"/>
      <w:divBdr>
        <w:top w:val="none" w:sz="0" w:space="0" w:color="auto"/>
        <w:left w:val="none" w:sz="0" w:space="0" w:color="auto"/>
        <w:bottom w:val="none" w:sz="0" w:space="0" w:color="auto"/>
        <w:right w:val="none" w:sz="0" w:space="0" w:color="auto"/>
      </w:divBdr>
    </w:div>
    <w:div w:id="2026786214">
      <w:bodyDiv w:val="1"/>
      <w:marLeft w:val="0"/>
      <w:marRight w:val="0"/>
      <w:marTop w:val="0"/>
      <w:marBottom w:val="0"/>
      <w:divBdr>
        <w:top w:val="none" w:sz="0" w:space="0" w:color="auto"/>
        <w:left w:val="none" w:sz="0" w:space="0" w:color="auto"/>
        <w:bottom w:val="none" w:sz="0" w:space="0" w:color="auto"/>
        <w:right w:val="none" w:sz="0" w:space="0" w:color="auto"/>
      </w:divBdr>
    </w:div>
    <w:div w:id="21270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CE7A-0793-4EDD-A0A9-D483149D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34229</Words>
  <Characters>19512</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53634</CharactersWithSpaces>
  <SharedDoc>false</SharedDoc>
  <HLinks>
    <vt:vector size="12" baseType="variant">
      <vt:variant>
        <vt:i4>1245197</vt:i4>
      </vt:variant>
      <vt:variant>
        <vt:i4>12</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2025-11-04T09:45:00Z</dcterms:created>
  <dcterms:modified xsi:type="dcterms:W3CDTF">2025-11-04T09:45:00Z</dcterms:modified>
</cp:coreProperties>
</file>