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B0" w:rsidRPr="00AE5855" w:rsidRDefault="00240EB0" w:rsidP="00240EB0">
      <w:pPr>
        <w:jc w:val="center"/>
        <w:outlineLvl w:val="0"/>
        <w:rPr>
          <w:noProof/>
          <w:sz w:val="22"/>
          <w:szCs w:val="22"/>
        </w:rPr>
      </w:pPr>
      <w:r w:rsidRPr="00AE5855">
        <w:rPr>
          <w:b/>
          <w:sz w:val="22"/>
          <w:szCs w:val="22"/>
        </w:rPr>
        <w:t>Pakuotės lapelis: informacija pacientui</w:t>
      </w:r>
    </w:p>
    <w:p w:rsidR="00240EB0" w:rsidRPr="00AE5855" w:rsidRDefault="00240EB0" w:rsidP="00240EB0">
      <w:pPr>
        <w:numPr>
          <w:ilvl w:val="12"/>
          <w:numId w:val="0"/>
        </w:numPr>
        <w:shd w:val="clear" w:color="auto" w:fill="FFFFFF"/>
        <w:jc w:val="center"/>
        <w:rPr>
          <w:noProof/>
          <w:sz w:val="22"/>
          <w:szCs w:val="22"/>
        </w:rPr>
      </w:pPr>
    </w:p>
    <w:p w:rsidR="00240EB0" w:rsidRPr="00AE5855" w:rsidRDefault="00240EB0" w:rsidP="00240EB0">
      <w:pPr>
        <w:numPr>
          <w:ilvl w:val="12"/>
          <w:numId w:val="0"/>
        </w:numPr>
        <w:jc w:val="center"/>
        <w:rPr>
          <w:b/>
          <w:noProof/>
          <w:sz w:val="22"/>
          <w:szCs w:val="22"/>
        </w:rPr>
      </w:pPr>
      <w:r>
        <w:rPr>
          <w:b/>
          <w:sz w:val="22"/>
          <w:szCs w:val="22"/>
        </w:rPr>
        <w:t>Nettacin</w:t>
      </w:r>
      <w:r w:rsidRPr="00AE5855">
        <w:rPr>
          <w:b/>
          <w:sz w:val="22"/>
          <w:szCs w:val="22"/>
        </w:rPr>
        <w:t xml:space="preserve"> 3 mg/ml akių lašai (tirpalas) </w:t>
      </w:r>
    </w:p>
    <w:p w:rsidR="00240EB0" w:rsidRPr="00AE5855" w:rsidRDefault="00240EB0" w:rsidP="00240EB0">
      <w:pPr>
        <w:numPr>
          <w:ilvl w:val="12"/>
          <w:numId w:val="0"/>
        </w:numPr>
        <w:jc w:val="center"/>
        <w:rPr>
          <w:noProof/>
          <w:sz w:val="22"/>
          <w:szCs w:val="22"/>
        </w:rPr>
      </w:pPr>
      <w:r w:rsidRPr="00AE5855">
        <w:rPr>
          <w:sz w:val="22"/>
          <w:szCs w:val="22"/>
        </w:rPr>
        <w:t>netilmicinas</w:t>
      </w:r>
    </w:p>
    <w:p w:rsidR="00240EB0" w:rsidRPr="00AE5855" w:rsidRDefault="00240EB0" w:rsidP="00240EB0">
      <w:pPr>
        <w:numPr>
          <w:ilvl w:val="12"/>
          <w:numId w:val="0"/>
        </w:numPr>
        <w:jc w:val="center"/>
        <w:rPr>
          <w:noProof/>
          <w:sz w:val="22"/>
          <w:szCs w:val="22"/>
        </w:rPr>
      </w:pPr>
    </w:p>
    <w:p w:rsidR="00240EB0" w:rsidRPr="00AE5855" w:rsidRDefault="00240EB0" w:rsidP="00240EB0">
      <w:pPr>
        <w:suppressAutoHyphens/>
        <w:rPr>
          <w:b/>
          <w:noProof/>
          <w:sz w:val="22"/>
          <w:szCs w:val="22"/>
        </w:rPr>
      </w:pPr>
      <w:r w:rsidRPr="00AE5855">
        <w:rPr>
          <w:b/>
          <w:sz w:val="22"/>
          <w:szCs w:val="22"/>
        </w:rPr>
        <w:t>Atidžiai perskaitykite visą šį lapelį, prieš pradėdami vartoti vaistą, nes jame pateikiama Jums svarbi informacija.</w:t>
      </w:r>
    </w:p>
    <w:p w:rsidR="00240EB0" w:rsidRPr="00AE5855" w:rsidRDefault="00240EB0" w:rsidP="00240EB0">
      <w:pPr>
        <w:numPr>
          <w:ilvl w:val="0"/>
          <w:numId w:val="2"/>
        </w:numPr>
        <w:ind w:left="567" w:right="-2" w:hanging="567"/>
        <w:rPr>
          <w:noProof/>
          <w:sz w:val="22"/>
          <w:szCs w:val="22"/>
        </w:rPr>
      </w:pPr>
      <w:r w:rsidRPr="00AE5855">
        <w:rPr>
          <w:sz w:val="22"/>
          <w:szCs w:val="22"/>
        </w:rPr>
        <w:t xml:space="preserve">Neišmeskite šio lapelio, nes vėl gali prireikti jį perskaityti. </w:t>
      </w:r>
    </w:p>
    <w:p w:rsidR="00240EB0" w:rsidRPr="00AE5855" w:rsidRDefault="00240EB0" w:rsidP="00240EB0">
      <w:pPr>
        <w:numPr>
          <w:ilvl w:val="0"/>
          <w:numId w:val="2"/>
        </w:numPr>
        <w:ind w:left="567" w:right="-2" w:hanging="567"/>
        <w:rPr>
          <w:noProof/>
          <w:sz w:val="22"/>
          <w:szCs w:val="22"/>
        </w:rPr>
      </w:pPr>
      <w:r w:rsidRPr="00AE5855">
        <w:rPr>
          <w:sz w:val="22"/>
          <w:szCs w:val="22"/>
        </w:rPr>
        <w:t>Jeigu kiltų daugiau klausimų, kreipkitės į gydytoją arba vaistininką.</w:t>
      </w:r>
    </w:p>
    <w:p w:rsidR="00240EB0" w:rsidRPr="00AE5855" w:rsidRDefault="00240EB0" w:rsidP="00240EB0">
      <w:pPr>
        <w:ind w:left="567" w:right="-2" w:hanging="567"/>
        <w:rPr>
          <w:noProof/>
          <w:sz w:val="22"/>
          <w:szCs w:val="22"/>
        </w:rPr>
      </w:pPr>
      <w:r w:rsidRPr="00AE5855">
        <w:rPr>
          <w:sz w:val="22"/>
          <w:szCs w:val="22"/>
        </w:rPr>
        <w:t>-</w:t>
      </w:r>
      <w:r w:rsidRPr="00AE5855">
        <w:rPr>
          <w:sz w:val="22"/>
          <w:szCs w:val="22"/>
        </w:rPr>
        <w:tab/>
        <w:t>Šis vaistas skirtas tik Jums, todėl kitiems žmonėms jo duoti negalima. Vaistas gali jiems pakenkti (net tiems, kurių ligos požymiai yra tokie patys kaip Jūsų).</w:t>
      </w:r>
      <w:r w:rsidRPr="00AE5855">
        <w:rPr>
          <w:color w:val="008000"/>
          <w:sz w:val="22"/>
          <w:szCs w:val="22"/>
        </w:rPr>
        <w:t xml:space="preserve"> </w:t>
      </w:r>
    </w:p>
    <w:p w:rsidR="00240EB0" w:rsidRPr="00AE5855" w:rsidRDefault="00240EB0" w:rsidP="00240EB0">
      <w:pPr>
        <w:numPr>
          <w:ilvl w:val="0"/>
          <w:numId w:val="2"/>
        </w:numPr>
        <w:tabs>
          <w:tab w:val="left" w:pos="567"/>
        </w:tabs>
        <w:ind w:left="567" w:hanging="567"/>
        <w:rPr>
          <w:sz w:val="22"/>
          <w:szCs w:val="22"/>
        </w:rPr>
      </w:pPr>
      <w:r w:rsidRPr="00AE5855">
        <w:rPr>
          <w:sz w:val="22"/>
          <w:szCs w:val="22"/>
        </w:rPr>
        <w:t>Jeigu pasireiškė šalutinis poveikis (net jeigu jis šiame lapelyje nenurodytas),</w:t>
      </w:r>
      <w:r w:rsidRPr="00AE5855">
        <w:rPr>
          <w:color w:val="FF0000"/>
          <w:sz w:val="22"/>
          <w:szCs w:val="22"/>
        </w:rPr>
        <w:t xml:space="preserve"> </w:t>
      </w:r>
      <w:r w:rsidRPr="00AE5855">
        <w:rPr>
          <w:sz w:val="22"/>
          <w:szCs w:val="22"/>
        </w:rPr>
        <w:t>kreipkitės į gydytoją arba vaistininką. Žr. 4 skyrių.</w:t>
      </w:r>
    </w:p>
    <w:p w:rsidR="00240EB0" w:rsidRPr="00AE5855" w:rsidRDefault="00240EB0" w:rsidP="00240EB0">
      <w:pPr>
        <w:ind w:right="-2"/>
        <w:rPr>
          <w:sz w:val="22"/>
          <w:szCs w:val="22"/>
        </w:rPr>
      </w:pPr>
    </w:p>
    <w:p w:rsidR="00240EB0" w:rsidRPr="00AE5855" w:rsidRDefault="00240EB0" w:rsidP="00240EB0">
      <w:pPr>
        <w:ind w:right="-2"/>
        <w:rPr>
          <w:noProof/>
          <w:sz w:val="22"/>
          <w:szCs w:val="22"/>
        </w:rPr>
      </w:pPr>
    </w:p>
    <w:p w:rsidR="00240EB0" w:rsidRPr="00AE5855" w:rsidRDefault="00240EB0" w:rsidP="00240EB0">
      <w:pPr>
        <w:numPr>
          <w:ilvl w:val="12"/>
          <w:numId w:val="0"/>
        </w:numPr>
        <w:ind w:right="-2"/>
        <w:rPr>
          <w:b/>
          <w:noProof/>
          <w:sz w:val="22"/>
          <w:szCs w:val="22"/>
        </w:rPr>
      </w:pPr>
      <w:r w:rsidRPr="00AE5855">
        <w:rPr>
          <w:b/>
          <w:sz w:val="22"/>
          <w:szCs w:val="22"/>
        </w:rPr>
        <w:t>Apie ką rašoma šiame lapelyje?</w:t>
      </w:r>
    </w:p>
    <w:p w:rsidR="00240EB0" w:rsidRPr="00AE5855" w:rsidRDefault="00240EB0" w:rsidP="00240EB0">
      <w:pPr>
        <w:numPr>
          <w:ilvl w:val="12"/>
          <w:numId w:val="0"/>
        </w:numPr>
        <w:ind w:right="-2"/>
        <w:outlineLvl w:val="0"/>
        <w:rPr>
          <w:noProof/>
          <w:sz w:val="22"/>
          <w:szCs w:val="22"/>
        </w:rPr>
      </w:pPr>
    </w:p>
    <w:p w:rsidR="00240EB0" w:rsidRPr="00AE5855" w:rsidRDefault="00240EB0" w:rsidP="00240EB0">
      <w:pPr>
        <w:numPr>
          <w:ilvl w:val="12"/>
          <w:numId w:val="0"/>
        </w:numPr>
        <w:tabs>
          <w:tab w:val="left" w:pos="426"/>
        </w:tabs>
        <w:ind w:right="-29"/>
        <w:rPr>
          <w:noProof/>
          <w:sz w:val="22"/>
          <w:szCs w:val="22"/>
        </w:rPr>
      </w:pPr>
      <w:r w:rsidRPr="00AE5855">
        <w:rPr>
          <w:sz w:val="22"/>
          <w:szCs w:val="22"/>
        </w:rPr>
        <w:t>1.</w:t>
      </w:r>
      <w:r w:rsidRPr="00AE5855">
        <w:rPr>
          <w:sz w:val="22"/>
          <w:szCs w:val="22"/>
        </w:rPr>
        <w:tab/>
        <w:t xml:space="preserve">Kas yra </w:t>
      </w:r>
      <w:r>
        <w:rPr>
          <w:sz w:val="22"/>
          <w:szCs w:val="22"/>
        </w:rPr>
        <w:t>Nettacin</w:t>
      </w:r>
      <w:r w:rsidRPr="00AE5855">
        <w:rPr>
          <w:sz w:val="22"/>
          <w:szCs w:val="22"/>
        </w:rPr>
        <w:t xml:space="preserve"> ir kam jis vartojamas</w:t>
      </w:r>
    </w:p>
    <w:p w:rsidR="00240EB0" w:rsidRPr="00AE5855" w:rsidRDefault="00240EB0" w:rsidP="00240EB0">
      <w:pPr>
        <w:numPr>
          <w:ilvl w:val="12"/>
          <w:numId w:val="0"/>
        </w:numPr>
        <w:tabs>
          <w:tab w:val="left" w:pos="426"/>
        </w:tabs>
        <w:ind w:right="-29"/>
        <w:rPr>
          <w:noProof/>
          <w:sz w:val="22"/>
          <w:szCs w:val="22"/>
        </w:rPr>
      </w:pPr>
      <w:r w:rsidRPr="00AE5855">
        <w:rPr>
          <w:sz w:val="22"/>
          <w:szCs w:val="22"/>
        </w:rPr>
        <w:t>2.</w:t>
      </w:r>
      <w:r w:rsidRPr="00AE5855">
        <w:rPr>
          <w:sz w:val="22"/>
          <w:szCs w:val="22"/>
        </w:rPr>
        <w:tab/>
        <w:t xml:space="preserve">Kas žinotina prieš vartojant </w:t>
      </w:r>
      <w:r>
        <w:rPr>
          <w:sz w:val="22"/>
          <w:szCs w:val="22"/>
        </w:rPr>
        <w:t>Nettacin</w:t>
      </w:r>
      <w:r w:rsidRPr="00AE5855">
        <w:rPr>
          <w:sz w:val="22"/>
          <w:szCs w:val="22"/>
        </w:rPr>
        <w:t xml:space="preserve"> </w:t>
      </w:r>
    </w:p>
    <w:p w:rsidR="00240EB0" w:rsidRPr="00AE5855" w:rsidRDefault="00240EB0" w:rsidP="00240EB0">
      <w:pPr>
        <w:numPr>
          <w:ilvl w:val="12"/>
          <w:numId w:val="0"/>
        </w:numPr>
        <w:tabs>
          <w:tab w:val="left" w:pos="426"/>
        </w:tabs>
        <w:ind w:right="-29"/>
        <w:rPr>
          <w:noProof/>
          <w:sz w:val="22"/>
          <w:szCs w:val="22"/>
        </w:rPr>
      </w:pPr>
      <w:r w:rsidRPr="00AE5855">
        <w:rPr>
          <w:sz w:val="22"/>
          <w:szCs w:val="22"/>
        </w:rPr>
        <w:t>3.</w:t>
      </w:r>
      <w:r w:rsidRPr="00AE5855">
        <w:rPr>
          <w:sz w:val="22"/>
          <w:szCs w:val="22"/>
        </w:rPr>
        <w:tab/>
        <w:t xml:space="preserve">Kaip vartoti </w:t>
      </w:r>
      <w:r>
        <w:rPr>
          <w:sz w:val="22"/>
          <w:szCs w:val="22"/>
        </w:rPr>
        <w:t>Nettacin</w:t>
      </w:r>
    </w:p>
    <w:p w:rsidR="00240EB0" w:rsidRPr="00AE5855" w:rsidRDefault="00240EB0" w:rsidP="00240EB0">
      <w:pPr>
        <w:numPr>
          <w:ilvl w:val="12"/>
          <w:numId w:val="0"/>
        </w:numPr>
        <w:tabs>
          <w:tab w:val="left" w:pos="426"/>
        </w:tabs>
        <w:ind w:right="-29"/>
        <w:rPr>
          <w:noProof/>
          <w:sz w:val="22"/>
          <w:szCs w:val="22"/>
        </w:rPr>
      </w:pPr>
      <w:r w:rsidRPr="00AE5855">
        <w:rPr>
          <w:sz w:val="22"/>
          <w:szCs w:val="22"/>
        </w:rPr>
        <w:t>4.</w:t>
      </w:r>
      <w:r w:rsidRPr="00AE5855">
        <w:rPr>
          <w:sz w:val="22"/>
          <w:szCs w:val="22"/>
        </w:rPr>
        <w:tab/>
        <w:t xml:space="preserve">Galimas šalutinis poveikis </w:t>
      </w:r>
    </w:p>
    <w:p w:rsidR="00240EB0" w:rsidRPr="00AE5855" w:rsidRDefault="00240EB0" w:rsidP="00240EB0">
      <w:pPr>
        <w:tabs>
          <w:tab w:val="left" w:pos="426"/>
        </w:tabs>
        <w:ind w:right="-29"/>
        <w:rPr>
          <w:noProof/>
          <w:sz w:val="22"/>
          <w:szCs w:val="22"/>
        </w:rPr>
      </w:pPr>
      <w:r w:rsidRPr="00AE5855">
        <w:rPr>
          <w:sz w:val="22"/>
          <w:szCs w:val="22"/>
        </w:rPr>
        <w:t>5.</w:t>
      </w:r>
      <w:r w:rsidRPr="00AE5855">
        <w:rPr>
          <w:sz w:val="22"/>
          <w:szCs w:val="22"/>
        </w:rPr>
        <w:tab/>
        <w:t xml:space="preserve">Kaip laikyti </w:t>
      </w:r>
      <w:r>
        <w:rPr>
          <w:sz w:val="22"/>
          <w:szCs w:val="22"/>
        </w:rPr>
        <w:t>Nettacin</w:t>
      </w:r>
    </w:p>
    <w:p w:rsidR="00240EB0" w:rsidRPr="00AE5855" w:rsidRDefault="00240EB0" w:rsidP="00240EB0">
      <w:pPr>
        <w:tabs>
          <w:tab w:val="left" w:pos="426"/>
        </w:tabs>
        <w:ind w:right="-29"/>
        <w:rPr>
          <w:noProof/>
          <w:sz w:val="22"/>
          <w:szCs w:val="22"/>
        </w:rPr>
      </w:pPr>
      <w:r w:rsidRPr="00AE5855">
        <w:rPr>
          <w:sz w:val="22"/>
          <w:szCs w:val="22"/>
        </w:rPr>
        <w:t>6.</w:t>
      </w:r>
      <w:r w:rsidRPr="00AE5855">
        <w:rPr>
          <w:sz w:val="22"/>
          <w:szCs w:val="22"/>
        </w:rPr>
        <w:tab/>
        <w:t>Pakuotės turinys ir kita informacija</w:t>
      </w:r>
    </w:p>
    <w:p w:rsidR="00240EB0" w:rsidRPr="00AE5855" w:rsidRDefault="00240EB0" w:rsidP="00240EB0">
      <w:pPr>
        <w:numPr>
          <w:ilvl w:val="12"/>
          <w:numId w:val="0"/>
        </w:numPr>
        <w:rPr>
          <w:noProof/>
          <w:sz w:val="22"/>
          <w:szCs w:val="22"/>
        </w:rPr>
      </w:pPr>
    </w:p>
    <w:p w:rsidR="00240EB0" w:rsidRPr="00AE5855" w:rsidRDefault="00240EB0" w:rsidP="00240EB0">
      <w:pPr>
        <w:numPr>
          <w:ilvl w:val="12"/>
          <w:numId w:val="0"/>
        </w:numPr>
        <w:rPr>
          <w:noProof/>
          <w:sz w:val="22"/>
          <w:szCs w:val="22"/>
        </w:rPr>
      </w:pPr>
    </w:p>
    <w:p w:rsidR="00240EB0" w:rsidRPr="00AE5855" w:rsidRDefault="00240EB0" w:rsidP="00BD3591">
      <w:pPr>
        <w:ind w:left="567" w:right="-2" w:hanging="567"/>
        <w:rPr>
          <w:b/>
          <w:noProof/>
          <w:sz w:val="22"/>
          <w:szCs w:val="22"/>
        </w:rPr>
      </w:pPr>
      <w:r w:rsidRPr="00AE5855">
        <w:rPr>
          <w:b/>
          <w:sz w:val="22"/>
          <w:szCs w:val="22"/>
        </w:rPr>
        <w:t>1.</w:t>
      </w:r>
      <w:r w:rsidRPr="00AE5855">
        <w:rPr>
          <w:b/>
          <w:sz w:val="22"/>
          <w:szCs w:val="22"/>
        </w:rPr>
        <w:tab/>
        <w:t xml:space="preserve">Kas yra </w:t>
      </w:r>
      <w:r>
        <w:rPr>
          <w:b/>
          <w:sz w:val="22"/>
          <w:szCs w:val="22"/>
        </w:rPr>
        <w:t>Nettacin</w:t>
      </w:r>
      <w:r w:rsidRPr="00AE5855">
        <w:rPr>
          <w:b/>
          <w:sz w:val="22"/>
          <w:szCs w:val="22"/>
        </w:rPr>
        <w:t xml:space="preserve"> ir kam jis vartojamas</w:t>
      </w:r>
    </w:p>
    <w:p w:rsidR="00240EB0" w:rsidRPr="00AE5855" w:rsidRDefault="00240EB0" w:rsidP="00240EB0">
      <w:pPr>
        <w:ind w:right="-2"/>
        <w:rPr>
          <w:b/>
          <w:noProof/>
          <w:sz w:val="22"/>
          <w:szCs w:val="22"/>
        </w:rPr>
      </w:pPr>
    </w:p>
    <w:p w:rsidR="00240EB0" w:rsidRPr="00AE5855" w:rsidRDefault="00240EB0" w:rsidP="00240EB0">
      <w:pPr>
        <w:rPr>
          <w:sz w:val="22"/>
          <w:szCs w:val="22"/>
        </w:rPr>
      </w:pPr>
      <w:r>
        <w:rPr>
          <w:sz w:val="22"/>
          <w:szCs w:val="22"/>
        </w:rPr>
        <w:t>Nettacin</w:t>
      </w:r>
      <w:r w:rsidRPr="00AE5855">
        <w:rPr>
          <w:sz w:val="22"/>
          <w:szCs w:val="22"/>
        </w:rPr>
        <w:t xml:space="preserve"> sudėtyje yra veikliosios medžiagos netilmicino – </w:t>
      </w:r>
      <w:bookmarkStart w:id="0" w:name="_Hlk5953252"/>
      <w:r w:rsidRPr="00AE5855">
        <w:rPr>
          <w:sz w:val="22"/>
          <w:szCs w:val="22"/>
        </w:rPr>
        <w:t xml:space="preserve">antibiotiko, žudančio bakterijas. </w:t>
      </w:r>
      <w:bookmarkEnd w:id="0"/>
    </w:p>
    <w:p w:rsidR="00240EB0" w:rsidRPr="00AE5855" w:rsidRDefault="00240EB0" w:rsidP="00240EB0">
      <w:pPr>
        <w:rPr>
          <w:sz w:val="22"/>
          <w:szCs w:val="22"/>
        </w:rPr>
      </w:pPr>
    </w:p>
    <w:p w:rsidR="00240EB0" w:rsidRPr="00AE5855" w:rsidRDefault="00240EB0" w:rsidP="00240EB0">
      <w:pPr>
        <w:tabs>
          <w:tab w:val="left" w:pos="284"/>
        </w:tabs>
        <w:jc w:val="both"/>
        <w:rPr>
          <w:sz w:val="22"/>
          <w:szCs w:val="22"/>
        </w:rPr>
      </w:pPr>
      <w:r w:rsidRPr="00AE5855">
        <w:rPr>
          <w:sz w:val="22"/>
          <w:szCs w:val="22"/>
        </w:rPr>
        <w:t xml:space="preserve">Jis skirtas suaugusiesiems akies ir aplink ją esančios srities išorinių infekcijų, kurias sukėlė netilmicinui jautrios bakterijos, </w:t>
      </w:r>
      <w:r>
        <w:rPr>
          <w:sz w:val="22"/>
          <w:szCs w:val="22"/>
        </w:rPr>
        <w:t>lokaliam (</w:t>
      </w:r>
      <w:r w:rsidRPr="00AE5855">
        <w:rPr>
          <w:sz w:val="22"/>
          <w:szCs w:val="22"/>
        </w:rPr>
        <w:t>vietiniam</w:t>
      </w:r>
      <w:r>
        <w:rPr>
          <w:sz w:val="22"/>
          <w:szCs w:val="22"/>
        </w:rPr>
        <w:t>)</w:t>
      </w:r>
      <w:r w:rsidRPr="00AE5855">
        <w:rPr>
          <w:sz w:val="22"/>
          <w:szCs w:val="22"/>
        </w:rPr>
        <w:t xml:space="preserve"> gydymui.</w:t>
      </w:r>
    </w:p>
    <w:p w:rsidR="00240EB0" w:rsidRPr="00AE5855" w:rsidRDefault="00240EB0" w:rsidP="00240EB0">
      <w:pPr>
        <w:numPr>
          <w:ilvl w:val="12"/>
          <w:numId w:val="0"/>
        </w:numPr>
        <w:rPr>
          <w:noProof/>
          <w:sz w:val="22"/>
          <w:szCs w:val="22"/>
        </w:rPr>
      </w:pPr>
    </w:p>
    <w:p w:rsidR="00240EB0" w:rsidRPr="00AE5855" w:rsidRDefault="00240EB0" w:rsidP="00240EB0">
      <w:pPr>
        <w:ind w:right="-2"/>
        <w:rPr>
          <w:noProof/>
          <w:sz w:val="22"/>
          <w:szCs w:val="22"/>
        </w:rPr>
      </w:pPr>
      <w:r w:rsidRPr="00AE5855">
        <w:rPr>
          <w:sz w:val="22"/>
          <w:szCs w:val="22"/>
        </w:rPr>
        <w:t>Jeigu Jūsų savijauta nepagerėjo arba net pablogėjo, kreipkitės į gydytoją.</w:t>
      </w:r>
    </w:p>
    <w:p w:rsidR="00240EB0" w:rsidRPr="00AE5855" w:rsidRDefault="00240EB0" w:rsidP="00240EB0">
      <w:pPr>
        <w:ind w:right="-2"/>
        <w:rPr>
          <w:noProof/>
          <w:sz w:val="22"/>
          <w:szCs w:val="22"/>
        </w:rPr>
      </w:pPr>
    </w:p>
    <w:p w:rsidR="00240EB0" w:rsidRPr="00AE5855" w:rsidRDefault="00240EB0" w:rsidP="00BD3591">
      <w:pPr>
        <w:ind w:left="567" w:right="-2" w:hanging="567"/>
        <w:rPr>
          <w:b/>
          <w:noProof/>
          <w:sz w:val="22"/>
          <w:szCs w:val="22"/>
        </w:rPr>
      </w:pPr>
      <w:r w:rsidRPr="00AE5855">
        <w:rPr>
          <w:b/>
          <w:sz w:val="22"/>
          <w:szCs w:val="22"/>
        </w:rPr>
        <w:t>2.</w:t>
      </w:r>
      <w:r w:rsidRPr="00AE5855">
        <w:rPr>
          <w:b/>
          <w:sz w:val="22"/>
          <w:szCs w:val="22"/>
        </w:rPr>
        <w:tab/>
        <w:t xml:space="preserve">Kas žinotina prieš vartojant </w:t>
      </w:r>
      <w:r>
        <w:rPr>
          <w:b/>
          <w:sz w:val="22"/>
          <w:szCs w:val="22"/>
        </w:rPr>
        <w:t>Nettacin</w:t>
      </w:r>
    </w:p>
    <w:p w:rsidR="00240EB0" w:rsidRPr="00AE5855" w:rsidRDefault="00240EB0" w:rsidP="00240EB0">
      <w:pPr>
        <w:numPr>
          <w:ilvl w:val="12"/>
          <w:numId w:val="0"/>
        </w:numPr>
        <w:outlineLvl w:val="0"/>
        <w:rPr>
          <w:i/>
          <w:noProof/>
          <w:sz w:val="22"/>
          <w:szCs w:val="22"/>
        </w:rPr>
      </w:pPr>
    </w:p>
    <w:p w:rsidR="00240EB0" w:rsidRPr="00AE5855" w:rsidRDefault="00240EB0" w:rsidP="00240EB0">
      <w:pPr>
        <w:numPr>
          <w:ilvl w:val="12"/>
          <w:numId w:val="0"/>
        </w:numPr>
        <w:outlineLvl w:val="0"/>
        <w:rPr>
          <w:noProof/>
          <w:sz w:val="22"/>
          <w:szCs w:val="22"/>
        </w:rPr>
      </w:pPr>
      <w:r>
        <w:rPr>
          <w:b/>
          <w:sz w:val="22"/>
          <w:szCs w:val="22"/>
        </w:rPr>
        <w:t>Nettacin</w:t>
      </w:r>
      <w:r w:rsidRPr="00AE5855">
        <w:rPr>
          <w:b/>
          <w:sz w:val="22"/>
          <w:szCs w:val="22"/>
        </w:rPr>
        <w:t xml:space="preserve"> vartoti negalima:</w:t>
      </w:r>
    </w:p>
    <w:p w:rsidR="00240EB0" w:rsidRPr="00AE5855" w:rsidRDefault="00240EB0" w:rsidP="00240EB0">
      <w:pPr>
        <w:numPr>
          <w:ilvl w:val="12"/>
          <w:numId w:val="0"/>
        </w:numPr>
        <w:ind w:left="567" w:hanging="567"/>
        <w:rPr>
          <w:noProof/>
          <w:sz w:val="22"/>
          <w:szCs w:val="22"/>
        </w:rPr>
      </w:pPr>
      <w:r w:rsidRPr="00AE5855">
        <w:rPr>
          <w:sz w:val="22"/>
          <w:szCs w:val="22"/>
        </w:rPr>
        <w:t>-</w:t>
      </w:r>
      <w:r w:rsidRPr="00AE5855">
        <w:rPr>
          <w:sz w:val="22"/>
          <w:szCs w:val="22"/>
        </w:rPr>
        <w:tab/>
        <w:t>jeigu yra alergija netilmicinui, bet kokiam aminoglikozidų grupės antibiotikui (gentamicinui, tobramicinui, kanamicinui ir kt.) arba bet kuriai pagalbinei šio vaisto medžiagai (jos išvardytos 6 skyriuje).</w:t>
      </w:r>
    </w:p>
    <w:p w:rsidR="00240EB0" w:rsidRPr="00AE5855" w:rsidRDefault="00240EB0" w:rsidP="00240EB0">
      <w:pPr>
        <w:numPr>
          <w:ilvl w:val="12"/>
          <w:numId w:val="0"/>
        </w:numPr>
        <w:rPr>
          <w:noProof/>
          <w:sz w:val="22"/>
          <w:szCs w:val="22"/>
        </w:rPr>
      </w:pPr>
    </w:p>
    <w:p w:rsidR="00240EB0" w:rsidRPr="00AE5855" w:rsidRDefault="00240EB0" w:rsidP="00240EB0">
      <w:pPr>
        <w:numPr>
          <w:ilvl w:val="12"/>
          <w:numId w:val="0"/>
        </w:numPr>
        <w:outlineLvl w:val="0"/>
        <w:rPr>
          <w:b/>
          <w:noProof/>
          <w:sz w:val="22"/>
          <w:szCs w:val="22"/>
        </w:rPr>
      </w:pPr>
      <w:r w:rsidRPr="00AE5855">
        <w:rPr>
          <w:b/>
          <w:sz w:val="22"/>
          <w:szCs w:val="22"/>
        </w:rPr>
        <w:t xml:space="preserve">Įspėjimai ir atsargumo priemonės </w:t>
      </w:r>
    </w:p>
    <w:p w:rsidR="00240EB0" w:rsidRPr="00AE5855" w:rsidRDefault="00240EB0" w:rsidP="00240EB0">
      <w:pPr>
        <w:numPr>
          <w:ilvl w:val="12"/>
          <w:numId w:val="0"/>
        </w:numPr>
        <w:rPr>
          <w:noProof/>
          <w:sz w:val="22"/>
          <w:szCs w:val="22"/>
        </w:rPr>
      </w:pPr>
      <w:r w:rsidRPr="00AE5855">
        <w:rPr>
          <w:sz w:val="22"/>
          <w:szCs w:val="22"/>
        </w:rPr>
        <w:t xml:space="preserve">Pasitarkite su gydytoju arba vaistininku, prieš pradėdami vartoti </w:t>
      </w:r>
      <w:r>
        <w:rPr>
          <w:sz w:val="22"/>
          <w:szCs w:val="22"/>
        </w:rPr>
        <w:t>Nettacin.</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sz w:val="22"/>
          <w:szCs w:val="22"/>
        </w:rPr>
      </w:pPr>
      <w:r w:rsidRPr="00AE5855">
        <w:rPr>
          <w:sz w:val="22"/>
          <w:szCs w:val="22"/>
        </w:rPr>
        <w:t>Jeigu ilgą laiką vartojate antibiotikus, galite tapti jautresni akių infekcijoms.</w:t>
      </w:r>
    </w:p>
    <w:p w:rsidR="00240EB0" w:rsidRPr="00AE5855" w:rsidRDefault="00240EB0" w:rsidP="00240EB0">
      <w:pPr>
        <w:numPr>
          <w:ilvl w:val="12"/>
          <w:numId w:val="0"/>
        </w:numPr>
        <w:ind w:right="-2"/>
        <w:rPr>
          <w:sz w:val="22"/>
          <w:szCs w:val="22"/>
        </w:rPr>
      </w:pPr>
    </w:p>
    <w:p w:rsidR="00240EB0" w:rsidRPr="00AE5855" w:rsidRDefault="00240EB0" w:rsidP="00240EB0">
      <w:pPr>
        <w:autoSpaceDE w:val="0"/>
        <w:autoSpaceDN w:val="0"/>
        <w:adjustRightInd w:val="0"/>
        <w:rPr>
          <w:sz w:val="22"/>
          <w:szCs w:val="22"/>
        </w:rPr>
      </w:pPr>
      <w:r w:rsidRPr="00AE5855">
        <w:rPr>
          <w:sz w:val="22"/>
          <w:szCs w:val="22"/>
        </w:rPr>
        <w:t xml:space="preserve">Aminoglikozidų grupės antibiotikai gali sukelti sunkius klausos sutrikimus ir inkstų funkcijos sutrikimus. Jeigu vartodami </w:t>
      </w:r>
      <w:r>
        <w:rPr>
          <w:sz w:val="22"/>
          <w:szCs w:val="22"/>
        </w:rPr>
        <w:t>Nettacin</w:t>
      </w:r>
      <w:r w:rsidRPr="00AE5855">
        <w:rPr>
          <w:sz w:val="22"/>
          <w:szCs w:val="22"/>
        </w:rPr>
        <w:t xml:space="preserve"> vartojate kitus antibiotikus, įskaitant geriamuosius, pasitarkite su gydytoju.</w:t>
      </w:r>
    </w:p>
    <w:p w:rsidR="00240EB0" w:rsidRPr="00AE5855" w:rsidRDefault="00240EB0" w:rsidP="00240EB0">
      <w:pPr>
        <w:jc w:val="both"/>
        <w:rPr>
          <w:sz w:val="22"/>
          <w:szCs w:val="22"/>
        </w:rPr>
      </w:pPr>
    </w:p>
    <w:p w:rsidR="00240EB0" w:rsidRPr="00AE5855" w:rsidRDefault="00240EB0" w:rsidP="00240EB0">
      <w:pPr>
        <w:jc w:val="both"/>
        <w:rPr>
          <w:sz w:val="22"/>
          <w:szCs w:val="22"/>
        </w:rPr>
      </w:pPr>
      <w:bookmarkStart w:id="1" w:name="_Hlk61442796"/>
      <w:r>
        <w:rPr>
          <w:sz w:val="22"/>
          <w:szCs w:val="22"/>
        </w:rPr>
        <w:t>Nettacin</w:t>
      </w:r>
      <w:r w:rsidRPr="00AE5855">
        <w:rPr>
          <w:sz w:val="22"/>
          <w:szCs w:val="22"/>
        </w:rPr>
        <w:t xml:space="preserve"> </w:t>
      </w:r>
      <w:bookmarkEnd w:id="1"/>
      <w:r w:rsidRPr="00AE5855">
        <w:rPr>
          <w:sz w:val="22"/>
          <w:szCs w:val="22"/>
        </w:rPr>
        <w:t>nėra skirtas leisti, todėl jo negalima leisti į akį arba į priekinę akies dalį (priekinę kamerą).</w:t>
      </w:r>
    </w:p>
    <w:p w:rsidR="00240EB0" w:rsidRPr="00AE5855" w:rsidRDefault="00240EB0" w:rsidP="00240EB0">
      <w:pPr>
        <w:jc w:val="both"/>
        <w:rPr>
          <w:sz w:val="22"/>
          <w:szCs w:val="22"/>
        </w:rPr>
      </w:pPr>
    </w:p>
    <w:p w:rsidR="00240EB0" w:rsidRPr="00AE5855" w:rsidRDefault="00240EB0" w:rsidP="00240EB0">
      <w:pPr>
        <w:autoSpaceDE w:val="0"/>
        <w:autoSpaceDN w:val="0"/>
        <w:adjustRightInd w:val="0"/>
        <w:rPr>
          <w:sz w:val="22"/>
          <w:szCs w:val="22"/>
        </w:rPr>
      </w:pPr>
      <w:r w:rsidRPr="00AE5855">
        <w:rPr>
          <w:sz w:val="22"/>
          <w:szCs w:val="22"/>
        </w:rPr>
        <w:t>Visais pirmiau nurodytais atvejais arba jeigu vartojant šį vaistą pasireiškė alerginės reakcijos, nutraukite vaisto vartojimą ir kreipkitės į gydytoją.</w:t>
      </w:r>
    </w:p>
    <w:p w:rsidR="00240EB0" w:rsidRPr="00AE5855" w:rsidRDefault="00240EB0" w:rsidP="00240EB0">
      <w:pPr>
        <w:spacing w:before="6"/>
        <w:ind w:right="-20"/>
        <w:rPr>
          <w:sz w:val="22"/>
          <w:szCs w:val="22"/>
        </w:rPr>
      </w:pPr>
    </w:p>
    <w:p w:rsidR="00240EB0" w:rsidRPr="00AE5855" w:rsidRDefault="00240EB0" w:rsidP="00240EB0">
      <w:pPr>
        <w:keepNext/>
        <w:numPr>
          <w:ilvl w:val="12"/>
          <w:numId w:val="0"/>
        </w:numPr>
        <w:rPr>
          <w:b/>
          <w:bCs/>
          <w:noProof/>
          <w:sz w:val="22"/>
          <w:szCs w:val="22"/>
        </w:rPr>
      </w:pPr>
      <w:r w:rsidRPr="00AE5855">
        <w:rPr>
          <w:b/>
          <w:sz w:val="22"/>
          <w:szCs w:val="22"/>
        </w:rPr>
        <w:t>Vaikams ir paaugliams</w:t>
      </w:r>
    </w:p>
    <w:p w:rsidR="00240EB0" w:rsidRPr="00AE5855" w:rsidRDefault="00240EB0" w:rsidP="00240EB0">
      <w:pPr>
        <w:shd w:val="clear" w:color="auto" w:fill="FFFFFF"/>
        <w:spacing w:after="115"/>
        <w:rPr>
          <w:color w:val="000000"/>
          <w:sz w:val="22"/>
          <w:szCs w:val="22"/>
        </w:rPr>
      </w:pPr>
      <w:r>
        <w:rPr>
          <w:sz w:val="22"/>
          <w:szCs w:val="22"/>
        </w:rPr>
        <w:t>Nettacin</w:t>
      </w:r>
      <w:r w:rsidRPr="00AE5855">
        <w:rPr>
          <w:sz w:val="22"/>
          <w:szCs w:val="22"/>
        </w:rPr>
        <w:t xml:space="preserve"> saugumas ir veiksmingumas </w:t>
      </w:r>
      <w:r w:rsidRPr="00AE5855">
        <w:rPr>
          <w:color w:val="000000"/>
          <w:sz w:val="22"/>
          <w:szCs w:val="22"/>
        </w:rPr>
        <w:t>vaikams arba paaugliams neištirti.</w:t>
      </w:r>
    </w:p>
    <w:p w:rsidR="00240EB0" w:rsidRPr="00AE5855" w:rsidRDefault="00240EB0" w:rsidP="00240EB0">
      <w:pPr>
        <w:numPr>
          <w:ilvl w:val="12"/>
          <w:numId w:val="0"/>
        </w:numPr>
        <w:rPr>
          <w:b/>
          <w:bCs/>
          <w:noProof/>
          <w:sz w:val="22"/>
          <w:szCs w:val="22"/>
        </w:rPr>
      </w:pPr>
    </w:p>
    <w:p w:rsidR="00240EB0" w:rsidRPr="00AE5855" w:rsidRDefault="00240EB0" w:rsidP="00240EB0">
      <w:pPr>
        <w:keepNext/>
        <w:numPr>
          <w:ilvl w:val="12"/>
          <w:numId w:val="0"/>
        </w:numPr>
        <w:rPr>
          <w:sz w:val="22"/>
          <w:szCs w:val="22"/>
        </w:rPr>
      </w:pPr>
      <w:r w:rsidRPr="00AE5855">
        <w:rPr>
          <w:b/>
          <w:sz w:val="22"/>
          <w:szCs w:val="22"/>
        </w:rPr>
        <w:lastRenderedPageBreak/>
        <w:t xml:space="preserve">Kiti vaistai ir </w:t>
      </w:r>
      <w:r>
        <w:rPr>
          <w:b/>
          <w:sz w:val="22"/>
          <w:szCs w:val="22"/>
        </w:rPr>
        <w:t>Nettacin</w:t>
      </w:r>
    </w:p>
    <w:p w:rsidR="00240EB0" w:rsidRPr="00AE5855" w:rsidRDefault="00240EB0" w:rsidP="00240EB0">
      <w:pPr>
        <w:keepNext/>
        <w:numPr>
          <w:ilvl w:val="12"/>
          <w:numId w:val="0"/>
        </w:numPr>
        <w:rPr>
          <w:noProof/>
          <w:sz w:val="22"/>
          <w:szCs w:val="22"/>
        </w:rPr>
      </w:pPr>
      <w:r w:rsidRPr="00AE5855">
        <w:rPr>
          <w:sz w:val="22"/>
          <w:szCs w:val="22"/>
        </w:rPr>
        <w:t>Jeigu vartojate ar neseniai vartojote kitų vaistų arba dėl to nesate tikri, apie tai pasakykite gydytojui arba vaistininkui.</w:t>
      </w:r>
    </w:p>
    <w:p w:rsidR="00240EB0" w:rsidRPr="00AE5855" w:rsidRDefault="00240EB0" w:rsidP="00240EB0">
      <w:pPr>
        <w:numPr>
          <w:ilvl w:val="12"/>
          <w:numId w:val="0"/>
        </w:numPr>
        <w:ind w:right="-2"/>
        <w:rPr>
          <w:noProof/>
          <w:sz w:val="22"/>
          <w:szCs w:val="22"/>
        </w:rPr>
      </w:pPr>
    </w:p>
    <w:p w:rsidR="00240EB0" w:rsidRPr="00AE5855" w:rsidRDefault="00240EB0" w:rsidP="00240EB0">
      <w:pPr>
        <w:rPr>
          <w:sz w:val="22"/>
          <w:szCs w:val="22"/>
        </w:rPr>
      </w:pPr>
      <w:bookmarkStart w:id="2" w:name="_Hlk61442946"/>
      <w:r>
        <w:rPr>
          <w:sz w:val="22"/>
          <w:szCs w:val="22"/>
        </w:rPr>
        <w:t>Nettacin</w:t>
      </w:r>
      <w:r w:rsidRPr="00AE5855">
        <w:rPr>
          <w:sz w:val="22"/>
          <w:szCs w:val="22"/>
        </w:rPr>
        <w:t xml:space="preserve"> </w:t>
      </w:r>
      <w:bookmarkEnd w:id="2"/>
      <w:r w:rsidRPr="00AE5855">
        <w:rPr>
          <w:sz w:val="22"/>
          <w:szCs w:val="22"/>
        </w:rPr>
        <w:t>galima vartoti kartu su kitais akių vaistais, tačiau svarbu laikytis 3 skyriuje pateikiamų nurodymų.</w:t>
      </w:r>
    </w:p>
    <w:p w:rsidR="00240EB0" w:rsidRPr="00AE5855" w:rsidRDefault="00240EB0" w:rsidP="00240EB0">
      <w:pPr>
        <w:numPr>
          <w:ilvl w:val="12"/>
          <w:numId w:val="0"/>
        </w:numPr>
        <w:ind w:right="-2"/>
        <w:rPr>
          <w:noProof/>
          <w:sz w:val="22"/>
          <w:szCs w:val="22"/>
        </w:rPr>
      </w:pPr>
    </w:p>
    <w:p w:rsidR="00240EB0" w:rsidRPr="00AE5855" w:rsidRDefault="00240EB0" w:rsidP="00240EB0">
      <w:pPr>
        <w:rPr>
          <w:sz w:val="22"/>
          <w:szCs w:val="22"/>
        </w:rPr>
      </w:pPr>
      <w:r w:rsidRPr="00AE5855">
        <w:rPr>
          <w:sz w:val="22"/>
          <w:szCs w:val="22"/>
        </w:rPr>
        <w:t>Jeigu vartojate toliau nurodytus vaistus, pasakykite gydytojui arba vaistininkui:</w:t>
      </w:r>
    </w:p>
    <w:p w:rsidR="00240EB0" w:rsidRPr="00AE5855" w:rsidRDefault="00240EB0" w:rsidP="00240EB0">
      <w:pPr>
        <w:pStyle w:val="LightGrid-Accent31"/>
        <w:widowControl w:val="0"/>
        <w:numPr>
          <w:ilvl w:val="0"/>
          <w:numId w:val="2"/>
        </w:numPr>
        <w:autoSpaceDE w:val="0"/>
        <w:autoSpaceDN w:val="0"/>
        <w:spacing w:before="6" w:after="0" w:line="240" w:lineRule="auto"/>
        <w:ind w:right="312"/>
        <w:contextualSpacing w:val="0"/>
        <w:rPr>
          <w:rFonts w:ascii="Times New Roman" w:hAnsi="Times New Roman"/>
        </w:rPr>
      </w:pPr>
      <w:r w:rsidRPr="00AE5855">
        <w:rPr>
          <w:rFonts w:ascii="Times New Roman" w:hAnsi="Times New Roman"/>
          <w:color w:val="231F20"/>
        </w:rPr>
        <w:t xml:space="preserve">bet kurį kitą antibiotiką, ypač polimiksiną B, kolistiną, viomiciną, streptomiciną, vankomiciną arba cefaloridiną. </w:t>
      </w:r>
      <w:r w:rsidRPr="00AE5855">
        <w:rPr>
          <w:rFonts w:ascii="Times New Roman" w:hAnsi="Times New Roman"/>
        </w:rPr>
        <w:t xml:space="preserve">Vartojant </w:t>
      </w:r>
      <w:r>
        <w:rPr>
          <w:rFonts w:ascii="Times New Roman" w:hAnsi="Times New Roman"/>
        </w:rPr>
        <w:t>Nettacin</w:t>
      </w:r>
      <w:r w:rsidRPr="00AE5855">
        <w:rPr>
          <w:rFonts w:ascii="Times New Roman" w:hAnsi="Times New Roman"/>
        </w:rPr>
        <w:t xml:space="preserve"> vienu metu su kitais aminoglikozidų grupės antibiotikais, gali padidėti inkstų funkcijos sutrikimų, klausos sutrikimų rizika arba gali pakisti kitų </w:t>
      </w:r>
      <w:r w:rsidRPr="00AE5855">
        <w:rPr>
          <w:rFonts w:ascii="Times New Roman" w:hAnsi="Times New Roman"/>
          <w:color w:val="231F20"/>
        </w:rPr>
        <w:t>antibiotikų poveikis</w:t>
      </w:r>
      <w:r w:rsidRPr="00AE5855">
        <w:rPr>
          <w:rFonts w:ascii="Times New Roman" w:hAnsi="Times New Roman"/>
        </w:rPr>
        <w:t>;</w:t>
      </w:r>
    </w:p>
    <w:p w:rsidR="00240EB0" w:rsidRPr="00AE5855" w:rsidRDefault="00240EB0" w:rsidP="00240EB0">
      <w:pPr>
        <w:pStyle w:val="LightGrid-Accent31"/>
        <w:widowControl w:val="0"/>
        <w:numPr>
          <w:ilvl w:val="0"/>
          <w:numId w:val="2"/>
        </w:numPr>
        <w:autoSpaceDE w:val="0"/>
        <w:autoSpaceDN w:val="0"/>
        <w:spacing w:before="6" w:after="0" w:line="240" w:lineRule="auto"/>
        <w:ind w:right="312"/>
        <w:contextualSpacing w:val="0"/>
        <w:rPr>
          <w:rFonts w:ascii="Times New Roman" w:hAnsi="Times New Roman"/>
        </w:rPr>
      </w:pPr>
      <w:r w:rsidRPr="00AE5855">
        <w:rPr>
          <w:rFonts w:ascii="Times New Roman" w:hAnsi="Times New Roman"/>
          <w:color w:val="231F20"/>
        </w:rPr>
        <w:t>cisplatiną (vartojamą vėžio gydymui);</w:t>
      </w:r>
    </w:p>
    <w:p w:rsidR="00240EB0" w:rsidRPr="00AE5855" w:rsidRDefault="00240EB0" w:rsidP="00240EB0">
      <w:pPr>
        <w:pStyle w:val="LightGrid-Accent31"/>
        <w:widowControl w:val="0"/>
        <w:numPr>
          <w:ilvl w:val="0"/>
          <w:numId w:val="2"/>
        </w:numPr>
        <w:autoSpaceDE w:val="0"/>
        <w:autoSpaceDN w:val="0"/>
        <w:spacing w:after="0" w:line="240" w:lineRule="auto"/>
        <w:contextualSpacing w:val="0"/>
        <w:rPr>
          <w:rFonts w:ascii="Times New Roman" w:hAnsi="Times New Roman"/>
        </w:rPr>
      </w:pPr>
      <w:r w:rsidRPr="00AE5855">
        <w:rPr>
          <w:rFonts w:ascii="Times New Roman" w:hAnsi="Times New Roman"/>
          <w:color w:val="231F20"/>
        </w:rPr>
        <w:t>diuretikus (vaistus, mažinančius vandens susilaikymą), pvz., etakrino rūgštį ir furozemidą.</w:t>
      </w:r>
    </w:p>
    <w:p w:rsidR="00240EB0" w:rsidRPr="00AE5855" w:rsidRDefault="00240EB0" w:rsidP="00240EB0">
      <w:pPr>
        <w:numPr>
          <w:ilvl w:val="12"/>
          <w:numId w:val="0"/>
        </w:numPr>
        <w:tabs>
          <w:tab w:val="left" w:pos="1290"/>
        </w:tabs>
        <w:ind w:right="-2"/>
        <w:rPr>
          <w:noProof/>
          <w:sz w:val="22"/>
          <w:szCs w:val="22"/>
        </w:rPr>
      </w:pPr>
    </w:p>
    <w:p w:rsidR="00240EB0" w:rsidRPr="00AE5855" w:rsidRDefault="00240EB0" w:rsidP="00240EB0">
      <w:pPr>
        <w:numPr>
          <w:ilvl w:val="12"/>
          <w:numId w:val="0"/>
        </w:numPr>
        <w:ind w:right="-2"/>
        <w:outlineLvl w:val="0"/>
        <w:rPr>
          <w:b/>
          <w:noProof/>
          <w:sz w:val="22"/>
          <w:szCs w:val="22"/>
        </w:rPr>
      </w:pPr>
      <w:r w:rsidRPr="00AE5855">
        <w:rPr>
          <w:b/>
          <w:sz w:val="22"/>
          <w:szCs w:val="22"/>
        </w:rPr>
        <w:t>Nėštumas ir žindymo laikotarpis</w:t>
      </w:r>
    </w:p>
    <w:p w:rsidR="00240EB0" w:rsidRPr="00AE5855" w:rsidRDefault="00240EB0" w:rsidP="00240EB0">
      <w:pPr>
        <w:numPr>
          <w:ilvl w:val="12"/>
          <w:numId w:val="0"/>
        </w:numPr>
        <w:rPr>
          <w:noProof/>
          <w:sz w:val="22"/>
          <w:szCs w:val="22"/>
        </w:rPr>
      </w:pPr>
      <w:r w:rsidRPr="00AE5855">
        <w:rPr>
          <w:sz w:val="22"/>
          <w:szCs w:val="22"/>
        </w:rPr>
        <w:t>Jeigu esate nėščia, žindote kūdikį, manote, kad galbūt esate nėščia arba planuojate pastoti, tai prieš vartodama šį vaistą pasitarkite su gydytoju.</w:t>
      </w:r>
    </w:p>
    <w:p w:rsidR="00240EB0" w:rsidRPr="00AE5855" w:rsidRDefault="00240EB0" w:rsidP="00240EB0">
      <w:pPr>
        <w:numPr>
          <w:ilvl w:val="12"/>
          <w:numId w:val="0"/>
        </w:numPr>
        <w:rPr>
          <w:noProof/>
          <w:sz w:val="22"/>
          <w:szCs w:val="22"/>
        </w:rPr>
      </w:pPr>
    </w:p>
    <w:p w:rsidR="00240EB0" w:rsidRPr="00AE5855" w:rsidRDefault="00240EB0" w:rsidP="00240EB0">
      <w:pPr>
        <w:numPr>
          <w:ilvl w:val="12"/>
          <w:numId w:val="0"/>
        </w:numPr>
        <w:rPr>
          <w:noProof/>
          <w:sz w:val="22"/>
          <w:szCs w:val="22"/>
          <w:u w:val="single"/>
        </w:rPr>
      </w:pPr>
      <w:r w:rsidRPr="00AE5855">
        <w:rPr>
          <w:sz w:val="22"/>
          <w:szCs w:val="22"/>
          <w:u w:val="single"/>
        </w:rPr>
        <w:t>Nėštumas</w:t>
      </w:r>
    </w:p>
    <w:p w:rsidR="00240EB0" w:rsidRPr="00AE5855" w:rsidRDefault="00240EB0" w:rsidP="00240EB0">
      <w:pPr>
        <w:numPr>
          <w:ilvl w:val="12"/>
          <w:numId w:val="0"/>
        </w:numPr>
        <w:rPr>
          <w:noProof/>
          <w:sz w:val="22"/>
          <w:szCs w:val="22"/>
        </w:rPr>
      </w:pPr>
      <w:r w:rsidRPr="00AE5855">
        <w:rPr>
          <w:sz w:val="22"/>
          <w:szCs w:val="22"/>
        </w:rPr>
        <w:t>Šį vaistą galima vartoti tik jeigu, gydytojo nuomone, jis yra tinkamas.</w:t>
      </w:r>
    </w:p>
    <w:p w:rsidR="00240EB0" w:rsidRPr="00AE5855" w:rsidRDefault="00240EB0" w:rsidP="00240EB0">
      <w:pPr>
        <w:numPr>
          <w:ilvl w:val="12"/>
          <w:numId w:val="0"/>
        </w:numPr>
        <w:rPr>
          <w:noProof/>
          <w:sz w:val="22"/>
          <w:szCs w:val="22"/>
        </w:rPr>
      </w:pPr>
    </w:p>
    <w:p w:rsidR="00240EB0" w:rsidRPr="00AE5855" w:rsidRDefault="00240EB0" w:rsidP="00240EB0">
      <w:pPr>
        <w:numPr>
          <w:ilvl w:val="12"/>
          <w:numId w:val="0"/>
        </w:numPr>
        <w:rPr>
          <w:noProof/>
          <w:sz w:val="22"/>
          <w:szCs w:val="22"/>
          <w:u w:val="single"/>
        </w:rPr>
      </w:pPr>
      <w:r w:rsidRPr="00AE5855">
        <w:rPr>
          <w:sz w:val="22"/>
          <w:szCs w:val="22"/>
          <w:u w:val="single"/>
        </w:rPr>
        <w:t>Žindymo laikotarpis</w:t>
      </w:r>
    </w:p>
    <w:p w:rsidR="00240EB0" w:rsidRPr="00AE5855" w:rsidRDefault="00240EB0" w:rsidP="00240EB0">
      <w:pPr>
        <w:numPr>
          <w:ilvl w:val="12"/>
          <w:numId w:val="0"/>
        </w:numPr>
        <w:rPr>
          <w:sz w:val="22"/>
          <w:szCs w:val="22"/>
        </w:rPr>
      </w:pPr>
      <w:r>
        <w:rPr>
          <w:sz w:val="22"/>
          <w:szCs w:val="22"/>
        </w:rPr>
        <w:t>Nettacin</w:t>
      </w:r>
      <w:r w:rsidRPr="00AE5855">
        <w:rPr>
          <w:sz w:val="22"/>
          <w:szCs w:val="22"/>
        </w:rPr>
        <w:t xml:space="preserve"> nerekomenduojama vartoti žindymo laikotarpiu, nes šis vaistas mažais kiekiais išsiskiria į motinos pieną.</w:t>
      </w:r>
    </w:p>
    <w:p w:rsidR="00240EB0" w:rsidRPr="00AE5855" w:rsidRDefault="00240EB0" w:rsidP="00240EB0">
      <w:pPr>
        <w:numPr>
          <w:ilvl w:val="12"/>
          <w:numId w:val="0"/>
        </w:numPr>
        <w:rPr>
          <w:sz w:val="22"/>
          <w:szCs w:val="22"/>
        </w:rPr>
      </w:pPr>
    </w:p>
    <w:p w:rsidR="00240EB0" w:rsidRPr="00AE5855" w:rsidRDefault="00240EB0" w:rsidP="00240EB0">
      <w:pPr>
        <w:numPr>
          <w:ilvl w:val="12"/>
          <w:numId w:val="0"/>
        </w:numPr>
        <w:ind w:right="-2"/>
        <w:outlineLvl w:val="0"/>
        <w:rPr>
          <w:noProof/>
          <w:sz w:val="22"/>
          <w:szCs w:val="22"/>
        </w:rPr>
      </w:pPr>
      <w:r w:rsidRPr="00AE5855">
        <w:rPr>
          <w:b/>
          <w:sz w:val="22"/>
          <w:szCs w:val="22"/>
        </w:rPr>
        <w:t>Vairavimas ir mechanizmų valdymas</w:t>
      </w:r>
    </w:p>
    <w:p w:rsidR="00240EB0" w:rsidRPr="00AE5855" w:rsidRDefault="00240EB0" w:rsidP="00240EB0">
      <w:pPr>
        <w:numPr>
          <w:ilvl w:val="12"/>
          <w:numId w:val="0"/>
        </w:numPr>
        <w:ind w:right="-2"/>
        <w:outlineLvl w:val="0"/>
        <w:rPr>
          <w:sz w:val="22"/>
          <w:szCs w:val="22"/>
        </w:rPr>
      </w:pPr>
      <w:r w:rsidRPr="00AE5855">
        <w:rPr>
          <w:sz w:val="22"/>
          <w:szCs w:val="22"/>
        </w:rPr>
        <w:t xml:space="preserve">Susilašinus </w:t>
      </w:r>
      <w:r>
        <w:rPr>
          <w:sz w:val="22"/>
          <w:szCs w:val="22"/>
        </w:rPr>
        <w:t>Nettacin</w:t>
      </w:r>
      <w:r w:rsidRPr="00AE5855">
        <w:rPr>
          <w:sz w:val="22"/>
          <w:szCs w:val="22"/>
        </w:rPr>
        <w:t>, Jūsų regėjimas laikinai gali tapti neaiškus (aptemęs). Nevairuokite ir nevaldykite mechanizmų, kol Jūsų regėjimas vėl netaps aiškus.</w:t>
      </w:r>
    </w:p>
    <w:p w:rsidR="00240EB0" w:rsidRPr="00AE5855" w:rsidRDefault="00240EB0" w:rsidP="00240EB0">
      <w:pPr>
        <w:numPr>
          <w:ilvl w:val="12"/>
          <w:numId w:val="0"/>
        </w:numPr>
        <w:ind w:right="-2"/>
        <w:outlineLvl w:val="0"/>
        <w:rPr>
          <w:sz w:val="22"/>
          <w:szCs w:val="22"/>
        </w:rPr>
      </w:pPr>
    </w:p>
    <w:p w:rsidR="00240EB0" w:rsidRPr="00AE5855" w:rsidRDefault="00240EB0" w:rsidP="00240EB0">
      <w:pPr>
        <w:pStyle w:val="Pagrindinistekstas"/>
        <w:spacing w:before="6"/>
        <w:ind w:right="535"/>
        <w:rPr>
          <w:b/>
          <w:iCs/>
          <w:sz w:val="22"/>
          <w:szCs w:val="22"/>
        </w:rPr>
      </w:pPr>
      <w:r>
        <w:rPr>
          <w:b/>
          <w:iCs/>
          <w:sz w:val="22"/>
          <w:szCs w:val="22"/>
        </w:rPr>
        <w:t>Nettacin</w:t>
      </w:r>
      <w:r w:rsidRPr="00AE5855">
        <w:rPr>
          <w:b/>
          <w:iCs/>
          <w:sz w:val="22"/>
          <w:szCs w:val="22"/>
        </w:rPr>
        <w:t xml:space="preserve"> 3 mg/ml akių lašuose (tirpale) yra</w:t>
      </w:r>
      <w:r w:rsidRPr="00AE5855">
        <w:rPr>
          <w:iCs/>
          <w:color w:val="231F20"/>
          <w:sz w:val="22"/>
          <w:szCs w:val="22"/>
        </w:rPr>
        <w:t xml:space="preserve"> </w:t>
      </w:r>
      <w:r w:rsidRPr="00AE5855">
        <w:rPr>
          <w:b/>
          <w:iCs/>
          <w:sz w:val="22"/>
          <w:szCs w:val="22"/>
        </w:rPr>
        <w:t>benzalkonio chlorido</w:t>
      </w:r>
    </w:p>
    <w:p w:rsidR="00240EB0" w:rsidRPr="00AE5855" w:rsidRDefault="00240EB0" w:rsidP="00240EB0">
      <w:pPr>
        <w:pStyle w:val="Pagrindinistekstas"/>
        <w:spacing w:before="6"/>
        <w:ind w:right="535"/>
        <w:rPr>
          <w:iCs/>
          <w:sz w:val="22"/>
          <w:szCs w:val="22"/>
        </w:rPr>
      </w:pPr>
      <w:r w:rsidRPr="00AE5855">
        <w:rPr>
          <w:iCs/>
          <w:sz w:val="22"/>
          <w:szCs w:val="22"/>
        </w:rPr>
        <w:t>Kiekviename šio vaisto ml yra 0,05 mg benzalkonio chlorido.</w:t>
      </w:r>
    </w:p>
    <w:p w:rsidR="00240EB0" w:rsidRPr="00AE5855" w:rsidRDefault="00240EB0" w:rsidP="00240EB0">
      <w:pPr>
        <w:pStyle w:val="Pagrindinistekstas"/>
        <w:spacing w:before="6"/>
        <w:ind w:right="535"/>
        <w:rPr>
          <w:iCs/>
          <w:sz w:val="22"/>
          <w:szCs w:val="22"/>
        </w:rPr>
      </w:pPr>
      <w:r w:rsidRPr="00AE5855">
        <w:rPr>
          <w:iCs/>
          <w:sz w:val="22"/>
          <w:szCs w:val="22"/>
        </w:rPr>
        <w:t>Minkštieji kontaktiniai lęšiai gali absorbuoti benzalkonio chloridą ir gali pasikeisti kontaktinių lęšių spalva. Prieš šio vaisto vartojimą kontaktinius lęšius reikia išimti ir vėl juos galima įdėti ne anksčiau kaip po 15 min.</w:t>
      </w:r>
    </w:p>
    <w:p w:rsidR="00240EB0" w:rsidRPr="00AE5855" w:rsidRDefault="00240EB0" w:rsidP="00240EB0">
      <w:pPr>
        <w:pStyle w:val="Pagrindinistekstas"/>
        <w:spacing w:before="6"/>
        <w:ind w:right="535"/>
        <w:rPr>
          <w:iCs/>
          <w:sz w:val="22"/>
          <w:szCs w:val="22"/>
        </w:rPr>
      </w:pPr>
      <w:r w:rsidRPr="00AE5855">
        <w:rPr>
          <w:iCs/>
          <w:sz w:val="22"/>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rsidR="00240EB0" w:rsidRPr="00AE5855" w:rsidRDefault="00240EB0" w:rsidP="00240EB0">
      <w:pPr>
        <w:numPr>
          <w:ilvl w:val="12"/>
          <w:numId w:val="0"/>
        </w:numPr>
        <w:ind w:right="-2"/>
        <w:rPr>
          <w:noProof/>
          <w:sz w:val="22"/>
          <w:szCs w:val="22"/>
        </w:rPr>
      </w:pPr>
    </w:p>
    <w:p w:rsidR="00240EB0" w:rsidRPr="00AE5855" w:rsidRDefault="00240EB0" w:rsidP="00BD3591">
      <w:pPr>
        <w:ind w:left="567" w:right="-2" w:hanging="567"/>
        <w:rPr>
          <w:noProof/>
          <w:sz w:val="22"/>
          <w:szCs w:val="22"/>
        </w:rPr>
      </w:pPr>
      <w:r w:rsidRPr="00AE5855">
        <w:rPr>
          <w:b/>
          <w:sz w:val="22"/>
          <w:szCs w:val="22"/>
        </w:rPr>
        <w:t>3.</w:t>
      </w:r>
      <w:r w:rsidRPr="00AE5855">
        <w:rPr>
          <w:b/>
          <w:sz w:val="22"/>
          <w:szCs w:val="22"/>
        </w:rPr>
        <w:tab/>
        <w:t xml:space="preserve">Kaip vartoti </w:t>
      </w:r>
      <w:r>
        <w:rPr>
          <w:b/>
          <w:sz w:val="22"/>
          <w:szCs w:val="22"/>
        </w:rPr>
        <w:t>Nettacin</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noProof/>
          <w:sz w:val="22"/>
          <w:szCs w:val="22"/>
        </w:rPr>
      </w:pPr>
      <w:r w:rsidRPr="00AE5855">
        <w:rPr>
          <w:sz w:val="22"/>
          <w:szCs w:val="22"/>
        </w:rPr>
        <w:t>Visada vartokite šį vaistą tiksliai, kaip nurodė gydytojas arba vaistininkas. Jeigu abejojate, kreipkitės į gydytoją arba vaistininką.</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noProof/>
          <w:sz w:val="22"/>
          <w:szCs w:val="22"/>
        </w:rPr>
      </w:pPr>
      <w:r w:rsidRPr="00AE5855">
        <w:rPr>
          <w:sz w:val="22"/>
          <w:szCs w:val="22"/>
        </w:rPr>
        <w:t>Rekomenduojama dozė yra 1 arba 2 lašai į gydomą akį 3 kartus per parą arba kaip nurodė gydytojas.</w:t>
      </w:r>
    </w:p>
    <w:p w:rsidR="00240EB0" w:rsidRPr="00AE5855" w:rsidRDefault="00240EB0" w:rsidP="00240EB0">
      <w:pPr>
        <w:numPr>
          <w:ilvl w:val="12"/>
          <w:numId w:val="0"/>
        </w:numPr>
        <w:ind w:right="-2"/>
        <w:rPr>
          <w:noProof/>
          <w:sz w:val="22"/>
          <w:szCs w:val="22"/>
        </w:rPr>
      </w:pPr>
    </w:p>
    <w:p w:rsidR="00240EB0" w:rsidRPr="00AE5855" w:rsidRDefault="00240EB0" w:rsidP="00240EB0">
      <w:pPr>
        <w:ind w:right="-2"/>
        <w:rPr>
          <w:b/>
          <w:noProof/>
          <w:sz w:val="22"/>
          <w:szCs w:val="22"/>
        </w:rPr>
      </w:pPr>
      <w:r w:rsidRPr="00AE5855">
        <w:rPr>
          <w:b/>
          <w:sz w:val="22"/>
          <w:szCs w:val="22"/>
        </w:rPr>
        <w:t>Jeigu nešiojate kontaktinius lęšius</w:t>
      </w:r>
    </w:p>
    <w:p w:rsidR="00240EB0" w:rsidRPr="00AE5855" w:rsidRDefault="00240EB0" w:rsidP="00240EB0">
      <w:pPr>
        <w:ind w:right="-2"/>
        <w:rPr>
          <w:noProof/>
          <w:sz w:val="22"/>
          <w:szCs w:val="22"/>
        </w:rPr>
      </w:pPr>
      <w:r w:rsidRPr="00AE5855">
        <w:rPr>
          <w:sz w:val="22"/>
          <w:szCs w:val="22"/>
        </w:rPr>
        <w:t>Paviršinės akių infekcijos gydymo metu kontaktinių lęšių nešioti nerekomenduojama.</w:t>
      </w:r>
    </w:p>
    <w:p w:rsidR="00240EB0" w:rsidRPr="00AE5855" w:rsidRDefault="00240EB0" w:rsidP="00240EB0">
      <w:pPr>
        <w:jc w:val="both"/>
        <w:rPr>
          <w:sz w:val="22"/>
          <w:szCs w:val="22"/>
        </w:rPr>
      </w:pPr>
      <w:r w:rsidRPr="00AE5855">
        <w:rPr>
          <w:sz w:val="22"/>
          <w:szCs w:val="22"/>
        </w:rPr>
        <w:t xml:space="preserve">Jeigu nešiojate kontaktinius lęšius, prieš vartodami </w:t>
      </w:r>
      <w:r>
        <w:rPr>
          <w:sz w:val="22"/>
          <w:szCs w:val="22"/>
        </w:rPr>
        <w:t>Nettacin</w:t>
      </w:r>
      <w:r w:rsidRPr="00AE5855">
        <w:rPr>
          <w:sz w:val="22"/>
          <w:szCs w:val="22"/>
        </w:rPr>
        <w:t xml:space="preserve"> akių lašus, turite juos išsiimti. Susilašinus šio vaisto, kontaktinius lęšius vėl galima įsidėti po 15 minučių.</w:t>
      </w:r>
    </w:p>
    <w:p w:rsidR="00240EB0" w:rsidRPr="00AE5855" w:rsidRDefault="00240EB0" w:rsidP="00240EB0">
      <w:pPr>
        <w:numPr>
          <w:ilvl w:val="12"/>
          <w:numId w:val="0"/>
        </w:numPr>
        <w:ind w:right="-2"/>
        <w:rPr>
          <w:noProof/>
          <w:sz w:val="22"/>
          <w:szCs w:val="22"/>
        </w:rPr>
      </w:pPr>
    </w:p>
    <w:p w:rsidR="00240EB0" w:rsidRPr="00AE5855" w:rsidRDefault="00240EB0" w:rsidP="00240EB0">
      <w:pPr>
        <w:keepNext/>
        <w:numPr>
          <w:ilvl w:val="12"/>
          <w:numId w:val="0"/>
        </w:numPr>
        <w:rPr>
          <w:b/>
          <w:sz w:val="22"/>
          <w:szCs w:val="22"/>
        </w:rPr>
      </w:pPr>
      <w:r w:rsidRPr="00AE5855">
        <w:rPr>
          <w:b/>
          <w:sz w:val="22"/>
          <w:szCs w:val="22"/>
        </w:rPr>
        <w:t>Vartojimo instrukcija</w:t>
      </w:r>
    </w:p>
    <w:p w:rsidR="00240EB0" w:rsidRPr="00AE5855" w:rsidRDefault="00240EB0" w:rsidP="00240EB0">
      <w:pPr>
        <w:keepNext/>
        <w:numPr>
          <w:ilvl w:val="0"/>
          <w:numId w:val="3"/>
        </w:numPr>
        <w:ind w:left="540" w:right="-2" w:hanging="540"/>
        <w:jc w:val="both"/>
        <w:rPr>
          <w:sz w:val="22"/>
          <w:szCs w:val="22"/>
        </w:rPr>
      </w:pPr>
      <w:r>
        <w:rPr>
          <w:sz w:val="22"/>
          <w:szCs w:val="22"/>
        </w:rPr>
        <w:t xml:space="preserve">Kruopščiai </w:t>
      </w:r>
      <w:r w:rsidRPr="00AE5855">
        <w:rPr>
          <w:sz w:val="22"/>
          <w:szCs w:val="22"/>
        </w:rPr>
        <w:t>nusiplaukite arba nusivalykite rankas.</w:t>
      </w:r>
    </w:p>
    <w:p w:rsidR="00240EB0" w:rsidRPr="00AE5855" w:rsidRDefault="00240EB0" w:rsidP="00240EB0">
      <w:pPr>
        <w:numPr>
          <w:ilvl w:val="0"/>
          <w:numId w:val="3"/>
        </w:numPr>
        <w:ind w:left="540" w:right="-2" w:hanging="540"/>
        <w:jc w:val="both"/>
        <w:rPr>
          <w:sz w:val="22"/>
          <w:szCs w:val="22"/>
        </w:rPr>
      </w:pPr>
      <w:r>
        <w:rPr>
          <w:sz w:val="22"/>
          <w:szCs w:val="22"/>
        </w:rPr>
        <w:t xml:space="preserve">Standžiai </w:t>
      </w:r>
      <w:r w:rsidRPr="00AE5855">
        <w:rPr>
          <w:sz w:val="22"/>
          <w:szCs w:val="22"/>
        </w:rPr>
        <w:t>užsukite dangtelį, kad pradurtumėte buteliuko antgalį.</w:t>
      </w:r>
    </w:p>
    <w:p w:rsidR="00240EB0" w:rsidRPr="00AE5855" w:rsidRDefault="00240EB0" w:rsidP="00240EB0">
      <w:pPr>
        <w:ind w:left="540" w:right="-2"/>
        <w:jc w:val="both"/>
        <w:rPr>
          <w:sz w:val="22"/>
          <w:szCs w:val="22"/>
        </w:rPr>
      </w:pPr>
      <w:r w:rsidRPr="00AE5855">
        <w:rPr>
          <w:noProof/>
          <w:sz w:val="22"/>
          <w:szCs w:val="22"/>
          <w:lang w:eastAsia="lt-LT"/>
        </w:rPr>
        <w:drawing>
          <wp:inline distT="0" distB="0" distL="0" distR="0" wp14:anchorId="41C92260" wp14:editId="5C388BC6">
            <wp:extent cx="857250" cy="676275"/>
            <wp:effectExtent l="0" t="0" r="0" b="0"/>
            <wp:docPr id="4"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p>
    <w:p w:rsidR="00240EB0" w:rsidRPr="00AE5855" w:rsidRDefault="00240EB0" w:rsidP="00240EB0">
      <w:pPr>
        <w:numPr>
          <w:ilvl w:val="0"/>
          <w:numId w:val="3"/>
        </w:numPr>
        <w:spacing w:after="60"/>
        <w:ind w:left="540" w:hanging="540"/>
        <w:jc w:val="both"/>
        <w:rPr>
          <w:sz w:val="22"/>
          <w:szCs w:val="22"/>
        </w:rPr>
      </w:pPr>
      <w:r w:rsidRPr="00AE5855">
        <w:rPr>
          <w:sz w:val="22"/>
          <w:szCs w:val="22"/>
        </w:rPr>
        <w:lastRenderedPageBreak/>
        <w:t xml:space="preserve">Atsukite dangtelį, apverskite buteliuką ir </w:t>
      </w:r>
      <w:r>
        <w:rPr>
          <w:sz w:val="22"/>
          <w:szCs w:val="22"/>
        </w:rPr>
        <w:t xml:space="preserve">švelniai </w:t>
      </w:r>
      <w:r w:rsidRPr="00AE5855">
        <w:rPr>
          <w:sz w:val="22"/>
          <w:szCs w:val="22"/>
        </w:rPr>
        <w:t>jį suspauskite, kad į gydomą (</w:t>
      </w:r>
      <w:r w:rsidRPr="00AE5855">
        <w:rPr>
          <w:sz w:val="22"/>
          <w:szCs w:val="22"/>
        </w:rPr>
        <w:noBreakHyphen/>
        <w:t>as) akį (</w:t>
      </w:r>
      <w:r w:rsidRPr="00AE5855">
        <w:rPr>
          <w:sz w:val="22"/>
          <w:szCs w:val="22"/>
        </w:rPr>
        <w:noBreakHyphen/>
        <w:t>is) įlašėtų vienas lašas. Saugokitės, kad buteliuko antgaliu nepaliestumėte akies, akies vok</w:t>
      </w:r>
      <w:r>
        <w:rPr>
          <w:sz w:val="22"/>
          <w:szCs w:val="22"/>
        </w:rPr>
        <w:t xml:space="preserve">ų </w:t>
      </w:r>
      <w:r w:rsidRPr="00AE5855">
        <w:rPr>
          <w:sz w:val="22"/>
          <w:szCs w:val="22"/>
        </w:rPr>
        <w:t>arba bet kokio kito paviršiaus</w:t>
      </w:r>
      <w:r>
        <w:rPr>
          <w:sz w:val="22"/>
          <w:szCs w:val="22"/>
        </w:rPr>
        <w:t xml:space="preserve"> – taip išvengsite užteršimo.</w:t>
      </w:r>
    </w:p>
    <w:p w:rsidR="00240EB0" w:rsidRPr="00AE5855" w:rsidRDefault="00240EB0" w:rsidP="00240EB0">
      <w:pPr>
        <w:numPr>
          <w:ilvl w:val="12"/>
          <w:numId w:val="0"/>
        </w:numPr>
        <w:ind w:left="540" w:right="-2"/>
        <w:rPr>
          <w:sz w:val="22"/>
          <w:szCs w:val="22"/>
        </w:rPr>
      </w:pPr>
      <w:r w:rsidRPr="00AE5855">
        <w:rPr>
          <w:noProof/>
          <w:sz w:val="22"/>
          <w:szCs w:val="22"/>
          <w:lang w:eastAsia="lt-LT"/>
        </w:rPr>
        <w:drawing>
          <wp:inline distT="0" distB="0" distL="0" distR="0" wp14:anchorId="00570F0A" wp14:editId="26E89986">
            <wp:extent cx="762000" cy="6000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p w:rsidR="00240EB0" w:rsidRPr="00AE5855" w:rsidRDefault="00240EB0" w:rsidP="00240EB0">
      <w:pPr>
        <w:numPr>
          <w:ilvl w:val="12"/>
          <w:numId w:val="0"/>
        </w:numPr>
        <w:ind w:right="-2"/>
        <w:rPr>
          <w:sz w:val="22"/>
          <w:szCs w:val="22"/>
        </w:rPr>
      </w:pPr>
    </w:p>
    <w:p w:rsidR="00240EB0" w:rsidRPr="00AE5855" w:rsidRDefault="00240EB0" w:rsidP="00240EB0">
      <w:pPr>
        <w:keepNext/>
        <w:numPr>
          <w:ilvl w:val="0"/>
          <w:numId w:val="3"/>
        </w:numPr>
        <w:ind w:left="539" w:hanging="539"/>
        <w:jc w:val="both"/>
        <w:rPr>
          <w:sz w:val="22"/>
          <w:szCs w:val="22"/>
        </w:rPr>
      </w:pPr>
      <w:r w:rsidRPr="00AE5855">
        <w:rPr>
          <w:sz w:val="22"/>
          <w:szCs w:val="22"/>
        </w:rPr>
        <w:t>Buteliuką su lašintuvu vėl tvirtai užsukite dangteliu.</w:t>
      </w:r>
    </w:p>
    <w:p w:rsidR="00240EB0" w:rsidRPr="00AE5855" w:rsidRDefault="00240EB0" w:rsidP="00240EB0">
      <w:pPr>
        <w:numPr>
          <w:ilvl w:val="12"/>
          <w:numId w:val="0"/>
        </w:numPr>
        <w:ind w:left="540" w:right="-2"/>
        <w:rPr>
          <w:sz w:val="22"/>
          <w:szCs w:val="22"/>
        </w:rPr>
      </w:pPr>
      <w:r w:rsidRPr="00AE5855">
        <w:rPr>
          <w:noProof/>
          <w:sz w:val="22"/>
          <w:szCs w:val="22"/>
          <w:lang w:eastAsia="lt-LT"/>
        </w:rPr>
        <w:drawing>
          <wp:inline distT="0" distB="0" distL="0" distR="0" wp14:anchorId="44566792" wp14:editId="41D0359D">
            <wp:extent cx="857250" cy="666750"/>
            <wp:effectExtent l="0" t="0" r="0" b="0"/>
            <wp:docPr id="6"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666750"/>
                    </a:xfrm>
                    <a:prstGeom prst="rect">
                      <a:avLst/>
                    </a:prstGeom>
                    <a:noFill/>
                    <a:ln>
                      <a:noFill/>
                    </a:ln>
                  </pic:spPr>
                </pic:pic>
              </a:graphicData>
            </a:graphic>
          </wp:inline>
        </w:drawing>
      </w:r>
    </w:p>
    <w:p w:rsidR="00240EB0" w:rsidRPr="00AE5855" w:rsidRDefault="00240EB0" w:rsidP="00240EB0">
      <w:pPr>
        <w:spacing w:after="60"/>
        <w:rPr>
          <w:sz w:val="22"/>
          <w:szCs w:val="22"/>
        </w:rPr>
      </w:pPr>
    </w:p>
    <w:p w:rsidR="00240EB0" w:rsidRPr="00AE5855" w:rsidRDefault="00240EB0" w:rsidP="00240EB0">
      <w:pPr>
        <w:numPr>
          <w:ilvl w:val="12"/>
          <w:numId w:val="0"/>
        </w:numPr>
        <w:ind w:right="-2"/>
        <w:rPr>
          <w:sz w:val="22"/>
          <w:szCs w:val="22"/>
        </w:rPr>
      </w:pPr>
      <w:r w:rsidRPr="00AE5855">
        <w:rPr>
          <w:sz w:val="22"/>
          <w:szCs w:val="22"/>
        </w:rPr>
        <w:t>Laikydami gydomą akį užmerktą, piršto galu prispauskite vidinį užmerktos akies kampą ir palaikykite 1 minutę. Tai yra svarbu, nes taip sumažinamas vaisto kiekis, kuris patenka į likusią Jūsų organizmo dalį.</w:t>
      </w:r>
    </w:p>
    <w:p w:rsidR="00240EB0" w:rsidRPr="00AE5855" w:rsidRDefault="00240EB0" w:rsidP="00240EB0">
      <w:pPr>
        <w:spacing w:after="60"/>
        <w:rPr>
          <w:noProof/>
          <w:sz w:val="22"/>
          <w:szCs w:val="22"/>
        </w:rPr>
      </w:pPr>
      <w:r w:rsidRPr="00AE5855">
        <w:rPr>
          <w:noProof/>
          <w:sz w:val="22"/>
          <w:szCs w:val="22"/>
          <w:lang w:eastAsia="lt-LT"/>
        </w:rPr>
        <w:drawing>
          <wp:anchor distT="0" distB="0" distL="114300" distR="114300" simplePos="0" relativeHeight="251659264" behindDoc="0" locked="0" layoutInCell="1" allowOverlap="1" wp14:anchorId="6BA59F40" wp14:editId="4BDB4493">
            <wp:simplePos x="0" y="0"/>
            <wp:positionH relativeFrom="column">
              <wp:posOffset>4445</wp:posOffset>
            </wp:positionH>
            <wp:positionV relativeFrom="paragraph">
              <wp:posOffset>4445</wp:posOffset>
            </wp:positionV>
            <wp:extent cx="1238250" cy="704850"/>
            <wp:effectExtent l="0" t="0" r="0" b="0"/>
            <wp:wrapTopAndBottom/>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0EB0" w:rsidRPr="00AE5855" w:rsidRDefault="00240EB0" w:rsidP="00240EB0">
      <w:pPr>
        <w:ind w:right="-2"/>
        <w:rPr>
          <w:b/>
          <w:noProof/>
          <w:sz w:val="22"/>
          <w:szCs w:val="22"/>
        </w:rPr>
      </w:pPr>
      <w:r w:rsidRPr="00AE5855">
        <w:rPr>
          <w:b/>
          <w:sz w:val="22"/>
          <w:szCs w:val="22"/>
        </w:rPr>
        <w:t xml:space="preserve">Ką daryti pavartojus per didelę </w:t>
      </w:r>
      <w:r>
        <w:rPr>
          <w:b/>
          <w:sz w:val="22"/>
          <w:szCs w:val="22"/>
        </w:rPr>
        <w:t>Nettacin</w:t>
      </w:r>
      <w:r w:rsidRPr="00AE5855">
        <w:rPr>
          <w:b/>
          <w:sz w:val="22"/>
          <w:szCs w:val="22"/>
        </w:rPr>
        <w:t xml:space="preserve"> dozę?</w:t>
      </w:r>
    </w:p>
    <w:p w:rsidR="00240EB0" w:rsidRPr="00AE5855" w:rsidRDefault="00240EB0" w:rsidP="00240EB0">
      <w:pPr>
        <w:rPr>
          <w:sz w:val="22"/>
          <w:szCs w:val="22"/>
        </w:rPr>
      </w:pPr>
      <w:r w:rsidRPr="00AE5855">
        <w:rPr>
          <w:sz w:val="22"/>
          <w:szCs w:val="22"/>
        </w:rPr>
        <w:t xml:space="preserve">Vartojant </w:t>
      </w:r>
      <w:r>
        <w:rPr>
          <w:sz w:val="22"/>
          <w:szCs w:val="22"/>
        </w:rPr>
        <w:t>Nettacin</w:t>
      </w:r>
      <w:r w:rsidRPr="00AE5855">
        <w:rPr>
          <w:sz w:val="22"/>
          <w:szCs w:val="22"/>
        </w:rPr>
        <w:t>, perdozavimo atvejų nenustatyta.</w:t>
      </w:r>
    </w:p>
    <w:p w:rsidR="00240EB0" w:rsidRPr="00AE5855" w:rsidRDefault="00240EB0" w:rsidP="00240EB0">
      <w:pPr>
        <w:rPr>
          <w:color w:val="000000"/>
          <w:sz w:val="22"/>
          <w:szCs w:val="22"/>
        </w:rPr>
      </w:pPr>
      <w:r w:rsidRPr="00AE5855">
        <w:rPr>
          <w:color w:val="000000"/>
          <w:sz w:val="22"/>
          <w:szCs w:val="22"/>
          <w:shd w:val="clear" w:color="auto" w:fill="FFFFFF"/>
        </w:rPr>
        <w:t>Jeigu netyčia sulašintumėte daugiau lašų nei reikia, jokių sutrikimų pasireikšti neturėtų. Lašinkite kitą vaisto dozę įprastu metu.</w:t>
      </w:r>
    </w:p>
    <w:p w:rsidR="00240EB0" w:rsidRPr="00AE5855" w:rsidRDefault="00240EB0" w:rsidP="00240EB0">
      <w:pPr>
        <w:numPr>
          <w:ilvl w:val="12"/>
          <w:numId w:val="0"/>
        </w:numPr>
        <w:ind w:right="-2"/>
        <w:outlineLvl w:val="0"/>
        <w:rPr>
          <w:i/>
          <w:noProof/>
          <w:sz w:val="22"/>
          <w:szCs w:val="22"/>
        </w:rPr>
      </w:pPr>
    </w:p>
    <w:p w:rsidR="00240EB0" w:rsidRPr="00AE5855" w:rsidRDefault="00240EB0" w:rsidP="00240EB0">
      <w:pPr>
        <w:numPr>
          <w:ilvl w:val="12"/>
          <w:numId w:val="0"/>
        </w:numPr>
        <w:ind w:right="-2"/>
        <w:outlineLvl w:val="0"/>
        <w:rPr>
          <w:noProof/>
          <w:sz w:val="22"/>
          <w:szCs w:val="22"/>
        </w:rPr>
      </w:pPr>
      <w:r w:rsidRPr="00AE5855">
        <w:rPr>
          <w:b/>
          <w:sz w:val="22"/>
          <w:szCs w:val="22"/>
        </w:rPr>
        <w:t xml:space="preserve">Pamiršus pavartoti </w:t>
      </w:r>
      <w:r>
        <w:rPr>
          <w:b/>
          <w:sz w:val="22"/>
          <w:szCs w:val="22"/>
        </w:rPr>
        <w:t>Nettacin</w:t>
      </w:r>
    </w:p>
    <w:p w:rsidR="00240EB0" w:rsidRPr="00AE5855" w:rsidRDefault="00240EB0" w:rsidP="00240EB0">
      <w:pPr>
        <w:numPr>
          <w:ilvl w:val="12"/>
          <w:numId w:val="0"/>
        </w:numPr>
        <w:ind w:right="-2"/>
        <w:rPr>
          <w:noProof/>
          <w:sz w:val="22"/>
          <w:szCs w:val="22"/>
        </w:rPr>
      </w:pPr>
      <w:r w:rsidRPr="00AE5855">
        <w:rPr>
          <w:sz w:val="22"/>
          <w:szCs w:val="22"/>
        </w:rPr>
        <w:t>Negalima vartoti dvigubos dozės norint kompensuoti praleistą dozę.</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outlineLvl w:val="0"/>
        <w:rPr>
          <w:b/>
          <w:noProof/>
          <w:sz w:val="22"/>
          <w:szCs w:val="22"/>
        </w:rPr>
      </w:pPr>
      <w:r w:rsidRPr="00AE5855">
        <w:rPr>
          <w:b/>
          <w:sz w:val="22"/>
          <w:szCs w:val="22"/>
        </w:rPr>
        <w:t>Nustojus vartoti</w:t>
      </w:r>
      <w:r w:rsidRPr="00AE5855">
        <w:rPr>
          <w:sz w:val="22"/>
          <w:szCs w:val="22"/>
        </w:rPr>
        <w:t xml:space="preserve"> </w:t>
      </w:r>
      <w:r>
        <w:rPr>
          <w:b/>
          <w:sz w:val="22"/>
          <w:szCs w:val="22"/>
        </w:rPr>
        <w:t>Nettacin</w:t>
      </w:r>
    </w:p>
    <w:p w:rsidR="00240EB0" w:rsidRPr="00AE5855" w:rsidRDefault="00240EB0" w:rsidP="00240EB0">
      <w:pPr>
        <w:numPr>
          <w:ilvl w:val="12"/>
          <w:numId w:val="0"/>
        </w:numPr>
        <w:ind w:right="-29"/>
        <w:rPr>
          <w:sz w:val="22"/>
          <w:szCs w:val="22"/>
        </w:rPr>
      </w:pPr>
      <w:r w:rsidRPr="00AE5855">
        <w:rPr>
          <w:sz w:val="22"/>
          <w:szCs w:val="22"/>
        </w:rPr>
        <w:t>Jeigu kiltų daugiau klausimų dėl šio vaisto vartojimo, kreipkitės į gydytoją, vaistininką arba slaugytoją.</w:t>
      </w:r>
    </w:p>
    <w:p w:rsidR="00240EB0" w:rsidRPr="00AE5855" w:rsidRDefault="00240EB0" w:rsidP="00240EB0">
      <w:pPr>
        <w:numPr>
          <w:ilvl w:val="12"/>
          <w:numId w:val="0"/>
        </w:numPr>
        <w:rPr>
          <w:sz w:val="22"/>
          <w:szCs w:val="22"/>
        </w:rPr>
      </w:pPr>
    </w:p>
    <w:p w:rsidR="00240EB0" w:rsidRPr="00AE5855" w:rsidRDefault="00240EB0" w:rsidP="00240EB0">
      <w:pPr>
        <w:rPr>
          <w:b/>
          <w:sz w:val="22"/>
          <w:szCs w:val="22"/>
        </w:rPr>
      </w:pPr>
      <w:r w:rsidRPr="00AE5855">
        <w:rPr>
          <w:b/>
          <w:sz w:val="22"/>
          <w:szCs w:val="22"/>
        </w:rPr>
        <w:t>Jeigu vartojate</w:t>
      </w:r>
      <w:r w:rsidRPr="00AE5855">
        <w:rPr>
          <w:sz w:val="22"/>
          <w:szCs w:val="22"/>
        </w:rPr>
        <w:t xml:space="preserve"> </w:t>
      </w:r>
      <w:r>
        <w:rPr>
          <w:b/>
          <w:sz w:val="22"/>
          <w:szCs w:val="22"/>
        </w:rPr>
        <w:t>Nettacin</w:t>
      </w:r>
      <w:r w:rsidRPr="00AE5855">
        <w:rPr>
          <w:b/>
          <w:sz w:val="22"/>
          <w:szCs w:val="22"/>
        </w:rPr>
        <w:t xml:space="preserve"> su kitais akių vaistais</w:t>
      </w:r>
    </w:p>
    <w:p w:rsidR="00240EB0" w:rsidRPr="00AE5855" w:rsidRDefault="00240EB0" w:rsidP="00240EB0">
      <w:pPr>
        <w:autoSpaceDE w:val="0"/>
        <w:autoSpaceDN w:val="0"/>
        <w:adjustRightInd w:val="0"/>
        <w:rPr>
          <w:color w:val="000000"/>
          <w:sz w:val="22"/>
          <w:szCs w:val="22"/>
        </w:rPr>
      </w:pPr>
      <w:r w:rsidRPr="00AE5855">
        <w:rPr>
          <w:color w:val="000000"/>
          <w:sz w:val="22"/>
          <w:szCs w:val="22"/>
        </w:rPr>
        <w:t>Jeigu vartojate kitą akių vaistą, tarp kiekvieno vaisto vartojimo turite palaukti 5 minutes.</w:t>
      </w:r>
    </w:p>
    <w:p w:rsidR="00240EB0" w:rsidRPr="00AE5855" w:rsidRDefault="00240EB0" w:rsidP="00240EB0">
      <w:pPr>
        <w:rPr>
          <w:sz w:val="22"/>
          <w:szCs w:val="22"/>
        </w:rPr>
      </w:pPr>
      <w:r w:rsidRPr="00AE5855">
        <w:rPr>
          <w:sz w:val="22"/>
          <w:szCs w:val="22"/>
        </w:rPr>
        <w:t>Akių tepalus reikia vartoti paskutinius.</w:t>
      </w:r>
    </w:p>
    <w:p w:rsidR="00240EB0" w:rsidRPr="00AE5855" w:rsidRDefault="00240EB0" w:rsidP="00240EB0">
      <w:pPr>
        <w:jc w:val="both"/>
        <w:rPr>
          <w:b/>
          <w:sz w:val="22"/>
          <w:szCs w:val="22"/>
        </w:rPr>
      </w:pPr>
    </w:p>
    <w:p w:rsidR="00240EB0" w:rsidRPr="00AE5855" w:rsidRDefault="00240EB0" w:rsidP="00240EB0">
      <w:pPr>
        <w:numPr>
          <w:ilvl w:val="12"/>
          <w:numId w:val="0"/>
        </w:numPr>
        <w:ind w:left="567" w:right="-2" w:hanging="567"/>
        <w:rPr>
          <w:sz w:val="22"/>
          <w:szCs w:val="22"/>
        </w:rPr>
      </w:pPr>
      <w:r w:rsidRPr="00AE5855">
        <w:rPr>
          <w:b/>
          <w:sz w:val="22"/>
          <w:szCs w:val="22"/>
        </w:rPr>
        <w:t>4.</w:t>
      </w:r>
      <w:r w:rsidRPr="00AE5855">
        <w:rPr>
          <w:b/>
          <w:sz w:val="22"/>
          <w:szCs w:val="22"/>
        </w:rPr>
        <w:tab/>
        <w:t>Galimas šalutinis poveikis</w:t>
      </w:r>
    </w:p>
    <w:p w:rsidR="00240EB0" w:rsidRPr="00AE5855" w:rsidRDefault="00240EB0" w:rsidP="00240EB0">
      <w:pPr>
        <w:numPr>
          <w:ilvl w:val="12"/>
          <w:numId w:val="0"/>
        </w:numPr>
        <w:ind w:left="567" w:right="-2" w:hanging="567"/>
        <w:rPr>
          <w:sz w:val="22"/>
          <w:szCs w:val="22"/>
        </w:rPr>
      </w:pPr>
    </w:p>
    <w:p w:rsidR="00240EB0" w:rsidRPr="00AE5855" w:rsidRDefault="00240EB0" w:rsidP="00240EB0">
      <w:pPr>
        <w:numPr>
          <w:ilvl w:val="12"/>
          <w:numId w:val="0"/>
        </w:numPr>
        <w:ind w:right="-29"/>
        <w:jc w:val="both"/>
        <w:rPr>
          <w:noProof/>
          <w:sz w:val="22"/>
          <w:szCs w:val="22"/>
        </w:rPr>
      </w:pPr>
      <w:r w:rsidRPr="00AE5855">
        <w:rPr>
          <w:sz w:val="22"/>
          <w:szCs w:val="22"/>
        </w:rPr>
        <w:t>Šis vaistas, kaip ir visi kiti, gali sukelti šalutinį poveikį, nors jis pasireiškia ne visiems žmonėms. Daugumai žmonių, gydomų šiais akių lašais, nepasireiškia jokio šalutinio poveikio.</w:t>
      </w:r>
    </w:p>
    <w:p w:rsidR="00240EB0" w:rsidRPr="00AE5855" w:rsidRDefault="00240EB0" w:rsidP="00240EB0">
      <w:pPr>
        <w:numPr>
          <w:ilvl w:val="12"/>
          <w:numId w:val="0"/>
        </w:numPr>
        <w:ind w:right="-2"/>
        <w:rPr>
          <w:bCs/>
          <w:sz w:val="22"/>
          <w:szCs w:val="22"/>
        </w:rPr>
      </w:pPr>
    </w:p>
    <w:p w:rsidR="00240EB0" w:rsidRPr="00AE5855" w:rsidRDefault="00240EB0" w:rsidP="00240EB0">
      <w:pPr>
        <w:keepNext/>
        <w:numPr>
          <w:ilvl w:val="12"/>
          <w:numId w:val="0"/>
        </w:numPr>
        <w:rPr>
          <w:b/>
          <w:sz w:val="22"/>
          <w:szCs w:val="22"/>
        </w:rPr>
      </w:pPr>
      <w:bookmarkStart w:id="3" w:name="_Hlk5953936"/>
      <w:r w:rsidRPr="00AE5855">
        <w:rPr>
          <w:sz w:val="22"/>
          <w:szCs w:val="22"/>
        </w:rPr>
        <w:t xml:space="preserve">Vartojant </w:t>
      </w:r>
      <w:r>
        <w:rPr>
          <w:sz w:val="22"/>
          <w:szCs w:val="22"/>
        </w:rPr>
        <w:t>Nettacin</w:t>
      </w:r>
      <w:r w:rsidRPr="00AE5855">
        <w:rPr>
          <w:sz w:val="22"/>
          <w:szCs w:val="22"/>
        </w:rPr>
        <w:t>, pasireiškė toliau nurodytas šalutinis poveikis. Dažnis nežinomas (negali būti apskaičiuotas pagal turimus duomenis):</w:t>
      </w:r>
    </w:p>
    <w:p w:rsidR="00240EB0" w:rsidRPr="00AE5855" w:rsidRDefault="00240EB0" w:rsidP="00240EB0">
      <w:pPr>
        <w:numPr>
          <w:ilvl w:val="0"/>
          <w:numId w:val="1"/>
        </w:numPr>
        <w:ind w:left="720"/>
        <w:jc w:val="both"/>
        <w:rPr>
          <w:sz w:val="22"/>
          <w:szCs w:val="22"/>
        </w:rPr>
      </w:pPr>
      <w:r w:rsidRPr="00AE5855">
        <w:rPr>
          <w:sz w:val="22"/>
          <w:szCs w:val="22"/>
        </w:rPr>
        <w:t>akies dirginimas;</w:t>
      </w:r>
    </w:p>
    <w:p w:rsidR="00240EB0" w:rsidRPr="00AE5855" w:rsidRDefault="00240EB0" w:rsidP="00240EB0">
      <w:pPr>
        <w:numPr>
          <w:ilvl w:val="0"/>
          <w:numId w:val="1"/>
        </w:numPr>
        <w:ind w:left="720"/>
        <w:jc w:val="both"/>
        <w:rPr>
          <w:sz w:val="22"/>
          <w:szCs w:val="22"/>
        </w:rPr>
      </w:pPr>
      <w:r w:rsidRPr="00AE5855">
        <w:rPr>
          <w:sz w:val="22"/>
          <w:szCs w:val="22"/>
        </w:rPr>
        <w:t>akies paraudimas;</w:t>
      </w:r>
    </w:p>
    <w:p w:rsidR="00240EB0" w:rsidRPr="00AE5855" w:rsidRDefault="00240EB0" w:rsidP="00240EB0">
      <w:pPr>
        <w:numPr>
          <w:ilvl w:val="0"/>
          <w:numId w:val="1"/>
        </w:numPr>
        <w:ind w:left="720"/>
        <w:jc w:val="both"/>
        <w:rPr>
          <w:sz w:val="22"/>
          <w:szCs w:val="22"/>
        </w:rPr>
      </w:pPr>
      <w:r w:rsidRPr="00AE5855">
        <w:rPr>
          <w:sz w:val="22"/>
          <w:szCs w:val="22"/>
        </w:rPr>
        <w:t>akies voko išbėrimas;</w:t>
      </w:r>
    </w:p>
    <w:p w:rsidR="00240EB0" w:rsidRPr="00AE5855" w:rsidRDefault="00240EB0" w:rsidP="00240EB0">
      <w:pPr>
        <w:numPr>
          <w:ilvl w:val="0"/>
          <w:numId w:val="1"/>
        </w:numPr>
        <w:ind w:left="720"/>
        <w:jc w:val="both"/>
        <w:rPr>
          <w:sz w:val="22"/>
          <w:szCs w:val="22"/>
        </w:rPr>
      </w:pPr>
      <w:r w:rsidRPr="00AE5855">
        <w:rPr>
          <w:sz w:val="22"/>
          <w:szCs w:val="22"/>
        </w:rPr>
        <w:t>akies voko patinimas;</w:t>
      </w:r>
    </w:p>
    <w:p w:rsidR="00240EB0" w:rsidRPr="00AE5855" w:rsidRDefault="00240EB0" w:rsidP="00240EB0">
      <w:pPr>
        <w:numPr>
          <w:ilvl w:val="0"/>
          <w:numId w:val="1"/>
        </w:numPr>
        <w:ind w:left="720"/>
        <w:jc w:val="both"/>
        <w:rPr>
          <w:sz w:val="22"/>
          <w:szCs w:val="22"/>
        </w:rPr>
      </w:pPr>
      <w:r w:rsidRPr="00AE5855">
        <w:rPr>
          <w:sz w:val="22"/>
          <w:szCs w:val="22"/>
        </w:rPr>
        <w:t>akies niežėjimas;</w:t>
      </w:r>
    </w:p>
    <w:p w:rsidR="00240EB0" w:rsidRPr="00AE5855" w:rsidRDefault="00240EB0" w:rsidP="00240EB0">
      <w:pPr>
        <w:numPr>
          <w:ilvl w:val="0"/>
          <w:numId w:val="1"/>
        </w:numPr>
        <w:ind w:left="720"/>
        <w:jc w:val="both"/>
        <w:rPr>
          <w:sz w:val="22"/>
          <w:szCs w:val="22"/>
        </w:rPr>
      </w:pPr>
      <w:r w:rsidRPr="00AE5855">
        <w:rPr>
          <w:sz w:val="22"/>
          <w:szCs w:val="22"/>
        </w:rPr>
        <w:t>alerginė reakcija;</w:t>
      </w:r>
    </w:p>
    <w:p w:rsidR="00240EB0" w:rsidRPr="00AE5855" w:rsidRDefault="00240EB0" w:rsidP="00240EB0">
      <w:pPr>
        <w:numPr>
          <w:ilvl w:val="0"/>
          <w:numId w:val="1"/>
        </w:numPr>
        <w:ind w:left="720"/>
        <w:jc w:val="both"/>
        <w:rPr>
          <w:sz w:val="22"/>
          <w:szCs w:val="22"/>
        </w:rPr>
      </w:pPr>
      <w:r w:rsidRPr="00AE5855">
        <w:rPr>
          <w:sz w:val="22"/>
          <w:szCs w:val="22"/>
        </w:rPr>
        <w:t>dilgėlinė.</w:t>
      </w:r>
    </w:p>
    <w:bookmarkEnd w:id="3"/>
    <w:p w:rsidR="00240EB0" w:rsidRPr="00AE5855" w:rsidRDefault="00240EB0" w:rsidP="00240EB0">
      <w:pPr>
        <w:numPr>
          <w:ilvl w:val="12"/>
          <w:numId w:val="0"/>
        </w:numPr>
        <w:ind w:right="-2"/>
        <w:rPr>
          <w:b/>
          <w:sz w:val="22"/>
          <w:szCs w:val="22"/>
        </w:rPr>
      </w:pPr>
    </w:p>
    <w:p w:rsidR="00240EB0" w:rsidRDefault="00240EB0" w:rsidP="00240EB0">
      <w:pPr>
        <w:keepNext/>
        <w:numPr>
          <w:ilvl w:val="12"/>
          <w:numId w:val="0"/>
        </w:numPr>
        <w:outlineLvl w:val="0"/>
        <w:rPr>
          <w:b/>
          <w:sz w:val="22"/>
          <w:szCs w:val="22"/>
        </w:rPr>
      </w:pPr>
      <w:r w:rsidRPr="00AE5855">
        <w:rPr>
          <w:b/>
          <w:sz w:val="22"/>
          <w:szCs w:val="22"/>
        </w:rPr>
        <w:t>Pranešimas apie šalutinį poveikį</w:t>
      </w:r>
    </w:p>
    <w:p w:rsidR="00240EB0" w:rsidRPr="005D554B" w:rsidRDefault="00240EB0" w:rsidP="00240EB0">
      <w:pPr>
        <w:tabs>
          <w:tab w:val="left" w:pos="567"/>
        </w:tabs>
        <w:spacing w:line="260" w:lineRule="exact"/>
        <w:ind w:right="-1"/>
        <w:rPr>
          <w:snapToGrid w:val="0"/>
          <w:sz w:val="22"/>
        </w:rPr>
      </w:pPr>
      <w:r w:rsidRPr="005D554B">
        <w:rPr>
          <w:snapToGrid w:val="0"/>
          <w:sz w:val="22"/>
        </w:rPr>
        <w:t>Jeigu pasireiškė šalutinis poveikis, įskaitant šiame l</w:t>
      </w:r>
      <w:r>
        <w:rPr>
          <w:snapToGrid w:val="0"/>
          <w:sz w:val="22"/>
        </w:rPr>
        <w:t>apelyje nenurodytą, pasakykite gydytojui, vaistininkui arba slaugytojui.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0"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1"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240EB0" w:rsidRPr="00AE5855" w:rsidRDefault="00240EB0" w:rsidP="00240EB0">
      <w:pPr>
        <w:keepNext/>
        <w:numPr>
          <w:ilvl w:val="12"/>
          <w:numId w:val="0"/>
        </w:numPr>
        <w:outlineLvl w:val="0"/>
        <w:rPr>
          <w:b/>
          <w:noProof/>
          <w:sz w:val="22"/>
          <w:szCs w:val="22"/>
        </w:rPr>
      </w:pPr>
    </w:p>
    <w:p w:rsidR="00240EB0" w:rsidRPr="00AE5855" w:rsidRDefault="00240EB0" w:rsidP="00240EB0">
      <w:pPr>
        <w:autoSpaceDE w:val="0"/>
        <w:autoSpaceDN w:val="0"/>
        <w:adjustRightInd w:val="0"/>
        <w:rPr>
          <w:sz w:val="22"/>
          <w:szCs w:val="22"/>
        </w:rPr>
      </w:pPr>
    </w:p>
    <w:p w:rsidR="00240EB0" w:rsidRPr="00AE5855" w:rsidRDefault="00240EB0" w:rsidP="00240EB0">
      <w:pPr>
        <w:numPr>
          <w:ilvl w:val="12"/>
          <w:numId w:val="0"/>
        </w:numPr>
        <w:ind w:left="567" w:right="-2" w:hanging="567"/>
        <w:rPr>
          <w:b/>
          <w:noProof/>
          <w:sz w:val="22"/>
          <w:szCs w:val="22"/>
        </w:rPr>
      </w:pPr>
      <w:r w:rsidRPr="00AE5855">
        <w:rPr>
          <w:b/>
          <w:sz w:val="22"/>
          <w:szCs w:val="22"/>
        </w:rPr>
        <w:t>5.</w:t>
      </w:r>
      <w:r w:rsidRPr="00AE5855">
        <w:rPr>
          <w:b/>
          <w:sz w:val="22"/>
          <w:szCs w:val="22"/>
        </w:rPr>
        <w:tab/>
        <w:t xml:space="preserve">Kaip laikyti </w:t>
      </w:r>
      <w:r>
        <w:rPr>
          <w:b/>
          <w:sz w:val="22"/>
          <w:szCs w:val="22"/>
        </w:rPr>
        <w:t>Nettacin</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noProof/>
          <w:sz w:val="22"/>
          <w:szCs w:val="22"/>
        </w:rPr>
      </w:pPr>
      <w:r w:rsidRPr="00AE5855">
        <w:rPr>
          <w:sz w:val="22"/>
          <w:szCs w:val="22"/>
        </w:rPr>
        <w:t>Šį vaistą laikykite vaikams nepastebimoje ir nepasiekiamoje vietoje.</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noProof/>
          <w:sz w:val="22"/>
          <w:szCs w:val="22"/>
        </w:rPr>
      </w:pPr>
      <w:r w:rsidRPr="00AE5855">
        <w:rPr>
          <w:sz w:val="22"/>
          <w:szCs w:val="22"/>
        </w:rPr>
        <w:t xml:space="preserve">Ant </w:t>
      </w:r>
      <w:r>
        <w:rPr>
          <w:sz w:val="22"/>
          <w:szCs w:val="22"/>
        </w:rPr>
        <w:t xml:space="preserve">buteliuko </w:t>
      </w:r>
      <w:r w:rsidRPr="00AE5855">
        <w:rPr>
          <w:sz w:val="22"/>
          <w:szCs w:val="22"/>
        </w:rPr>
        <w:t xml:space="preserve">etiketės ir </w:t>
      </w:r>
      <w:r>
        <w:rPr>
          <w:sz w:val="22"/>
          <w:szCs w:val="22"/>
        </w:rPr>
        <w:t xml:space="preserve">kartono </w:t>
      </w:r>
      <w:r w:rsidRPr="00AE5855">
        <w:rPr>
          <w:sz w:val="22"/>
          <w:szCs w:val="22"/>
        </w:rPr>
        <w:t>dėžutės po „Tinka iki“ / „EXP“ nurodytam tinkamumo laikui pasibaigus, šio vaisto vartoti negalima. Neatidarytas ir tinkamai laikomas vaistas tinkamas vartoti iki paskutinės nurodyto mėnesio dienos.</w:t>
      </w:r>
    </w:p>
    <w:p w:rsidR="00240EB0" w:rsidRPr="00AE5855" w:rsidRDefault="00240EB0" w:rsidP="00240EB0">
      <w:pPr>
        <w:numPr>
          <w:ilvl w:val="12"/>
          <w:numId w:val="0"/>
        </w:numPr>
        <w:ind w:right="-2"/>
        <w:rPr>
          <w:noProof/>
          <w:sz w:val="22"/>
          <w:szCs w:val="22"/>
        </w:rPr>
      </w:pPr>
    </w:p>
    <w:p w:rsidR="00240EB0" w:rsidRPr="00AE5855" w:rsidRDefault="00240EB0" w:rsidP="00240EB0">
      <w:pPr>
        <w:rPr>
          <w:sz w:val="22"/>
          <w:szCs w:val="22"/>
        </w:rPr>
      </w:pPr>
      <w:r>
        <w:rPr>
          <w:sz w:val="22"/>
          <w:szCs w:val="22"/>
        </w:rPr>
        <w:t>Nettacin</w:t>
      </w:r>
      <w:r w:rsidRPr="00AE5855">
        <w:rPr>
          <w:sz w:val="22"/>
          <w:szCs w:val="22"/>
        </w:rPr>
        <w:t xml:space="preserve"> reikia suvartoti per 28 dienas </w:t>
      </w:r>
      <w:r>
        <w:rPr>
          <w:sz w:val="22"/>
          <w:szCs w:val="22"/>
        </w:rPr>
        <w:t xml:space="preserve">po </w:t>
      </w:r>
      <w:r w:rsidRPr="00AE5855">
        <w:rPr>
          <w:sz w:val="22"/>
          <w:szCs w:val="22"/>
        </w:rPr>
        <w:t xml:space="preserve"> pirmojo atidarymo.</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noProof/>
          <w:sz w:val="22"/>
          <w:szCs w:val="22"/>
        </w:rPr>
      </w:pPr>
      <w:r w:rsidRPr="00AE5855">
        <w:rPr>
          <w:sz w:val="22"/>
          <w:szCs w:val="22"/>
        </w:rPr>
        <w:t>Laikyti ne aukštesnėje kaip 25 °C temperatūroje.</w:t>
      </w:r>
    </w:p>
    <w:p w:rsidR="00240EB0" w:rsidRPr="00AE5855" w:rsidRDefault="00240EB0" w:rsidP="00240EB0">
      <w:pPr>
        <w:jc w:val="both"/>
        <w:rPr>
          <w:sz w:val="22"/>
          <w:szCs w:val="22"/>
        </w:rPr>
      </w:pPr>
      <w:r w:rsidRPr="00AE5855">
        <w:rPr>
          <w:sz w:val="22"/>
          <w:szCs w:val="22"/>
        </w:rPr>
        <w:t>Buteliuką laikyti išorinėje dėžutėje, kad vaistas būtų apsaugotas nuo šviesos.</w:t>
      </w:r>
    </w:p>
    <w:p w:rsidR="00240EB0" w:rsidRPr="00AE5855" w:rsidRDefault="00240EB0" w:rsidP="00240EB0">
      <w:pPr>
        <w:numPr>
          <w:ilvl w:val="12"/>
          <w:numId w:val="0"/>
        </w:numPr>
        <w:ind w:right="-2"/>
        <w:rPr>
          <w:sz w:val="22"/>
          <w:szCs w:val="22"/>
        </w:rPr>
      </w:pPr>
    </w:p>
    <w:p w:rsidR="00240EB0" w:rsidRPr="00AE5855" w:rsidRDefault="00240EB0" w:rsidP="00240EB0">
      <w:pPr>
        <w:numPr>
          <w:ilvl w:val="12"/>
          <w:numId w:val="0"/>
        </w:numPr>
        <w:ind w:right="-2"/>
        <w:rPr>
          <w:i/>
          <w:iCs/>
          <w:noProof/>
          <w:sz w:val="22"/>
          <w:szCs w:val="22"/>
        </w:rPr>
      </w:pPr>
      <w:r w:rsidRPr="00AE5855">
        <w:rPr>
          <w:sz w:val="22"/>
          <w:szCs w:val="22"/>
        </w:rPr>
        <w:t>Vaistų negalima išmesti kanalizaciją arba su buitinėmis atliekomis. Kaip išmesti nereikalingus vaistus, klauskite vaistininko. Šios priemonės padės apsaugoti aplinką.</w:t>
      </w:r>
    </w:p>
    <w:p w:rsidR="00240EB0" w:rsidRPr="00AE5855" w:rsidRDefault="00240EB0" w:rsidP="00240EB0">
      <w:pPr>
        <w:jc w:val="both"/>
        <w:rPr>
          <w:b/>
          <w:sz w:val="22"/>
          <w:szCs w:val="22"/>
        </w:rPr>
      </w:pPr>
    </w:p>
    <w:p w:rsidR="00240EB0" w:rsidRPr="00AE5855" w:rsidRDefault="00240EB0" w:rsidP="00BD3591">
      <w:pPr>
        <w:numPr>
          <w:ilvl w:val="12"/>
          <w:numId w:val="0"/>
        </w:numPr>
        <w:ind w:left="567" w:right="-2" w:hanging="567"/>
        <w:rPr>
          <w:b/>
          <w:sz w:val="22"/>
          <w:szCs w:val="22"/>
        </w:rPr>
      </w:pPr>
      <w:r w:rsidRPr="00AE5855">
        <w:rPr>
          <w:b/>
          <w:sz w:val="22"/>
          <w:szCs w:val="22"/>
        </w:rPr>
        <w:t>6.</w:t>
      </w:r>
      <w:r w:rsidRPr="00AE5855">
        <w:rPr>
          <w:b/>
          <w:sz w:val="22"/>
          <w:szCs w:val="22"/>
        </w:rPr>
        <w:tab/>
        <w:t>Pakuotės turinys ir kita informacija</w:t>
      </w:r>
    </w:p>
    <w:p w:rsidR="00240EB0" w:rsidRPr="00AE5855" w:rsidRDefault="00240EB0" w:rsidP="00240EB0">
      <w:pPr>
        <w:numPr>
          <w:ilvl w:val="12"/>
          <w:numId w:val="0"/>
        </w:numPr>
        <w:rPr>
          <w:sz w:val="22"/>
          <w:szCs w:val="22"/>
        </w:rPr>
      </w:pPr>
    </w:p>
    <w:p w:rsidR="00240EB0" w:rsidRPr="00AE5855" w:rsidRDefault="00240EB0" w:rsidP="00240EB0">
      <w:pPr>
        <w:numPr>
          <w:ilvl w:val="12"/>
          <w:numId w:val="0"/>
        </w:numPr>
        <w:ind w:right="-2"/>
        <w:rPr>
          <w:b/>
          <w:sz w:val="22"/>
          <w:szCs w:val="22"/>
        </w:rPr>
      </w:pPr>
      <w:r>
        <w:rPr>
          <w:b/>
          <w:sz w:val="22"/>
          <w:szCs w:val="22"/>
        </w:rPr>
        <w:t>Nettacin</w:t>
      </w:r>
      <w:r w:rsidRPr="00AE5855">
        <w:rPr>
          <w:b/>
          <w:sz w:val="22"/>
          <w:szCs w:val="22"/>
        </w:rPr>
        <w:t xml:space="preserve"> sudėtis </w:t>
      </w:r>
    </w:p>
    <w:p w:rsidR="00240EB0" w:rsidRPr="00AE5855" w:rsidRDefault="00240EB0" w:rsidP="00240EB0">
      <w:pPr>
        <w:keepNext/>
        <w:numPr>
          <w:ilvl w:val="0"/>
          <w:numId w:val="4"/>
        </w:numPr>
        <w:ind w:left="567" w:right="-2" w:hanging="567"/>
        <w:rPr>
          <w:i/>
          <w:iCs/>
          <w:noProof/>
          <w:sz w:val="22"/>
          <w:szCs w:val="22"/>
        </w:rPr>
      </w:pPr>
      <w:r w:rsidRPr="00AE5855">
        <w:rPr>
          <w:sz w:val="22"/>
          <w:szCs w:val="22"/>
        </w:rPr>
        <w:t>Veiklioji medžiaga yra netilmicinas. Kiekviename ml tirpalo yra 3 mg netilmicino (netilmicino sulfato</w:t>
      </w:r>
      <w:r>
        <w:rPr>
          <w:sz w:val="22"/>
          <w:szCs w:val="22"/>
        </w:rPr>
        <w:t xml:space="preserve"> pavidalu</w:t>
      </w:r>
      <w:r w:rsidRPr="00AE5855">
        <w:rPr>
          <w:sz w:val="22"/>
          <w:szCs w:val="22"/>
        </w:rPr>
        <w:t>).</w:t>
      </w:r>
    </w:p>
    <w:p w:rsidR="00240EB0" w:rsidRPr="00AE5855" w:rsidRDefault="00240EB0" w:rsidP="00240EB0">
      <w:pPr>
        <w:keepNext/>
        <w:numPr>
          <w:ilvl w:val="0"/>
          <w:numId w:val="4"/>
        </w:numPr>
        <w:ind w:left="567" w:right="-2" w:hanging="567"/>
        <w:rPr>
          <w:noProof/>
          <w:sz w:val="22"/>
          <w:szCs w:val="22"/>
        </w:rPr>
      </w:pPr>
      <w:r w:rsidRPr="00AE5855">
        <w:rPr>
          <w:sz w:val="22"/>
          <w:szCs w:val="22"/>
        </w:rPr>
        <w:t xml:space="preserve">Pagalbinės medžiagos yra natrio chloridas, benzalkonio chloridas, natrio hidroksidas (pH reguliuoti), išgrynintas vanduo. </w:t>
      </w:r>
    </w:p>
    <w:p w:rsidR="00240EB0" w:rsidRPr="00AE5855" w:rsidRDefault="00240EB0" w:rsidP="00240EB0">
      <w:pPr>
        <w:numPr>
          <w:ilvl w:val="12"/>
          <w:numId w:val="0"/>
        </w:numPr>
        <w:ind w:right="-2"/>
        <w:rPr>
          <w:noProof/>
          <w:sz w:val="22"/>
          <w:szCs w:val="22"/>
        </w:rPr>
      </w:pPr>
    </w:p>
    <w:p w:rsidR="00240EB0" w:rsidRPr="00AE5855" w:rsidRDefault="00240EB0" w:rsidP="00240EB0">
      <w:pPr>
        <w:numPr>
          <w:ilvl w:val="12"/>
          <w:numId w:val="0"/>
        </w:numPr>
        <w:ind w:right="-2"/>
        <w:rPr>
          <w:b/>
          <w:sz w:val="22"/>
          <w:szCs w:val="22"/>
        </w:rPr>
      </w:pPr>
      <w:r>
        <w:rPr>
          <w:b/>
          <w:sz w:val="22"/>
          <w:szCs w:val="22"/>
        </w:rPr>
        <w:t>Nettacin</w:t>
      </w:r>
      <w:r w:rsidRPr="00AE5855">
        <w:rPr>
          <w:b/>
          <w:sz w:val="22"/>
          <w:szCs w:val="22"/>
        </w:rPr>
        <w:t xml:space="preserve"> išvaizda ir kiekis pakuotėje</w:t>
      </w:r>
    </w:p>
    <w:p w:rsidR="00240EB0" w:rsidRPr="00AE5855" w:rsidRDefault="00240EB0" w:rsidP="00240EB0">
      <w:pPr>
        <w:numPr>
          <w:ilvl w:val="12"/>
          <w:numId w:val="0"/>
        </w:numPr>
        <w:rPr>
          <w:sz w:val="22"/>
          <w:szCs w:val="22"/>
        </w:rPr>
      </w:pPr>
    </w:p>
    <w:p w:rsidR="00240EB0" w:rsidRPr="00AE5855" w:rsidRDefault="00240EB0" w:rsidP="00240EB0">
      <w:pPr>
        <w:numPr>
          <w:ilvl w:val="12"/>
          <w:numId w:val="0"/>
        </w:numPr>
        <w:rPr>
          <w:sz w:val="22"/>
          <w:szCs w:val="22"/>
        </w:rPr>
      </w:pPr>
      <w:r>
        <w:rPr>
          <w:sz w:val="22"/>
          <w:szCs w:val="22"/>
        </w:rPr>
        <w:t>Nettacin</w:t>
      </w:r>
      <w:r w:rsidRPr="00AE5855">
        <w:rPr>
          <w:sz w:val="22"/>
          <w:szCs w:val="22"/>
        </w:rPr>
        <w:t xml:space="preserve"> yra skaidrus ir bespalvis arba gelsvas tirpalas, esantis 5 ml buteliuke, supakuotame kartoninėje dėžutėje. </w:t>
      </w:r>
    </w:p>
    <w:p w:rsidR="00240EB0" w:rsidRPr="00AE5855" w:rsidRDefault="00240EB0" w:rsidP="00240EB0">
      <w:pPr>
        <w:numPr>
          <w:ilvl w:val="12"/>
          <w:numId w:val="0"/>
        </w:numPr>
        <w:ind w:right="-2"/>
        <w:rPr>
          <w:b/>
          <w:sz w:val="22"/>
          <w:szCs w:val="22"/>
        </w:rPr>
      </w:pPr>
    </w:p>
    <w:p w:rsidR="00240EB0" w:rsidRPr="00AE5855" w:rsidRDefault="00240EB0" w:rsidP="00240EB0">
      <w:pPr>
        <w:numPr>
          <w:ilvl w:val="12"/>
          <w:numId w:val="0"/>
        </w:numPr>
        <w:ind w:right="-2"/>
        <w:rPr>
          <w:b/>
          <w:sz w:val="22"/>
          <w:szCs w:val="22"/>
        </w:rPr>
      </w:pPr>
      <w:r w:rsidRPr="00AE5855">
        <w:rPr>
          <w:b/>
          <w:sz w:val="22"/>
          <w:szCs w:val="22"/>
        </w:rPr>
        <w:t>Registruotoja</w:t>
      </w:r>
      <w:r>
        <w:rPr>
          <w:b/>
          <w:sz w:val="22"/>
          <w:szCs w:val="22"/>
        </w:rPr>
        <w:t>s ir gamintojas</w:t>
      </w:r>
      <w:r w:rsidRPr="00AE5855">
        <w:rPr>
          <w:b/>
          <w:sz w:val="22"/>
          <w:szCs w:val="22"/>
        </w:rPr>
        <w:t xml:space="preserve"> </w:t>
      </w:r>
    </w:p>
    <w:p w:rsidR="00240EB0" w:rsidRPr="00D272DE" w:rsidRDefault="00240EB0" w:rsidP="00240EB0">
      <w:pPr>
        <w:tabs>
          <w:tab w:val="left" w:pos="567"/>
        </w:tabs>
        <w:rPr>
          <w:sz w:val="22"/>
          <w:lang w:eastAsia="en-US"/>
        </w:rPr>
      </w:pPr>
      <w:bookmarkStart w:id="4" w:name="_Hlk61516785"/>
      <w:r w:rsidRPr="00D272DE">
        <w:rPr>
          <w:sz w:val="22"/>
          <w:lang w:eastAsia="en-US"/>
        </w:rPr>
        <w:t xml:space="preserve">SIFI S.p.A. </w:t>
      </w:r>
    </w:p>
    <w:p w:rsidR="00240EB0" w:rsidRPr="00D272DE" w:rsidRDefault="00240EB0" w:rsidP="00240EB0">
      <w:pPr>
        <w:tabs>
          <w:tab w:val="left" w:pos="567"/>
        </w:tabs>
        <w:rPr>
          <w:sz w:val="22"/>
          <w:lang w:eastAsia="en-US"/>
        </w:rPr>
      </w:pPr>
      <w:r w:rsidRPr="00D272DE">
        <w:rPr>
          <w:sz w:val="22"/>
          <w:lang w:eastAsia="en-US"/>
        </w:rPr>
        <w:t>Via Ercole Patti 36</w:t>
      </w:r>
    </w:p>
    <w:p w:rsidR="00240EB0" w:rsidRPr="00D272DE" w:rsidRDefault="00240EB0" w:rsidP="00240EB0">
      <w:pPr>
        <w:tabs>
          <w:tab w:val="left" w:pos="567"/>
        </w:tabs>
        <w:rPr>
          <w:sz w:val="22"/>
          <w:lang w:eastAsia="en-US"/>
        </w:rPr>
      </w:pPr>
      <w:r w:rsidRPr="00D272DE">
        <w:rPr>
          <w:sz w:val="22"/>
          <w:lang w:eastAsia="en-US"/>
        </w:rPr>
        <w:t>95025 Aci S. Antonio (CT)</w:t>
      </w:r>
    </w:p>
    <w:p w:rsidR="00240EB0" w:rsidRDefault="00240EB0" w:rsidP="00240EB0">
      <w:pPr>
        <w:rPr>
          <w:sz w:val="22"/>
          <w:szCs w:val="22"/>
        </w:rPr>
      </w:pPr>
      <w:r w:rsidRPr="00D272DE">
        <w:rPr>
          <w:sz w:val="22"/>
          <w:lang w:eastAsia="en-US"/>
        </w:rPr>
        <w:t>Italija</w:t>
      </w:r>
    </w:p>
    <w:bookmarkEnd w:id="4"/>
    <w:p w:rsidR="00240EB0" w:rsidRDefault="00240EB0" w:rsidP="00240EB0">
      <w:pPr>
        <w:numPr>
          <w:ilvl w:val="12"/>
          <w:numId w:val="0"/>
        </w:numPr>
        <w:ind w:right="-2"/>
        <w:rPr>
          <w:noProof/>
          <w:sz w:val="22"/>
          <w:szCs w:val="22"/>
        </w:rPr>
      </w:pPr>
    </w:p>
    <w:p w:rsidR="00240EB0" w:rsidRDefault="00240EB0" w:rsidP="00240EB0">
      <w:pPr>
        <w:numPr>
          <w:ilvl w:val="12"/>
          <w:numId w:val="0"/>
        </w:numPr>
        <w:ind w:right="-2"/>
        <w:rPr>
          <w:noProof/>
          <w:sz w:val="22"/>
          <w:szCs w:val="22"/>
        </w:rPr>
      </w:pPr>
    </w:p>
    <w:p w:rsidR="00240EB0" w:rsidRPr="00F5109E" w:rsidRDefault="00240EB0" w:rsidP="00240EB0">
      <w:pPr>
        <w:tabs>
          <w:tab w:val="left" w:pos="567"/>
        </w:tabs>
        <w:spacing w:line="260" w:lineRule="exact"/>
        <w:rPr>
          <w:sz w:val="22"/>
          <w:szCs w:val="22"/>
          <w:lang w:eastAsia="en-US"/>
        </w:rPr>
      </w:pPr>
      <w:r w:rsidRPr="00F12E37">
        <w:rPr>
          <w:b/>
          <w:bCs/>
          <w:sz w:val="22"/>
          <w:szCs w:val="22"/>
          <w:lang w:eastAsia="en-US"/>
        </w:rPr>
        <w:t>Šis vaistas Europos ekonominės erdvės valstybėse narėse registruotas tokiais pavadinimais:</w:t>
      </w:r>
      <w:r w:rsidRPr="00F5109E">
        <w:rPr>
          <w:sz w:val="22"/>
          <w:szCs w:val="22"/>
          <w:lang w:eastAsia="en-US"/>
        </w:rPr>
        <w:t> </w:t>
      </w:r>
    </w:p>
    <w:p w:rsidR="00240EB0" w:rsidRPr="00F5109E" w:rsidRDefault="00240EB0" w:rsidP="00240EB0">
      <w:pPr>
        <w:numPr>
          <w:ilvl w:val="12"/>
          <w:numId w:val="0"/>
        </w:numPr>
        <w:ind w:right="-2"/>
        <w:rPr>
          <w:noProof/>
          <w:sz w:val="22"/>
          <w:szCs w:val="22"/>
          <w:lang w:eastAsia="en-US"/>
        </w:rPr>
      </w:pPr>
      <w:r w:rsidRPr="00F5109E">
        <w:rPr>
          <w:noProof/>
          <w:sz w:val="22"/>
          <w:szCs w:val="22"/>
          <w:lang w:eastAsia="en-US"/>
        </w:rPr>
        <w:t>Bulgarija, Vokietija, Latvija, Lietuva: Nettacin</w:t>
      </w:r>
    </w:p>
    <w:p w:rsidR="00240EB0" w:rsidRPr="00F5109E" w:rsidRDefault="00240EB0" w:rsidP="00240EB0">
      <w:pPr>
        <w:numPr>
          <w:ilvl w:val="12"/>
          <w:numId w:val="0"/>
        </w:numPr>
        <w:ind w:right="-2"/>
        <w:rPr>
          <w:noProof/>
          <w:sz w:val="22"/>
          <w:szCs w:val="22"/>
          <w:lang w:eastAsia="en-US"/>
        </w:rPr>
      </w:pPr>
      <w:r w:rsidRPr="00F5109E">
        <w:rPr>
          <w:noProof/>
          <w:sz w:val="22"/>
          <w:szCs w:val="22"/>
          <w:lang w:eastAsia="en-US"/>
        </w:rPr>
        <w:t>Kipras, Graikija, Lenkija, Portugalija, Slovakija, Ispanija: Netenax</w:t>
      </w:r>
    </w:p>
    <w:p w:rsidR="00240EB0" w:rsidRPr="00F5109E" w:rsidRDefault="00240EB0" w:rsidP="00240EB0">
      <w:pPr>
        <w:numPr>
          <w:ilvl w:val="12"/>
          <w:numId w:val="0"/>
        </w:numPr>
        <w:ind w:right="-2"/>
        <w:rPr>
          <w:noProof/>
          <w:sz w:val="22"/>
          <w:szCs w:val="22"/>
          <w:lang w:val="it-IT" w:eastAsia="en-US"/>
        </w:rPr>
      </w:pPr>
      <w:r w:rsidRPr="00F5109E">
        <w:rPr>
          <w:noProof/>
          <w:sz w:val="22"/>
          <w:szCs w:val="22"/>
          <w:lang w:eastAsia="en-US"/>
        </w:rPr>
        <w:t>Čekija, Prancūzija: Anetena</w:t>
      </w:r>
    </w:p>
    <w:p w:rsidR="00240EB0" w:rsidRPr="00AE5855" w:rsidRDefault="00240EB0" w:rsidP="00240EB0">
      <w:pPr>
        <w:numPr>
          <w:ilvl w:val="12"/>
          <w:numId w:val="0"/>
        </w:numPr>
        <w:ind w:right="-2"/>
        <w:rPr>
          <w:noProof/>
          <w:sz w:val="22"/>
          <w:szCs w:val="22"/>
        </w:rPr>
      </w:pPr>
    </w:p>
    <w:p w:rsidR="00240EB0" w:rsidRDefault="00240EB0" w:rsidP="00240EB0">
      <w:pPr>
        <w:jc w:val="both"/>
        <w:rPr>
          <w:b/>
          <w:bCs/>
          <w:sz w:val="22"/>
          <w:szCs w:val="22"/>
        </w:rPr>
      </w:pPr>
      <w:r w:rsidRPr="00AE5855">
        <w:rPr>
          <w:b/>
          <w:bCs/>
          <w:sz w:val="22"/>
          <w:szCs w:val="22"/>
        </w:rPr>
        <w:t>Šis pakuotės lapelis paskutinį kartą peržiūrėtas</w:t>
      </w:r>
      <w:r>
        <w:rPr>
          <w:b/>
          <w:bCs/>
          <w:sz w:val="22"/>
          <w:szCs w:val="22"/>
        </w:rPr>
        <w:t xml:space="preserve"> 2023-01-04.</w:t>
      </w:r>
    </w:p>
    <w:p w:rsidR="00240EB0" w:rsidRDefault="00240EB0" w:rsidP="00240EB0">
      <w:pPr>
        <w:jc w:val="both"/>
        <w:rPr>
          <w:b/>
          <w:bCs/>
          <w:sz w:val="22"/>
          <w:szCs w:val="22"/>
        </w:rPr>
      </w:pPr>
    </w:p>
    <w:p w:rsidR="00240EB0" w:rsidRPr="00DC5140" w:rsidRDefault="00240EB0" w:rsidP="00240EB0">
      <w:pPr>
        <w:numPr>
          <w:ilvl w:val="12"/>
          <w:numId w:val="0"/>
        </w:numPr>
        <w:ind w:right="-2"/>
        <w:rPr>
          <w:rFonts w:eastAsia="Calibri"/>
          <w:sz w:val="22"/>
          <w:szCs w:val="22"/>
        </w:rPr>
      </w:pPr>
      <w:r w:rsidRPr="00DC5140">
        <w:rPr>
          <w:rFonts w:eastAsia="Calibri"/>
          <w:sz w:val="22"/>
          <w:szCs w:val="22"/>
        </w:rPr>
        <w:t xml:space="preserve">Išsami informacija apie šį vaistą pateikiama Valstybinės vaistų kontrolės tarnybos prie Lietuvos Respublikos sveikatos apsaugos ministerijos tinklalapyje </w:t>
      </w:r>
      <w:hyperlink r:id="rId12" w:history="1">
        <w:r w:rsidRPr="00DC5140">
          <w:rPr>
            <w:color w:val="0000FF"/>
            <w:sz w:val="22"/>
            <w:szCs w:val="22"/>
            <w:u w:val="single"/>
          </w:rPr>
          <w:t>http://www.vvkt.lt/</w:t>
        </w:r>
      </w:hyperlink>
    </w:p>
    <w:p w:rsidR="009041DB" w:rsidRDefault="009041DB">
      <w:bookmarkStart w:id="5" w:name="_GoBack"/>
      <w:bookmarkEnd w:id="5"/>
    </w:p>
    <w:sectPr w:rsidR="009041DB">
      <w:footerReference w:type="even" r:id="rId13"/>
      <w:pgSz w:w="11907" w:h="16840"/>
      <w:pgMar w:top="993" w:right="1191" w:bottom="851" w:left="1418" w:header="720" w:footer="2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08" w:rsidRDefault="00BD35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5A08" w:rsidRDefault="00BD359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B8D5F71"/>
    <w:multiLevelType w:val="hybridMultilevel"/>
    <w:tmpl w:val="8F8EC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8F615E"/>
    <w:multiLevelType w:val="hybridMultilevel"/>
    <w:tmpl w:val="5658EC22"/>
    <w:lvl w:ilvl="0" w:tplc="7812E4B8">
      <w:start w:val="4"/>
      <w:numFmt w:val="bullet"/>
      <w:lvlText w:val="-"/>
      <w:lvlJc w:val="left"/>
      <w:pPr>
        <w:ind w:left="360" w:hanging="360"/>
      </w:pPr>
      <w:rPr>
        <w:rFonts w:ascii="Times New Roman" w:eastAsia="Times New Roman" w:hAnsi="Times New Roman" w:cs="Times New Roman" w:hint="default"/>
      </w:rPr>
    </w:lvl>
    <w:lvl w:ilvl="1" w:tplc="12F0C748" w:tentative="1">
      <w:start w:val="1"/>
      <w:numFmt w:val="bullet"/>
      <w:lvlText w:val="o"/>
      <w:lvlJc w:val="left"/>
      <w:pPr>
        <w:ind w:left="1080" w:hanging="360"/>
      </w:pPr>
      <w:rPr>
        <w:rFonts w:ascii="Courier New" w:hAnsi="Courier New" w:cs="Courier New" w:hint="default"/>
      </w:rPr>
    </w:lvl>
    <w:lvl w:ilvl="2" w:tplc="B840F5CA" w:tentative="1">
      <w:start w:val="1"/>
      <w:numFmt w:val="bullet"/>
      <w:lvlText w:val=""/>
      <w:lvlJc w:val="left"/>
      <w:pPr>
        <w:ind w:left="1800" w:hanging="360"/>
      </w:pPr>
      <w:rPr>
        <w:rFonts w:ascii="Wingdings" w:hAnsi="Wingdings" w:hint="default"/>
      </w:rPr>
    </w:lvl>
    <w:lvl w:ilvl="3" w:tplc="CE623C06" w:tentative="1">
      <w:start w:val="1"/>
      <w:numFmt w:val="bullet"/>
      <w:lvlText w:val=""/>
      <w:lvlJc w:val="left"/>
      <w:pPr>
        <w:ind w:left="2520" w:hanging="360"/>
      </w:pPr>
      <w:rPr>
        <w:rFonts w:ascii="Symbol" w:hAnsi="Symbol" w:hint="default"/>
      </w:rPr>
    </w:lvl>
    <w:lvl w:ilvl="4" w:tplc="0E0C5514" w:tentative="1">
      <w:start w:val="1"/>
      <w:numFmt w:val="bullet"/>
      <w:lvlText w:val="o"/>
      <w:lvlJc w:val="left"/>
      <w:pPr>
        <w:ind w:left="3240" w:hanging="360"/>
      </w:pPr>
      <w:rPr>
        <w:rFonts w:ascii="Courier New" w:hAnsi="Courier New" w:cs="Courier New" w:hint="default"/>
      </w:rPr>
    </w:lvl>
    <w:lvl w:ilvl="5" w:tplc="5C640164" w:tentative="1">
      <w:start w:val="1"/>
      <w:numFmt w:val="bullet"/>
      <w:lvlText w:val=""/>
      <w:lvlJc w:val="left"/>
      <w:pPr>
        <w:ind w:left="3960" w:hanging="360"/>
      </w:pPr>
      <w:rPr>
        <w:rFonts w:ascii="Wingdings" w:hAnsi="Wingdings" w:hint="default"/>
      </w:rPr>
    </w:lvl>
    <w:lvl w:ilvl="6" w:tplc="9C22523E" w:tentative="1">
      <w:start w:val="1"/>
      <w:numFmt w:val="bullet"/>
      <w:lvlText w:val=""/>
      <w:lvlJc w:val="left"/>
      <w:pPr>
        <w:ind w:left="4680" w:hanging="360"/>
      </w:pPr>
      <w:rPr>
        <w:rFonts w:ascii="Symbol" w:hAnsi="Symbol" w:hint="default"/>
      </w:rPr>
    </w:lvl>
    <w:lvl w:ilvl="7" w:tplc="8794BDA8" w:tentative="1">
      <w:start w:val="1"/>
      <w:numFmt w:val="bullet"/>
      <w:lvlText w:val="o"/>
      <w:lvlJc w:val="left"/>
      <w:pPr>
        <w:ind w:left="5400" w:hanging="360"/>
      </w:pPr>
      <w:rPr>
        <w:rFonts w:ascii="Courier New" w:hAnsi="Courier New" w:cs="Courier New" w:hint="default"/>
      </w:rPr>
    </w:lvl>
    <w:lvl w:ilvl="8" w:tplc="4F42E53E" w:tentative="1">
      <w:start w:val="1"/>
      <w:numFmt w:val="bullet"/>
      <w:lvlText w:val=""/>
      <w:lvlJc w:val="left"/>
      <w:pPr>
        <w:ind w:left="612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B0"/>
    <w:rsid w:val="00234094"/>
    <w:rsid w:val="00240EB0"/>
    <w:rsid w:val="002A211A"/>
    <w:rsid w:val="00344695"/>
    <w:rsid w:val="00356AB3"/>
    <w:rsid w:val="004216A4"/>
    <w:rsid w:val="005311B8"/>
    <w:rsid w:val="006860E9"/>
    <w:rsid w:val="009041DB"/>
    <w:rsid w:val="00975D35"/>
    <w:rsid w:val="00BD3591"/>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98482-7E93-4A4A-8290-712723E9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EB0"/>
    <w:pPr>
      <w:spacing w:after="0" w:line="240" w:lineRule="auto"/>
    </w:pPr>
    <w:rPr>
      <w:rFonts w:ascii="Times New Roman" w:hAnsi="Times New Roman" w:cs="Times New Roman"/>
      <w:sz w:val="24"/>
      <w:szCs w:val="20"/>
      <w:lang w:eastAsia="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40EB0"/>
    <w:pPr>
      <w:jc w:val="both"/>
    </w:pPr>
  </w:style>
  <w:style w:type="character" w:customStyle="1" w:styleId="PagrindinistekstasDiagrama">
    <w:name w:val="Pagrindinis tekstas Diagrama"/>
    <w:basedOn w:val="Numatytasispastraiposriftas"/>
    <w:link w:val="Pagrindinistekstas"/>
    <w:rsid w:val="00240EB0"/>
    <w:rPr>
      <w:rFonts w:ascii="Times New Roman" w:hAnsi="Times New Roman" w:cs="Times New Roman"/>
      <w:sz w:val="24"/>
      <w:szCs w:val="20"/>
      <w:lang w:eastAsia="it-IT"/>
    </w:rPr>
  </w:style>
  <w:style w:type="paragraph" w:styleId="Porat">
    <w:name w:val="footer"/>
    <w:basedOn w:val="prastasis"/>
    <w:link w:val="PoratDiagrama"/>
    <w:rsid w:val="00240EB0"/>
    <w:pPr>
      <w:tabs>
        <w:tab w:val="center" w:pos="4819"/>
        <w:tab w:val="right" w:pos="9638"/>
      </w:tabs>
    </w:pPr>
    <w:rPr>
      <w:lang w:eastAsia="x-none"/>
    </w:rPr>
  </w:style>
  <w:style w:type="character" w:customStyle="1" w:styleId="PoratDiagrama">
    <w:name w:val="Poraštė Diagrama"/>
    <w:basedOn w:val="Numatytasispastraiposriftas"/>
    <w:link w:val="Porat"/>
    <w:rsid w:val="00240EB0"/>
    <w:rPr>
      <w:rFonts w:ascii="Times New Roman" w:hAnsi="Times New Roman" w:cs="Times New Roman"/>
      <w:sz w:val="24"/>
      <w:szCs w:val="20"/>
      <w:lang w:eastAsia="x-none"/>
    </w:rPr>
  </w:style>
  <w:style w:type="character" w:styleId="Puslapionumeris">
    <w:name w:val="page number"/>
    <w:basedOn w:val="Numatytasispastraiposriftas"/>
    <w:rsid w:val="00240EB0"/>
  </w:style>
  <w:style w:type="paragraph" w:customStyle="1" w:styleId="LightGrid-Accent31">
    <w:name w:val="Light Grid - Accent 31"/>
    <w:basedOn w:val="prastasis"/>
    <w:uiPriority w:val="34"/>
    <w:qFormat/>
    <w:rsid w:val="00240EB0"/>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NepageidaujamaR@vvkt.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5940</Words>
  <Characters>3386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2023-01-04T08:31:00Z</dcterms:created>
  <dcterms:modified xsi:type="dcterms:W3CDTF">2023-01-04T08:34:00Z</dcterms:modified>
</cp:coreProperties>
</file>