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A7A" w:rsidRPr="007F728B" w:rsidRDefault="00091A7A" w:rsidP="00091A7A">
      <w:pPr>
        <w:spacing w:after="0" w:line="240" w:lineRule="auto"/>
        <w:jc w:val="center"/>
        <w:rPr>
          <w:rFonts w:ascii="Times New Roman" w:hAnsi="Times New Roman" w:cs="Times New Roman"/>
          <w:b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Pakuotės lapelis: informacija vartotojui</w:t>
      </w:r>
    </w:p>
    <w:p w:rsidR="00091A7A" w:rsidRPr="007F728B" w:rsidRDefault="00091A7A" w:rsidP="00091A7A">
      <w:pPr>
        <w:spacing w:after="0" w:line="240" w:lineRule="auto"/>
        <w:ind w:left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jc w:val="center"/>
        <w:rPr>
          <w:rFonts w:ascii="Times New Roman" w:hAnsi="Times New Roman" w:cs="Times New Roman"/>
          <w:b/>
          <w:lang w:eastAsia="lt-LT"/>
        </w:rPr>
      </w:pPr>
      <w:proofErr w:type="spellStart"/>
      <w:r w:rsidRPr="007F728B">
        <w:rPr>
          <w:rFonts w:ascii="Times New Roman" w:hAnsi="Times New Roman" w:cs="Times New Roman"/>
          <w:b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2 mg/ml injekcinis ar infuzinis tirpalas</w:t>
      </w:r>
    </w:p>
    <w:p w:rsidR="00091A7A" w:rsidRPr="007F728B" w:rsidRDefault="00091A7A" w:rsidP="00091A7A">
      <w:pPr>
        <w:spacing w:after="0" w:line="240" w:lineRule="auto"/>
        <w:jc w:val="center"/>
        <w:rPr>
          <w:rFonts w:ascii="Times New Roman" w:hAnsi="Times New Roman" w:cs="Times New Roman"/>
          <w:b/>
          <w:lang w:eastAsia="lt-LT"/>
        </w:rPr>
      </w:pPr>
    </w:p>
    <w:p w:rsidR="00091A7A" w:rsidRPr="007F728B" w:rsidRDefault="00091A7A" w:rsidP="00091A7A">
      <w:pPr>
        <w:spacing w:after="0" w:line="240" w:lineRule="auto"/>
        <w:jc w:val="center"/>
        <w:rPr>
          <w:rFonts w:ascii="Times New Roman" w:hAnsi="Times New Roman" w:cs="Times New Roman"/>
          <w:lang w:eastAsia="lt-LT"/>
        </w:rPr>
      </w:pPr>
      <w:proofErr w:type="spellStart"/>
      <w:r w:rsidRPr="007F728B">
        <w:rPr>
          <w:rFonts w:ascii="Times New Roman" w:hAnsi="Times New Roman" w:cs="Times New Roman"/>
          <w:lang w:eastAsia="lt-LT"/>
        </w:rPr>
        <w:t>ondansetronas</w:t>
      </w:r>
      <w:proofErr w:type="spellEnd"/>
    </w:p>
    <w:p w:rsidR="00091A7A" w:rsidRPr="007F728B" w:rsidRDefault="00091A7A" w:rsidP="00091A7A">
      <w:pPr>
        <w:spacing w:after="0" w:line="240" w:lineRule="auto"/>
        <w:jc w:val="center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7F728B">
        <w:rPr>
          <w:rFonts w:ascii="Times New Roman" w:hAnsi="Times New Roman" w:cs="Times New Roman"/>
          <w:b/>
          <w:snapToGrid w:val="0"/>
        </w:rPr>
        <w:t>Atidžiai perskaitykite visą šį lapelį, prieš pradėdami vartoti vaistą, nes jame pateikiama Jums svarbi informacija.</w:t>
      </w:r>
    </w:p>
    <w:p w:rsidR="00091A7A" w:rsidRPr="007F728B" w:rsidRDefault="00091A7A" w:rsidP="00091A7A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>Neišmeskite šio lapelio, nes vėl gali prireikti jį perskaityti.</w:t>
      </w:r>
    </w:p>
    <w:p w:rsidR="00091A7A" w:rsidRPr="007F728B" w:rsidRDefault="00091A7A" w:rsidP="00091A7A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>Jeigu kiltų daugiau klausimų, kreipkitės į gydytoją, vaistininką arba slaugytoją.</w:t>
      </w:r>
    </w:p>
    <w:p w:rsidR="00091A7A" w:rsidRPr="007F728B" w:rsidRDefault="00091A7A" w:rsidP="00091A7A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>Šis vaistas skirtas tik Jums, todėl kitiems žmonėms jo duoti negalima. Vaistas gali jiems pakenkti (net tiems, kurių ligos požymiai yra tokie patys kaip Jūsų).</w:t>
      </w:r>
    </w:p>
    <w:p w:rsidR="00091A7A" w:rsidRPr="007F728B" w:rsidRDefault="00091A7A" w:rsidP="00091A7A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567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>Jeigu pasireiškė šalutinis poveikis (net jeigu jis šiame lapelyje nenurodytas), kreipkitės į gydytoją, vaistininką arba slaugytoją. Žr. 4 skyrių.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outlineLvl w:val="4"/>
        <w:rPr>
          <w:rFonts w:ascii="Times New Roman" w:hAnsi="Times New Roman" w:cs="Times New Roman"/>
          <w:b/>
          <w:bCs/>
          <w:iCs/>
        </w:rPr>
      </w:pPr>
      <w:r w:rsidRPr="007F728B">
        <w:rPr>
          <w:rFonts w:ascii="Times New Roman" w:hAnsi="Times New Roman" w:cs="Times New Roman"/>
          <w:b/>
          <w:bCs/>
          <w:iCs/>
        </w:rPr>
        <w:t>Apie ką rašoma šiame lapelyje?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1.</w:t>
      </w:r>
      <w:r w:rsidRPr="007F728B">
        <w:rPr>
          <w:rFonts w:ascii="Times New Roman" w:hAnsi="Times New Roman" w:cs="Times New Roman"/>
          <w:lang w:eastAsia="lt-LT"/>
        </w:rPr>
        <w:tab/>
        <w:t xml:space="preserve">Kas yra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ir kam jis vartojamas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2.</w:t>
      </w:r>
      <w:r w:rsidRPr="007F728B">
        <w:rPr>
          <w:rFonts w:ascii="Times New Roman" w:hAnsi="Times New Roman" w:cs="Times New Roman"/>
          <w:lang w:eastAsia="lt-LT"/>
        </w:rPr>
        <w:tab/>
        <w:t xml:space="preserve">Kas žinotina prieš Jums leidžiant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3.</w:t>
      </w:r>
      <w:r w:rsidRPr="007F728B">
        <w:rPr>
          <w:rFonts w:ascii="Times New Roman" w:hAnsi="Times New Roman" w:cs="Times New Roman"/>
          <w:lang w:eastAsia="lt-LT"/>
        </w:rPr>
        <w:tab/>
        <w:t xml:space="preserve">Kaip vartoti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4.</w:t>
      </w:r>
      <w:r w:rsidRPr="007F728B">
        <w:rPr>
          <w:rFonts w:ascii="Times New Roman" w:hAnsi="Times New Roman" w:cs="Times New Roman"/>
          <w:lang w:eastAsia="lt-LT"/>
        </w:rPr>
        <w:tab/>
        <w:t>Galimas šalutinis poveikis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5.</w:t>
      </w:r>
      <w:r w:rsidRPr="007F728B">
        <w:rPr>
          <w:rFonts w:ascii="Times New Roman" w:hAnsi="Times New Roman" w:cs="Times New Roman"/>
          <w:lang w:eastAsia="lt-LT"/>
        </w:rPr>
        <w:tab/>
        <w:t xml:space="preserve">Kaip laikyti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6.</w:t>
      </w:r>
      <w:r w:rsidRPr="007F728B">
        <w:rPr>
          <w:rFonts w:ascii="Times New Roman" w:hAnsi="Times New Roman" w:cs="Times New Roman"/>
          <w:lang w:eastAsia="lt-LT"/>
        </w:rPr>
        <w:tab/>
        <w:t>Pakuotės turinys ir kita informacija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1.</w:t>
      </w:r>
      <w:r w:rsidRPr="007F728B">
        <w:rPr>
          <w:rFonts w:ascii="Times New Roman" w:hAnsi="Times New Roman" w:cs="Times New Roman"/>
          <w:b/>
          <w:lang w:eastAsia="lt-LT"/>
        </w:rPr>
        <w:tab/>
        <w:t xml:space="preserve">Kas yra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ir kam jis vartojamas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i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sudėtyje yra veikliosios medžiagos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, kuris priklauso pykinimą ir vėmimą slopinančių vaistų, vadinamų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antiemetikais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, grupei. 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u w:val="single"/>
          <w:lang w:eastAsia="lt-LT"/>
        </w:rPr>
      </w:pPr>
      <w:r w:rsidRPr="007F728B">
        <w:rPr>
          <w:rFonts w:ascii="Times New Roman" w:hAnsi="Times New Roman" w:cs="Times New Roman"/>
          <w:snapToGrid w:val="0"/>
          <w:u w:val="single"/>
          <w:lang w:eastAsia="lt-LT"/>
        </w:rPr>
        <w:t>Suaugusiesiems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Ondansetronas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vartojamas chemoterapijos ir spindulinio gydymo sukelto pykinimo ir vėmimo gydymui, pykinimo ir vėmimo profilaktikai bei gydymui po operacijos.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u w:val="single"/>
          <w:lang w:eastAsia="lt-LT"/>
        </w:rPr>
      </w:pPr>
      <w:r w:rsidRPr="007F728B">
        <w:rPr>
          <w:rFonts w:ascii="Times New Roman" w:hAnsi="Times New Roman" w:cs="Times New Roman"/>
          <w:snapToGrid w:val="0"/>
          <w:u w:val="single"/>
          <w:lang w:eastAsia="lt-LT"/>
        </w:rPr>
        <w:t>Vaikams ir paaugliams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Ondansetronas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vartojamas pykinimo ir vėmimo, kurį sukelia chemoterapija vyresniems nei 6 mėnesių vaikams ir paaugliams, gydymui.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Ondansetronas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vartojamas pykinimo ir vėmimo profilaktikai bei gydymui po operacijos vyresniems nei 1 mėnesio vaikams ir paaugliams.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2.</w:t>
      </w:r>
      <w:r w:rsidRPr="007F728B">
        <w:rPr>
          <w:rFonts w:ascii="Times New Roman" w:hAnsi="Times New Roman" w:cs="Times New Roman"/>
          <w:b/>
          <w:lang w:eastAsia="lt-LT"/>
        </w:rPr>
        <w:tab/>
        <w:t xml:space="preserve">Kas žinotina prieš Jums leidžiant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Kalceks</w:t>
      </w:r>
      <w:proofErr w:type="spellEnd"/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b/>
          <w:snapToGrid w:val="0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snapToGrid w:val="0"/>
          <w:lang w:eastAsia="lt-LT"/>
        </w:rPr>
        <w:t>Kalceksvartoti</w:t>
      </w:r>
      <w:proofErr w:type="spellEnd"/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draudžiama:</w:t>
      </w:r>
    </w:p>
    <w:p w:rsidR="00091A7A" w:rsidRPr="007F728B" w:rsidRDefault="00091A7A" w:rsidP="00091A7A">
      <w:pPr>
        <w:pStyle w:val="Sraopastraipa"/>
        <w:numPr>
          <w:ilvl w:val="1"/>
          <w:numId w:val="14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jeigu Jums yra alergija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ondansetronui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arba bet kuriai pagalbinei šio vaisto medžiagai (jos išvardytos 6 skyriuje);</w:t>
      </w:r>
    </w:p>
    <w:p w:rsidR="00091A7A" w:rsidRPr="007F728B" w:rsidRDefault="00091A7A" w:rsidP="00091A7A">
      <w:pPr>
        <w:pStyle w:val="Sraopastraipa"/>
        <w:numPr>
          <w:ilvl w:val="1"/>
          <w:numId w:val="14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jeigu Jūs vartojate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apomorfino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(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Parkinsono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ligai gydyti).</w:t>
      </w:r>
    </w:p>
    <w:p w:rsidR="00091A7A" w:rsidRPr="007F728B" w:rsidRDefault="00091A7A" w:rsidP="00091A7A">
      <w:pPr>
        <w:spacing w:after="0" w:line="240" w:lineRule="auto"/>
        <w:ind w:left="720" w:hanging="720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Jums nebus skiriamas, jei Jums tinka kuri nors iš anksčiau nurodytų sąlygų. Jeigu nesate tikri, prieš pradėdami vartoti šį vaistą pasitarkite su gydytoju arba slaugytoja.</w:t>
      </w:r>
    </w:p>
    <w:p w:rsidR="00091A7A" w:rsidRPr="007F728B" w:rsidRDefault="00091A7A" w:rsidP="00091A7A">
      <w:pPr>
        <w:spacing w:after="0" w:line="240" w:lineRule="auto"/>
        <w:ind w:left="720" w:hanging="720"/>
        <w:rPr>
          <w:rFonts w:ascii="Times New Roman" w:hAnsi="Times New Roman" w:cs="Times New Roman"/>
          <w:b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ind w:left="720" w:hanging="720"/>
        <w:rPr>
          <w:rFonts w:ascii="Times New Roman" w:hAnsi="Times New Roman" w:cs="Times New Roman"/>
          <w:b/>
          <w:snapToGrid w:val="0"/>
          <w:lang w:eastAsia="lt-LT"/>
        </w:rPr>
      </w:pPr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Įspėjimai ir atsargumo priemonės 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  <w:noProof/>
        </w:rPr>
        <w:t xml:space="preserve">Pasitarkite su gydytoju arba slaugytoju, prieš pradėdami vartoti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noProof/>
        </w:rPr>
        <w:t>, jeigu: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lastRenderedPageBreak/>
        <w:t>turite alerginės reakcijos simptomų, tokių kaip niežėjimas, kvėpavimo pasunkėjimas ar veido, lūpų, gerklės ar liežuvio patinimas;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kada nors buvote alergiškas kitiems vaistams nuo pykinimo ir vėmimo (pvz.,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granisetronui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ar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palonosetronui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>);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turite širdies problemų; gali būti laikinas elektrokardiogramos (EKG) pokytis;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vartojate vaistus širdies ritmo sutrikimams gydyti (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antiaritminius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vaistus) arba vaistus, kurie mažina kraujospūdį ir širdies ritmą ramybės būsenoje (beta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adrenoreceptorių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blokatoriai);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sergate vidurių užkietėjimu arba sergate žarnyno liga, galinčia sukelti vidurių užkietėjimą;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turite kepenų sutrikimų arba vartojate bet kokius kepenims kenksmingus vaistus (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hepatotoksinius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chemoterapinius vaistus). Šiais atvejais Jūsų kepenų funkcija bus atidžiai stebima, ypač vaikams ir paaugliams;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jeigu Jums buvo atliktas kraujo tyrimas kepenų funkcijai patikrinti (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ondansetronas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gali turėti įtakos rezultatams);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turite problemų dėl druskų, pvz., kalio ir magnio, kiekio kraujyje;</w:t>
      </w:r>
    </w:p>
    <w:p w:rsidR="00091A7A" w:rsidRPr="007F728B" w:rsidRDefault="00091A7A" w:rsidP="00091A7A">
      <w:pPr>
        <w:pStyle w:val="Sraopastraipa"/>
        <w:numPr>
          <w:ilvl w:val="1"/>
          <w:numId w:val="1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Jums bus atliekama tonzilių šalinimo operacija. Tokiu atveju turite būti atidžiai stebimi.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Jei nesate tikri, ar kuri nors iš aukščiau išvardytų sąlygų Jums tinka, prieš pradėdami vartoti šį vaistą pasitarkite su gydytoju arba slaugytoju.</w:t>
      </w:r>
    </w:p>
    <w:p w:rsidR="00091A7A" w:rsidRPr="007F728B" w:rsidRDefault="00091A7A" w:rsidP="00091A7A">
      <w:pPr>
        <w:spacing w:after="0" w:line="240" w:lineRule="auto"/>
        <w:ind w:left="720" w:hanging="720"/>
        <w:rPr>
          <w:rFonts w:ascii="Times New Roman" w:hAnsi="Times New Roman" w:cs="Times New Roman"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7F728B">
        <w:rPr>
          <w:rFonts w:ascii="Times New Roman" w:hAnsi="Times New Roman" w:cs="Times New Roman"/>
          <w:b/>
          <w:snapToGrid w:val="0"/>
        </w:rPr>
        <w:t xml:space="preserve">Kiti vaistai ir </w:t>
      </w:r>
      <w:proofErr w:type="spellStart"/>
      <w:r w:rsidRPr="007F728B">
        <w:rPr>
          <w:rFonts w:ascii="Times New Roman" w:hAnsi="Times New Roman" w:cs="Times New Roman"/>
          <w:b/>
          <w:snapToGrid w:val="0"/>
        </w:rPr>
        <w:t>Ondansetron</w:t>
      </w:r>
      <w:proofErr w:type="spellEnd"/>
      <w:r w:rsidRPr="007F728B">
        <w:rPr>
          <w:rFonts w:ascii="Times New Roman" w:hAnsi="Times New Roman" w:cs="Times New Roman"/>
          <w:b/>
          <w:snapToGrid w:val="0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snapToGrid w:val="0"/>
        </w:rPr>
        <w:t>Kalceks</w:t>
      </w:r>
      <w:proofErr w:type="spellEnd"/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  <w:noProof/>
        </w:rPr>
        <w:t>Jeigu vartojate ar neseniai vartojote kitų vaistų arba dėl to nesate tikri, apie tai pasakykite gydytojui arba slaugytojui.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Ypač svarbu pasakyti savo gydytojui arba slaugytojui, jei vartojate bet kurį iš šių vaistų:</w:t>
      </w:r>
    </w:p>
    <w:p w:rsidR="00091A7A" w:rsidRPr="007F728B" w:rsidRDefault="00091A7A" w:rsidP="00091A7A">
      <w:pPr>
        <w:pStyle w:val="ColorfulList-Accent11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b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apomorfiną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(žr. “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vartoti draudžiama“;</w:t>
      </w:r>
    </w:p>
    <w:p w:rsidR="00091A7A" w:rsidRPr="007F728B" w:rsidRDefault="00091A7A" w:rsidP="00091A7A">
      <w:pPr>
        <w:pStyle w:val="ColorfulList-Accent11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karbamazepiną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arba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fenitoiną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(vartojami epilepsijai gydyti);</w:t>
      </w:r>
    </w:p>
    <w:p w:rsidR="00091A7A" w:rsidRPr="007F728B" w:rsidRDefault="00091A7A" w:rsidP="00091A7A">
      <w:pPr>
        <w:pStyle w:val="ColorfulList-Accent11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rifampiciną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(vartojamas infekcijoms, pavyzdžiui, tuberkuliozei, gydyti); </w:t>
      </w:r>
    </w:p>
    <w:p w:rsidR="00091A7A" w:rsidRPr="007F728B" w:rsidRDefault="00091A7A" w:rsidP="00091A7A">
      <w:pPr>
        <w:pStyle w:val="ColorfulList-Accent11"/>
        <w:numPr>
          <w:ilvl w:val="0"/>
          <w:numId w:val="2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tramadolį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(vartojamas mažinti skausmą);</w:t>
      </w:r>
    </w:p>
    <w:p w:rsidR="00091A7A" w:rsidRPr="007F728B" w:rsidRDefault="00091A7A" w:rsidP="00091A7A">
      <w:pPr>
        <w:pStyle w:val="ColorfulList-Accent11"/>
        <w:numPr>
          <w:ilvl w:val="0"/>
          <w:numId w:val="2"/>
        </w:numPr>
        <w:tabs>
          <w:tab w:val="left" w:pos="540"/>
        </w:tabs>
        <w:spacing w:after="0" w:line="240" w:lineRule="auto"/>
        <w:ind w:left="540" w:hanging="540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>vaistus, skirtus gydyti depresiją ir (arba) nerimą:</w:t>
      </w:r>
    </w:p>
    <w:p w:rsidR="00091A7A" w:rsidRPr="007F728B" w:rsidRDefault="00091A7A" w:rsidP="00091A7A">
      <w:pPr>
        <w:pStyle w:val="ColorfulList-Accent11"/>
        <w:numPr>
          <w:ilvl w:val="1"/>
          <w:numId w:val="15"/>
        </w:numPr>
        <w:tabs>
          <w:tab w:val="left" w:pos="540"/>
        </w:tabs>
        <w:spacing w:after="0" w:line="240" w:lineRule="auto"/>
        <w:ind w:left="1134" w:hanging="567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>SSRI (</w:t>
      </w:r>
      <w:r w:rsidRPr="007F728B">
        <w:rPr>
          <w:rFonts w:ascii="Times New Roman" w:hAnsi="Times New Roman" w:cs="Times New Roman"/>
          <w:color w:val="262626"/>
          <w:lang w:eastAsia="lt-LT"/>
        </w:rPr>
        <w:t xml:space="preserve">selektyviuosius </w:t>
      </w:r>
      <w:proofErr w:type="spellStart"/>
      <w:r w:rsidRPr="007F728B">
        <w:rPr>
          <w:rFonts w:ascii="Times New Roman" w:hAnsi="Times New Roman" w:cs="Times New Roman"/>
          <w:color w:val="262626"/>
          <w:lang w:eastAsia="lt-LT"/>
        </w:rPr>
        <w:t>serotonino</w:t>
      </w:r>
      <w:proofErr w:type="spellEnd"/>
      <w:r w:rsidRPr="007F728B">
        <w:rPr>
          <w:rFonts w:ascii="Times New Roman" w:hAnsi="Times New Roman" w:cs="Times New Roman"/>
          <w:color w:val="262626"/>
          <w:lang w:eastAsia="lt-LT"/>
        </w:rPr>
        <w:t xml:space="preserve"> reabsorbcijos inhibitorius), </w:t>
      </w:r>
      <w:r w:rsidRPr="007F728B">
        <w:rPr>
          <w:rFonts w:ascii="Times New Roman" w:hAnsi="Times New Roman" w:cs="Times New Roman"/>
          <w:snapToGrid w:val="0"/>
        </w:rPr>
        <w:t xml:space="preserve">įskaitant </w:t>
      </w:r>
      <w:proofErr w:type="spellStart"/>
      <w:r w:rsidRPr="007F728B">
        <w:rPr>
          <w:rFonts w:ascii="Times New Roman" w:hAnsi="Times New Roman" w:cs="Times New Roman"/>
          <w:snapToGrid w:val="0"/>
        </w:rPr>
        <w:t>fluoksetiną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7F728B">
        <w:rPr>
          <w:rFonts w:ascii="Times New Roman" w:hAnsi="Times New Roman" w:cs="Times New Roman"/>
          <w:snapToGrid w:val="0"/>
        </w:rPr>
        <w:t>paroksetiną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7F728B">
        <w:rPr>
          <w:rFonts w:ascii="Times New Roman" w:hAnsi="Times New Roman" w:cs="Times New Roman"/>
          <w:snapToGrid w:val="0"/>
        </w:rPr>
        <w:t>sertraliną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7F728B">
        <w:rPr>
          <w:rFonts w:ascii="Times New Roman" w:hAnsi="Times New Roman" w:cs="Times New Roman"/>
          <w:snapToGrid w:val="0"/>
        </w:rPr>
        <w:t>fluvoksaminą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7F728B">
        <w:rPr>
          <w:rFonts w:ascii="Times New Roman" w:hAnsi="Times New Roman" w:cs="Times New Roman"/>
          <w:snapToGrid w:val="0"/>
        </w:rPr>
        <w:t>citalopramą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7F728B">
        <w:rPr>
          <w:rFonts w:ascii="Times New Roman" w:hAnsi="Times New Roman" w:cs="Times New Roman"/>
          <w:snapToGrid w:val="0"/>
        </w:rPr>
        <w:t>escitalopramą</w:t>
      </w:r>
      <w:proofErr w:type="spellEnd"/>
      <w:r w:rsidRPr="007F728B">
        <w:rPr>
          <w:rFonts w:ascii="Times New Roman" w:hAnsi="Times New Roman" w:cs="Times New Roman"/>
          <w:snapToGrid w:val="0"/>
        </w:rPr>
        <w:t>;</w:t>
      </w:r>
    </w:p>
    <w:p w:rsidR="00091A7A" w:rsidRPr="007F728B" w:rsidRDefault="00091A7A" w:rsidP="00091A7A">
      <w:pPr>
        <w:pStyle w:val="ColorfulList-Accent11"/>
        <w:numPr>
          <w:ilvl w:val="1"/>
          <w:numId w:val="15"/>
        </w:numPr>
        <w:tabs>
          <w:tab w:val="left" w:pos="540"/>
        </w:tabs>
        <w:spacing w:after="0" w:line="240" w:lineRule="auto"/>
        <w:ind w:left="1134" w:hanging="567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color w:val="262626"/>
          <w:lang w:eastAsia="lt-LT"/>
        </w:rPr>
        <w:t xml:space="preserve">SNRI (selektyviuosius </w:t>
      </w:r>
      <w:proofErr w:type="spellStart"/>
      <w:r w:rsidRPr="007F728B">
        <w:rPr>
          <w:rFonts w:ascii="Times New Roman" w:hAnsi="Times New Roman" w:cs="Times New Roman"/>
          <w:color w:val="262626"/>
          <w:lang w:eastAsia="lt-LT"/>
        </w:rPr>
        <w:t>noradrenalino</w:t>
      </w:r>
      <w:proofErr w:type="spellEnd"/>
      <w:r w:rsidRPr="007F728B">
        <w:rPr>
          <w:rFonts w:ascii="Times New Roman" w:hAnsi="Times New Roman" w:cs="Times New Roman"/>
          <w:color w:val="262626"/>
          <w:lang w:eastAsia="lt-LT"/>
        </w:rPr>
        <w:t xml:space="preserve">  reabsorbcijos inhibitorius),  įskaitant </w:t>
      </w:r>
      <w:proofErr w:type="spellStart"/>
      <w:r w:rsidRPr="007F728B">
        <w:rPr>
          <w:rFonts w:ascii="Times New Roman" w:hAnsi="Times New Roman" w:cs="Times New Roman"/>
          <w:color w:val="262626"/>
          <w:lang w:eastAsia="lt-LT"/>
        </w:rPr>
        <w:t>venlafaksiną</w:t>
      </w:r>
      <w:proofErr w:type="spellEnd"/>
      <w:r w:rsidRPr="007F728B">
        <w:rPr>
          <w:rFonts w:ascii="Times New Roman" w:hAnsi="Times New Roman" w:cs="Times New Roman"/>
          <w:color w:val="262626"/>
          <w:lang w:eastAsia="lt-LT"/>
        </w:rPr>
        <w:t xml:space="preserve">, </w:t>
      </w:r>
      <w:proofErr w:type="spellStart"/>
      <w:r w:rsidRPr="007F728B">
        <w:rPr>
          <w:rFonts w:ascii="Times New Roman" w:hAnsi="Times New Roman" w:cs="Times New Roman"/>
          <w:color w:val="262626"/>
          <w:lang w:eastAsia="lt-LT"/>
        </w:rPr>
        <w:t>duloksetiną</w:t>
      </w:r>
      <w:proofErr w:type="spellEnd"/>
      <w:r w:rsidRPr="007F728B">
        <w:rPr>
          <w:rFonts w:ascii="Times New Roman" w:hAnsi="Times New Roman" w:cs="Times New Roman"/>
          <w:color w:val="262626"/>
          <w:lang w:eastAsia="lt-LT"/>
        </w:rPr>
        <w:t>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 xml:space="preserve">Skiriant kartu su vaistais nuo tam tikrų širdies ligų, gali pasikeisti Jūsų EKG vaizdas. Kartu vartojami vaistai, kurie pažeidžia širdį (pvz., </w:t>
      </w:r>
      <w:proofErr w:type="spellStart"/>
      <w:r w:rsidRPr="007F728B">
        <w:rPr>
          <w:rFonts w:ascii="Times New Roman" w:hAnsi="Times New Roman" w:cs="Times New Roman"/>
          <w:snapToGrid w:val="0"/>
        </w:rPr>
        <w:t>antraciklinai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(pvz., </w:t>
      </w:r>
      <w:proofErr w:type="spellStart"/>
      <w:r w:rsidRPr="007F728B">
        <w:rPr>
          <w:rFonts w:ascii="Times New Roman" w:hAnsi="Times New Roman" w:cs="Times New Roman"/>
          <w:snapToGrid w:val="0"/>
        </w:rPr>
        <w:t>doksorubicinas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, </w:t>
      </w:r>
      <w:proofErr w:type="spellStart"/>
      <w:r w:rsidRPr="007F728B">
        <w:rPr>
          <w:rFonts w:ascii="Times New Roman" w:hAnsi="Times New Roman" w:cs="Times New Roman"/>
          <w:snapToGrid w:val="0"/>
        </w:rPr>
        <w:t>daunorubicinas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) ar </w:t>
      </w:r>
      <w:proofErr w:type="spellStart"/>
      <w:r w:rsidRPr="007F728B">
        <w:rPr>
          <w:rFonts w:ascii="Times New Roman" w:hAnsi="Times New Roman" w:cs="Times New Roman"/>
          <w:snapToGrid w:val="0"/>
        </w:rPr>
        <w:t>trastuzumabas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), antibiotikai (pvz., </w:t>
      </w:r>
      <w:proofErr w:type="spellStart"/>
      <w:r w:rsidRPr="007F728B">
        <w:rPr>
          <w:rFonts w:ascii="Times New Roman" w:hAnsi="Times New Roman" w:cs="Times New Roman"/>
          <w:snapToGrid w:val="0"/>
        </w:rPr>
        <w:t>eritromicinas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), priešgrybeliniai vaistai (pvz., </w:t>
      </w:r>
      <w:proofErr w:type="spellStart"/>
      <w:r w:rsidRPr="007F728B">
        <w:rPr>
          <w:rFonts w:ascii="Times New Roman" w:hAnsi="Times New Roman" w:cs="Times New Roman"/>
          <w:snapToGrid w:val="0"/>
        </w:rPr>
        <w:t>ketokonazolas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), </w:t>
      </w:r>
      <w:proofErr w:type="spellStart"/>
      <w:r w:rsidRPr="007F728B">
        <w:rPr>
          <w:rFonts w:ascii="Times New Roman" w:hAnsi="Times New Roman" w:cs="Times New Roman"/>
          <w:snapToGrid w:val="0"/>
        </w:rPr>
        <w:t>antiaritminiai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vaistai (pvz., </w:t>
      </w:r>
      <w:proofErr w:type="spellStart"/>
      <w:r w:rsidRPr="007F728B">
        <w:rPr>
          <w:rFonts w:ascii="Times New Roman" w:hAnsi="Times New Roman" w:cs="Times New Roman"/>
          <w:snapToGrid w:val="0"/>
        </w:rPr>
        <w:t>amjodaronas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) ir beta </w:t>
      </w:r>
      <w:proofErr w:type="spellStart"/>
      <w:r w:rsidRPr="007F728B">
        <w:rPr>
          <w:rFonts w:ascii="Times New Roman" w:hAnsi="Times New Roman" w:cs="Times New Roman"/>
          <w:snapToGrid w:val="0"/>
        </w:rPr>
        <w:t>adrenoblokatoriai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(pvz., </w:t>
      </w:r>
      <w:proofErr w:type="spellStart"/>
      <w:r w:rsidRPr="007F728B">
        <w:rPr>
          <w:rFonts w:ascii="Times New Roman" w:hAnsi="Times New Roman" w:cs="Times New Roman"/>
          <w:snapToGrid w:val="0"/>
        </w:rPr>
        <w:t>atenololis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arba </w:t>
      </w:r>
      <w:proofErr w:type="spellStart"/>
      <w:r w:rsidRPr="007F728B">
        <w:rPr>
          <w:rFonts w:ascii="Times New Roman" w:hAnsi="Times New Roman" w:cs="Times New Roman"/>
          <w:snapToGrid w:val="0"/>
        </w:rPr>
        <w:t>timololis</w:t>
      </w:r>
      <w:proofErr w:type="spellEnd"/>
      <w:r w:rsidRPr="007F728B">
        <w:rPr>
          <w:rFonts w:ascii="Times New Roman" w:hAnsi="Times New Roman" w:cs="Times New Roman"/>
          <w:snapToGrid w:val="0"/>
        </w:rPr>
        <w:t>) gali padidinti širdies ritmo sutrikimų riziką.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7F728B">
        <w:rPr>
          <w:rFonts w:ascii="Times New Roman" w:hAnsi="Times New Roman" w:cs="Times New Roman"/>
          <w:b/>
          <w:snapToGrid w:val="0"/>
        </w:rPr>
        <w:t>Nėštumas, žindymo laikotarpis ir vaisingumas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  <w:noProof/>
        </w:rPr>
        <w:t>Jeigu esate nėščia, žindote kūdikį, manote, kad galbūt esate nėščia, arba planuojate pastoti, tai prieš vartodama šį vaistą, pasitarkite su gydytoju.</w:t>
      </w:r>
      <w:r w:rsidRPr="007F728B">
        <w:rPr>
          <w:rFonts w:ascii="Times New Roman" w:hAnsi="Times New Roman" w:cs="Times New Roman"/>
        </w:rPr>
        <w:t xml:space="preserve"> 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u w:val="single"/>
        </w:rPr>
      </w:pPr>
      <w:r w:rsidRPr="007F728B">
        <w:rPr>
          <w:rFonts w:ascii="Times New Roman" w:hAnsi="Times New Roman" w:cs="Times New Roman"/>
          <w:snapToGrid w:val="0"/>
          <w:u w:val="single"/>
        </w:rPr>
        <w:t>Nėštumas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  <w:snapToGrid w:val="0"/>
        </w:rPr>
        <w:t xml:space="preserve">Nevartokite </w:t>
      </w:r>
      <w:proofErr w:type="spellStart"/>
      <w:r w:rsidRPr="007F728B">
        <w:rPr>
          <w:rFonts w:ascii="Times New Roman" w:hAnsi="Times New Roman" w:cs="Times New Roman"/>
          <w:snapToGrid w:val="0"/>
        </w:rPr>
        <w:t>Ondansetron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7F728B">
        <w:rPr>
          <w:rFonts w:ascii="Times New Roman" w:hAnsi="Times New Roman" w:cs="Times New Roman"/>
          <w:snapToGrid w:val="0"/>
        </w:rPr>
        <w:t>Kalceks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pirmojo nėštumo trimestro metu, nes dėl </w:t>
      </w:r>
      <w:proofErr w:type="spellStart"/>
      <w:r w:rsidRPr="007F728B">
        <w:rPr>
          <w:rFonts w:ascii="Times New Roman" w:hAnsi="Times New Roman" w:cs="Times New Roman"/>
          <w:snapToGrid w:val="0"/>
        </w:rPr>
        <w:t>Ondansetron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</w:t>
      </w:r>
      <w:proofErr w:type="spellStart"/>
      <w:r w:rsidRPr="007F728B">
        <w:rPr>
          <w:rFonts w:ascii="Times New Roman" w:hAnsi="Times New Roman" w:cs="Times New Roman"/>
          <w:snapToGrid w:val="0"/>
        </w:rPr>
        <w:t>Kalceks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poveikio gali šiek tiek padidėti naujagimio lūpos ir  (arba) gomurio </w:t>
      </w:r>
      <w:proofErr w:type="spellStart"/>
      <w:r w:rsidRPr="007F728B">
        <w:rPr>
          <w:rFonts w:ascii="Times New Roman" w:hAnsi="Times New Roman" w:cs="Times New Roman"/>
          <w:snapToGrid w:val="0"/>
        </w:rPr>
        <w:t>nesuaugimo</w:t>
      </w:r>
      <w:proofErr w:type="spellEnd"/>
      <w:r w:rsidRPr="007F728B">
        <w:rPr>
          <w:rFonts w:ascii="Times New Roman" w:hAnsi="Times New Roman" w:cs="Times New Roman"/>
          <w:snapToGrid w:val="0"/>
        </w:rPr>
        <w:t xml:space="preserve"> </w:t>
      </w:r>
      <w:r w:rsidRPr="007F728B">
        <w:rPr>
          <w:rFonts w:ascii="Times New Roman" w:hAnsi="Times New Roman" w:cs="Times New Roman"/>
        </w:rPr>
        <w:t xml:space="preserve">(angos arba plyšių susidarymo viršutinėje lūpoje ir (arba) gomuryje) rizika. Jeigu jau esate nėščia, manote, kad galbūt esate nėščia, arba planuojate pastoti, prieš vartodama </w:t>
      </w:r>
      <w:proofErr w:type="spellStart"/>
      <w:r w:rsidRPr="007F728B">
        <w:rPr>
          <w:rFonts w:ascii="Times New Roman" w:hAnsi="Times New Roman" w:cs="Times New Roman"/>
        </w:rPr>
        <w:t>Ondansetron</w:t>
      </w:r>
      <w:proofErr w:type="spellEnd"/>
      <w:r w:rsidRPr="007F728B">
        <w:rPr>
          <w:rFonts w:ascii="Times New Roman" w:hAnsi="Times New Roman" w:cs="Times New Roman"/>
        </w:rPr>
        <w:t xml:space="preserve"> </w:t>
      </w:r>
      <w:proofErr w:type="spellStart"/>
      <w:r w:rsidRPr="007F728B">
        <w:rPr>
          <w:rFonts w:ascii="Times New Roman" w:hAnsi="Times New Roman" w:cs="Times New Roman"/>
        </w:rPr>
        <w:t>Kalceks</w:t>
      </w:r>
      <w:proofErr w:type="spellEnd"/>
      <w:r w:rsidRPr="007F728B">
        <w:rPr>
          <w:rFonts w:ascii="Times New Roman" w:hAnsi="Times New Roman" w:cs="Times New Roman"/>
        </w:rPr>
        <w:t xml:space="preserve"> pasitarkite su gydytoju arba vaistininku. 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7F728B">
        <w:rPr>
          <w:rFonts w:ascii="Times New Roman" w:hAnsi="Times New Roman" w:cs="Times New Roman"/>
          <w:u w:val="single"/>
        </w:rPr>
        <w:t>Vaisingos moterys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</w:rPr>
        <w:t>Jeigu esate vaisinga moteris, Jums gali būti patarta naudoti veiksmingą kontracepcijos metodą.</w:t>
      </w:r>
      <w:r w:rsidRPr="007F728B">
        <w:rPr>
          <w:rFonts w:ascii="Times New Roman" w:hAnsi="Times New Roman" w:cs="Times New Roman"/>
          <w:snapToGrid w:val="0"/>
        </w:rPr>
        <w:t xml:space="preserve"> 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u w:val="single"/>
        </w:rPr>
      </w:pPr>
      <w:r w:rsidRPr="007F728B">
        <w:rPr>
          <w:rFonts w:ascii="Times New Roman" w:hAnsi="Times New Roman" w:cs="Times New Roman"/>
          <w:snapToGrid w:val="0"/>
          <w:u w:val="single"/>
        </w:rPr>
        <w:t>Žindymas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snapToGrid w:val="0"/>
        </w:rPr>
        <w:t xml:space="preserve">Prieš pradedant gydymą </w:t>
      </w:r>
      <w:proofErr w:type="spellStart"/>
      <w:r w:rsidRPr="007F728B">
        <w:rPr>
          <w:rFonts w:ascii="Times New Roman" w:hAnsi="Times New Roman" w:cs="Times New Roman"/>
          <w:snapToGrid w:val="0"/>
        </w:rPr>
        <w:t>ondansetronu</w:t>
      </w:r>
      <w:proofErr w:type="spellEnd"/>
      <w:r w:rsidRPr="007F728B">
        <w:rPr>
          <w:rFonts w:ascii="Times New Roman" w:hAnsi="Times New Roman" w:cs="Times New Roman"/>
          <w:snapToGrid w:val="0"/>
        </w:rPr>
        <w:t>, žindymą reikia nutraukti.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u w:val="single"/>
        </w:rPr>
      </w:pPr>
      <w:r w:rsidRPr="007F728B">
        <w:rPr>
          <w:rFonts w:ascii="Times New Roman" w:hAnsi="Times New Roman" w:cs="Times New Roman"/>
          <w:snapToGrid w:val="0"/>
          <w:u w:val="single"/>
        </w:rPr>
        <w:t>Vaisingumas</w:t>
      </w:r>
    </w:p>
    <w:p w:rsidR="00091A7A" w:rsidRPr="007F728B" w:rsidRDefault="00091A7A" w:rsidP="00091A7A">
      <w:pPr>
        <w:pStyle w:val="Betarp"/>
        <w:ind w:left="0" w:right="-8" w:firstLine="0"/>
        <w:rPr>
          <w:color w:val="auto"/>
          <w:lang w:val="lt-LT"/>
        </w:rPr>
      </w:pPr>
      <w:proofErr w:type="spellStart"/>
      <w:r w:rsidRPr="007F728B">
        <w:rPr>
          <w:color w:val="auto"/>
          <w:lang w:val="lt-LT"/>
        </w:rPr>
        <w:t>Ondansetronas</w:t>
      </w:r>
      <w:proofErr w:type="spellEnd"/>
      <w:r w:rsidRPr="007F728B">
        <w:rPr>
          <w:color w:val="auto"/>
          <w:lang w:val="lt-LT"/>
        </w:rPr>
        <w:t xml:space="preserve"> neturi įtakos vaisingumui.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7F728B">
        <w:rPr>
          <w:rFonts w:ascii="Times New Roman" w:hAnsi="Times New Roman" w:cs="Times New Roman"/>
          <w:b/>
          <w:snapToGrid w:val="0"/>
        </w:rPr>
        <w:t>Vairavimas ir mechanizmų valdymas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  <w:r w:rsidRPr="007F728B">
        <w:rPr>
          <w:rFonts w:ascii="Times New Roman" w:hAnsi="Times New Roman" w:cs="Times New Roman"/>
          <w:noProof/>
          <w:snapToGrid w:val="0"/>
        </w:rPr>
        <w:t>Ondansetron Kalceks gebėjimo vairuoti ir valdyti mechanizmus neveikia arba veikia nereikšmingai.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proofErr w:type="spellStart"/>
      <w:r w:rsidRPr="007F728B">
        <w:rPr>
          <w:rFonts w:ascii="Times New Roman" w:hAnsi="Times New Roman" w:cs="Times New Roman"/>
          <w:b/>
          <w:snapToGrid w:val="0"/>
        </w:rPr>
        <w:t>Ondansetron</w:t>
      </w:r>
      <w:proofErr w:type="spellEnd"/>
      <w:r w:rsidRPr="007F728B">
        <w:rPr>
          <w:rFonts w:ascii="Times New Roman" w:hAnsi="Times New Roman" w:cs="Times New Roman"/>
          <w:b/>
          <w:snapToGrid w:val="0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snapToGrid w:val="0"/>
        </w:rPr>
        <w:t>Kalceks</w:t>
      </w:r>
      <w:proofErr w:type="spellEnd"/>
      <w:r w:rsidRPr="007F728B">
        <w:rPr>
          <w:rFonts w:ascii="Times New Roman" w:hAnsi="Times New Roman" w:cs="Times New Roman"/>
          <w:b/>
          <w:snapToGrid w:val="0"/>
        </w:rPr>
        <w:t xml:space="preserve"> sudėtyje yra natrio</w:t>
      </w:r>
    </w:p>
    <w:p w:rsidR="00091A7A" w:rsidRPr="007F728B" w:rsidRDefault="00091A7A" w:rsidP="00091A7A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7F728B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Kiekviename </w:t>
      </w:r>
      <w:r w:rsidRPr="007F728B">
        <w:rPr>
          <w:rFonts w:ascii="Times New Roman" w:hAnsi="Times New Roman" w:cs="Times New Roman"/>
          <w:sz w:val="22"/>
          <w:szCs w:val="22"/>
          <w:lang w:val="lt-LT"/>
        </w:rPr>
        <w:t xml:space="preserve">šio vaisto </w:t>
      </w:r>
      <w:r w:rsidRPr="007F728B">
        <w:rPr>
          <w:rFonts w:ascii="Times New Roman" w:hAnsi="Times New Roman" w:cs="Times New Roman"/>
          <w:sz w:val="22"/>
          <w:szCs w:val="22"/>
          <w:lang w:val="lt-LT" w:eastAsia="lt-LT"/>
        </w:rPr>
        <w:t>tirpalo mililitre</w:t>
      </w:r>
      <w:r w:rsidRPr="00406DEA">
        <w:rPr>
          <w:rFonts w:ascii="Times New Roman" w:hAnsi="Times New Roman"/>
          <w:sz w:val="22"/>
          <w:lang w:val="lt-LT"/>
        </w:rPr>
        <w:t xml:space="preserve"> </w:t>
      </w:r>
      <w:r w:rsidRPr="007F728B">
        <w:rPr>
          <w:rFonts w:ascii="Times New Roman" w:hAnsi="Times New Roman" w:cs="Times New Roman"/>
          <w:sz w:val="22"/>
          <w:szCs w:val="22"/>
          <w:lang w:val="lt-LT"/>
        </w:rPr>
        <w:t>yra 3,52 mg natrio</w:t>
      </w:r>
      <w:r w:rsidRPr="00406DEA">
        <w:rPr>
          <w:rFonts w:ascii="Times New Roman" w:hAnsi="Times New Roman"/>
          <w:color w:val="auto"/>
          <w:sz w:val="22"/>
          <w:lang w:val="lt-LT"/>
        </w:rPr>
        <w:t xml:space="preserve"> </w:t>
      </w:r>
      <w:r w:rsidRPr="007F728B">
        <w:rPr>
          <w:rFonts w:ascii="Times New Roman" w:hAnsi="Times New Roman" w:cs="Times New Roman"/>
          <w:sz w:val="22"/>
          <w:szCs w:val="22"/>
          <w:lang w:val="lt-LT"/>
        </w:rPr>
        <w:t>(valgomosios druskos sudedamosios dalies). Tai atitinka 0,18 % didžiausios rekomenduojamos natrio paros normos suaugusiesiems.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3.</w:t>
      </w:r>
      <w:r w:rsidRPr="007F728B">
        <w:rPr>
          <w:rFonts w:ascii="Times New Roman" w:hAnsi="Times New Roman" w:cs="Times New Roman"/>
          <w:b/>
          <w:lang w:eastAsia="lt-LT"/>
        </w:rPr>
        <w:tab/>
        <w:t xml:space="preserve">Kaip vartoti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Kalceks</w:t>
      </w:r>
      <w:proofErr w:type="spellEnd"/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7F728B">
        <w:rPr>
          <w:rFonts w:ascii="Times New Roman" w:hAnsi="Times New Roman" w:cs="Times New Roman"/>
        </w:rPr>
        <w:t>Ondansetroną</w:t>
      </w:r>
      <w:proofErr w:type="spellEnd"/>
      <w:r w:rsidRPr="007F728B">
        <w:rPr>
          <w:rFonts w:ascii="Times New Roman" w:hAnsi="Times New Roman" w:cs="Times New Roman"/>
        </w:rPr>
        <w:t xml:space="preserve"> gydytojas ar slaugytojas Jums suleis lėta injekcija arba lėta infuzija į veną arba injekcija į raumenis.</w:t>
      </w: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 w:rsidRPr="007F728B">
        <w:rPr>
          <w:rFonts w:ascii="Times New Roman" w:hAnsi="Times New Roman" w:cs="Times New Roman"/>
        </w:rPr>
        <w:t>Ondansetrono</w:t>
      </w:r>
      <w:proofErr w:type="spellEnd"/>
      <w:r w:rsidRPr="007F728B">
        <w:rPr>
          <w:rFonts w:ascii="Times New Roman" w:hAnsi="Times New Roman" w:cs="Times New Roman"/>
        </w:rPr>
        <w:t xml:space="preserve"> taip pat galima įsigyti dozėmis, tinkamomis vartoti per burną ir/ar į tiesiąją žarną, todėl dozę galima individualiai koreguoti. Tačiau </w:t>
      </w:r>
      <w:proofErr w:type="spellStart"/>
      <w:r w:rsidRPr="007F728B">
        <w:rPr>
          <w:rFonts w:ascii="Times New Roman" w:hAnsi="Times New Roman" w:cs="Times New Roman"/>
        </w:rPr>
        <w:t>Ondansetron</w:t>
      </w:r>
      <w:proofErr w:type="spellEnd"/>
      <w:r w:rsidRPr="007F728B">
        <w:rPr>
          <w:rFonts w:ascii="Times New Roman" w:hAnsi="Times New Roman" w:cs="Times New Roman"/>
        </w:rPr>
        <w:t xml:space="preserve"> </w:t>
      </w:r>
      <w:proofErr w:type="spellStart"/>
      <w:r w:rsidRPr="007F728B">
        <w:rPr>
          <w:rFonts w:ascii="Times New Roman" w:hAnsi="Times New Roman" w:cs="Times New Roman"/>
        </w:rPr>
        <w:t>Kalceks</w:t>
      </w:r>
      <w:proofErr w:type="spellEnd"/>
      <w:r w:rsidRPr="007F728B">
        <w:rPr>
          <w:rFonts w:ascii="Times New Roman" w:hAnsi="Times New Roman" w:cs="Times New Roman"/>
        </w:rPr>
        <w:t xml:space="preserve"> skirtas vartoti tik į veną ar į raumenis.</w:t>
      </w: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Jums skirta dozė priklausys nuo Jums skiriamo gydymo.</w:t>
      </w: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en-GB"/>
        </w:rPr>
      </w:pPr>
      <w:r w:rsidRPr="007F728B">
        <w:rPr>
          <w:rFonts w:ascii="Times New Roman" w:hAnsi="Times New Roman" w:cs="Times New Roman"/>
          <w:b/>
          <w:bCs/>
          <w:color w:val="000000"/>
          <w:lang w:eastAsia="en-GB"/>
        </w:rPr>
        <w:t>Suaugusieji</w:t>
      </w: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lang w:eastAsia="en-GB"/>
        </w:rPr>
      </w:pP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u w:val="single"/>
          <w:lang w:eastAsia="en-GB"/>
        </w:rPr>
      </w:pPr>
      <w:r w:rsidRPr="007F728B">
        <w:rPr>
          <w:rFonts w:ascii="Times New Roman" w:hAnsi="Times New Roman" w:cs="Times New Roman"/>
          <w:bCs/>
          <w:color w:val="000000"/>
          <w:u w:val="single"/>
          <w:lang w:eastAsia="en-GB"/>
        </w:rPr>
        <w:t>Pykinimo ir vėmimo profilaktika po chemoterapijos ar spindulinio gydymo</w:t>
      </w: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u w:val="single"/>
          <w:lang w:eastAsia="en-GB"/>
        </w:rPr>
      </w:pPr>
    </w:p>
    <w:p w:rsidR="00091A7A" w:rsidRPr="007F728B" w:rsidRDefault="00091A7A" w:rsidP="00091A7A">
      <w:pPr>
        <w:pStyle w:val="Sraopastraipa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  <w:i/>
        </w:rPr>
        <w:t>Chemoterapijos ir spindulinio gydymo dieną</w:t>
      </w:r>
      <w:r w:rsidRPr="007F728B">
        <w:rPr>
          <w:rFonts w:ascii="Times New Roman" w:hAnsi="Times New Roman" w:cs="Times New Roman"/>
        </w:rPr>
        <w:t xml:space="preserve"> </w:t>
      </w:r>
    </w:p>
    <w:p w:rsidR="00091A7A" w:rsidRPr="007F728B" w:rsidRDefault="00091A7A" w:rsidP="00091A7A">
      <w:pPr>
        <w:pStyle w:val="Sraopastraipa"/>
        <w:tabs>
          <w:tab w:val="left" w:pos="192"/>
        </w:tabs>
        <w:spacing w:after="0" w:line="240" w:lineRule="auto"/>
        <w:ind w:left="0"/>
        <w:rPr>
          <w:rFonts w:ascii="Times New Roman" w:hAnsi="Times New Roman" w:cs="Times New Roman"/>
        </w:rPr>
      </w:pPr>
      <w:proofErr w:type="spellStart"/>
      <w:r w:rsidRPr="007F728B">
        <w:rPr>
          <w:rFonts w:ascii="Times New Roman" w:hAnsi="Times New Roman" w:cs="Times New Roman"/>
        </w:rPr>
        <w:t>Ondansetronas</w:t>
      </w:r>
      <w:proofErr w:type="spellEnd"/>
      <w:r w:rsidRPr="007F728B">
        <w:rPr>
          <w:rFonts w:ascii="Times New Roman" w:hAnsi="Times New Roman" w:cs="Times New Roman"/>
        </w:rPr>
        <w:t xml:space="preserve"> bus skiriamas prieš pat chemoterapiją ar spindulinį gydymą. Įprasta suaugusiųjų dozė yra 8 mg, lėtai leidžiama į veną ar į raumenis arba lėtai lašinama į veną.</w:t>
      </w: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pStyle w:val="Sraopastraipa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i/>
        </w:rPr>
      </w:pPr>
      <w:r w:rsidRPr="007F728B">
        <w:rPr>
          <w:rFonts w:ascii="Times New Roman" w:hAnsi="Times New Roman" w:cs="Times New Roman"/>
          <w:i/>
        </w:rPr>
        <w:t>Kitomis dienomis</w:t>
      </w: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 xml:space="preserve">Po pradinio gydymo gydytojas gali paskirti </w:t>
      </w:r>
      <w:proofErr w:type="spellStart"/>
      <w:r w:rsidRPr="007F728B">
        <w:rPr>
          <w:rFonts w:ascii="Times New Roman" w:hAnsi="Times New Roman" w:cs="Times New Roman"/>
        </w:rPr>
        <w:t>ondansetroną</w:t>
      </w:r>
      <w:proofErr w:type="spellEnd"/>
      <w:r w:rsidRPr="007F728B">
        <w:rPr>
          <w:rFonts w:ascii="Times New Roman" w:hAnsi="Times New Roman" w:cs="Times New Roman"/>
        </w:rPr>
        <w:t xml:space="preserve"> vartoti per burną ar į tiesiąją žarną. Jei reikia, vadovaukitės šiame pakuotės lapelyje pateiktomis instrukcijomis. </w:t>
      </w:r>
      <w:proofErr w:type="spellStart"/>
      <w:r w:rsidRPr="007F728B">
        <w:rPr>
          <w:rFonts w:ascii="Times New Roman" w:hAnsi="Times New Roman" w:cs="Times New Roman"/>
        </w:rPr>
        <w:t>Ondansetroną</w:t>
      </w:r>
      <w:proofErr w:type="spellEnd"/>
      <w:r w:rsidRPr="007F728B">
        <w:rPr>
          <w:rFonts w:ascii="Times New Roman" w:hAnsi="Times New Roman" w:cs="Times New Roman"/>
        </w:rPr>
        <w:t xml:space="preserve"> visada vartokite tiksliai taip, kaip nurodė gydytojas.</w:t>
      </w: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Jei reikia, dozę galima padidinti iki 32 mg per parą.</w:t>
      </w: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Cs/>
          <w:color w:val="000000"/>
          <w:u w:val="single"/>
          <w:lang w:eastAsia="en-GB"/>
        </w:rPr>
      </w:pPr>
      <w:r w:rsidRPr="007F728B">
        <w:rPr>
          <w:rFonts w:ascii="Times New Roman" w:hAnsi="Times New Roman" w:cs="Times New Roman"/>
          <w:bCs/>
          <w:color w:val="000000"/>
          <w:u w:val="single"/>
          <w:lang w:eastAsia="en-GB"/>
        </w:rPr>
        <w:t>Pykinimo ir vėmimo gydymas ir profilaktika po operacijos</w:t>
      </w: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u w:val="single"/>
        </w:rPr>
      </w:pP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Įprasta suaugusiesiems skiriama 4 mg dozė leidžiama lėtai į veną ar į raumenis.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  <w:r w:rsidRPr="007F728B">
        <w:rPr>
          <w:rFonts w:ascii="Times New Roman" w:hAnsi="Times New Roman" w:cs="Times New Roman"/>
          <w:b/>
          <w:snapToGrid w:val="0"/>
        </w:rPr>
        <w:t>Vartojimas vaikams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</w:rPr>
      </w:pPr>
    </w:p>
    <w:p w:rsidR="00091A7A" w:rsidRPr="007F728B" w:rsidRDefault="00091A7A" w:rsidP="00091A7A">
      <w:pPr>
        <w:pStyle w:val="Betarp"/>
        <w:ind w:left="0" w:right="-8" w:firstLine="0"/>
        <w:rPr>
          <w:u w:val="single"/>
          <w:lang w:val="lt-LT"/>
        </w:rPr>
      </w:pPr>
      <w:r w:rsidRPr="007F728B">
        <w:rPr>
          <w:u w:val="single"/>
          <w:lang w:val="lt-LT"/>
        </w:rPr>
        <w:t>Chemoterapijos sukelto pykinimo ir vėmimo slopinimas vyresniems nei 6 mėnesių vaikams ir paaugliams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color w:val="000000"/>
          <w:lang w:eastAsia="en-GB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color w:val="000000"/>
          <w:lang w:eastAsia="en-GB"/>
        </w:rPr>
      </w:pPr>
      <w:r w:rsidRPr="007F728B">
        <w:rPr>
          <w:rFonts w:ascii="Times New Roman" w:hAnsi="Times New Roman" w:cs="Times New Roman"/>
          <w:bCs/>
          <w:color w:val="000000"/>
          <w:lang w:eastAsia="en-GB"/>
        </w:rPr>
        <w:t>Vaikams šis vaistas į veną leidžiamas lėtai prieš pat chemoterapiją (rekomenduojama dozė: 5 mg/m</w:t>
      </w:r>
      <w:r w:rsidRPr="007F728B">
        <w:rPr>
          <w:rFonts w:ascii="Times New Roman" w:hAnsi="Times New Roman" w:cs="Times New Roman"/>
          <w:bCs/>
          <w:color w:val="000000"/>
          <w:vertAlign w:val="superscript"/>
          <w:lang w:eastAsia="en-GB"/>
        </w:rPr>
        <w:t>2</w:t>
      </w:r>
      <w:r w:rsidRPr="007F728B">
        <w:rPr>
          <w:rFonts w:ascii="Times New Roman" w:hAnsi="Times New Roman" w:cs="Times New Roman"/>
          <w:bCs/>
          <w:color w:val="000000"/>
          <w:lang w:eastAsia="en-GB"/>
        </w:rPr>
        <w:t xml:space="preserve"> arba 0,15 mg/kg). Į veną leidžiama dozė neturi viršyti 8 mg. Vartoti vaistą per burną galima pradėti po 12 valandų. Po chemoterapijos šį gydymą galima tęsti iki 5 parų. Geriamoji dozė apskaičiuojama pagal kūno svorį arba kūno paviršiaus plotą. Bendra paros dozė neturi viršyti suaugusiųjų dozės 32 mg.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color w:val="000000"/>
          <w:lang w:eastAsia="en-GB"/>
        </w:rPr>
      </w:pPr>
    </w:p>
    <w:p w:rsidR="00091A7A" w:rsidRPr="007F728B" w:rsidRDefault="00091A7A" w:rsidP="00091A7A">
      <w:pPr>
        <w:pStyle w:val="ColorfulList-Accent11"/>
        <w:tabs>
          <w:tab w:val="left" w:pos="0"/>
        </w:tabs>
        <w:spacing w:after="0" w:line="240" w:lineRule="auto"/>
        <w:ind w:left="0"/>
        <w:rPr>
          <w:rFonts w:ascii="Times New Roman" w:hAnsi="Times New Roman" w:cs="Times New Roman"/>
          <w:bCs/>
          <w:color w:val="000000"/>
          <w:u w:val="single"/>
          <w:lang w:eastAsia="en-GB"/>
        </w:rPr>
      </w:pPr>
      <w:r w:rsidRPr="007F728B">
        <w:rPr>
          <w:rFonts w:ascii="Times New Roman" w:hAnsi="Times New Roman" w:cs="Times New Roman"/>
          <w:bCs/>
          <w:color w:val="000000"/>
          <w:u w:val="single"/>
          <w:lang w:eastAsia="en-GB"/>
        </w:rPr>
        <w:t>Pykinimo ir vėmimo gydymas ir profilaktika po operacijos vaikams nuo 1 mėnesio ir paaugliams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color w:val="000000"/>
          <w:lang w:eastAsia="en-GB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color w:val="000000"/>
          <w:lang w:eastAsia="en-GB"/>
        </w:rPr>
      </w:pPr>
      <w:r w:rsidRPr="007F728B">
        <w:rPr>
          <w:rFonts w:ascii="Times New Roman" w:hAnsi="Times New Roman" w:cs="Times New Roman"/>
          <w:bCs/>
          <w:color w:val="000000"/>
          <w:lang w:eastAsia="en-GB"/>
        </w:rPr>
        <w:t>Vaikams dozė apskaičiuojama pagal kūno svorį ar kūno paviršiaus plotą. Bendra paros dozė neturi viršyti suaugusiųjų 32 mg dozės. Dozė leidžiama lėtai į veną prieš anestezijos pradžią, jos metu ar po jos.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</w:rPr>
        <w:t>Senyvi pacientai (vyresni nei 65 metų)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 xml:space="preserve">Vyresniems nei 65 metų pacientams </w:t>
      </w:r>
      <w:proofErr w:type="spellStart"/>
      <w:r w:rsidRPr="007F728B">
        <w:rPr>
          <w:rFonts w:ascii="Times New Roman" w:hAnsi="Times New Roman" w:cs="Times New Roman"/>
        </w:rPr>
        <w:t>ondansetronas</w:t>
      </w:r>
      <w:proofErr w:type="spellEnd"/>
      <w:r w:rsidRPr="007F728B">
        <w:rPr>
          <w:rFonts w:ascii="Times New Roman" w:hAnsi="Times New Roman" w:cs="Times New Roman"/>
        </w:rPr>
        <w:t xml:space="preserve"> yra gerai toleruojamas.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7F728B">
        <w:rPr>
          <w:rFonts w:ascii="Times New Roman" w:hAnsi="Times New Roman" w:cs="Times New Roman"/>
          <w:u w:val="single"/>
        </w:rPr>
        <w:t>Chemoterapijos ir spindulinio gydymo sukeltas pykinimas ir vėmimas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65 metų ir vyresniems pacientams visas į veną vartojamas dozes reikia skiesti ir leisti per 15 minučių. Jei reikia kartoti dozes, jas reikia skirti mažiausiai kas 4 valandas.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65–74 metų pacientams pradinė dozė yra 8 mg arba 16 mg. Vyresniems nei 75 metų pacientams pradinė dozė neturi viršyti 8 mg.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7F728B">
        <w:rPr>
          <w:rFonts w:ascii="Times New Roman" w:hAnsi="Times New Roman" w:cs="Times New Roman"/>
          <w:u w:val="single"/>
        </w:rPr>
        <w:t>Pykinimo ir vėmimo profilaktika ir gydymui po operacijos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Senyvų žmonių vartojimo patirtis yra ribota.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</w:rPr>
        <w:t>Pacientai, kurių kepenų funkcija sutrikusi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Pacientams, kuriems yra vidutinio sunkumo ar sunkus kepenų sutrikimas, bendra paros dozė neturi viršyti 8 mg.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</w:rPr>
        <w:t>Pacientai, kurių inkstų funkcija sutrikusi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Dozės, dozavimo dažnio ar vartojimo būdo keisti nereikia.</w:t>
      </w:r>
    </w:p>
    <w:p w:rsidR="00091A7A" w:rsidRPr="007F728B" w:rsidRDefault="00091A7A" w:rsidP="00091A7A">
      <w:pPr>
        <w:tabs>
          <w:tab w:val="left" w:pos="192"/>
        </w:tabs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ind w:left="18" w:right="26"/>
        <w:rPr>
          <w:rFonts w:ascii="Times New Roman" w:hAnsi="Times New Roman" w:cs="Times New Roman"/>
          <w:b/>
          <w:bCs/>
        </w:rPr>
      </w:pPr>
      <w:r w:rsidRPr="007F728B">
        <w:rPr>
          <w:rFonts w:ascii="Times New Roman" w:hAnsi="Times New Roman" w:cs="Times New Roman"/>
          <w:b/>
          <w:bCs/>
        </w:rPr>
        <w:t xml:space="preserve">Ką daryti Jums pavartojus per didelę </w:t>
      </w:r>
      <w:proofErr w:type="spellStart"/>
      <w:r w:rsidRPr="007F728B">
        <w:rPr>
          <w:rFonts w:ascii="Times New Roman" w:hAnsi="Times New Roman" w:cs="Times New Roman"/>
          <w:b/>
          <w:bCs/>
        </w:rPr>
        <w:t>Ondansetron</w:t>
      </w:r>
      <w:proofErr w:type="spellEnd"/>
      <w:r w:rsidRPr="007F728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bCs/>
        </w:rPr>
        <w:t>Kalceks</w:t>
      </w:r>
      <w:proofErr w:type="spellEnd"/>
      <w:r w:rsidRPr="007F728B">
        <w:rPr>
          <w:rFonts w:ascii="Times New Roman" w:hAnsi="Times New Roman" w:cs="Times New Roman"/>
          <w:b/>
          <w:bCs/>
        </w:rPr>
        <w:t xml:space="preserve"> dozę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 xml:space="preserve">Jūsų gydytojas arba slaugytojas suleis Jums arba Jūsų vaikui </w:t>
      </w:r>
      <w:proofErr w:type="spellStart"/>
      <w:r w:rsidRPr="007F728B">
        <w:rPr>
          <w:rFonts w:ascii="Times New Roman" w:hAnsi="Times New Roman" w:cs="Times New Roman"/>
          <w:color w:val="000000"/>
        </w:rPr>
        <w:t>Ondansetron</w:t>
      </w:r>
      <w:proofErr w:type="spellEnd"/>
      <w:r w:rsidRPr="007F728B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F728B">
        <w:rPr>
          <w:rFonts w:ascii="Times New Roman" w:hAnsi="Times New Roman" w:cs="Times New Roman"/>
          <w:color w:val="000000"/>
        </w:rPr>
        <w:t>Kalceks</w:t>
      </w:r>
      <w:proofErr w:type="spellEnd"/>
      <w:r w:rsidRPr="007F728B">
        <w:rPr>
          <w:rFonts w:ascii="Times New Roman" w:hAnsi="Times New Roman" w:cs="Times New Roman"/>
          <w:color w:val="000000"/>
        </w:rPr>
        <w:t xml:space="preserve"> injekciją, todėl mažai tikėtina, kad Jūs ar Jūsų vaikas gausite jo per daug. Jei manote, kad Jūs arba Jūsų vaikas gavote per didelę dozę arba ją praleidote, pasakykite gydytojui arba slaugytojui.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>Gali pasireikšti šie simptomai: regos sutrikimai, sunkus vidurių užkietėjimas, žemas kraujospūdis ir lėtas širdies plakimas.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>Jeigu kiltų daugiau klausimų dėl šio vaisto vartojimo, kreipkitės į gydytoją, vaistininką arba slaugytoją.</w:t>
      </w:r>
    </w:p>
    <w:p w:rsidR="00091A7A" w:rsidRPr="007F728B" w:rsidRDefault="00091A7A" w:rsidP="00091A7A">
      <w:pPr>
        <w:tabs>
          <w:tab w:val="left" w:pos="192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  <w:lang w:eastAsia="lt-LT"/>
        </w:rPr>
      </w:pPr>
      <w:r w:rsidRPr="007F728B">
        <w:rPr>
          <w:rFonts w:ascii="Times New Roman" w:hAnsi="Times New Roman" w:cs="Times New Roman"/>
          <w:b/>
          <w:caps/>
          <w:lang w:eastAsia="lt-LT"/>
        </w:rPr>
        <w:t>4.</w:t>
      </w:r>
      <w:r w:rsidRPr="007F728B">
        <w:rPr>
          <w:rFonts w:ascii="Times New Roman" w:hAnsi="Times New Roman" w:cs="Times New Roman"/>
          <w:b/>
          <w:caps/>
          <w:lang w:eastAsia="lt-LT"/>
        </w:rPr>
        <w:tab/>
      </w:r>
      <w:r w:rsidRPr="007F728B">
        <w:rPr>
          <w:rFonts w:ascii="Times New Roman" w:hAnsi="Times New Roman" w:cs="Times New Roman"/>
          <w:b/>
          <w:lang w:eastAsia="lt-LT"/>
        </w:rPr>
        <w:t>Galimas šalutinis poveikis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Šis vaistas</w:t>
      </w:r>
      <w:r w:rsidRPr="007F728B">
        <w:rPr>
          <w:rFonts w:ascii="Times New Roman" w:hAnsi="Times New Roman" w:cs="Times New Roman"/>
          <w:lang w:eastAsia="lt-LT"/>
        </w:rPr>
        <w:t>, kaip ir visi kiti, gali sukelti šalutinį poveikį, nors jis pasireiškia ne visiems žmonėms.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Vaikų ir paauglių šalutinis poveikis yra panašus į suaugusiųjų.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b/>
          <w:snapToGrid w:val="0"/>
          <w:lang w:eastAsia="lt-LT"/>
        </w:rPr>
        <w:t>Sunkios alerginės reakcijos.</w:t>
      </w:r>
      <w:r w:rsidRPr="007F728B">
        <w:rPr>
          <w:rFonts w:ascii="Times New Roman" w:hAnsi="Times New Roman" w:cs="Times New Roman"/>
          <w:snapToGrid w:val="0"/>
          <w:lang w:eastAsia="lt-LT"/>
        </w:rPr>
        <w:t xml:space="preserve"> Tai retai pasitaiko žmonėms, vartojantiems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>. Jų požymiai:</w:t>
      </w:r>
    </w:p>
    <w:p w:rsidR="00091A7A" w:rsidRPr="007F728B" w:rsidRDefault="00091A7A" w:rsidP="00091A7A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padidėjęs ir niežtintis odos išbėrimas (dilgėlinė);</w:t>
      </w:r>
    </w:p>
    <w:p w:rsidR="00091A7A" w:rsidRPr="007F728B" w:rsidRDefault="00091A7A" w:rsidP="00091A7A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patinimas, kartais veido ar burnos (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angioneurozinė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edema) su apsunkintu kvėpavimu;</w:t>
      </w:r>
    </w:p>
    <w:p w:rsidR="00091A7A" w:rsidRPr="007F728B" w:rsidRDefault="00091A7A" w:rsidP="00091A7A">
      <w:pPr>
        <w:pStyle w:val="Sraopastraipa"/>
        <w:numPr>
          <w:ilvl w:val="0"/>
          <w:numId w:val="7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trumpas sąmonės netekimas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Jei pasireiškia kuris nors iš šių simptomų, nedelsdami kreipkitės į gydytoją. Nutraukite vaisto vartojimą.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>Labai dažni</w:t>
      </w:r>
      <w:r w:rsidRPr="007F728B">
        <w:rPr>
          <w:rFonts w:ascii="Times New Roman" w:hAnsi="Times New Roman" w:cs="Times New Roman"/>
          <w:snapToGrid w:val="0"/>
          <w:lang w:eastAsia="lt-LT"/>
        </w:rPr>
        <w:t xml:space="preserve"> </w:t>
      </w:r>
      <w:r w:rsidRPr="007F728B">
        <w:rPr>
          <w:rFonts w:ascii="Times New Roman" w:hAnsi="Times New Roman" w:cs="Times New Roman"/>
          <w:i/>
          <w:snapToGrid w:val="0"/>
          <w:lang w:eastAsia="lt-LT"/>
        </w:rPr>
        <w:t>šalutinio poveikio reiškiniai</w:t>
      </w:r>
      <w:r w:rsidRPr="007F728B">
        <w:rPr>
          <w:rFonts w:ascii="Times New Roman" w:hAnsi="Times New Roman" w:cs="Times New Roman"/>
          <w:snapToGrid w:val="0"/>
          <w:lang w:eastAsia="lt-LT"/>
        </w:rPr>
        <w:t xml:space="preserve"> (gali pasireikšti ne rečiau kaip 1 iš 10 asmenų):</w:t>
      </w:r>
    </w:p>
    <w:p w:rsidR="00091A7A" w:rsidRPr="007F728B" w:rsidRDefault="00091A7A" w:rsidP="00091A7A">
      <w:pPr>
        <w:pStyle w:val="ColorfulList-Accent11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galvos skausmas.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>Dažni šalutinio poveikio</w:t>
      </w:r>
      <w:r w:rsidRPr="007F728B">
        <w:rPr>
          <w:rFonts w:ascii="Times New Roman" w:hAnsi="Times New Roman" w:cs="Times New Roman"/>
          <w:snapToGrid w:val="0"/>
          <w:lang w:eastAsia="lt-LT"/>
        </w:rPr>
        <w:t xml:space="preserve"> reiškiniai (gali pasireikšti rečiau kaip 1 iš 10 asmenų):</w:t>
      </w:r>
    </w:p>
    <w:p w:rsidR="00091A7A" w:rsidRPr="007F728B" w:rsidRDefault="00091A7A" w:rsidP="00091A7A">
      <w:pPr>
        <w:pStyle w:val="ColorfulList-Accent11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paraudimas arba šilumos pojūtis;</w:t>
      </w:r>
    </w:p>
    <w:p w:rsidR="00091A7A" w:rsidRPr="007F728B" w:rsidRDefault="00091A7A" w:rsidP="00091A7A">
      <w:pPr>
        <w:pStyle w:val="ColorfulList-Accent11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vidurių užkietėjimas;</w:t>
      </w:r>
    </w:p>
    <w:p w:rsidR="00091A7A" w:rsidRPr="007F728B" w:rsidRDefault="00091A7A" w:rsidP="00091A7A">
      <w:pPr>
        <w:pStyle w:val="ColorfulList-Accent11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paraudimas;</w:t>
      </w:r>
    </w:p>
    <w:p w:rsidR="00091A7A" w:rsidRPr="007F728B" w:rsidRDefault="00091A7A" w:rsidP="00091A7A">
      <w:pPr>
        <w:pStyle w:val="ColorfulList-Accent11"/>
        <w:numPr>
          <w:ilvl w:val="0"/>
          <w:numId w:val="3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Injekcijos vietos sudirgimas (po injekcijos į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vėną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>).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>Nedažni šalutinio poveikio reiškiniai</w:t>
      </w:r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(</w:t>
      </w:r>
      <w:r w:rsidRPr="007F728B">
        <w:rPr>
          <w:rFonts w:ascii="Times New Roman" w:hAnsi="Times New Roman" w:cs="Times New Roman"/>
          <w:snapToGrid w:val="0"/>
          <w:lang w:eastAsia="lt-LT"/>
        </w:rPr>
        <w:t>gali pasireikšti rečiau kaip 1 iš 100 asmenų):</w:t>
      </w:r>
    </w:p>
    <w:p w:rsidR="00091A7A" w:rsidRPr="007F728B" w:rsidRDefault="00091A7A" w:rsidP="00091A7A">
      <w:pPr>
        <w:pStyle w:val="ColorfulList-Accent11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traukuliai;</w:t>
      </w:r>
    </w:p>
    <w:p w:rsidR="00091A7A" w:rsidRPr="007F728B" w:rsidRDefault="00091A7A" w:rsidP="00091A7A">
      <w:pPr>
        <w:pStyle w:val="ColorfulList-Accent11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nevalingi raumenų judesiai ar trūkčiojimai;</w:t>
      </w:r>
    </w:p>
    <w:p w:rsidR="00091A7A" w:rsidRPr="007F728B" w:rsidRDefault="00091A7A" w:rsidP="00091A7A">
      <w:pPr>
        <w:pStyle w:val="ColorfulList-Accent11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nereguliarus ar lėtas širdies plakimas;</w:t>
      </w:r>
    </w:p>
    <w:p w:rsidR="00091A7A" w:rsidRPr="007F728B" w:rsidRDefault="00091A7A" w:rsidP="00091A7A">
      <w:pPr>
        <w:pStyle w:val="ColorfulList-Accent11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krūtinės skausmas;</w:t>
      </w:r>
    </w:p>
    <w:p w:rsidR="00091A7A" w:rsidRPr="007F728B" w:rsidRDefault="00091A7A" w:rsidP="00091A7A">
      <w:pPr>
        <w:pStyle w:val="ColorfulList-Accent11"/>
        <w:numPr>
          <w:ilvl w:val="0"/>
          <w:numId w:val="4"/>
        </w:numPr>
        <w:spacing w:after="0" w:line="240" w:lineRule="auto"/>
        <w:ind w:left="567" w:hanging="567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žemas kraujospūdis;</w:t>
      </w:r>
    </w:p>
    <w:p w:rsidR="00091A7A" w:rsidRPr="00406DEA" w:rsidRDefault="00091A7A" w:rsidP="00091A7A">
      <w:pPr>
        <w:pStyle w:val="ColorfulList-Accent11"/>
        <w:numPr>
          <w:ilvl w:val="0"/>
          <w:numId w:val="4"/>
        </w:numPr>
        <w:tabs>
          <w:tab w:val="left" w:pos="567"/>
        </w:tabs>
        <w:spacing w:after="0" w:line="240" w:lineRule="auto"/>
        <w:ind w:left="0" w:firstLine="0"/>
        <w:rPr>
          <w:rFonts w:ascii="Times New Roman" w:hAnsi="Times New Roman"/>
        </w:rPr>
      </w:pPr>
      <w:r w:rsidRPr="007F728B">
        <w:rPr>
          <w:rFonts w:ascii="Times New Roman" w:hAnsi="Times New Roman" w:cs="Times New Roman"/>
        </w:rPr>
        <w:t>žagsulys;</w:t>
      </w:r>
    </w:p>
    <w:p w:rsidR="00091A7A" w:rsidRPr="007F728B" w:rsidRDefault="00091A7A" w:rsidP="00091A7A">
      <w:pPr>
        <w:pStyle w:val="Sraopastraipa"/>
        <w:numPr>
          <w:ilvl w:val="0"/>
          <w:numId w:val="4"/>
        </w:numPr>
        <w:tabs>
          <w:tab w:val="num" w:pos="567"/>
          <w:tab w:val="num" w:pos="720"/>
        </w:tabs>
        <w:spacing w:after="0" w:line="240" w:lineRule="auto"/>
        <w:ind w:left="0" w:firstLine="0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kepenų fermentų aktyvumo padidėjimas.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>Reti šalutinio poveikio</w:t>
      </w:r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</w:t>
      </w:r>
      <w:r w:rsidRPr="007F728B">
        <w:rPr>
          <w:rFonts w:ascii="Times New Roman" w:hAnsi="Times New Roman" w:cs="Times New Roman"/>
          <w:bCs/>
          <w:i/>
          <w:iCs/>
          <w:snapToGrid w:val="0"/>
          <w:lang w:eastAsia="lt-LT"/>
        </w:rPr>
        <w:t>reiškiniai</w:t>
      </w:r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</w:t>
      </w:r>
      <w:r w:rsidRPr="007F728B">
        <w:rPr>
          <w:rFonts w:ascii="Times New Roman" w:hAnsi="Times New Roman" w:cs="Times New Roman"/>
          <w:snapToGrid w:val="0"/>
          <w:lang w:eastAsia="lt-LT"/>
        </w:rPr>
        <w:t>(gali pasireikšti rečiau kaip 1 iš 1 000 asmenų):</w:t>
      </w:r>
    </w:p>
    <w:p w:rsidR="00091A7A" w:rsidRPr="007F728B" w:rsidRDefault="00091A7A" w:rsidP="00091A7A">
      <w:pPr>
        <w:pStyle w:val="ColorfulList-Accent11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širdies ritmo sutrikimas (dėl kurio kartais staiga prarandama sąmonė);</w:t>
      </w:r>
    </w:p>
    <w:p w:rsidR="00091A7A" w:rsidRPr="007F728B" w:rsidRDefault="00091A7A" w:rsidP="00091A7A">
      <w:pPr>
        <w:pStyle w:val="ColorfulList-Accent11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svaigulys;</w:t>
      </w:r>
    </w:p>
    <w:p w:rsidR="00091A7A" w:rsidRPr="007F728B" w:rsidRDefault="00091A7A" w:rsidP="00091A7A">
      <w:pPr>
        <w:pStyle w:val="ColorfulList-Accent11"/>
        <w:numPr>
          <w:ilvl w:val="0"/>
          <w:numId w:val="5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laikinas neryškus matymas ar regėjimo sutrikimas.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 xml:space="preserve">Labai reti šalutinio poveikio reiškiniai </w:t>
      </w:r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</w:t>
      </w:r>
      <w:r w:rsidRPr="007F728B">
        <w:rPr>
          <w:rFonts w:ascii="Times New Roman" w:hAnsi="Times New Roman" w:cs="Times New Roman"/>
          <w:snapToGrid w:val="0"/>
          <w:lang w:eastAsia="lt-LT"/>
        </w:rPr>
        <w:t>(gali pasireikšti rečiau kaip 1 iš 10 000 asmenų):</w:t>
      </w:r>
    </w:p>
    <w:p w:rsidR="00091A7A" w:rsidRPr="007F728B" w:rsidRDefault="00091A7A" w:rsidP="00091A7A">
      <w:pPr>
        <w:pStyle w:val="Sraopastraipa"/>
        <w:numPr>
          <w:ilvl w:val="0"/>
          <w:numId w:val="8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išplitęs išbėrimas su pūslėmis ir odos lupimusi ant didžiosios kūno paviršiaus dalies (toksinė epidermio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nekrolizė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>);</w:t>
      </w:r>
    </w:p>
    <w:p w:rsidR="00091A7A" w:rsidRPr="007F728B" w:rsidRDefault="00091A7A" w:rsidP="00091A7A">
      <w:pPr>
        <w:pStyle w:val="ColorfulList-Accent11"/>
        <w:numPr>
          <w:ilvl w:val="0"/>
          <w:numId w:val="6"/>
        </w:numPr>
        <w:spacing w:after="0" w:line="240" w:lineRule="auto"/>
        <w:ind w:left="567" w:hanging="567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laikinas regos netekimas.</w:t>
      </w:r>
    </w:p>
    <w:p w:rsidR="00091A7A" w:rsidRPr="007F728B" w:rsidRDefault="00091A7A" w:rsidP="00091A7A">
      <w:pPr>
        <w:pStyle w:val="ColorfulList-Accent11"/>
        <w:spacing w:after="0" w:line="240" w:lineRule="auto"/>
        <w:ind w:left="567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i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>Dažnis nežinomas (negali būti apskaičiuotas pagal turimus duomenis):</w:t>
      </w:r>
    </w:p>
    <w:p w:rsidR="00091A7A" w:rsidRPr="0074239F" w:rsidRDefault="00091A7A" w:rsidP="00091A7A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i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burnos sausumas</w:t>
      </w:r>
      <w:r>
        <w:rPr>
          <w:rFonts w:ascii="Times New Roman" w:hAnsi="Times New Roman" w:cs="Times New Roman"/>
          <w:snapToGrid w:val="0"/>
          <w:lang w:eastAsia="lt-LT"/>
        </w:rPr>
        <w:t>;</w:t>
      </w:r>
    </w:p>
    <w:p w:rsidR="00091A7A" w:rsidRPr="007F728B" w:rsidRDefault="00091A7A" w:rsidP="00091A7A">
      <w:pPr>
        <w:pStyle w:val="Sraopastraipa"/>
        <w:numPr>
          <w:ilvl w:val="0"/>
          <w:numId w:val="16"/>
        </w:numPr>
        <w:spacing w:after="0" w:line="240" w:lineRule="auto"/>
        <w:ind w:left="567" w:hanging="567"/>
        <w:rPr>
          <w:rFonts w:ascii="Times New Roman" w:hAnsi="Times New Roman" w:cs="Times New Roman"/>
          <w:i/>
          <w:snapToGrid w:val="0"/>
          <w:lang w:eastAsia="lt-LT"/>
        </w:rPr>
      </w:pPr>
      <w:r>
        <w:rPr>
          <w:rFonts w:ascii="Times New Roman" w:hAnsi="Times New Roman" w:cs="Times New Roman"/>
          <w:snapToGrid w:val="0"/>
          <w:lang w:eastAsia="lt-LT"/>
        </w:rPr>
        <w:t>m</w:t>
      </w:r>
      <w:r w:rsidRPr="0074239F">
        <w:rPr>
          <w:rFonts w:ascii="Times New Roman" w:hAnsi="Times New Roman" w:cs="Times New Roman"/>
          <w:snapToGrid w:val="0"/>
          <w:lang w:eastAsia="lt-LT"/>
        </w:rPr>
        <w:t xml:space="preserve">iokardo išemija </w:t>
      </w:r>
      <w:r>
        <w:rPr>
          <w:rFonts w:ascii="Times New Roman" w:hAnsi="Times New Roman" w:cs="Times New Roman"/>
          <w:snapToGrid w:val="0"/>
          <w:lang w:eastAsia="lt-LT"/>
        </w:rPr>
        <w:t>(p</w:t>
      </w:r>
      <w:r w:rsidRPr="0074239F">
        <w:rPr>
          <w:rFonts w:ascii="Times New Roman" w:hAnsi="Times New Roman" w:cs="Times New Roman"/>
          <w:snapToGrid w:val="0"/>
          <w:lang w:eastAsia="lt-LT"/>
        </w:rPr>
        <w:t>ožymiai: staigus krūtinės skausmas arba krūtinės ląstos spaudimas</w:t>
      </w:r>
      <w:r>
        <w:rPr>
          <w:rFonts w:ascii="Times New Roman" w:hAnsi="Times New Roman" w:cs="Times New Roman"/>
          <w:snapToGrid w:val="0"/>
          <w:lang w:eastAsia="lt-LT"/>
        </w:rPr>
        <w:t>)</w:t>
      </w:r>
      <w:r w:rsidRPr="007F728B">
        <w:rPr>
          <w:rFonts w:ascii="Times New Roman" w:hAnsi="Times New Roman" w:cs="Times New Roman"/>
          <w:snapToGrid w:val="0"/>
          <w:lang w:eastAsia="lt-LT"/>
        </w:rPr>
        <w:t>.</w:t>
      </w:r>
    </w:p>
    <w:p w:rsidR="00091A7A" w:rsidRPr="007F728B" w:rsidRDefault="00091A7A" w:rsidP="00091A7A">
      <w:pPr>
        <w:pStyle w:val="Sraopastraipa"/>
        <w:spacing w:after="0" w:line="240" w:lineRule="auto"/>
        <w:ind w:left="567"/>
        <w:rPr>
          <w:rFonts w:ascii="Times New Roman" w:hAnsi="Times New Roman" w:cs="Times New Roman"/>
          <w:i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  <w:noProof/>
        </w:rPr>
        <w:t>Pranešimas apie šalutinį poveikį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noProof/>
        </w:rPr>
        <w:t xml:space="preserve">Jeigu Jums arba Jūsų vaikui pasireiškė šalutinis poveikis, įskaitant šiame lapelyje nenurodytą, pasakykite gydytojui arba, vaistininkui arba </w:t>
      </w:r>
      <w:r w:rsidRPr="007F728B">
        <w:rPr>
          <w:rFonts w:ascii="Times New Roman" w:hAnsi="Times New Roman" w:cs="Times New Roman"/>
        </w:rPr>
        <w:t>slaugytojui.</w:t>
      </w:r>
      <w:r w:rsidRPr="007F728B">
        <w:rPr>
          <w:rFonts w:ascii="Times New Roman" w:hAnsi="Times New Roman" w:cs="Times New Roman"/>
          <w:noProof/>
        </w:rPr>
        <w:t xml:space="preserve">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 w:rsidRPr="007F728B">
        <w:rPr>
          <w:rFonts w:ascii="Times New Roman" w:hAnsi="Times New Roman" w:cs="Times New Roman"/>
          <w:noProof/>
          <w:color w:val="0000FF"/>
        </w:rPr>
        <w:t xml:space="preserve">https://vapris.vvkt.lt/vvkt-web/public/nrv </w:t>
      </w:r>
      <w:r w:rsidRPr="007F728B">
        <w:rPr>
          <w:rFonts w:ascii="Times New Roman" w:hAnsi="Times New Roman" w:cs="Times New Roman"/>
          <w:noProof/>
        </w:rPr>
        <w:t xml:space="preserve">arba užpildant Sveikatos priežiūros ar farmacijos specialisto pranešimo apie įtariamą nepageidaujamą reakciją formą, kuri skelbiama </w:t>
      </w:r>
      <w:r w:rsidRPr="007F728B">
        <w:rPr>
          <w:rFonts w:ascii="Times New Roman" w:hAnsi="Times New Roman" w:cs="Times New Roman"/>
          <w:noProof/>
          <w:color w:val="0000FF"/>
        </w:rPr>
        <w:t>https://www.vvkt.lt/index.php?4004286486</w:t>
      </w:r>
      <w:r w:rsidRPr="007F728B">
        <w:rPr>
          <w:rFonts w:ascii="Times New Roman" w:hAnsi="Times New Roman" w:cs="Times New Roman"/>
          <w:noProof/>
        </w:rPr>
        <w:t xml:space="preserve">, ir atsiunčiant elektroniniu paštu (adresu </w:t>
      </w:r>
      <w:r w:rsidRPr="007F728B">
        <w:rPr>
          <w:rFonts w:ascii="Times New Roman" w:hAnsi="Times New Roman" w:cs="Times New Roman"/>
          <w:noProof/>
          <w:color w:val="0000FF"/>
        </w:rPr>
        <w:t>NepageidaujamaR@vvkt.lt</w:t>
      </w:r>
      <w:r w:rsidRPr="007F728B">
        <w:rPr>
          <w:rFonts w:ascii="Times New Roman" w:hAnsi="Times New Roman" w:cs="Times New Roman"/>
          <w:noProof/>
        </w:rPr>
        <w:t>) arba nemokamu telefonu 8 800 73 568.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caps/>
          <w:lang w:eastAsia="lt-LT"/>
        </w:rPr>
      </w:pPr>
      <w:r w:rsidRPr="007F728B">
        <w:rPr>
          <w:rFonts w:ascii="Times New Roman" w:hAnsi="Times New Roman" w:cs="Times New Roman"/>
          <w:b/>
          <w:caps/>
          <w:lang w:eastAsia="lt-LT"/>
        </w:rPr>
        <w:t>5.</w:t>
      </w:r>
      <w:r w:rsidRPr="007F728B">
        <w:rPr>
          <w:rFonts w:ascii="Times New Roman" w:hAnsi="Times New Roman" w:cs="Times New Roman"/>
          <w:b/>
          <w:caps/>
          <w:lang w:eastAsia="lt-LT"/>
        </w:rPr>
        <w:tab/>
      </w:r>
      <w:r w:rsidRPr="007F728B">
        <w:rPr>
          <w:rFonts w:ascii="Times New Roman" w:hAnsi="Times New Roman" w:cs="Times New Roman"/>
          <w:b/>
          <w:lang w:eastAsia="lt-LT"/>
        </w:rPr>
        <w:t xml:space="preserve">Kaip laikyti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Kalceks</w:t>
      </w:r>
      <w:proofErr w:type="spellEnd"/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7F728B">
        <w:rPr>
          <w:rFonts w:ascii="Times New Roman" w:eastAsia="SimSun" w:hAnsi="Times New Roman" w:cs="Times New Roman"/>
          <w:lang w:eastAsia="zh-CN"/>
        </w:rPr>
        <w:t>Šį vaistą laikykite vaikams nepastebimoje ir nepasiekiamoje vietoje.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:rsidR="00091A7A" w:rsidRPr="007F728B" w:rsidRDefault="00091A7A" w:rsidP="00091A7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7F728B">
        <w:rPr>
          <w:rFonts w:ascii="Times New Roman" w:eastAsia="SimSun" w:hAnsi="Times New Roman" w:cs="Times New Roman"/>
          <w:lang w:eastAsia="zh-CN"/>
        </w:rPr>
        <w:t>Šio vaisto laikymui specialių temperatūros sąlygų nereikalaujama.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 xml:space="preserve">Ampules laikyti išorinėje dėžutėje, kad vaistas būtų apsaugotos nuo šviesos. 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u w:val="single"/>
          <w:lang w:eastAsia="lt-LT"/>
        </w:rPr>
      </w:pPr>
      <w:r w:rsidRPr="007F728B">
        <w:rPr>
          <w:rFonts w:ascii="Times New Roman" w:hAnsi="Times New Roman" w:cs="Times New Roman"/>
          <w:u w:val="single"/>
          <w:lang w:eastAsia="lt-LT"/>
        </w:rPr>
        <w:t>Po ampulės atidarymo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Po ampulės atidarymo, vaistą reikia suvartoti nedelsiant.</w:t>
      </w:r>
    </w:p>
    <w:p w:rsidR="00091A7A" w:rsidRPr="007F728B" w:rsidRDefault="00091A7A" w:rsidP="00091A7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</w:p>
    <w:p w:rsidR="00091A7A" w:rsidRPr="007F728B" w:rsidRDefault="00091A7A" w:rsidP="00091A7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7F728B">
        <w:rPr>
          <w:rFonts w:ascii="Times New Roman" w:eastAsia="Times New Roman" w:hAnsi="Times New Roman" w:cs="Times New Roman"/>
          <w:u w:val="single"/>
          <w:lang w:eastAsia="lt-LT"/>
        </w:rPr>
        <w:t>Tinkamumo laikas po praskiedimo</w:t>
      </w:r>
    </w:p>
    <w:p w:rsidR="00091A7A" w:rsidRPr="007F728B" w:rsidRDefault="00091A7A" w:rsidP="00091A7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F728B">
        <w:rPr>
          <w:rFonts w:ascii="Times New Roman" w:eastAsia="Times New Roman" w:hAnsi="Times New Roman" w:cs="Times New Roman"/>
          <w:lang w:eastAsia="lt-LT"/>
        </w:rPr>
        <w:t>Cheminis ir fizinis praskiesto tirpalo stabilumas 25 °C ir 2 °C</w:t>
      </w:r>
      <w:r w:rsidRPr="007F728B">
        <w:rPr>
          <w:rFonts w:ascii="Times New Roman" w:eastAsia="Times New Roman" w:hAnsi="Times New Roman" w:cs="Times New Roman"/>
          <w:lang w:eastAsia="lt-LT"/>
        </w:rPr>
        <w:noBreakHyphen/>
        <w:t>8 °C temperatūroje išlieka 7 paras.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</w:rPr>
        <w:t>Mikrobiologiniu požiūriu, praskiestas tirpalas turi būti suvartotas nedelsiant. Nedelsiant nesuvartojus, už saugojimo iki vartojimo laiką ir sąlygas atsako vartotojas, šis laikas įprastai neturi būti ilgesnis kaip 24 valandos 2 °C</w:t>
      </w:r>
      <w:r w:rsidRPr="007F728B">
        <w:rPr>
          <w:rFonts w:ascii="Times New Roman" w:hAnsi="Times New Roman" w:cs="Times New Roman"/>
        </w:rPr>
        <w:noBreakHyphen/>
        <w:t xml:space="preserve">8 °C temperatūroje, nebent skiedimas buvo atliktas kontroliuojamomis ir patvirtintomis </w:t>
      </w:r>
      <w:proofErr w:type="spellStart"/>
      <w:r w:rsidRPr="007F728B">
        <w:rPr>
          <w:rFonts w:ascii="Times New Roman" w:hAnsi="Times New Roman" w:cs="Times New Roman"/>
        </w:rPr>
        <w:t>aseptinėmis</w:t>
      </w:r>
      <w:proofErr w:type="spellEnd"/>
      <w:r w:rsidRPr="007F728B">
        <w:rPr>
          <w:rFonts w:ascii="Times New Roman" w:hAnsi="Times New Roman" w:cs="Times New Roman"/>
        </w:rPr>
        <w:t xml:space="preserve"> sąlygomis.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</w:rPr>
        <w:t>Ant ampulės etiketės ir dėžutės po „EXP“ nurodytam tinkamumo laikui pasibaigus, šio vaisto vartoti negalima. Vaistas tinkamas vartoti iki paskutinės nurodyto mėnesio dienos.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</w:p>
    <w:p w:rsidR="00091A7A" w:rsidRPr="007F728B" w:rsidRDefault="00091A7A" w:rsidP="00091A7A">
      <w:pPr>
        <w:numPr>
          <w:ilvl w:val="12"/>
          <w:numId w:val="0"/>
        </w:numPr>
        <w:tabs>
          <w:tab w:val="left" w:pos="1296"/>
        </w:tabs>
        <w:spacing w:after="0" w:line="240" w:lineRule="auto"/>
        <w:ind w:right="-2"/>
        <w:rPr>
          <w:rFonts w:ascii="Times New Roman" w:eastAsia="SimSun" w:hAnsi="Times New Roman" w:cs="Times New Roman"/>
          <w:lang w:eastAsia="zh-CN"/>
        </w:rPr>
      </w:pPr>
      <w:r w:rsidRPr="007F728B">
        <w:rPr>
          <w:rFonts w:ascii="Times New Roman" w:eastAsia="SimSun" w:hAnsi="Times New Roman" w:cs="Times New Roman"/>
          <w:lang w:eastAsia="zh-CN"/>
        </w:rPr>
        <w:t>Vaistų negalima išmesti į kanalizaciją arba su buitinėmis atliekomis. Kaip išmesti nereikalingus vaistus, klauskite vaistininko. Šios priemonės padės apsaugoti aplinką.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ind w:left="540" w:hanging="540"/>
        <w:rPr>
          <w:rFonts w:ascii="Times New Roman" w:hAnsi="Times New Roman" w:cs="Times New Roman"/>
          <w:b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6.</w:t>
      </w:r>
      <w:r w:rsidRPr="007F728B">
        <w:rPr>
          <w:rFonts w:ascii="Times New Roman" w:hAnsi="Times New Roman" w:cs="Times New Roman"/>
          <w:b/>
          <w:lang w:eastAsia="lt-LT"/>
        </w:rPr>
        <w:tab/>
        <w:t>Pakuotės turinys ir kita informacija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outlineLvl w:val="0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lang w:eastAsia="lt-LT"/>
        </w:rPr>
      </w:pPr>
      <w:proofErr w:type="spellStart"/>
      <w:r w:rsidRPr="007F728B">
        <w:rPr>
          <w:rFonts w:ascii="Times New Roman" w:hAnsi="Times New Roman" w:cs="Times New Roman"/>
          <w:b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b/>
          <w:lang w:eastAsia="lt-LT"/>
        </w:rPr>
        <w:t xml:space="preserve"> sudėtis</w:t>
      </w:r>
    </w:p>
    <w:p w:rsidR="00091A7A" w:rsidRPr="007F728B" w:rsidRDefault="00091A7A" w:rsidP="00091A7A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‒</w:t>
      </w:r>
      <w:r w:rsidRPr="007F728B">
        <w:rPr>
          <w:rFonts w:ascii="Times New Roman" w:hAnsi="Times New Roman" w:cs="Times New Roman"/>
        </w:rPr>
        <w:tab/>
        <w:t xml:space="preserve">Veiklioji medžiaga yra </w:t>
      </w:r>
      <w:proofErr w:type="spellStart"/>
      <w:r w:rsidRPr="007F728B">
        <w:rPr>
          <w:rFonts w:ascii="Times New Roman" w:hAnsi="Times New Roman" w:cs="Times New Roman"/>
        </w:rPr>
        <w:t>ondansetronas</w:t>
      </w:r>
      <w:proofErr w:type="spellEnd"/>
      <w:r w:rsidRPr="007F728B">
        <w:rPr>
          <w:rFonts w:ascii="Times New Roman" w:hAnsi="Times New Roman" w:cs="Times New Roman"/>
        </w:rPr>
        <w:t xml:space="preserve">. 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 xml:space="preserve">Kiekviename tirpalo mililitre yra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hidrochlorido </w:t>
      </w:r>
      <w:proofErr w:type="spellStart"/>
      <w:r w:rsidRPr="007F728B">
        <w:rPr>
          <w:rFonts w:ascii="Times New Roman" w:hAnsi="Times New Roman" w:cs="Times New Roman"/>
          <w:lang w:eastAsia="lt-LT"/>
        </w:rPr>
        <w:t>dihidrato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, atitinkančio 2 mg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>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 xml:space="preserve">Kiekvienoje 2 ml ampulėje yra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hidrochlorido </w:t>
      </w:r>
      <w:proofErr w:type="spellStart"/>
      <w:r w:rsidRPr="007F728B">
        <w:rPr>
          <w:rFonts w:ascii="Times New Roman" w:hAnsi="Times New Roman" w:cs="Times New Roman"/>
          <w:lang w:eastAsia="lt-LT"/>
        </w:rPr>
        <w:t>dihidrato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, atitinkančio 4 mg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>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 xml:space="preserve">Kiekvienoje 4 ml ampulėje yra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hidrochlorido </w:t>
      </w:r>
      <w:proofErr w:type="spellStart"/>
      <w:r w:rsidRPr="007F728B">
        <w:rPr>
          <w:rFonts w:ascii="Times New Roman" w:hAnsi="Times New Roman" w:cs="Times New Roman"/>
          <w:lang w:eastAsia="lt-LT"/>
        </w:rPr>
        <w:t>dihidrato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, atitinkančio 8 mg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>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</w:rPr>
        <w:t>‒</w:t>
      </w:r>
      <w:r w:rsidRPr="007F728B">
        <w:rPr>
          <w:rFonts w:ascii="Times New Roman" w:hAnsi="Times New Roman" w:cs="Times New Roman"/>
        </w:rPr>
        <w:tab/>
      </w:r>
      <w:r w:rsidRPr="007F728B">
        <w:rPr>
          <w:rFonts w:ascii="Times New Roman" w:hAnsi="Times New Roman" w:cs="Times New Roman"/>
          <w:lang w:eastAsia="lt-LT"/>
        </w:rPr>
        <w:t xml:space="preserve">Pagalbinės medžiagos yra natrio chloridas, citrinų rūgštis </w:t>
      </w:r>
      <w:proofErr w:type="spellStart"/>
      <w:r w:rsidRPr="007F728B">
        <w:rPr>
          <w:rFonts w:ascii="Times New Roman" w:hAnsi="Times New Roman" w:cs="Times New Roman"/>
          <w:lang w:eastAsia="lt-LT"/>
        </w:rPr>
        <w:t>monohidratas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, natrio citratas </w:t>
      </w:r>
      <w:proofErr w:type="spellStart"/>
      <w:r w:rsidRPr="007F728B">
        <w:rPr>
          <w:rFonts w:ascii="Times New Roman" w:hAnsi="Times New Roman" w:cs="Times New Roman"/>
          <w:lang w:eastAsia="lt-LT"/>
        </w:rPr>
        <w:t>dihidratas</w:t>
      </w:r>
      <w:proofErr w:type="spellEnd"/>
      <w:r w:rsidRPr="007F728B">
        <w:rPr>
          <w:rFonts w:ascii="Times New Roman" w:hAnsi="Times New Roman" w:cs="Times New Roman"/>
          <w:lang w:eastAsia="lt-LT"/>
        </w:rPr>
        <w:t>, injekcinis vanduo.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b/>
          <w:snapToGrid w:val="0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b/>
          <w:snapToGrid w:val="0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b/>
          <w:snapToGrid w:val="0"/>
          <w:lang w:eastAsia="lt-LT"/>
        </w:rPr>
        <w:t xml:space="preserve"> išvaizda ir kiekis pakuotėje</w:t>
      </w:r>
    </w:p>
    <w:p w:rsidR="00091A7A" w:rsidRPr="007F728B" w:rsidRDefault="00091A7A" w:rsidP="00091A7A">
      <w:pPr>
        <w:spacing w:after="0" w:line="240" w:lineRule="auto"/>
        <w:ind w:right="-4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 xml:space="preserve">Skaidrus, bespalvis, be matomų dalelių tirpalas. </w:t>
      </w:r>
    </w:p>
    <w:p w:rsidR="00091A7A" w:rsidRPr="007F728B" w:rsidRDefault="00091A7A" w:rsidP="00091A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F728B">
        <w:rPr>
          <w:rFonts w:ascii="Times New Roman" w:eastAsia="Times New Roman" w:hAnsi="Times New Roman" w:cs="Times New Roman"/>
          <w:color w:val="000000"/>
          <w:lang w:eastAsia="lt-LT"/>
        </w:rPr>
        <w:t xml:space="preserve">2 ml arba 4 ml tirpalo užpildytos skaidraus stiklo ampulės </w:t>
      </w:r>
      <w:r w:rsidRPr="007F728B">
        <w:rPr>
          <w:rFonts w:ascii="Times New Roman" w:hAnsi="Times New Roman" w:cs="Times New Roman"/>
        </w:rPr>
        <w:t>su laužimo tašku.</w:t>
      </w:r>
    </w:p>
    <w:p w:rsidR="00091A7A" w:rsidRPr="007F728B" w:rsidRDefault="00091A7A" w:rsidP="00091A7A">
      <w:pPr>
        <w:pStyle w:val="Pagrindinistekstas"/>
        <w:tabs>
          <w:tab w:val="left" w:pos="567"/>
        </w:tabs>
        <w:spacing w:after="0"/>
        <w:rPr>
          <w:rStyle w:val="tlid-translation"/>
          <w:rFonts w:eastAsiaTheme="minorHAnsi"/>
          <w:sz w:val="22"/>
          <w:szCs w:val="22"/>
          <w:lang w:eastAsia="en-US"/>
        </w:rPr>
      </w:pPr>
      <w:r w:rsidRPr="007F728B">
        <w:rPr>
          <w:rStyle w:val="tlid-translation"/>
          <w:sz w:val="22"/>
          <w:szCs w:val="22"/>
        </w:rPr>
        <w:t>Ampulės įdėtos į įdėklą. Įdėklas pakuojamas į kartono dėžutę.</w:t>
      </w: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F728B">
        <w:rPr>
          <w:rFonts w:ascii="Times New Roman" w:eastAsia="Times New Roman" w:hAnsi="Times New Roman" w:cs="Times New Roman"/>
          <w:lang w:eastAsia="lt-LT"/>
        </w:rPr>
        <w:t>Pakuotės dydžiai:</w:t>
      </w: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F728B">
        <w:rPr>
          <w:rFonts w:ascii="Times New Roman" w:eastAsia="Times New Roman" w:hAnsi="Times New Roman" w:cs="Times New Roman"/>
          <w:lang w:eastAsia="lt-LT"/>
        </w:rPr>
        <w:t>5, 10 arba 25 ampulės</w:t>
      </w: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F728B">
        <w:rPr>
          <w:rFonts w:ascii="Times New Roman" w:eastAsia="Times New Roman" w:hAnsi="Times New Roman" w:cs="Times New Roman"/>
          <w:lang w:eastAsia="lt-LT"/>
        </w:rPr>
        <w:t>Gali būti tiekiamos ne visų dydžių pakuotės.</w:t>
      </w: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napToGrid w:val="0"/>
          <w:lang w:eastAsia="lt-LT"/>
        </w:rPr>
      </w:pPr>
      <w:r w:rsidRPr="007F728B">
        <w:rPr>
          <w:rFonts w:ascii="Times New Roman" w:hAnsi="Times New Roman" w:cs="Times New Roman"/>
          <w:b/>
          <w:bCs/>
          <w:snapToGrid w:val="0"/>
          <w:lang w:eastAsia="lt-LT"/>
        </w:rPr>
        <w:t xml:space="preserve">Registruotojas </w:t>
      </w:r>
      <w:r>
        <w:rPr>
          <w:rFonts w:ascii="Times New Roman" w:hAnsi="Times New Roman" w:cs="Times New Roman"/>
          <w:b/>
          <w:bCs/>
          <w:snapToGrid w:val="0"/>
          <w:lang w:eastAsia="lt-LT"/>
        </w:rPr>
        <w:t xml:space="preserve">ir </w:t>
      </w:r>
      <w:r>
        <w:rPr>
          <w:rFonts w:ascii="Times New Roman" w:hAnsi="Times New Roman" w:cs="Times New Roman"/>
          <w:b/>
          <w:bCs/>
        </w:rPr>
        <w:t>g</w:t>
      </w:r>
      <w:r w:rsidRPr="007F728B">
        <w:rPr>
          <w:rFonts w:ascii="Times New Roman" w:hAnsi="Times New Roman" w:cs="Times New Roman"/>
          <w:b/>
          <w:bCs/>
        </w:rPr>
        <w:t>amintojas</w:t>
      </w:r>
    </w:p>
    <w:p w:rsidR="00091A7A" w:rsidRPr="007F728B" w:rsidRDefault="00091A7A" w:rsidP="00091A7A">
      <w:pPr>
        <w:pStyle w:val="Betarp"/>
        <w:ind w:left="0"/>
        <w:rPr>
          <w:color w:val="auto"/>
          <w:lang w:val="lt-LT"/>
        </w:rPr>
      </w:pPr>
      <w:r w:rsidRPr="007F728B">
        <w:rPr>
          <w:color w:val="auto"/>
          <w:lang w:val="lt-LT"/>
        </w:rPr>
        <w:t>AS KALCEKS</w:t>
      </w:r>
    </w:p>
    <w:p w:rsidR="00091A7A" w:rsidRPr="007F728B" w:rsidRDefault="00091A7A" w:rsidP="00091A7A">
      <w:pPr>
        <w:pStyle w:val="Betarp"/>
        <w:ind w:left="0"/>
        <w:rPr>
          <w:color w:val="auto"/>
          <w:lang w:val="lt-LT"/>
        </w:rPr>
      </w:pPr>
      <w:proofErr w:type="spellStart"/>
      <w:r w:rsidRPr="007F728B">
        <w:rPr>
          <w:color w:val="auto"/>
          <w:lang w:val="lt-LT"/>
        </w:rPr>
        <w:t>Krustpils</w:t>
      </w:r>
      <w:proofErr w:type="spellEnd"/>
      <w:r w:rsidRPr="007F728B">
        <w:rPr>
          <w:color w:val="auto"/>
          <w:lang w:val="lt-LT"/>
        </w:rPr>
        <w:t xml:space="preserve"> </w:t>
      </w:r>
      <w:proofErr w:type="spellStart"/>
      <w:r w:rsidRPr="007F728B">
        <w:rPr>
          <w:color w:val="auto"/>
          <w:lang w:val="lt-LT"/>
        </w:rPr>
        <w:t>iela</w:t>
      </w:r>
      <w:proofErr w:type="spellEnd"/>
      <w:r w:rsidRPr="007F728B">
        <w:rPr>
          <w:color w:val="auto"/>
          <w:lang w:val="lt-LT"/>
        </w:rPr>
        <w:t xml:space="preserve"> </w:t>
      </w:r>
      <w:r>
        <w:rPr>
          <w:color w:val="auto"/>
          <w:lang w:val="lt-LT"/>
        </w:rPr>
        <w:t>71E</w:t>
      </w:r>
      <w:r w:rsidRPr="007F728B">
        <w:rPr>
          <w:color w:val="auto"/>
          <w:lang w:val="lt-LT"/>
        </w:rPr>
        <w:t xml:space="preserve">, </w:t>
      </w:r>
      <w:proofErr w:type="spellStart"/>
      <w:r w:rsidRPr="007F728B">
        <w:rPr>
          <w:color w:val="auto"/>
          <w:lang w:val="lt-LT"/>
        </w:rPr>
        <w:t>Rīga</w:t>
      </w:r>
      <w:proofErr w:type="spellEnd"/>
      <w:r w:rsidRPr="007F728B">
        <w:rPr>
          <w:color w:val="auto"/>
          <w:lang w:val="lt-LT"/>
        </w:rPr>
        <w:t>, LV</w:t>
      </w:r>
      <w:r w:rsidRPr="007F728B">
        <w:rPr>
          <w:color w:val="auto"/>
          <w:lang w:val="lt-LT"/>
        </w:rPr>
        <w:noBreakHyphen/>
        <w:t>1057, Latvija</w:t>
      </w:r>
    </w:p>
    <w:p w:rsidR="00091A7A" w:rsidRPr="007F728B" w:rsidRDefault="00091A7A" w:rsidP="00091A7A">
      <w:pPr>
        <w:pStyle w:val="Betarp"/>
        <w:ind w:left="0"/>
        <w:rPr>
          <w:color w:val="auto"/>
          <w:lang w:val="lt-LT"/>
        </w:rPr>
      </w:pPr>
      <w:r w:rsidRPr="007F728B">
        <w:rPr>
          <w:color w:val="auto"/>
          <w:lang w:val="lt-LT"/>
        </w:rPr>
        <w:t>Tel. +371 67083320</w:t>
      </w:r>
    </w:p>
    <w:p w:rsidR="00091A7A" w:rsidRPr="007F728B" w:rsidRDefault="00091A7A" w:rsidP="00091A7A">
      <w:pPr>
        <w:pStyle w:val="Betarp"/>
        <w:ind w:left="0"/>
        <w:rPr>
          <w:color w:val="auto"/>
          <w:lang w:val="lt-LT"/>
        </w:rPr>
      </w:pPr>
      <w:r w:rsidRPr="007F728B">
        <w:rPr>
          <w:color w:val="auto"/>
          <w:lang w:val="lt-LT"/>
        </w:rPr>
        <w:t>El. paštas kalceks@kalceks.lv</w:t>
      </w: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numPr>
          <w:ilvl w:val="12"/>
          <w:numId w:val="0"/>
        </w:num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</w:rPr>
        <w:t>Jeigu apie šį vaistą norite sužinoti daugiau, kreipkitės į vietinį registruotojo atstovą.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EE69E4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>”</w:t>
      </w:r>
      <w:proofErr w:type="spellStart"/>
      <w:r w:rsidRPr="00EE69E4">
        <w:rPr>
          <w:rFonts w:ascii="Times New Roman" w:hAnsi="Times New Roman" w:cs="Times New Roman"/>
          <w:color w:val="000000"/>
        </w:rPr>
        <w:t>Grindeks</w:t>
      </w:r>
      <w:proofErr w:type="spellEnd"/>
      <w:r w:rsidRPr="00EE69E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E69E4">
        <w:rPr>
          <w:rFonts w:ascii="Times New Roman" w:hAnsi="Times New Roman" w:cs="Times New Roman"/>
          <w:color w:val="000000"/>
        </w:rPr>
        <w:t>Kalceks</w:t>
      </w:r>
      <w:proofErr w:type="spellEnd"/>
      <w:r w:rsidRPr="00EE69E4">
        <w:rPr>
          <w:rFonts w:ascii="Times New Roman" w:hAnsi="Times New Roman" w:cs="Times New Roman"/>
          <w:color w:val="000000"/>
        </w:rPr>
        <w:t xml:space="preserve"> Lietuva” UAB </w:t>
      </w:r>
    </w:p>
    <w:p w:rsidR="00091A7A" w:rsidRPr="00EE69E4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 xml:space="preserve">Kalvarijų g. 300 </w:t>
      </w:r>
    </w:p>
    <w:p w:rsidR="00091A7A" w:rsidRPr="00EE69E4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 xml:space="preserve">LT-08318 Vilnius </w:t>
      </w:r>
    </w:p>
    <w:p w:rsidR="00091A7A" w:rsidRPr="00EE69E4" w:rsidRDefault="00091A7A" w:rsidP="00091A7A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contextualSpacing/>
        <w:rPr>
          <w:rFonts w:ascii="Times New Roman" w:hAnsi="Times New Roman"/>
          <w:color w:val="000000"/>
        </w:rPr>
      </w:pPr>
      <w:r w:rsidRPr="00EE69E4">
        <w:rPr>
          <w:rFonts w:ascii="Times New Roman" w:hAnsi="Times New Roman" w:cs="Times New Roman"/>
          <w:color w:val="000000"/>
        </w:rPr>
        <w:t>Tel.+370 5 210 14 01</w:t>
      </w:r>
    </w:p>
    <w:p w:rsidR="00091A7A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ind w:left="567" w:hanging="567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</w:rPr>
        <w:t xml:space="preserve">Šis vaistas Europos ekonominės erdvės valstybėse narėse </w:t>
      </w:r>
      <w:r w:rsidRPr="007F728B">
        <w:rPr>
          <w:rFonts w:ascii="Times New Roman" w:hAnsi="Times New Roman" w:cs="Times New Roman"/>
          <w:b/>
          <w:noProof/>
        </w:rPr>
        <w:t xml:space="preserve">ir Jungtinėje Karalystėje (Šiaurės Airijoje) </w:t>
      </w:r>
      <w:r w:rsidRPr="007F728B">
        <w:rPr>
          <w:rFonts w:ascii="Times New Roman" w:hAnsi="Times New Roman" w:cs="Times New Roman"/>
          <w:b/>
        </w:rPr>
        <w:t>registruotas tokiais pavadinimais: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 w:cs="Times New Roman"/>
          <w:b/>
        </w:rPr>
      </w:pPr>
    </w:p>
    <w:p w:rsidR="00091A7A" w:rsidRPr="007F728B" w:rsidRDefault="00091A7A" w:rsidP="00091A7A">
      <w:pPr>
        <w:numPr>
          <w:ilvl w:val="12"/>
          <w:numId w:val="0"/>
        </w:numPr>
        <w:tabs>
          <w:tab w:val="left" w:pos="1701"/>
        </w:tabs>
        <w:spacing w:after="0" w:line="240" w:lineRule="auto"/>
        <w:ind w:right="-2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Latvija</w:t>
      </w:r>
      <w:r w:rsidRPr="007F728B">
        <w:rPr>
          <w:rFonts w:ascii="Times New Roman" w:hAnsi="Times New Roman" w:cs="Times New Roman"/>
        </w:rPr>
        <w:tab/>
      </w:r>
      <w:proofErr w:type="spellStart"/>
      <w:r w:rsidRPr="007F728B">
        <w:rPr>
          <w:rFonts w:ascii="Times New Roman" w:hAnsi="Times New Roman" w:cs="Times New Roman"/>
        </w:rPr>
        <w:t>Ondansetron</w:t>
      </w:r>
      <w:proofErr w:type="spellEnd"/>
      <w:r w:rsidRPr="007F728B">
        <w:rPr>
          <w:rFonts w:ascii="Times New Roman" w:hAnsi="Times New Roman" w:cs="Times New Roman"/>
        </w:rPr>
        <w:t xml:space="preserve"> </w:t>
      </w:r>
      <w:proofErr w:type="spellStart"/>
      <w:r w:rsidRPr="007F728B">
        <w:rPr>
          <w:rFonts w:ascii="Times New Roman" w:hAnsi="Times New Roman" w:cs="Times New Roman"/>
        </w:rPr>
        <w:t>Kalceks</w:t>
      </w:r>
      <w:proofErr w:type="spellEnd"/>
      <w:r w:rsidRPr="007F728B">
        <w:rPr>
          <w:rFonts w:ascii="Times New Roman" w:hAnsi="Times New Roman" w:cs="Times New Roman"/>
        </w:rPr>
        <w:t xml:space="preserve"> 2 mg/ml </w:t>
      </w:r>
      <w:proofErr w:type="spellStart"/>
      <w:r w:rsidRPr="007F728B">
        <w:rPr>
          <w:rFonts w:ascii="Times New Roman" w:hAnsi="Times New Roman" w:cs="Times New Roman"/>
        </w:rPr>
        <w:t>šķīdums</w:t>
      </w:r>
      <w:proofErr w:type="spellEnd"/>
      <w:r w:rsidRPr="007F728B">
        <w:rPr>
          <w:rFonts w:ascii="Times New Roman" w:hAnsi="Times New Roman" w:cs="Times New Roman"/>
        </w:rPr>
        <w:t xml:space="preserve"> </w:t>
      </w:r>
      <w:proofErr w:type="spellStart"/>
      <w:r w:rsidRPr="007F728B">
        <w:rPr>
          <w:rFonts w:ascii="Times New Roman" w:hAnsi="Times New Roman" w:cs="Times New Roman"/>
        </w:rPr>
        <w:t>injekcijām</w:t>
      </w:r>
      <w:proofErr w:type="spellEnd"/>
      <w:r w:rsidRPr="007F728B">
        <w:rPr>
          <w:rFonts w:ascii="Times New Roman" w:hAnsi="Times New Roman" w:cs="Times New Roman"/>
        </w:rPr>
        <w:t>/</w:t>
      </w:r>
      <w:proofErr w:type="spellStart"/>
      <w:r w:rsidRPr="007F728B">
        <w:rPr>
          <w:rFonts w:ascii="Times New Roman" w:hAnsi="Times New Roman" w:cs="Times New Roman"/>
        </w:rPr>
        <w:t>infūzijām</w:t>
      </w:r>
      <w:proofErr w:type="spellEnd"/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  <w:tab w:val="left" w:pos="1701"/>
          <w:tab w:val="left" w:pos="4395"/>
        </w:tabs>
        <w:spacing w:after="0" w:line="240" w:lineRule="auto"/>
        <w:ind w:right="-2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Austrija, Bulgarija, Kroatija, Čekija, Danija, Estija, Suomija, Vokietija, Vengrija, Islandija, Lietuva, Norvegija, Slovakija, Švedija:</w:t>
      </w:r>
      <w:r w:rsidRPr="007F728B">
        <w:rPr>
          <w:rFonts w:ascii="Times New Roman" w:hAnsi="Times New Roman" w:cs="Times New Roman"/>
        </w:rPr>
        <w:tab/>
      </w:r>
      <w:proofErr w:type="spellStart"/>
      <w:r w:rsidRPr="007F728B">
        <w:rPr>
          <w:rFonts w:ascii="Times New Roman" w:hAnsi="Times New Roman" w:cs="Times New Roman"/>
        </w:rPr>
        <w:t>Ondansetron</w:t>
      </w:r>
      <w:proofErr w:type="spellEnd"/>
      <w:r w:rsidRPr="007F728B">
        <w:rPr>
          <w:rFonts w:ascii="Times New Roman" w:hAnsi="Times New Roman" w:cs="Times New Roman"/>
        </w:rPr>
        <w:t xml:space="preserve"> </w:t>
      </w:r>
      <w:proofErr w:type="spellStart"/>
      <w:r w:rsidRPr="007F728B">
        <w:rPr>
          <w:rFonts w:ascii="Times New Roman" w:hAnsi="Times New Roman" w:cs="Times New Roman"/>
        </w:rPr>
        <w:t>Kalceks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7F728B">
        <w:rPr>
          <w:rFonts w:ascii="Times New Roman" w:hAnsi="Times New Roman" w:cs="Times New Roman"/>
        </w:rPr>
        <w:t>Belgija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mg/ml, </w:t>
      </w:r>
      <w:proofErr w:type="spellStart"/>
      <w:r w:rsidRPr="00406DEA">
        <w:rPr>
          <w:rFonts w:ascii="Times New Roman" w:hAnsi="Times New Roman"/>
        </w:rPr>
        <w:t>solution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injectable</w:t>
      </w:r>
      <w:proofErr w:type="spellEnd"/>
      <w:r w:rsidRPr="00406DEA">
        <w:rPr>
          <w:rFonts w:ascii="Times New Roman" w:hAnsi="Times New Roman"/>
        </w:rPr>
        <w:t>/</w:t>
      </w:r>
      <w:proofErr w:type="spellStart"/>
      <w:r w:rsidRPr="00406DEA">
        <w:rPr>
          <w:rFonts w:ascii="Times New Roman" w:hAnsi="Times New Roman"/>
        </w:rPr>
        <w:t>pour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perfusion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left="1701" w:right="-2"/>
        <w:rPr>
          <w:rFonts w:ascii="Times New Roman" w:hAnsi="Times New Roman"/>
        </w:rPr>
      </w:pP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mg/ml, </w:t>
      </w:r>
      <w:proofErr w:type="spellStart"/>
      <w:r w:rsidRPr="00406DEA">
        <w:rPr>
          <w:rFonts w:ascii="Times New Roman" w:hAnsi="Times New Roman"/>
        </w:rPr>
        <w:t>oplossing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voor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injectie</w:t>
      </w:r>
      <w:proofErr w:type="spellEnd"/>
      <w:r w:rsidRPr="00406DEA">
        <w:rPr>
          <w:rFonts w:ascii="Times New Roman" w:hAnsi="Times New Roman"/>
        </w:rPr>
        <w:t>/</w:t>
      </w:r>
      <w:proofErr w:type="spellStart"/>
      <w:r w:rsidRPr="00406DEA">
        <w:rPr>
          <w:rFonts w:ascii="Times New Roman" w:hAnsi="Times New Roman"/>
        </w:rPr>
        <w:t>infusie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left="1701" w:right="-2"/>
        <w:rPr>
          <w:rFonts w:ascii="Times New Roman" w:hAnsi="Times New Roman"/>
        </w:rPr>
      </w:pP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mg/ml, </w:t>
      </w:r>
      <w:proofErr w:type="spellStart"/>
      <w:r w:rsidRPr="00406DEA">
        <w:rPr>
          <w:rFonts w:ascii="Times New Roman" w:hAnsi="Times New Roman"/>
        </w:rPr>
        <w:t>Injektions</w:t>
      </w:r>
      <w:proofErr w:type="spellEnd"/>
      <w:r w:rsidRPr="00406DEA">
        <w:rPr>
          <w:rFonts w:ascii="Times New Roman" w:hAnsi="Times New Roman"/>
        </w:rPr>
        <w:t>-/</w:t>
      </w:r>
      <w:proofErr w:type="spellStart"/>
      <w:r w:rsidRPr="00406DEA">
        <w:rPr>
          <w:rFonts w:ascii="Times New Roman" w:hAnsi="Times New Roman"/>
        </w:rPr>
        <w:t>Infusionslösung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Graikija</w:t>
      </w:r>
      <w:r w:rsidRPr="00406DEA">
        <w:rPr>
          <w:rFonts w:ascii="Times New Roman" w:hAnsi="Times New Roman"/>
        </w:rPr>
        <w:tab/>
        <w:t>ONDANSETRON/KALCEKS</w:t>
      </w:r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Airija, Jungtinė Karalystė (Šiaurės Airija)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2 mg/ml </w:t>
      </w:r>
      <w:proofErr w:type="spellStart"/>
      <w:r w:rsidRPr="00406DEA">
        <w:rPr>
          <w:rFonts w:ascii="Times New Roman" w:hAnsi="Times New Roman"/>
        </w:rPr>
        <w:t>solution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for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injection</w:t>
      </w:r>
      <w:proofErr w:type="spellEnd"/>
      <w:r w:rsidRPr="00406DEA">
        <w:rPr>
          <w:rFonts w:ascii="Times New Roman" w:hAnsi="Times New Roman"/>
        </w:rPr>
        <w:t>/</w:t>
      </w:r>
      <w:proofErr w:type="spellStart"/>
      <w:r w:rsidRPr="00406DEA">
        <w:rPr>
          <w:rFonts w:ascii="Times New Roman" w:hAnsi="Times New Roman"/>
        </w:rPr>
        <w:t>infusion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Italija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Ondansetrone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Nyderlandai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mg/ml, </w:t>
      </w:r>
      <w:proofErr w:type="spellStart"/>
      <w:r w:rsidRPr="00406DEA">
        <w:rPr>
          <w:rFonts w:ascii="Times New Roman" w:hAnsi="Times New Roman"/>
        </w:rPr>
        <w:t>oplossing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voor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injectie</w:t>
      </w:r>
      <w:proofErr w:type="spellEnd"/>
      <w:r w:rsidRPr="00406DEA">
        <w:rPr>
          <w:rFonts w:ascii="Times New Roman" w:hAnsi="Times New Roman"/>
        </w:rPr>
        <w:t>/</w:t>
      </w:r>
      <w:proofErr w:type="spellStart"/>
      <w:r w:rsidRPr="00406DEA">
        <w:rPr>
          <w:rFonts w:ascii="Times New Roman" w:hAnsi="Times New Roman"/>
        </w:rPr>
        <w:t>infusie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Lenkija</w:t>
      </w:r>
      <w:r w:rsidRPr="00406DEA">
        <w:rPr>
          <w:rFonts w:ascii="Times New Roman" w:hAnsi="Times New Roman"/>
        </w:rPr>
        <w:tab/>
        <w:t>ONDANSETRON KALCEKS</w:t>
      </w:r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Rumunija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 </w:t>
      </w:r>
      <w:proofErr w:type="spellStart"/>
      <w:r w:rsidRPr="00406DEA">
        <w:rPr>
          <w:rFonts w:ascii="Times New Roman" w:hAnsi="Times New Roman"/>
        </w:rPr>
        <w:t>soluţie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injectabilă</w:t>
      </w:r>
      <w:proofErr w:type="spellEnd"/>
      <w:r w:rsidRPr="00406DEA">
        <w:rPr>
          <w:rFonts w:ascii="Times New Roman" w:hAnsi="Times New Roman"/>
        </w:rPr>
        <w:t>/</w:t>
      </w:r>
      <w:proofErr w:type="spellStart"/>
      <w:r w:rsidRPr="00406DEA">
        <w:rPr>
          <w:rFonts w:ascii="Times New Roman" w:hAnsi="Times New Roman"/>
        </w:rPr>
        <w:t>perfuzabilă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Slovėnija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 </w:t>
      </w:r>
      <w:proofErr w:type="spellStart"/>
      <w:r w:rsidRPr="00406DEA">
        <w:rPr>
          <w:rFonts w:ascii="Times New Roman" w:hAnsi="Times New Roman"/>
        </w:rPr>
        <w:t>raztopina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za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injiciranje</w:t>
      </w:r>
      <w:proofErr w:type="spellEnd"/>
      <w:r w:rsidRPr="00406DEA">
        <w:rPr>
          <w:rFonts w:ascii="Times New Roman" w:hAnsi="Times New Roman"/>
        </w:rPr>
        <w:t>/</w:t>
      </w:r>
      <w:proofErr w:type="spellStart"/>
      <w:r w:rsidRPr="00406DEA">
        <w:rPr>
          <w:rFonts w:ascii="Times New Roman" w:hAnsi="Times New Roman"/>
        </w:rPr>
        <w:t>infundiranje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1701"/>
        </w:tabs>
        <w:spacing w:after="0" w:line="240" w:lineRule="auto"/>
        <w:ind w:right="-2"/>
        <w:rPr>
          <w:rFonts w:ascii="Times New Roman" w:hAnsi="Times New Roman"/>
        </w:rPr>
      </w:pPr>
      <w:r w:rsidRPr="00406DEA">
        <w:rPr>
          <w:rFonts w:ascii="Times New Roman" w:hAnsi="Times New Roman"/>
        </w:rPr>
        <w:t>Ispanija</w:t>
      </w:r>
      <w:r w:rsidRPr="00406DEA">
        <w:rPr>
          <w:rFonts w:ascii="Times New Roman" w:hAnsi="Times New Roman"/>
        </w:rPr>
        <w:tab/>
      </w:r>
      <w:proofErr w:type="spellStart"/>
      <w:r w:rsidRPr="00406DEA">
        <w:rPr>
          <w:rFonts w:ascii="Times New Roman" w:hAnsi="Times New Roman"/>
        </w:rPr>
        <w:t>Ondansetron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Kalceks</w:t>
      </w:r>
      <w:proofErr w:type="spellEnd"/>
      <w:r w:rsidRPr="00406DEA">
        <w:rPr>
          <w:rFonts w:ascii="Times New Roman" w:hAnsi="Times New Roman"/>
        </w:rPr>
        <w:t xml:space="preserve"> 2 mg/ml </w:t>
      </w:r>
      <w:proofErr w:type="spellStart"/>
      <w:r w:rsidRPr="00406DEA">
        <w:rPr>
          <w:rFonts w:ascii="Times New Roman" w:hAnsi="Times New Roman"/>
        </w:rPr>
        <w:t>soluciόn</w:t>
      </w:r>
      <w:proofErr w:type="spellEnd"/>
      <w:r w:rsidRPr="00406DEA">
        <w:rPr>
          <w:rFonts w:ascii="Times New Roman" w:hAnsi="Times New Roman"/>
        </w:rPr>
        <w:t xml:space="preserve"> </w:t>
      </w:r>
      <w:proofErr w:type="spellStart"/>
      <w:r w:rsidRPr="00406DEA">
        <w:rPr>
          <w:rFonts w:ascii="Times New Roman" w:hAnsi="Times New Roman"/>
        </w:rPr>
        <w:t>inyectable</w:t>
      </w:r>
      <w:proofErr w:type="spellEnd"/>
      <w:r w:rsidRPr="00406DEA">
        <w:rPr>
          <w:rFonts w:ascii="Times New Roman" w:hAnsi="Times New Roman"/>
        </w:rPr>
        <w:t xml:space="preserve"> y para </w:t>
      </w:r>
      <w:proofErr w:type="spellStart"/>
      <w:r w:rsidRPr="00406DEA">
        <w:rPr>
          <w:rFonts w:ascii="Times New Roman" w:hAnsi="Times New Roman"/>
        </w:rPr>
        <w:t>perfusiόn</w:t>
      </w:r>
      <w:proofErr w:type="spellEnd"/>
    </w:p>
    <w:p w:rsidR="00091A7A" w:rsidRPr="00406DEA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</w:rPr>
        <w:t>Šis pakuotės lapelis paskutinį kartą peržiūrėtas</w:t>
      </w:r>
      <w:r>
        <w:rPr>
          <w:rFonts w:ascii="Times New Roman" w:hAnsi="Times New Roman" w:cs="Times New Roman"/>
          <w:b/>
        </w:rPr>
        <w:t xml:space="preserve"> 2024-10-01.</w:t>
      </w:r>
    </w:p>
    <w:p w:rsidR="00091A7A" w:rsidRPr="007F728B" w:rsidRDefault="00091A7A" w:rsidP="00091A7A">
      <w:pPr>
        <w:keepNext/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 w:cs="Times New Roman"/>
          <w:b/>
        </w:rPr>
      </w:pPr>
    </w:p>
    <w:p w:rsidR="00091A7A" w:rsidRPr="007F728B" w:rsidRDefault="00091A7A" w:rsidP="00091A7A">
      <w:pPr>
        <w:keepNext/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</w:rPr>
        <w:t xml:space="preserve">Išsami informacija apie šį vaistą pateikiama Valstybinės vaistų kontrolės tarnybos prie Lietuvos Respublikos sveikatos apsaugos ministerijos interneto svetainėje </w:t>
      </w:r>
      <w:hyperlink r:id="rId5" w:history="1">
        <w:r w:rsidRPr="007F728B">
          <w:rPr>
            <w:rStyle w:val="Hipersaitas"/>
            <w:rFonts w:ascii="Times New Roman" w:hAnsi="Times New Roman"/>
          </w:rPr>
          <w:t>http://www.vvkt.lt/</w:t>
        </w:r>
      </w:hyperlink>
      <w:r w:rsidRPr="007F728B">
        <w:rPr>
          <w:rFonts w:ascii="Times New Roman" w:hAnsi="Times New Roman" w:cs="Times New Roman"/>
          <w:color w:val="0000FF"/>
          <w:u w:val="single"/>
        </w:rPr>
        <w:t>.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 w:cs="Times New Roman"/>
        </w:rPr>
      </w:pPr>
      <w:r w:rsidRPr="00406DEA">
        <w:rPr>
          <w:rFonts w:ascii="Times New Roman" w:hAnsi="Times New Roman"/>
        </w:rPr>
        <w:sym w:font="Wingdings" w:char="F022"/>
      </w:r>
      <w:r w:rsidRPr="007F728B">
        <w:rPr>
          <w:rFonts w:ascii="Times New Roman" w:hAnsi="Times New Roman" w:cs="Times New Roman"/>
        </w:rPr>
        <w:t>-----------------------------------------------------------------------------------------------------------------------</w:t>
      </w:r>
    </w:p>
    <w:p w:rsidR="00091A7A" w:rsidRPr="007F728B" w:rsidRDefault="00091A7A" w:rsidP="00091A7A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2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Toliau pateikta informacija skirta tik sveikatos priežiūros specialistams: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Daugiau informacijos apie šį vaistinį preparatą pateikta Preparato charakteristikų santraukoje (PCS).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color w:val="000000"/>
          <w:u w:val="single"/>
        </w:rPr>
      </w:pPr>
    </w:p>
    <w:p w:rsidR="00091A7A" w:rsidRPr="007F728B" w:rsidRDefault="00091A7A" w:rsidP="00091A7A">
      <w:pPr>
        <w:keepNext/>
        <w:spacing w:after="0" w:line="240" w:lineRule="auto"/>
        <w:ind w:left="540" w:hanging="540"/>
        <w:outlineLvl w:val="2"/>
        <w:rPr>
          <w:rFonts w:ascii="Times New Roman" w:hAnsi="Times New Roman" w:cs="Times New Roman"/>
          <w:b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Perdozavimas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i/>
          <w:lang w:eastAsia="lt-LT"/>
        </w:rPr>
      </w:pPr>
      <w:r w:rsidRPr="007F728B">
        <w:rPr>
          <w:rFonts w:ascii="Times New Roman" w:hAnsi="Times New Roman" w:cs="Times New Roman"/>
          <w:bCs/>
          <w:i/>
          <w:lang w:eastAsia="lt-LT"/>
        </w:rPr>
        <w:t>Simptomai ir požymiai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perdozavimo patirtis yra ribota. Tačiau atsitiktinio perdozavimo atveju galima tikėtis šių apsinuodijimo simptomų: regėjimo sutrikimų, sunkaus vidurių užkietėjimo,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hipotenzijos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ir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vagotonijos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priepuolių su trumpalaike antrojo laipsnio AV blokada. Visais atvejais simptomai visiškai praėjo.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Ondansetronas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pailgina QT intervalą priklausomai nuo dozės. Perdozavus rekomenduojama stebėti EKG.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i/>
          <w:snapToGrid w:val="0"/>
          <w:lang w:eastAsia="lt-LT"/>
        </w:rPr>
      </w:pPr>
      <w:r w:rsidRPr="007F728B">
        <w:rPr>
          <w:rFonts w:ascii="Times New Roman" w:hAnsi="Times New Roman" w:cs="Times New Roman"/>
          <w:i/>
          <w:snapToGrid w:val="0"/>
          <w:lang w:eastAsia="lt-LT"/>
        </w:rPr>
        <w:t>Vaikų populiacija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Kūdikiams ir vaikams nuo 12 mėnesių iki 2 metų buvo pranešta apie netyčinius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 perdozavimo atvejus (išgėrus viršijančią numatytą 4 mg/kg dozę), kurie pasireiškė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serotonino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sindromu.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Cs/>
          <w:i/>
          <w:lang w:eastAsia="lt-LT"/>
        </w:rPr>
      </w:pPr>
      <w:r w:rsidRPr="007F728B">
        <w:rPr>
          <w:rFonts w:ascii="Times New Roman" w:hAnsi="Times New Roman" w:cs="Times New Roman"/>
          <w:bCs/>
          <w:i/>
          <w:lang w:eastAsia="lt-LT"/>
        </w:rPr>
        <w:t>Gydymas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 xml:space="preserve">Specifinio priešnuodžio prieš </w:t>
      </w:r>
      <w:proofErr w:type="spellStart"/>
      <w:r w:rsidRPr="007F728B">
        <w:rPr>
          <w:rFonts w:ascii="Times New Roman" w:hAnsi="Times New Roman" w:cs="Times New Roman"/>
          <w:snapToGrid w:val="0"/>
          <w:lang w:eastAsia="lt-LT"/>
        </w:rPr>
        <w:t>ondansetroną</w:t>
      </w:r>
      <w:proofErr w:type="spellEnd"/>
      <w:r w:rsidRPr="007F728B">
        <w:rPr>
          <w:rFonts w:ascii="Times New Roman" w:hAnsi="Times New Roman" w:cs="Times New Roman"/>
          <w:snapToGrid w:val="0"/>
          <w:lang w:eastAsia="lt-LT"/>
        </w:rPr>
        <w:t xml:space="preserve"> nėra, todėl visais atvejais, įtarus perdozavimą, reikia taikyti simptominį ir reikiamą palaikomąjį gydymą.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snapToGrid w:val="0"/>
          <w:lang w:eastAsia="lt-LT"/>
        </w:rPr>
      </w:pPr>
      <w:r w:rsidRPr="007F728B">
        <w:rPr>
          <w:rFonts w:ascii="Times New Roman" w:hAnsi="Times New Roman" w:cs="Times New Roman"/>
          <w:snapToGrid w:val="0"/>
          <w:lang w:eastAsia="lt-LT"/>
        </w:rPr>
        <w:t>Tolesnis gydymas turi būti toks, kaip kliniškai nurodytas arba kaip rekomenduojama nacionalinių apsinuodijimų centro, jei toks yra.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proofErr w:type="spellStart"/>
      <w:r w:rsidRPr="007F728B">
        <w:rPr>
          <w:rFonts w:ascii="Times New Roman" w:hAnsi="Times New Roman" w:cs="Times New Roman"/>
          <w:lang w:eastAsia="lt-LT"/>
        </w:rPr>
        <w:t>Ipekakuanos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vaistinių preparatų vartoti nerekomenduojama perdozavus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, kadangi jų poveikis dėl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ondansetrono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sukeliamo vėmimo slopinimo neturėtų pasireikšti.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  <w:r w:rsidRPr="007F728B">
        <w:rPr>
          <w:rFonts w:ascii="Times New Roman" w:hAnsi="Times New Roman" w:cs="Times New Roman"/>
          <w:b/>
        </w:rPr>
        <w:t>Nesuderinamumas</w:t>
      </w:r>
    </w:p>
    <w:p w:rsidR="00091A7A" w:rsidRPr="007F728B" w:rsidRDefault="00091A7A" w:rsidP="00091A7A">
      <w:pPr>
        <w:keepNext/>
        <w:spacing w:after="0" w:line="240" w:lineRule="auto"/>
        <w:jc w:val="both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 xml:space="preserve">Viename švirkšte arba infuzijų sistemoje </w:t>
      </w:r>
      <w:proofErr w:type="spellStart"/>
      <w:r w:rsidRPr="007F728B">
        <w:rPr>
          <w:rFonts w:ascii="Times New Roman" w:hAnsi="Times New Roman" w:cs="Times New Roman"/>
        </w:rPr>
        <w:t>Ondansetron</w:t>
      </w:r>
      <w:proofErr w:type="spellEnd"/>
      <w:r w:rsidRPr="007F728B">
        <w:rPr>
          <w:rFonts w:ascii="Times New Roman" w:hAnsi="Times New Roman" w:cs="Times New Roman"/>
        </w:rPr>
        <w:t xml:space="preserve"> </w:t>
      </w:r>
      <w:proofErr w:type="spellStart"/>
      <w:r w:rsidRPr="007F728B">
        <w:rPr>
          <w:rFonts w:ascii="Times New Roman" w:hAnsi="Times New Roman" w:cs="Times New Roman"/>
        </w:rPr>
        <w:t>Kalceks</w:t>
      </w:r>
      <w:proofErr w:type="spellEnd"/>
      <w:r w:rsidRPr="007F728B">
        <w:rPr>
          <w:rFonts w:ascii="Times New Roman" w:hAnsi="Times New Roman" w:cs="Times New Roman"/>
        </w:rPr>
        <w:t xml:space="preserve"> injekcinio ar infuzinio tirpalo su kitais vaistiniais preparatais vartoti negalima.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bCs/>
          <w:snapToGrid w:val="0"/>
          <w:lang w:eastAsia="lt-LT"/>
        </w:rPr>
        <w:t>Šio vaistinio preparato</w:t>
      </w:r>
      <w:r w:rsidRPr="007F728B">
        <w:rPr>
          <w:rFonts w:ascii="Times New Roman" w:hAnsi="Times New Roman" w:cs="Times New Roman"/>
          <w:lang w:eastAsia="lt-LT"/>
        </w:rPr>
        <w:t xml:space="preserve"> negalima maišyti su kitais, išskyrus nurodytus toliau.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b/>
        </w:rPr>
      </w:pPr>
    </w:p>
    <w:p w:rsidR="00091A7A" w:rsidRPr="007F728B" w:rsidRDefault="00091A7A" w:rsidP="00091A7A">
      <w:pPr>
        <w:keepNext/>
        <w:spacing w:after="0" w:line="240" w:lineRule="auto"/>
        <w:ind w:left="540" w:hanging="540"/>
        <w:outlineLvl w:val="2"/>
        <w:rPr>
          <w:rFonts w:ascii="Times New Roman" w:hAnsi="Times New Roman" w:cs="Times New Roman"/>
          <w:b/>
          <w:lang w:eastAsia="lt-LT"/>
        </w:rPr>
      </w:pPr>
      <w:r w:rsidRPr="007F728B">
        <w:rPr>
          <w:rFonts w:ascii="Times New Roman" w:hAnsi="Times New Roman" w:cs="Times New Roman"/>
          <w:b/>
          <w:lang w:eastAsia="lt-LT"/>
        </w:rPr>
        <w:t>Specialūs reikalavimai atliekoms tvarkyti ir vaistiniam preparatui ruošti</w:t>
      </w:r>
    </w:p>
    <w:p w:rsidR="00091A7A" w:rsidRPr="007F728B" w:rsidRDefault="00091A7A" w:rsidP="00091A7A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 xml:space="preserve">Tik vienkartiniam vartojimui. </w:t>
      </w:r>
    </w:p>
    <w:p w:rsidR="00091A7A" w:rsidRPr="007F728B" w:rsidRDefault="00091A7A" w:rsidP="00091A7A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Style w:val="tlid-translation"/>
          <w:rFonts w:ascii="Times New Roman" w:eastAsiaTheme="minorHAnsi" w:hAnsi="Times New Roman" w:cs="Times New Roman"/>
        </w:rPr>
      </w:pPr>
      <w:r w:rsidRPr="007F728B">
        <w:rPr>
          <w:rFonts w:ascii="Times New Roman" w:eastAsia="Times New Roman" w:hAnsi="Times New Roman" w:cs="Times New Roman"/>
          <w:noProof/>
          <w:snapToGrid w:val="0"/>
        </w:rPr>
        <w:t xml:space="preserve">Prieš vartojimą vaistinį preparatą reikia įvertinti vizualiai. Šio vaistinio preparato vartoti negalima, jei yra </w:t>
      </w:r>
      <w:r w:rsidRPr="007F728B">
        <w:rPr>
          <w:rStyle w:val="tlid-translation"/>
          <w:rFonts w:ascii="Times New Roman" w:hAnsi="Times New Roman" w:cs="Times New Roman"/>
        </w:rPr>
        <w:t>pastebimų gedimo požymių (pvz., dalelių arba spalvos pakitimas).</w:t>
      </w:r>
    </w:p>
    <w:p w:rsidR="00091A7A" w:rsidRPr="007F728B" w:rsidRDefault="00091A7A" w:rsidP="00091A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lang w:eastAsia="lt-LT"/>
        </w:rPr>
      </w:pP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negalima sterilizuoti autoklavu.</w:t>
      </w:r>
    </w:p>
    <w:p w:rsidR="00091A7A" w:rsidRPr="007F728B" w:rsidRDefault="00091A7A" w:rsidP="00091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091A7A" w:rsidRPr="007F728B" w:rsidRDefault="00091A7A" w:rsidP="00091A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7F728B">
        <w:rPr>
          <w:rFonts w:ascii="Times New Roman" w:eastAsia="Times New Roman" w:hAnsi="Times New Roman" w:cs="Times New Roman"/>
          <w:u w:val="single"/>
        </w:rPr>
        <w:t>Gali būti skiedžiamas toliau išvardytais intraveniniais infuziniais tirpalais:</w:t>
      </w:r>
    </w:p>
    <w:p w:rsidR="00091A7A" w:rsidRPr="007F728B" w:rsidRDefault="00091A7A" w:rsidP="00091A7A">
      <w:pPr>
        <w:pStyle w:val="Sraopastraipa"/>
        <w:numPr>
          <w:ilvl w:val="0"/>
          <w:numId w:val="12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7F728B">
        <w:rPr>
          <w:rFonts w:ascii="Times New Roman" w:hAnsi="Times New Roman" w:cs="Times New Roman"/>
        </w:rPr>
        <w:t>9 mg/ml (0,9 %) natrio chlorido tirpalu;</w:t>
      </w:r>
    </w:p>
    <w:p w:rsidR="00091A7A" w:rsidRPr="007F728B" w:rsidRDefault="00091A7A" w:rsidP="00091A7A">
      <w:pPr>
        <w:pStyle w:val="Sraopastraipa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 xml:space="preserve">50 mg/ml (5 %) gliukozės tirpalu; </w:t>
      </w:r>
    </w:p>
    <w:p w:rsidR="00091A7A" w:rsidRPr="007F728B" w:rsidRDefault="00091A7A" w:rsidP="00091A7A">
      <w:pPr>
        <w:pStyle w:val="Sraopastraipa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 xml:space="preserve">100 mg/ml (10 %) </w:t>
      </w:r>
      <w:proofErr w:type="spellStart"/>
      <w:r w:rsidRPr="007F728B">
        <w:rPr>
          <w:rFonts w:ascii="Times New Roman" w:hAnsi="Times New Roman" w:cs="Times New Roman"/>
          <w:color w:val="000000"/>
        </w:rPr>
        <w:t>manitolio</w:t>
      </w:r>
      <w:proofErr w:type="spellEnd"/>
      <w:r w:rsidRPr="007F728B">
        <w:rPr>
          <w:rFonts w:ascii="Times New Roman" w:hAnsi="Times New Roman" w:cs="Times New Roman"/>
          <w:color w:val="000000"/>
        </w:rPr>
        <w:t xml:space="preserve"> tirpalu;</w:t>
      </w:r>
    </w:p>
    <w:p w:rsidR="00091A7A" w:rsidRPr="007F728B" w:rsidRDefault="00091A7A" w:rsidP="00091A7A">
      <w:pPr>
        <w:pStyle w:val="Sraopastraipa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proofErr w:type="spellStart"/>
      <w:r w:rsidRPr="007F728B">
        <w:rPr>
          <w:rFonts w:ascii="Times New Roman" w:hAnsi="Times New Roman" w:cs="Times New Roman"/>
          <w:color w:val="000000"/>
        </w:rPr>
        <w:t>Ringerio</w:t>
      </w:r>
      <w:proofErr w:type="spellEnd"/>
      <w:r w:rsidRPr="007F728B">
        <w:rPr>
          <w:rFonts w:ascii="Times New Roman" w:hAnsi="Times New Roman" w:cs="Times New Roman"/>
          <w:color w:val="000000"/>
        </w:rPr>
        <w:t xml:space="preserve"> tirpalu;</w:t>
      </w:r>
    </w:p>
    <w:p w:rsidR="00091A7A" w:rsidRPr="007F728B" w:rsidRDefault="00091A7A" w:rsidP="00091A7A">
      <w:pPr>
        <w:pStyle w:val="Sraopastraipa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 xml:space="preserve">3 mg/ml (0,3 %) kalio chlorido ir </w:t>
      </w:r>
      <w:r w:rsidRPr="007F728B">
        <w:rPr>
          <w:rFonts w:ascii="Times New Roman" w:hAnsi="Times New Roman" w:cs="Times New Roman"/>
        </w:rPr>
        <w:t>9 mg/ml (0,9 %) natrio chlorido tirpalu;</w:t>
      </w:r>
    </w:p>
    <w:p w:rsidR="00091A7A" w:rsidRPr="007F728B" w:rsidRDefault="00091A7A" w:rsidP="00091A7A">
      <w:pPr>
        <w:pStyle w:val="Sraopastraipa"/>
        <w:numPr>
          <w:ilvl w:val="0"/>
          <w:numId w:val="11"/>
        </w:numPr>
        <w:tabs>
          <w:tab w:val="left" w:pos="567"/>
        </w:tabs>
        <w:spacing w:after="0" w:line="240" w:lineRule="auto"/>
        <w:ind w:left="567" w:hanging="567"/>
        <w:rPr>
          <w:rFonts w:ascii="Times New Roman" w:hAnsi="Times New Roman" w:cs="Times New Roman"/>
          <w:color w:val="000000"/>
        </w:rPr>
      </w:pPr>
      <w:r w:rsidRPr="007F728B">
        <w:rPr>
          <w:rFonts w:ascii="Times New Roman" w:hAnsi="Times New Roman" w:cs="Times New Roman"/>
          <w:color w:val="000000"/>
        </w:rPr>
        <w:t>3 mg/ml (0,3 %) kalio chlorido ir 50 mg/ml (5 %) gliukozės tirpalu;</w:t>
      </w:r>
    </w:p>
    <w:p w:rsidR="00091A7A" w:rsidRPr="007F728B" w:rsidRDefault="00091A7A" w:rsidP="00091A7A">
      <w:pPr>
        <w:pStyle w:val="Sraopastraipa"/>
        <w:numPr>
          <w:ilvl w:val="0"/>
          <w:numId w:val="11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rPr>
          <w:rFonts w:ascii="Times New Roman" w:hAnsi="Times New Roman" w:cs="Times New Roman"/>
        </w:rPr>
      </w:pPr>
      <w:proofErr w:type="spellStart"/>
      <w:r w:rsidRPr="007F728B">
        <w:rPr>
          <w:rFonts w:ascii="Times New Roman" w:hAnsi="Times New Roman" w:cs="Times New Roman"/>
        </w:rPr>
        <w:t>Ringerio</w:t>
      </w:r>
      <w:proofErr w:type="spellEnd"/>
      <w:r w:rsidRPr="007F728B">
        <w:rPr>
          <w:rFonts w:ascii="Times New Roman" w:hAnsi="Times New Roman" w:cs="Times New Roman"/>
        </w:rPr>
        <w:t xml:space="preserve"> laktato tirpalu.</w:t>
      </w:r>
    </w:p>
    <w:p w:rsidR="00091A7A" w:rsidRPr="007F728B" w:rsidRDefault="00091A7A" w:rsidP="00091A7A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:rsidR="00091A7A" w:rsidRPr="007F728B" w:rsidRDefault="00091A7A" w:rsidP="00091A7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F728B">
        <w:rPr>
          <w:rFonts w:ascii="Times New Roman" w:eastAsia="Times New Roman" w:hAnsi="Times New Roman" w:cs="Times New Roman"/>
          <w:lang w:eastAsia="lt-LT"/>
        </w:rPr>
        <w:t xml:space="preserve">Nustatyta, kad </w:t>
      </w:r>
      <w:proofErr w:type="spellStart"/>
      <w:r w:rsidRPr="007F728B">
        <w:rPr>
          <w:rFonts w:ascii="Times New Roman" w:eastAsia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eastAsia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eastAsia="Times New Roman" w:hAnsi="Times New Roman" w:cs="Times New Roman"/>
          <w:lang w:eastAsia="lt-LT"/>
        </w:rPr>
        <w:t xml:space="preserve"> yra suderinamas su polipropileno (PP) švirkštais, I tipo stiklo buteliukais, polietileno (PE), </w:t>
      </w:r>
      <w:proofErr w:type="spellStart"/>
      <w:r w:rsidRPr="007F728B">
        <w:rPr>
          <w:rFonts w:ascii="Times New Roman" w:eastAsia="Times New Roman" w:hAnsi="Times New Roman" w:cs="Times New Roman"/>
          <w:lang w:eastAsia="lt-LT"/>
        </w:rPr>
        <w:t>polivinilchlorido</w:t>
      </w:r>
      <w:proofErr w:type="spellEnd"/>
      <w:r w:rsidRPr="007F728B">
        <w:rPr>
          <w:rFonts w:ascii="Times New Roman" w:eastAsia="Times New Roman" w:hAnsi="Times New Roman" w:cs="Times New Roman"/>
          <w:lang w:eastAsia="lt-LT"/>
        </w:rPr>
        <w:t xml:space="preserve"> (PVC) ir </w:t>
      </w:r>
      <w:proofErr w:type="spellStart"/>
      <w:r w:rsidRPr="007F728B">
        <w:rPr>
          <w:rFonts w:ascii="Times New Roman" w:eastAsia="Times New Roman" w:hAnsi="Times New Roman" w:cs="Times New Roman"/>
          <w:lang w:eastAsia="lt-LT"/>
        </w:rPr>
        <w:t>etilvinilacetato</w:t>
      </w:r>
      <w:proofErr w:type="spellEnd"/>
      <w:r w:rsidRPr="007F728B">
        <w:rPr>
          <w:rFonts w:ascii="Times New Roman" w:eastAsia="Times New Roman" w:hAnsi="Times New Roman" w:cs="Times New Roman"/>
          <w:lang w:eastAsia="lt-LT"/>
        </w:rPr>
        <w:t xml:space="preserve"> (EVA) infuziniais maišeliais bei PVC ir PE vamzdeliais, kai yra praskiestas su aukščiau paminėtais infuziniais tirpalais. </w:t>
      </w:r>
      <w:r w:rsidRPr="007F728B">
        <w:rPr>
          <w:rFonts w:ascii="Times New Roman" w:hAnsi="Times New Roman" w:cs="Times New Roman"/>
          <w:lang w:eastAsia="lt-LT"/>
        </w:rPr>
        <w:t xml:space="preserve">Nepraskiestas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injekcinis ar infuzinis tirpalas yra suderinamas su PP švirkštais.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  <w:iCs/>
          <w:u w:val="single"/>
        </w:rPr>
      </w:pPr>
      <w:r w:rsidRPr="007F728B">
        <w:rPr>
          <w:rFonts w:ascii="Times New Roman" w:hAnsi="Times New Roman" w:cs="Times New Roman"/>
          <w:iCs/>
          <w:u w:val="single"/>
        </w:rPr>
        <w:t>Suderinamumas su kitais vaistiniais preparatais</w:t>
      </w:r>
    </w:p>
    <w:p w:rsidR="00091A7A" w:rsidRPr="007F728B" w:rsidRDefault="00091A7A" w:rsidP="00091A7A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r w:rsidRPr="007F728B">
        <w:rPr>
          <w:rFonts w:ascii="Times New Roman" w:hAnsi="Times New Roman" w:cs="Times New Roman"/>
        </w:rPr>
        <w:t xml:space="preserve">galima leisti į veną (1 mg/val. greičiu). Toliau išvardytus vaistinius preparatus galima vartoti kartu su </w:t>
      </w:r>
      <w:proofErr w:type="spellStart"/>
      <w:r w:rsidRPr="007F728B">
        <w:rPr>
          <w:rFonts w:ascii="Times New Roman" w:hAnsi="Times New Roman" w:cs="Times New Roman"/>
          <w:lang w:eastAsia="lt-LT"/>
        </w:rPr>
        <w:t>Ondansetron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proofErr w:type="spellStart"/>
      <w:r w:rsidRPr="007F728B">
        <w:rPr>
          <w:rFonts w:ascii="Times New Roman" w:hAnsi="Times New Roman" w:cs="Times New Roman"/>
          <w:lang w:eastAsia="lt-LT"/>
        </w:rPr>
        <w:t>Kalceks</w:t>
      </w:r>
      <w:proofErr w:type="spellEnd"/>
      <w:r w:rsidRPr="007F728B">
        <w:rPr>
          <w:rFonts w:ascii="Times New Roman" w:hAnsi="Times New Roman" w:cs="Times New Roman"/>
          <w:lang w:eastAsia="lt-LT"/>
        </w:rPr>
        <w:t xml:space="preserve"> </w:t>
      </w:r>
      <w:r w:rsidRPr="007F728B">
        <w:rPr>
          <w:rFonts w:ascii="Times New Roman" w:hAnsi="Times New Roman" w:cs="Times New Roman"/>
        </w:rPr>
        <w:t xml:space="preserve">per infuzijų sistemos „Y“ jungtį, kai </w:t>
      </w:r>
      <w:proofErr w:type="spellStart"/>
      <w:r w:rsidRPr="007F728B">
        <w:rPr>
          <w:rFonts w:ascii="Times New Roman" w:hAnsi="Times New Roman" w:cs="Times New Roman"/>
        </w:rPr>
        <w:t>ondansetrono</w:t>
      </w:r>
      <w:proofErr w:type="spellEnd"/>
      <w:r w:rsidRPr="007F728B">
        <w:rPr>
          <w:rFonts w:ascii="Times New Roman" w:hAnsi="Times New Roman" w:cs="Times New Roman"/>
        </w:rPr>
        <w:t xml:space="preserve"> koncentracija yra 16</w:t>
      </w:r>
      <w:r w:rsidRPr="007F728B">
        <w:rPr>
          <w:rFonts w:ascii="Times New Roman" w:hAnsi="Times New Roman" w:cs="Times New Roman"/>
        </w:rPr>
        <w:noBreakHyphen/>
        <w:t>160 </w:t>
      </w:r>
      <w:proofErr w:type="spellStart"/>
      <w:r w:rsidRPr="007F728B">
        <w:rPr>
          <w:rFonts w:ascii="Times New Roman" w:hAnsi="Times New Roman" w:cs="Times New Roman"/>
        </w:rPr>
        <w:t>mikrogramų</w:t>
      </w:r>
      <w:proofErr w:type="spellEnd"/>
      <w:r w:rsidRPr="007F728B">
        <w:rPr>
          <w:rFonts w:ascii="Times New Roman" w:hAnsi="Times New Roman" w:cs="Times New Roman"/>
        </w:rPr>
        <w:t>/ml (pvz., atitinkamai 8 mg/500 ml ir 8 mg/50 ml).</w:t>
      </w:r>
    </w:p>
    <w:p w:rsidR="00091A7A" w:rsidRPr="007F728B" w:rsidRDefault="00091A7A" w:rsidP="00091A7A">
      <w:pPr>
        <w:pStyle w:val="Betarp"/>
        <w:ind w:left="0" w:right="-8" w:firstLine="0"/>
        <w:rPr>
          <w:lang w:val="lt-LT"/>
        </w:rPr>
      </w:pPr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Cisplatina</w:t>
      </w:r>
      <w:proofErr w:type="spellEnd"/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r w:rsidRPr="007F728B">
        <w:rPr>
          <w:lang w:val="lt-LT"/>
        </w:rPr>
        <w:t>5</w:t>
      </w:r>
      <w:r w:rsidRPr="007F728B">
        <w:rPr>
          <w:lang w:val="lt-LT"/>
        </w:rPr>
        <w:noBreakHyphen/>
        <w:t>Fluorouracilas</w:t>
      </w:r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Karboplatina</w:t>
      </w:r>
      <w:proofErr w:type="spellEnd"/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Etopozidas</w:t>
      </w:r>
      <w:proofErr w:type="spellEnd"/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Ceftazidimas</w:t>
      </w:r>
      <w:proofErr w:type="spellEnd"/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Ciklofosfamidas</w:t>
      </w:r>
      <w:proofErr w:type="spellEnd"/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Doksorubicinas</w:t>
      </w:r>
      <w:proofErr w:type="spellEnd"/>
    </w:p>
    <w:p w:rsidR="00091A7A" w:rsidRPr="007F728B" w:rsidRDefault="00091A7A" w:rsidP="00091A7A">
      <w:pPr>
        <w:pStyle w:val="Betarp"/>
        <w:numPr>
          <w:ilvl w:val="0"/>
          <w:numId w:val="10"/>
        </w:numPr>
        <w:ind w:left="0" w:right="-8" w:firstLine="0"/>
        <w:rPr>
          <w:lang w:val="lt-LT"/>
        </w:rPr>
      </w:pPr>
      <w:proofErr w:type="spellStart"/>
      <w:r w:rsidRPr="007F728B">
        <w:rPr>
          <w:lang w:val="lt-LT"/>
        </w:rPr>
        <w:t>Deksametazonas</w:t>
      </w:r>
      <w:proofErr w:type="spellEnd"/>
    </w:p>
    <w:p w:rsidR="00091A7A" w:rsidRPr="007F728B" w:rsidRDefault="00091A7A" w:rsidP="00091A7A">
      <w:pPr>
        <w:spacing w:after="0" w:line="240" w:lineRule="auto"/>
        <w:ind w:left="142" w:hanging="142"/>
        <w:rPr>
          <w:rFonts w:ascii="Times New Roman" w:hAnsi="Times New Roman" w:cs="Times New Roman"/>
        </w:rPr>
      </w:pPr>
    </w:p>
    <w:p w:rsidR="00091A7A" w:rsidRPr="007F728B" w:rsidRDefault="00091A7A" w:rsidP="00091A7A">
      <w:pPr>
        <w:spacing w:after="0" w:line="240" w:lineRule="auto"/>
        <w:ind w:left="142" w:hanging="142"/>
        <w:rPr>
          <w:rFonts w:ascii="Times New Roman" w:hAnsi="Times New Roman" w:cs="Times New Roman"/>
          <w:u w:val="single"/>
        </w:rPr>
      </w:pPr>
      <w:r w:rsidRPr="007F728B">
        <w:rPr>
          <w:rFonts w:ascii="Times New Roman" w:hAnsi="Times New Roman" w:cs="Times New Roman"/>
          <w:u w:val="single"/>
        </w:rPr>
        <w:t>Ampulės atidarymo instrukcija</w:t>
      </w:r>
    </w:p>
    <w:p w:rsidR="00091A7A" w:rsidRPr="007F728B" w:rsidRDefault="00091A7A" w:rsidP="00091A7A">
      <w:pPr>
        <w:pStyle w:val="Sraopastraip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Pasukite ampulę taip, kad spalvotas taškas būtų viršuje. Jei ampulės viršutinėje dalyje yra tirpalo, švelniai pastuksenkite pirštu, kad visas tirpalas subėgtų į apatinę ampulės dalį.</w:t>
      </w:r>
    </w:p>
    <w:p w:rsidR="00091A7A" w:rsidRPr="007F728B" w:rsidRDefault="00091A7A" w:rsidP="00091A7A">
      <w:pPr>
        <w:pStyle w:val="Sraopastraip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</w:rPr>
        <w:t>Atidarymui naudokite abi rankas; viena ranka laikykite ampulės apatinę dalį, kita ranka nulaužkite viršutinę ampulės dalį priešinga kryptimi nei spalvotas taškas (žr. paveikslėlius toliau).</w:t>
      </w:r>
    </w:p>
    <w:p w:rsidR="00091A7A" w:rsidRPr="007F728B" w:rsidRDefault="00091A7A" w:rsidP="00091A7A">
      <w:pPr>
        <w:rPr>
          <w:rFonts w:ascii="Times New Roman" w:hAnsi="Times New Roman" w:cs="Times New Roman"/>
        </w:rPr>
      </w:pPr>
      <w:r w:rsidRPr="007F728B">
        <w:rPr>
          <w:rFonts w:ascii="Times New Roman" w:hAnsi="Times New Roman" w:cs="Times New Roman"/>
          <w:noProof/>
          <w:lang w:eastAsia="lt-LT"/>
        </w:rPr>
        <w:drawing>
          <wp:inline distT="0" distB="0" distL="0" distR="0" wp14:anchorId="17E83A66" wp14:editId="43150910">
            <wp:extent cx="2695575" cy="1933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A7A" w:rsidRPr="007F728B" w:rsidRDefault="00091A7A" w:rsidP="00091A7A">
      <w:pPr>
        <w:pBdr>
          <w:bottom w:val="dashSmallGap" w:sz="4" w:space="1" w:color="auto"/>
        </w:pBdr>
        <w:spacing w:after="0" w:line="240" w:lineRule="auto"/>
        <w:rPr>
          <w:rFonts w:ascii="Times New Roman" w:hAnsi="Times New Roman" w:cs="Times New Roman"/>
          <w:lang w:eastAsia="lt-LT"/>
        </w:rPr>
      </w:pPr>
      <w:r w:rsidRPr="007F728B">
        <w:rPr>
          <w:rFonts w:ascii="Times New Roman" w:hAnsi="Times New Roman" w:cs="Times New Roman"/>
          <w:lang w:eastAsia="lt-LT"/>
        </w:rPr>
        <w:t>Nesuvartotą vaistinį preparatą ar atliekas reikia tvarkyti laikantis vietinių reikalavimų.</w:t>
      </w:r>
    </w:p>
    <w:p w:rsidR="00091A7A" w:rsidRPr="007F728B" w:rsidRDefault="00091A7A" w:rsidP="00091A7A">
      <w:pPr>
        <w:pBdr>
          <w:bottom w:val="dashSmallGap" w:sz="4" w:space="1" w:color="auto"/>
        </w:pBdr>
        <w:spacing w:after="0" w:line="240" w:lineRule="auto"/>
        <w:rPr>
          <w:rFonts w:ascii="Times New Roman" w:hAnsi="Times New Roman" w:cs="Times New Roman"/>
          <w:lang w:eastAsia="lt-LT"/>
        </w:rPr>
      </w:pPr>
    </w:p>
    <w:p w:rsidR="00BA6577" w:rsidRDefault="00BA6577">
      <w:bookmarkStart w:id="0" w:name="_GoBack"/>
      <w:bookmarkEnd w:id="0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FE3"/>
    <w:multiLevelType w:val="hybridMultilevel"/>
    <w:tmpl w:val="6248C0C2"/>
    <w:lvl w:ilvl="0" w:tplc="3DF8C6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2"/>
      </w:rPr>
    </w:lvl>
    <w:lvl w:ilvl="1" w:tplc="3DF8C626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w w:val="102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5412C"/>
    <w:multiLevelType w:val="hybridMultilevel"/>
    <w:tmpl w:val="AB1A703C"/>
    <w:lvl w:ilvl="0" w:tplc="3DF8C6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36EE4"/>
    <w:multiLevelType w:val="hybridMultilevel"/>
    <w:tmpl w:val="7310B5BA"/>
    <w:lvl w:ilvl="0" w:tplc="3DF8C6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2"/>
      </w:rPr>
    </w:lvl>
    <w:lvl w:ilvl="1" w:tplc="2ED030F6">
      <w:numFmt w:val="bullet"/>
      <w:lvlText w:val="-"/>
      <w:lvlJc w:val="left"/>
      <w:pPr>
        <w:ind w:left="1800" w:hanging="720"/>
      </w:pPr>
      <w:rPr>
        <w:rFonts w:ascii="Times New Roman" w:eastAsia="Calibr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61E7E"/>
    <w:multiLevelType w:val="hybridMultilevel"/>
    <w:tmpl w:val="FFA62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3096C"/>
    <w:multiLevelType w:val="hybridMultilevel"/>
    <w:tmpl w:val="9CDC297C"/>
    <w:lvl w:ilvl="0" w:tplc="3DF8C626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w w:val="10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A5012"/>
    <w:multiLevelType w:val="hybridMultilevel"/>
    <w:tmpl w:val="22EAAB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87E2D"/>
    <w:multiLevelType w:val="hybridMultilevel"/>
    <w:tmpl w:val="9C62F4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92988"/>
    <w:multiLevelType w:val="hybridMultilevel"/>
    <w:tmpl w:val="A1D0338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26EA5"/>
    <w:multiLevelType w:val="hybridMultilevel"/>
    <w:tmpl w:val="21BEE7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41924"/>
    <w:multiLevelType w:val="hybridMultilevel"/>
    <w:tmpl w:val="7A92D7CC"/>
    <w:lvl w:ilvl="0" w:tplc="FFFFFFFF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A937F74"/>
    <w:multiLevelType w:val="hybridMultilevel"/>
    <w:tmpl w:val="68668C18"/>
    <w:lvl w:ilvl="0" w:tplc="0426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1" w15:restartNumberingAfterBreak="0">
    <w:nsid w:val="611E7AFA"/>
    <w:multiLevelType w:val="hybridMultilevel"/>
    <w:tmpl w:val="5B6232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9D71F1"/>
    <w:multiLevelType w:val="hybridMultilevel"/>
    <w:tmpl w:val="D24EAA7A"/>
    <w:lvl w:ilvl="0" w:tplc="FFFFFFFF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E755A"/>
    <w:multiLevelType w:val="hybridMultilevel"/>
    <w:tmpl w:val="BB9CCE30"/>
    <w:lvl w:ilvl="0" w:tplc="3DF8C626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2"/>
      </w:rPr>
    </w:lvl>
    <w:lvl w:ilvl="1" w:tplc="3DF8C626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w w:val="102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6F21BB"/>
    <w:multiLevelType w:val="hybridMultilevel"/>
    <w:tmpl w:val="8F16DABC"/>
    <w:lvl w:ilvl="0" w:tplc="3DF8C626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w w:val="102"/>
      </w:rPr>
    </w:lvl>
    <w:lvl w:ilvl="1" w:tplc="3DF8C626">
      <w:start w:val="1"/>
      <w:numFmt w:val="bullet"/>
      <w:lvlText w:val="‒"/>
      <w:lvlJc w:val="left"/>
      <w:pPr>
        <w:ind w:left="2007" w:hanging="360"/>
      </w:pPr>
      <w:rPr>
        <w:rFonts w:ascii="Times New Roman" w:hAnsi="Times New Roman" w:cs="Times New Roman" w:hint="default"/>
        <w:w w:val="102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3985B47"/>
    <w:multiLevelType w:val="hybridMultilevel"/>
    <w:tmpl w:val="3E746C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6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"/>
  </w:num>
  <w:num w:numId="12">
    <w:abstractNumId w:val="2"/>
  </w:num>
  <w:num w:numId="13">
    <w:abstractNumId w:val="13"/>
  </w:num>
  <w:num w:numId="14">
    <w:abstractNumId w:val="0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7A"/>
    <w:rsid w:val="00072F85"/>
    <w:rsid w:val="00091A7A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1F8FD-40D9-4E02-8981-75216E4A7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91A7A"/>
    <w:pPr>
      <w:spacing w:after="200" w:line="276" w:lineRule="auto"/>
    </w:pPr>
    <w:rPr>
      <w:rFonts w:ascii="Calibri" w:eastAsia="Calibri" w:hAnsi="Calibri" w:cs="Courier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091A7A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91A7A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Hipersaitas">
    <w:name w:val="Hyperlink"/>
    <w:uiPriority w:val="99"/>
    <w:rsid w:val="00091A7A"/>
    <w:rPr>
      <w:rFonts w:cs="Times New Roman"/>
      <w:color w:val="0000FF"/>
      <w:u w:val="single"/>
    </w:rPr>
  </w:style>
  <w:style w:type="paragraph" w:customStyle="1" w:styleId="ColorfulList-Accent11">
    <w:name w:val="Colorful List - Accent 11"/>
    <w:basedOn w:val="prastasis"/>
    <w:uiPriority w:val="99"/>
    <w:rsid w:val="00091A7A"/>
    <w:pPr>
      <w:ind w:left="720"/>
      <w:contextualSpacing/>
    </w:pPr>
  </w:style>
  <w:style w:type="paragraph" w:styleId="Sraopastraipa">
    <w:name w:val="List Paragraph"/>
    <w:basedOn w:val="prastasis"/>
    <w:uiPriority w:val="34"/>
    <w:qFormat/>
    <w:rsid w:val="00091A7A"/>
    <w:pPr>
      <w:ind w:left="720"/>
      <w:contextualSpacing/>
    </w:pPr>
    <w:rPr>
      <w:rFonts w:cs="DokChampa"/>
    </w:rPr>
  </w:style>
  <w:style w:type="paragraph" w:styleId="Betarp">
    <w:name w:val="No Spacing"/>
    <w:uiPriority w:val="1"/>
    <w:qFormat/>
    <w:rsid w:val="00091A7A"/>
    <w:pPr>
      <w:spacing w:after="0" w:line="240" w:lineRule="auto"/>
      <w:ind w:left="821" w:right="226" w:hanging="10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Default">
    <w:name w:val="Default"/>
    <w:rsid w:val="00091A7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  <w:style w:type="character" w:customStyle="1" w:styleId="tlid-translation">
    <w:name w:val="tlid-translation"/>
    <w:basedOn w:val="Numatytasispastraiposriftas"/>
    <w:rsid w:val="00091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vvkt.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12243</Words>
  <Characters>6979</Characters>
  <Application>Microsoft Office Word</Application>
  <DocSecurity>0</DocSecurity>
  <Lines>58</Lines>
  <Paragraphs>38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</vt:vector>
  </HeadingPairs>
  <TitlesOfParts>
    <vt:vector size="13" baseType="lpstr">
      <vt:lpstr/>
      <vt:lpstr>1.	Kas yra Ondansetron Kalceks ir kam jis vartojamas</vt:lpstr>
      <vt:lpstr/>
      <vt:lpstr>2.	Kas žinotina prieš Jums leidžiant Ondansetron Kalceks</vt:lpstr>
      <vt:lpstr/>
      <vt:lpstr/>
      <vt:lpstr>3.	Kaip vartoti Ondansetron Kalceks</vt:lpstr>
      <vt:lpstr/>
      <vt:lpstr>4.	Galimas šalutinis poveikis</vt:lpstr>
      <vt:lpstr>5.	Kaip laikyti Ondansetron Kalceks</vt:lpstr>
      <vt:lpstr/>
      <vt:lpstr>        Perdozavimas</vt:lpstr>
      <vt:lpstr>        Specialūs reikalavimai atliekoms tvarkyti ir vaistiniam preparatui ruošti</vt:lpstr>
    </vt:vector>
  </TitlesOfParts>
  <Company/>
  <LinksUpToDate>false</LinksUpToDate>
  <CharactersWithSpaces>19184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2024-09-30T10:51:00Z</dcterms:created>
  <dcterms:modified xsi:type="dcterms:W3CDTF">2024-09-30T10:51:00Z</dcterms:modified>
</cp:coreProperties>
</file>