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FF0767" w14:textId="77777777" w:rsidR="00890384" w:rsidRDefault="00890384">
      <w:pPr>
        <w:widowControl w:val="0"/>
        <w:tabs>
          <w:tab w:val="clear" w:pos="567"/>
          <w:tab w:val="left" w:pos="9214"/>
        </w:tabs>
        <w:spacing w:line="240" w:lineRule="auto"/>
        <w:ind w:right="282"/>
        <w:rPr>
          <w:lang w:val="lt-LT"/>
        </w:rPr>
      </w:pPr>
      <w:bookmarkStart w:id="0" w:name="_GoBack"/>
      <w:bookmarkEnd w:id="0"/>
    </w:p>
    <w:p w14:paraId="20CBB264" w14:textId="77777777" w:rsidR="00890384" w:rsidRDefault="00890384">
      <w:pPr>
        <w:tabs>
          <w:tab w:val="left" w:pos="9214"/>
        </w:tabs>
        <w:spacing w:line="240" w:lineRule="auto"/>
        <w:ind w:right="282"/>
        <w:outlineLvl w:val="0"/>
        <w:rPr>
          <w:lang w:val="lt-LT"/>
        </w:rPr>
      </w:pPr>
    </w:p>
    <w:p w14:paraId="4187741B" w14:textId="77777777" w:rsidR="00890384" w:rsidRDefault="00890384">
      <w:pPr>
        <w:tabs>
          <w:tab w:val="left" w:pos="9214"/>
        </w:tabs>
        <w:spacing w:line="240" w:lineRule="auto"/>
        <w:ind w:right="282"/>
        <w:outlineLvl w:val="0"/>
        <w:rPr>
          <w:lang w:val="lt-LT"/>
        </w:rPr>
      </w:pPr>
    </w:p>
    <w:p w14:paraId="047DF81E" w14:textId="77777777" w:rsidR="00890384" w:rsidRDefault="00890384">
      <w:pPr>
        <w:tabs>
          <w:tab w:val="left" w:pos="9214"/>
        </w:tabs>
        <w:spacing w:line="240" w:lineRule="auto"/>
        <w:ind w:right="282"/>
        <w:outlineLvl w:val="0"/>
        <w:rPr>
          <w:lang w:val="lt-LT"/>
        </w:rPr>
      </w:pPr>
    </w:p>
    <w:p w14:paraId="6FA4553C" w14:textId="77777777" w:rsidR="00890384" w:rsidRDefault="00890384">
      <w:pPr>
        <w:tabs>
          <w:tab w:val="left" w:pos="9214"/>
        </w:tabs>
        <w:spacing w:line="240" w:lineRule="auto"/>
        <w:ind w:right="282"/>
        <w:outlineLvl w:val="0"/>
        <w:rPr>
          <w:lang w:val="lt-LT"/>
        </w:rPr>
      </w:pPr>
    </w:p>
    <w:p w14:paraId="0E66E3CC" w14:textId="77777777" w:rsidR="00890384" w:rsidRDefault="00890384">
      <w:pPr>
        <w:tabs>
          <w:tab w:val="left" w:pos="-1440"/>
          <w:tab w:val="left" w:pos="-720"/>
          <w:tab w:val="left" w:pos="9214"/>
        </w:tabs>
        <w:spacing w:line="240" w:lineRule="auto"/>
        <w:ind w:right="282"/>
        <w:rPr>
          <w:lang w:val="lt-LT"/>
        </w:rPr>
      </w:pPr>
    </w:p>
    <w:p w14:paraId="1C3DCC79" w14:textId="77777777" w:rsidR="00890384" w:rsidRDefault="00890384">
      <w:pPr>
        <w:tabs>
          <w:tab w:val="left" w:pos="-1440"/>
          <w:tab w:val="left" w:pos="-720"/>
          <w:tab w:val="left" w:pos="9214"/>
        </w:tabs>
        <w:spacing w:line="240" w:lineRule="auto"/>
        <w:ind w:right="282"/>
        <w:rPr>
          <w:lang w:val="lt-LT"/>
        </w:rPr>
      </w:pPr>
    </w:p>
    <w:p w14:paraId="09D9FCC0" w14:textId="77777777" w:rsidR="00890384" w:rsidRDefault="00890384">
      <w:pPr>
        <w:tabs>
          <w:tab w:val="left" w:pos="-1440"/>
          <w:tab w:val="left" w:pos="-720"/>
          <w:tab w:val="left" w:pos="9214"/>
        </w:tabs>
        <w:spacing w:line="240" w:lineRule="auto"/>
        <w:ind w:right="282"/>
        <w:rPr>
          <w:lang w:val="lt-LT"/>
        </w:rPr>
      </w:pPr>
    </w:p>
    <w:p w14:paraId="0AC20D79" w14:textId="77777777" w:rsidR="00890384" w:rsidRDefault="00890384">
      <w:pPr>
        <w:tabs>
          <w:tab w:val="left" w:pos="-1440"/>
          <w:tab w:val="left" w:pos="-720"/>
          <w:tab w:val="left" w:pos="9214"/>
        </w:tabs>
        <w:spacing w:line="240" w:lineRule="auto"/>
        <w:ind w:right="282"/>
        <w:rPr>
          <w:lang w:val="lt-LT"/>
        </w:rPr>
      </w:pPr>
    </w:p>
    <w:p w14:paraId="518B8584" w14:textId="77777777" w:rsidR="00890384" w:rsidRDefault="00890384">
      <w:pPr>
        <w:tabs>
          <w:tab w:val="left" w:pos="-1440"/>
          <w:tab w:val="left" w:pos="-720"/>
          <w:tab w:val="left" w:pos="9214"/>
        </w:tabs>
        <w:spacing w:line="240" w:lineRule="auto"/>
        <w:ind w:right="282"/>
        <w:rPr>
          <w:lang w:val="lt-LT"/>
        </w:rPr>
      </w:pPr>
    </w:p>
    <w:p w14:paraId="708DF962" w14:textId="77777777" w:rsidR="00890384" w:rsidRDefault="00890384">
      <w:pPr>
        <w:tabs>
          <w:tab w:val="left" w:pos="-1440"/>
          <w:tab w:val="left" w:pos="-720"/>
          <w:tab w:val="left" w:pos="9214"/>
        </w:tabs>
        <w:spacing w:line="240" w:lineRule="auto"/>
        <w:ind w:right="282"/>
        <w:rPr>
          <w:lang w:val="lt-LT"/>
        </w:rPr>
      </w:pPr>
    </w:p>
    <w:p w14:paraId="11A51C0A" w14:textId="77777777" w:rsidR="00890384" w:rsidRDefault="00890384">
      <w:pPr>
        <w:tabs>
          <w:tab w:val="left" w:pos="-1440"/>
          <w:tab w:val="left" w:pos="-720"/>
          <w:tab w:val="left" w:pos="9214"/>
        </w:tabs>
        <w:spacing w:line="240" w:lineRule="auto"/>
        <w:ind w:right="282"/>
        <w:rPr>
          <w:lang w:val="lt-LT"/>
        </w:rPr>
      </w:pPr>
    </w:p>
    <w:p w14:paraId="063173CB" w14:textId="77777777" w:rsidR="00890384" w:rsidRDefault="00890384">
      <w:pPr>
        <w:tabs>
          <w:tab w:val="left" w:pos="-1440"/>
          <w:tab w:val="left" w:pos="-720"/>
          <w:tab w:val="left" w:pos="9214"/>
        </w:tabs>
        <w:spacing w:line="240" w:lineRule="auto"/>
        <w:ind w:right="282"/>
        <w:rPr>
          <w:lang w:val="lt-LT"/>
        </w:rPr>
      </w:pPr>
    </w:p>
    <w:p w14:paraId="3233E327" w14:textId="77777777" w:rsidR="00890384" w:rsidRDefault="00890384">
      <w:pPr>
        <w:tabs>
          <w:tab w:val="left" w:pos="-1440"/>
          <w:tab w:val="left" w:pos="-720"/>
          <w:tab w:val="left" w:pos="9214"/>
        </w:tabs>
        <w:spacing w:line="240" w:lineRule="auto"/>
        <w:ind w:right="282"/>
        <w:rPr>
          <w:lang w:val="lt-LT"/>
        </w:rPr>
      </w:pPr>
    </w:p>
    <w:p w14:paraId="0B9E0FAF" w14:textId="77777777" w:rsidR="00890384" w:rsidRDefault="00890384">
      <w:pPr>
        <w:tabs>
          <w:tab w:val="left" w:pos="-1440"/>
          <w:tab w:val="left" w:pos="-720"/>
          <w:tab w:val="left" w:pos="9214"/>
        </w:tabs>
        <w:spacing w:line="240" w:lineRule="auto"/>
        <w:ind w:right="282"/>
        <w:rPr>
          <w:lang w:val="lt-LT"/>
        </w:rPr>
      </w:pPr>
    </w:p>
    <w:p w14:paraId="49CC6F1C" w14:textId="77777777" w:rsidR="00890384" w:rsidRDefault="00890384">
      <w:pPr>
        <w:tabs>
          <w:tab w:val="left" w:pos="-1440"/>
          <w:tab w:val="left" w:pos="-720"/>
          <w:tab w:val="left" w:pos="9214"/>
        </w:tabs>
        <w:spacing w:line="240" w:lineRule="auto"/>
        <w:ind w:right="282"/>
        <w:rPr>
          <w:lang w:val="lt-LT"/>
        </w:rPr>
      </w:pPr>
    </w:p>
    <w:p w14:paraId="42CF6A66" w14:textId="77777777" w:rsidR="00890384" w:rsidRDefault="00890384">
      <w:pPr>
        <w:tabs>
          <w:tab w:val="left" w:pos="-1440"/>
          <w:tab w:val="left" w:pos="-720"/>
          <w:tab w:val="left" w:pos="9214"/>
        </w:tabs>
        <w:spacing w:line="240" w:lineRule="auto"/>
        <w:ind w:right="282"/>
        <w:rPr>
          <w:lang w:val="lt-LT"/>
        </w:rPr>
      </w:pPr>
    </w:p>
    <w:p w14:paraId="2A31B41B" w14:textId="77777777" w:rsidR="00890384" w:rsidRDefault="00890384">
      <w:pPr>
        <w:tabs>
          <w:tab w:val="left" w:pos="-1440"/>
          <w:tab w:val="left" w:pos="-720"/>
          <w:tab w:val="left" w:pos="9214"/>
        </w:tabs>
        <w:spacing w:line="240" w:lineRule="auto"/>
        <w:ind w:right="282"/>
        <w:rPr>
          <w:lang w:val="lt-LT"/>
        </w:rPr>
      </w:pPr>
    </w:p>
    <w:p w14:paraId="4FD73C9C" w14:textId="77777777" w:rsidR="00890384" w:rsidRDefault="00890384">
      <w:pPr>
        <w:tabs>
          <w:tab w:val="left" w:pos="-1440"/>
          <w:tab w:val="left" w:pos="-720"/>
          <w:tab w:val="left" w:pos="9214"/>
        </w:tabs>
        <w:spacing w:line="240" w:lineRule="auto"/>
        <w:ind w:right="282"/>
        <w:rPr>
          <w:lang w:val="lt-LT"/>
        </w:rPr>
      </w:pPr>
    </w:p>
    <w:p w14:paraId="0F3D0D7C" w14:textId="77777777" w:rsidR="00890384" w:rsidRDefault="00890384">
      <w:pPr>
        <w:tabs>
          <w:tab w:val="left" w:pos="-1440"/>
          <w:tab w:val="left" w:pos="-720"/>
          <w:tab w:val="left" w:pos="9214"/>
        </w:tabs>
        <w:spacing w:line="240" w:lineRule="auto"/>
        <w:ind w:right="282"/>
        <w:rPr>
          <w:lang w:val="lt-LT"/>
        </w:rPr>
      </w:pPr>
    </w:p>
    <w:p w14:paraId="343AF53C" w14:textId="77777777" w:rsidR="00890384" w:rsidRDefault="00B26795">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54DED88F" w14:textId="77777777" w:rsidR="00890384" w:rsidRDefault="00890384">
      <w:pPr>
        <w:tabs>
          <w:tab w:val="left" w:pos="9214"/>
        </w:tabs>
        <w:spacing w:line="240" w:lineRule="auto"/>
        <w:ind w:right="282"/>
        <w:rPr>
          <w:szCs w:val="24"/>
          <w:lang w:val="lt-LT"/>
        </w:rPr>
      </w:pPr>
    </w:p>
    <w:p w14:paraId="0426D705" w14:textId="77777777" w:rsidR="00890384" w:rsidRDefault="00B26795">
      <w:pPr>
        <w:tabs>
          <w:tab w:val="left" w:pos="-1440"/>
          <w:tab w:val="left" w:pos="-720"/>
          <w:tab w:val="left" w:pos="9214"/>
        </w:tabs>
        <w:spacing w:line="240" w:lineRule="auto"/>
        <w:ind w:right="282"/>
        <w:jc w:val="center"/>
        <w:rPr>
          <w:b/>
          <w:lang w:val="lt-LT"/>
        </w:rPr>
      </w:pPr>
      <w:r>
        <w:rPr>
          <w:b/>
          <w:lang w:val="lt-LT"/>
        </w:rPr>
        <w:t>PREPARATO CHARAKTERISTIKŲ SANTRAUKA</w:t>
      </w:r>
    </w:p>
    <w:p w14:paraId="611391F6" w14:textId="77777777" w:rsidR="00890384" w:rsidRDefault="00B26795">
      <w:pPr>
        <w:widowControl w:val="0"/>
        <w:spacing w:line="240" w:lineRule="auto"/>
        <w:ind w:left="567" w:hanging="567"/>
        <w:outlineLvl w:val="1"/>
        <w:rPr>
          <w:b/>
          <w:bCs/>
          <w:snapToGrid/>
          <w:szCs w:val="22"/>
          <w:lang w:val="lt-LT"/>
        </w:rPr>
      </w:pPr>
      <w:r>
        <w:rPr>
          <w:b/>
          <w:bCs/>
          <w:lang w:val="lt-LT" w:eastAsia="zh-CN"/>
        </w:rPr>
        <w:br w:type="page"/>
      </w:r>
      <w:r>
        <w:rPr>
          <w:b/>
          <w:bCs/>
          <w:lang w:val="lt-LT"/>
        </w:rPr>
        <w:lastRenderedPageBreak/>
        <w:t>1.</w:t>
      </w:r>
      <w:r>
        <w:rPr>
          <w:b/>
          <w:bCs/>
          <w:lang w:val="lt-LT"/>
        </w:rPr>
        <w:tab/>
      </w:r>
      <w:r>
        <w:rPr>
          <w:b/>
          <w:bCs/>
          <w:snapToGrid/>
          <w:szCs w:val="22"/>
          <w:lang w:val="lt-LT"/>
        </w:rPr>
        <w:t>VAISTINIO PREPARATO PAVADINIMAS</w:t>
      </w:r>
    </w:p>
    <w:p w14:paraId="46D37E95" w14:textId="77777777" w:rsidR="00890384" w:rsidRDefault="00890384">
      <w:pPr>
        <w:widowControl w:val="0"/>
        <w:tabs>
          <w:tab w:val="clear" w:pos="567"/>
        </w:tabs>
        <w:spacing w:line="240" w:lineRule="auto"/>
        <w:ind w:left="567" w:hanging="567"/>
        <w:rPr>
          <w:snapToGrid/>
          <w:szCs w:val="22"/>
          <w:lang w:val="lt-LT"/>
        </w:rPr>
      </w:pPr>
    </w:p>
    <w:p w14:paraId="3AABE967" w14:textId="77777777" w:rsidR="00890384" w:rsidRDefault="00B26795">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Aboxoma 2,5 mg plėvele dengtos tabletės</w:t>
      </w:r>
    </w:p>
    <w:p w14:paraId="7025F4FF" w14:textId="77777777" w:rsidR="00890384" w:rsidRDefault="00890384">
      <w:pPr>
        <w:widowControl w:val="0"/>
        <w:tabs>
          <w:tab w:val="clear" w:pos="567"/>
        </w:tabs>
        <w:spacing w:line="240" w:lineRule="auto"/>
        <w:ind w:left="567" w:hanging="567"/>
        <w:rPr>
          <w:snapToGrid/>
          <w:szCs w:val="22"/>
          <w:lang w:val="lt-LT"/>
        </w:rPr>
      </w:pPr>
    </w:p>
    <w:p w14:paraId="7B34E001" w14:textId="77777777" w:rsidR="00890384" w:rsidRDefault="00890384">
      <w:pPr>
        <w:widowControl w:val="0"/>
        <w:tabs>
          <w:tab w:val="clear" w:pos="567"/>
        </w:tabs>
        <w:spacing w:line="240" w:lineRule="auto"/>
        <w:ind w:left="567" w:hanging="567"/>
        <w:rPr>
          <w:snapToGrid/>
          <w:szCs w:val="22"/>
          <w:lang w:val="lt-LT"/>
        </w:rPr>
      </w:pPr>
    </w:p>
    <w:p w14:paraId="368292DB" w14:textId="77777777" w:rsidR="00890384" w:rsidRDefault="00B26795">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4A48A536" w14:textId="77777777" w:rsidR="00890384" w:rsidRDefault="00890384">
      <w:pPr>
        <w:widowControl w:val="0"/>
        <w:tabs>
          <w:tab w:val="clear" w:pos="567"/>
        </w:tabs>
        <w:spacing w:line="240" w:lineRule="auto"/>
        <w:rPr>
          <w:snapToGrid/>
          <w:szCs w:val="22"/>
          <w:lang w:val="lt-LT"/>
        </w:rPr>
      </w:pPr>
    </w:p>
    <w:p w14:paraId="5FF6F7A9" w14:textId="77777777" w:rsidR="00890384" w:rsidRDefault="00B26795">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Kiekvienoje plėvele dengtoje tabletėje yra 2,5 mg apiksabano.</w:t>
      </w:r>
    </w:p>
    <w:p w14:paraId="2087EF94" w14:textId="77777777" w:rsidR="00890384" w:rsidRDefault="00890384">
      <w:pPr>
        <w:widowControl w:val="0"/>
        <w:tabs>
          <w:tab w:val="clear" w:pos="567"/>
        </w:tabs>
        <w:autoSpaceDE w:val="0"/>
        <w:autoSpaceDN w:val="0"/>
        <w:adjustRightInd w:val="0"/>
        <w:spacing w:line="240" w:lineRule="auto"/>
        <w:rPr>
          <w:rFonts w:eastAsia="TimesNewRoman"/>
          <w:snapToGrid/>
          <w:szCs w:val="22"/>
          <w:lang w:val="lt-LT"/>
        </w:rPr>
      </w:pPr>
    </w:p>
    <w:p w14:paraId="19FECACC" w14:textId="77777777" w:rsidR="00890384" w:rsidRDefault="00B26795">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Pagalbinė medžiaga, kurios poveikis žinomas</w:t>
      </w:r>
      <w:r>
        <w:rPr>
          <w:rFonts w:eastAsia="TimesNewRoman"/>
          <w:snapToGrid/>
          <w:szCs w:val="22"/>
          <w:u w:val="single"/>
          <w:lang w:val="lt-LT"/>
        </w:rPr>
        <w:cr/>
      </w:r>
    </w:p>
    <w:p w14:paraId="5EB6B944" w14:textId="77777777" w:rsidR="00890384" w:rsidRDefault="00B26795">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Kiekvienoje plėvele dengtoje tabletėje yra 45 mg laktozės.</w:t>
      </w:r>
    </w:p>
    <w:p w14:paraId="22EE58A5" w14:textId="77777777" w:rsidR="00890384" w:rsidRDefault="00890384">
      <w:pPr>
        <w:widowControl w:val="0"/>
        <w:tabs>
          <w:tab w:val="clear" w:pos="567"/>
        </w:tabs>
        <w:spacing w:line="240" w:lineRule="auto"/>
        <w:rPr>
          <w:rFonts w:eastAsia="TimesNewRoman"/>
          <w:snapToGrid/>
          <w:szCs w:val="22"/>
          <w:lang w:val="lt-LT"/>
        </w:rPr>
      </w:pPr>
    </w:p>
    <w:p w14:paraId="2CCB7DD8" w14:textId="77777777" w:rsidR="00890384" w:rsidRDefault="00B26795">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15A7A163" w14:textId="77777777" w:rsidR="00890384" w:rsidRDefault="00890384">
      <w:pPr>
        <w:widowControl w:val="0"/>
        <w:tabs>
          <w:tab w:val="clear" w:pos="567"/>
        </w:tabs>
        <w:spacing w:line="240" w:lineRule="auto"/>
        <w:ind w:left="567" w:hanging="567"/>
        <w:rPr>
          <w:snapToGrid/>
          <w:szCs w:val="22"/>
          <w:lang w:val="lt-LT"/>
        </w:rPr>
      </w:pPr>
    </w:p>
    <w:p w14:paraId="5AE7053E" w14:textId="77777777" w:rsidR="00890384" w:rsidRDefault="00890384">
      <w:pPr>
        <w:widowControl w:val="0"/>
        <w:tabs>
          <w:tab w:val="clear" w:pos="567"/>
        </w:tabs>
        <w:spacing w:line="240" w:lineRule="auto"/>
        <w:ind w:left="567" w:hanging="567"/>
        <w:rPr>
          <w:snapToGrid/>
          <w:szCs w:val="22"/>
          <w:lang w:val="lt-LT"/>
        </w:rPr>
      </w:pPr>
    </w:p>
    <w:p w14:paraId="6BC0F0CA" w14:textId="77777777" w:rsidR="00890384" w:rsidRDefault="00B26795">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63E26A58" w14:textId="77777777" w:rsidR="00890384" w:rsidRDefault="00890384">
      <w:pPr>
        <w:widowControl w:val="0"/>
        <w:tabs>
          <w:tab w:val="clear" w:pos="567"/>
        </w:tabs>
        <w:spacing w:line="240" w:lineRule="auto"/>
        <w:rPr>
          <w:snapToGrid/>
          <w:szCs w:val="22"/>
          <w:highlight w:val="yellow"/>
          <w:lang w:val="lt-LT"/>
        </w:rPr>
      </w:pPr>
    </w:p>
    <w:p w14:paraId="0016A0A4" w14:textId="77777777" w:rsidR="00890384" w:rsidRDefault="00B26795">
      <w:pPr>
        <w:widowControl w:val="0"/>
        <w:tabs>
          <w:tab w:val="clear" w:pos="567"/>
        </w:tabs>
        <w:spacing w:line="240" w:lineRule="auto"/>
        <w:rPr>
          <w:snapToGrid/>
          <w:szCs w:val="22"/>
          <w:lang w:val="lt-LT"/>
        </w:rPr>
      </w:pPr>
      <w:r>
        <w:rPr>
          <w:snapToGrid/>
          <w:szCs w:val="22"/>
          <w:lang w:val="lt-LT"/>
        </w:rPr>
        <w:t>Plėvele dengta tabletė (tabletė)</w:t>
      </w:r>
    </w:p>
    <w:p w14:paraId="7F1D71EA" w14:textId="77777777" w:rsidR="00890384" w:rsidRDefault="00890384">
      <w:pPr>
        <w:widowControl w:val="0"/>
        <w:tabs>
          <w:tab w:val="clear" w:pos="567"/>
        </w:tabs>
        <w:spacing w:line="240" w:lineRule="auto"/>
        <w:rPr>
          <w:snapToGrid/>
          <w:szCs w:val="22"/>
          <w:lang w:val="lt-LT"/>
        </w:rPr>
      </w:pPr>
    </w:p>
    <w:p w14:paraId="27A82302" w14:textId="77777777" w:rsidR="00890384" w:rsidRDefault="00B26795">
      <w:pPr>
        <w:widowControl w:val="0"/>
        <w:tabs>
          <w:tab w:val="clear" w:pos="567"/>
        </w:tabs>
        <w:spacing w:line="240" w:lineRule="auto"/>
        <w:rPr>
          <w:snapToGrid/>
          <w:szCs w:val="22"/>
          <w:lang w:val="lt-LT"/>
        </w:rPr>
      </w:pPr>
      <w:r>
        <w:rPr>
          <w:snapToGrid/>
          <w:szCs w:val="22"/>
          <w:lang w:val="lt-LT"/>
        </w:rPr>
        <w:t>Baltos, apvalios abipus išgaubtos plėvele dengtos tabletės, vienoje pusėje yra žyma „2.5“.</w:t>
      </w:r>
    </w:p>
    <w:p w14:paraId="7853D4B9" w14:textId="77777777" w:rsidR="00890384" w:rsidRDefault="00B26795">
      <w:pPr>
        <w:widowControl w:val="0"/>
        <w:tabs>
          <w:tab w:val="clear" w:pos="567"/>
        </w:tabs>
        <w:spacing w:line="240" w:lineRule="auto"/>
        <w:rPr>
          <w:snapToGrid/>
          <w:szCs w:val="22"/>
          <w:lang w:val="lt-LT"/>
        </w:rPr>
      </w:pPr>
      <w:r>
        <w:rPr>
          <w:snapToGrid/>
          <w:szCs w:val="22"/>
          <w:lang w:val="lt-LT"/>
        </w:rPr>
        <w:t>Tabletės matmenys: skersmuo – maždaug 6 mm.</w:t>
      </w:r>
    </w:p>
    <w:p w14:paraId="4314A49C" w14:textId="77777777" w:rsidR="00890384" w:rsidRDefault="00890384">
      <w:pPr>
        <w:pStyle w:val="Antrat3"/>
        <w:tabs>
          <w:tab w:val="left" w:pos="9214"/>
        </w:tabs>
        <w:spacing w:before="0" w:after="0" w:line="240" w:lineRule="auto"/>
        <w:ind w:right="282"/>
        <w:rPr>
          <w:rFonts w:ascii="Times New Roman" w:hAnsi="Times New Roman"/>
          <w:sz w:val="22"/>
          <w:lang w:val="lt-LT"/>
        </w:rPr>
      </w:pPr>
    </w:p>
    <w:p w14:paraId="09FBC1A0" w14:textId="77777777" w:rsidR="00890384" w:rsidRDefault="00890384">
      <w:pPr>
        <w:pStyle w:val="Antrat3"/>
        <w:tabs>
          <w:tab w:val="left" w:pos="9214"/>
        </w:tabs>
        <w:spacing w:before="0" w:after="0" w:line="240" w:lineRule="auto"/>
        <w:ind w:right="282"/>
        <w:rPr>
          <w:rFonts w:ascii="Times New Roman" w:hAnsi="Times New Roman"/>
          <w:sz w:val="22"/>
          <w:lang w:val="lt-LT"/>
        </w:rPr>
      </w:pPr>
    </w:p>
    <w:p w14:paraId="1A3FDF82" w14:textId="77777777" w:rsidR="00890384" w:rsidRDefault="00B26795">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1F6E438A" w14:textId="77777777" w:rsidR="00890384" w:rsidRDefault="00890384">
      <w:pPr>
        <w:tabs>
          <w:tab w:val="left" w:pos="9214"/>
        </w:tabs>
        <w:spacing w:line="240" w:lineRule="auto"/>
        <w:ind w:right="282"/>
        <w:rPr>
          <w:szCs w:val="24"/>
          <w:lang w:val="lt-LT"/>
        </w:rPr>
      </w:pPr>
    </w:p>
    <w:p w14:paraId="6421B948" w14:textId="77777777" w:rsidR="00890384" w:rsidRDefault="00B26795">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7CCDE92D" w14:textId="77777777" w:rsidR="00890384" w:rsidRDefault="00890384">
      <w:pPr>
        <w:tabs>
          <w:tab w:val="left" w:pos="9214"/>
        </w:tabs>
        <w:spacing w:line="240" w:lineRule="auto"/>
        <w:ind w:right="282"/>
        <w:rPr>
          <w:szCs w:val="24"/>
          <w:lang w:val="lt-LT"/>
        </w:rPr>
      </w:pPr>
    </w:p>
    <w:p w14:paraId="02776461" w14:textId="77777777" w:rsidR="00890384" w:rsidRPr="005261E3" w:rsidRDefault="00B26795">
      <w:pPr>
        <w:widowControl w:val="0"/>
        <w:tabs>
          <w:tab w:val="clear" w:pos="567"/>
        </w:tabs>
        <w:autoSpaceDE w:val="0"/>
        <w:autoSpaceDN w:val="0"/>
        <w:spacing w:line="240" w:lineRule="auto"/>
        <w:rPr>
          <w:u w:val="single"/>
        </w:rPr>
      </w:pPr>
      <w:r w:rsidRPr="005261E3">
        <w:rPr>
          <w:u w:val="single"/>
        </w:rPr>
        <w:t>Suaugusieji</w:t>
      </w:r>
    </w:p>
    <w:p w14:paraId="3952889F" w14:textId="77777777" w:rsidR="00890384" w:rsidRDefault="00890384">
      <w:pPr>
        <w:widowControl w:val="0"/>
        <w:tabs>
          <w:tab w:val="clear" w:pos="567"/>
        </w:tabs>
        <w:autoSpaceDE w:val="0"/>
        <w:autoSpaceDN w:val="0"/>
        <w:spacing w:line="240" w:lineRule="auto"/>
      </w:pPr>
    </w:p>
    <w:p w14:paraId="2E501C2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Venų tromboembolinių (VTE) reiškinių profilaktikai suaugusiems pacientams, kuriems atlikta planinė klubo arba kelio sąnario pakeitimo operacija.</w:t>
      </w:r>
    </w:p>
    <w:p w14:paraId="5253B25E" w14:textId="77777777" w:rsidR="00890384" w:rsidRDefault="00890384">
      <w:pPr>
        <w:widowControl w:val="0"/>
        <w:tabs>
          <w:tab w:val="clear" w:pos="567"/>
        </w:tabs>
        <w:autoSpaceDE w:val="0"/>
        <w:autoSpaceDN w:val="0"/>
        <w:spacing w:line="240" w:lineRule="auto"/>
        <w:rPr>
          <w:snapToGrid/>
          <w:szCs w:val="22"/>
          <w:lang w:val="lt-LT"/>
        </w:rPr>
      </w:pPr>
    </w:p>
    <w:p w14:paraId="6FEEA99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31EC35AF" w14:textId="77777777" w:rsidR="00890384" w:rsidRDefault="00890384">
      <w:pPr>
        <w:widowControl w:val="0"/>
        <w:tabs>
          <w:tab w:val="clear" w:pos="567"/>
        </w:tabs>
        <w:autoSpaceDE w:val="0"/>
        <w:autoSpaceDN w:val="0"/>
        <w:spacing w:line="240" w:lineRule="auto"/>
        <w:rPr>
          <w:snapToGrid/>
          <w:szCs w:val="22"/>
          <w:lang w:val="lt-LT"/>
        </w:rPr>
      </w:pPr>
    </w:p>
    <w:p w14:paraId="4DD446E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Giliųjų venų trombozės (GVT) bei plaučių embolijos (PE) gydymas ir pasikartojančios GVT ir PE profilaktika suaugusiems pacientams (apie PE sergančius pacientus, kurių nestabili hemodinamika, žr. 4.4 skyriuje.)</w:t>
      </w:r>
    </w:p>
    <w:p w14:paraId="63B1CF75" w14:textId="77777777" w:rsidR="00890384" w:rsidRDefault="00890384">
      <w:pPr>
        <w:widowControl w:val="0"/>
        <w:tabs>
          <w:tab w:val="clear" w:pos="567"/>
        </w:tabs>
        <w:autoSpaceDE w:val="0"/>
        <w:autoSpaceDN w:val="0"/>
        <w:spacing w:line="240" w:lineRule="auto"/>
      </w:pPr>
    </w:p>
    <w:p w14:paraId="3770A1C8" w14:textId="77777777" w:rsidR="00890384" w:rsidRPr="005261E3" w:rsidRDefault="00B26795">
      <w:pPr>
        <w:widowControl w:val="0"/>
        <w:tabs>
          <w:tab w:val="clear" w:pos="567"/>
        </w:tabs>
        <w:autoSpaceDE w:val="0"/>
        <w:autoSpaceDN w:val="0"/>
        <w:spacing w:line="240" w:lineRule="auto"/>
        <w:rPr>
          <w:u w:val="single"/>
        </w:rPr>
      </w:pPr>
      <w:r w:rsidRPr="005261E3">
        <w:rPr>
          <w:u w:val="single"/>
        </w:rPr>
        <w:t>Vaikų populiacija</w:t>
      </w:r>
    </w:p>
    <w:p w14:paraId="76FB4D2B" w14:textId="77777777" w:rsidR="00890384" w:rsidRDefault="00890384">
      <w:pPr>
        <w:widowControl w:val="0"/>
        <w:tabs>
          <w:tab w:val="clear" w:pos="567"/>
        </w:tabs>
        <w:autoSpaceDE w:val="0"/>
        <w:autoSpaceDN w:val="0"/>
        <w:spacing w:line="240" w:lineRule="auto"/>
      </w:pPr>
    </w:p>
    <w:p w14:paraId="21CC70D2" w14:textId="25E9FA6A" w:rsidR="00890384" w:rsidRDefault="00B26795">
      <w:pPr>
        <w:widowControl w:val="0"/>
        <w:tabs>
          <w:tab w:val="clear" w:pos="567"/>
        </w:tabs>
        <w:autoSpaceDE w:val="0"/>
        <w:autoSpaceDN w:val="0"/>
        <w:spacing w:line="240" w:lineRule="auto"/>
      </w:pPr>
      <w:r>
        <w:t>Venų tromboembolijos (VTE) gydymas ir VTE pasikartojimo profilaktika pacientams vaikams nu</w:t>
      </w:r>
      <w:r w:rsidR="00FD3144">
        <w:t>o</w:t>
      </w:r>
      <w:r>
        <w:t xml:space="preserve"> 28 dienų 18 metų.</w:t>
      </w:r>
    </w:p>
    <w:p w14:paraId="3B10E80E" w14:textId="77777777" w:rsidR="00890384" w:rsidRDefault="00890384">
      <w:pPr>
        <w:widowControl w:val="0"/>
        <w:tabs>
          <w:tab w:val="clear" w:pos="567"/>
        </w:tabs>
        <w:autoSpaceDE w:val="0"/>
        <w:autoSpaceDN w:val="0"/>
        <w:spacing w:line="240" w:lineRule="auto"/>
        <w:rPr>
          <w:snapToGrid/>
          <w:szCs w:val="22"/>
          <w:lang w:val="lt-LT"/>
        </w:rPr>
      </w:pPr>
    </w:p>
    <w:p w14:paraId="12A32AAB" w14:textId="77777777" w:rsidR="00890384" w:rsidRDefault="00B26795">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18A8A3D6" w14:textId="77777777" w:rsidR="00890384" w:rsidRDefault="00890384">
      <w:pPr>
        <w:widowControl w:val="0"/>
        <w:tabs>
          <w:tab w:val="clear" w:pos="567"/>
        </w:tabs>
        <w:autoSpaceDE w:val="0"/>
        <w:autoSpaceDN w:val="0"/>
        <w:spacing w:line="240" w:lineRule="auto"/>
        <w:rPr>
          <w:b/>
          <w:snapToGrid/>
          <w:szCs w:val="22"/>
          <w:lang w:val="lt-LT"/>
        </w:rPr>
      </w:pPr>
    </w:p>
    <w:p w14:paraId="18A207A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Dozavimas</w:t>
      </w:r>
    </w:p>
    <w:p w14:paraId="1B0D8E3B" w14:textId="77777777" w:rsidR="00890384" w:rsidRDefault="00890384">
      <w:pPr>
        <w:widowControl w:val="0"/>
        <w:tabs>
          <w:tab w:val="clear" w:pos="567"/>
        </w:tabs>
        <w:autoSpaceDE w:val="0"/>
        <w:autoSpaceDN w:val="0"/>
        <w:spacing w:line="240" w:lineRule="auto"/>
        <w:rPr>
          <w:snapToGrid/>
          <w:szCs w:val="22"/>
          <w:lang w:val="lt-LT"/>
        </w:rPr>
      </w:pPr>
    </w:p>
    <w:p w14:paraId="7216361C"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VTE profilaktika (VTEp): planinė klubo arba kelio sąnario pakeitimo operacija suaugusiems</w:t>
      </w:r>
    </w:p>
    <w:p w14:paraId="5926D7B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apiksabano dozė yra 2,5 mg, vartojama per burną du kartus per parą. Pirmąją dozę reikia išgerti praėjus 12-24 valandoms po operacijos.</w:t>
      </w:r>
    </w:p>
    <w:p w14:paraId="422E77F3" w14:textId="77777777" w:rsidR="00890384" w:rsidRDefault="00890384">
      <w:pPr>
        <w:widowControl w:val="0"/>
        <w:tabs>
          <w:tab w:val="clear" w:pos="567"/>
        </w:tabs>
        <w:autoSpaceDE w:val="0"/>
        <w:autoSpaceDN w:val="0"/>
        <w:spacing w:line="240" w:lineRule="auto"/>
        <w:rPr>
          <w:snapToGrid/>
          <w:szCs w:val="22"/>
          <w:lang w:val="lt-LT"/>
        </w:rPr>
      </w:pPr>
    </w:p>
    <w:p w14:paraId="0BBC716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Spręsdami dėl antikoaguliantų paskyrimo laiko šiuo laikotarpiu, gydytojai turėtų apsvarstyti galimą ankstyvojo antikoaguliantų vartojimo VTE profilaktikai naudą ir kraujavimo po operacijos riziką.</w:t>
      </w:r>
    </w:p>
    <w:p w14:paraId="57576B3C" w14:textId="77777777" w:rsidR="00890384" w:rsidRDefault="00890384">
      <w:pPr>
        <w:widowControl w:val="0"/>
        <w:tabs>
          <w:tab w:val="clear" w:pos="567"/>
        </w:tabs>
        <w:autoSpaceDE w:val="0"/>
        <w:autoSpaceDN w:val="0"/>
        <w:spacing w:line="240" w:lineRule="auto"/>
        <w:rPr>
          <w:snapToGrid/>
          <w:szCs w:val="22"/>
          <w:lang w:val="lt-LT"/>
        </w:rPr>
      </w:pPr>
    </w:p>
    <w:p w14:paraId="4FB9CF70"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Pacientams, kuriems atliekama klubo sąnario pakeitimo operacija</w:t>
      </w:r>
    </w:p>
    <w:p w14:paraId="2657D21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Rekomenduojama gydymo trukmė yra 32</w:t>
      </w:r>
      <w:r>
        <w:rPr>
          <w:snapToGrid/>
          <w:szCs w:val="22"/>
          <w:lang w:val="lt-LT"/>
        </w:rPr>
        <w:noBreakHyphen/>
        <w:t>38 dienos.</w:t>
      </w:r>
    </w:p>
    <w:p w14:paraId="122333AB" w14:textId="77777777" w:rsidR="00890384" w:rsidRDefault="00890384">
      <w:pPr>
        <w:widowControl w:val="0"/>
        <w:tabs>
          <w:tab w:val="clear" w:pos="567"/>
        </w:tabs>
        <w:autoSpaceDE w:val="0"/>
        <w:autoSpaceDN w:val="0"/>
        <w:spacing w:line="240" w:lineRule="auto"/>
        <w:rPr>
          <w:snapToGrid/>
          <w:szCs w:val="22"/>
          <w:lang w:val="lt-LT"/>
        </w:rPr>
      </w:pPr>
    </w:p>
    <w:p w14:paraId="6B81D7E6"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Pacientams, kuriems atliekama kelio sąnario pakeitimo operacija</w:t>
      </w:r>
    </w:p>
    <w:p w14:paraId="6F4475E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gydymo trukmė yra 10</w:t>
      </w:r>
      <w:r>
        <w:rPr>
          <w:snapToGrid/>
          <w:szCs w:val="22"/>
          <w:lang w:val="lt-LT"/>
        </w:rPr>
        <w:noBreakHyphen/>
        <w:t>14 dienų.</w:t>
      </w:r>
    </w:p>
    <w:p w14:paraId="306C4017" w14:textId="77777777" w:rsidR="00890384" w:rsidRDefault="00890384">
      <w:pPr>
        <w:widowControl w:val="0"/>
        <w:tabs>
          <w:tab w:val="clear" w:pos="567"/>
        </w:tabs>
        <w:autoSpaceDE w:val="0"/>
        <w:autoSpaceDN w:val="0"/>
        <w:spacing w:line="240" w:lineRule="auto"/>
        <w:rPr>
          <w:i/>
          <w:snapToGrid/>
          <w:szCs w:val="22"/>
          <w:u w:val="single"/>
          <w:lang w:val="lt-LT"/>
        </w:rPr>
      </w:pPr>
    </w:p>
    <w:p w14:paraId="43E3811B"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Insulto ir sisteminės embolijos profilaktika suaugusiems pacientams, kuriems pasireiškia su vožtuvais nesusijęs</w:t>
      </w:r>
      <w:r>
        <w:rPr>
          <w:i/>
          <w:snapToGrid/>
          <w:szCs w:val="22"/>
          <w:lang w:val="lt-LT"/>
        </w:rPr>
        <w:t xml:space="preserve"> </w:t>
      </w:r>
      <w:r>
        <w:rPr>
          <w:i/>
          <w:snapToGrid/>
          <w:szCs w:val="22"/>
          <w:u w:val="single"/>
          <w:lang w:val="lt-LT"/>
        </w:rPr>
        <w:t>prieširdžių virpėjimas (VNPV)</w:t>
      </w:r>
    </w:p>
    <w:p w14:paraId="09DCBEF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apiksabano dozė yra 5 mg, vartojama per burną du kartus per parą.</w:t>
      </w:r>
    </w:p>
    <w:p w14:paraId="74975250" w14:textId="77777777" w:rsidR="00890384" w:rsidRDefault="00890384">
      <w:pPr>
        <w:widowControl w:val="0"/>
        <w:tabs>
          <w:tab w:val="clear" w:pos="567"/>
        </w:tabs>
        <w:autoSpaceDE w:val="0"/>
        <w:autoSpaceDN w:val="0"/>
        <w:spacing w:line="240" w:lineRule="auto"/>
        <w:rPr>
          <w:snapToGrid/>
          <w:szCs w:val="22"/>
          <w:lang w:val="lt-LT"/>
        </w:rPr>
      </w:pPr>
    </w:p>
    <w:p w14:paraId="6C3DAA91"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Dozės mažinimas</w:t>
      </w:r>
    </w:p>
    <w:p w14:paraId="14C55EE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apiksabano dozė yra 2,5 mg, vartojama per burną du kartus per parą pacientams, kuriems yra VNPV ir bent dvi iš toliau išvardytų savybių: amžius ≥ 80 metų, kūno svoris ≤ 60 kg arba kreatinino koncentracija kraujo serume ≥ 1,5 mg/dl (133 mikromoliai/l).</w:t>
      </w:r>
    </w:p>
    <w:p w14:paraId="72D6C936" w14:textId="77777777" w:rsidR="00890384" w:rsidRDefault="00890384">
      <w:pPr>
        <w:widowControl w:val="0"/>
        <w:tabs>
          <w:tab w:val="clear" w:pos="567"/>
        </w:tabs>
        <w:autoSpaceDE w:val="0"/>
        <w:autoSpaceDN w:val="0"/>
        <w:spacing w:line="240" w:lineRule="auto"/>
        <w:rPr>
          <w:snapToGrid/>
          <w:szCs w:val="22"/>
          <w:lang w:val="lt-LT"/>
        </w:rPr>
      </w:pPr>
    </w:p>
    <w:p w14:paraId="34F2222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Gydymas turi būti tęsiamas ilgą laiką.</w:t>
      </w:r>
    </w:p>
    <w:p w14:paraId="48148CEE" w14:textId="77777777" w:rsidR="00890384" w:rsidRDefault="00890384">
      <w:pPr>
        <w:widowControl w:val="0"/>
        <w:tabs>
          <w:tab w:val="clear" w:pos="567"/>
        </w:tabs>
        <w:autoSpaceDE w:val="0"/>
        <w:autoSpaceDN w:val="0"/>
        <w:spacing w:line="240" w:lineRule="auto"/>
        <w:rPr>
          <w:snapToGrid/>
          <w:szCs w:val="22"/>
          <w:lang w:val="lt-LT"/>
        </w:rPr>
      </w:pPr>
    </w:p>
    <w:p w14:paraId="576F55BC" w14:textId="3FF18529"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GVT gydymas, PE gydymas ir pasikartojančios GVT bei PE profilaktika (VTEt) suaugusie</w:t>
      </w:r>
      <w:r w:rsidR="00516297">
        <w:rPr>
          <w:i/>
          <w:snapToGrid/>
          <w:szCs w:val="22"/>
          <w:u w:val="single"/>
          <w:lang w:val="lt-LT"/>
        </w:rPr>
        <w:t>sie</w:t>
      </w:r>
      <w:r>
        <w:rPr>
          <w:i/>
          <w:snapToGrid/>
          <w:szCs w:val="22"/>
          <w:u w:val="single"/>
          <w:lang w:val="lt-LT"/>
        </w:rPr>
        <w:t>ms</w:t>
      </w:r>
    </w:p>
    <w:p w14:paraId="6538EDE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Gydant ūminę GVT ir gydant PE, pirmąsias 7 paras rekomenduojama apiksabano dozė yra 10 mg, vartojama per burną du kartus per parą, po to skiriama 5 mg dozė, vartojama per burną du kartus per parą. Pagal esamas medicinines rekomendacijas, trumpalaikis gydymas (mažiausiai 3 mėn. trukmės) turi būti skiriamas atsižvelgiant į esamus laikinus rizikos veiksnius (pvz., po neseniai atliktos operacijos, patirtos traumos, imobilizacijos).</w:t>
      </w:r>
    </w:p>
    <w:p w14:paraId="540AAFBF" w14:textId="77777777" w:rsidR="00890384" w:rsidRDefault="00890384">
      <w:pPr>
        <w:widowControl w:val="0"/>
        <w:tabs>
          <w:tab w:val="clear" w:pos="567"/>
        </w:tabs>
        <w:autoSpaceDE w:val="0"/>
        <w:autoSpaceDN w:val="0"/>
        <w:spacing w:line="240" w:lineRule="auto"/>
        <w:rPr>
          <w:snapToGrid/>
          <w:szCs w:val="22"/>
          <w:lang w:val="lt-LT"/>
        </w:rPr>
      </w:pPr>
    </w:p>
    <w:p w14:paraId="3905188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138A4989" w14:textId="77777777" w:rsidR="00890384" w:rsidRDefault="00890384">
      <w:pPr>
        <w:widowControl w:val="0"/>
        <w:tabs>
          <w:tab w:val="clear" w:pos="567"/>
        </w:tabs>
        <w:autoSpaceDE w:val="0"/>
        <w:autoSpaceDN w:val="0"/>
        <w:spacing w:line="240" w:lineRule="auto"/>
        <w:rPr>
          <w:snapToGrid/>
          <w:szCs w:val="22"/>
          <w:lang w:val="lt-LT"/>
        </w:rPr>
      </w:pPr>
    </w:p>
    <w:p w14:paraId="3B33CE7B" w14:textId="77777777" w:rsidR="00890384" w:rsidRDefault="00B26795">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890384" w14:paraId="42AD733E" w14:textId="77777777">
        <w:trPr>
          <w:trHeight w:val="412"/>
        </w:trPr>
        <w:tc>
          <w:tcPr>
            <w:tcW w:w="3312" w:type="dxa"/>
          </w:tcPr>
          <w:p w14:paraId="4D8529FC" w14:textId="77777777" w:rsidR="00890384" w:rsidRDefault="00890384">
            <w:pPr>
              <w:widowControl w:val="0"/>
              <w:tabs>
                <w:tab w:val="clear" w:pos="567"/>
              </w:tabs>
              <w:autoSpaceDE w:val="0"/>
              <w:autoSpaceDN w:val="0"/>
              <w:spacing w:line="240" w:lineRule="auto"/>
              <w:rPr>
                <w:snapToGrid/>
                <w:szCs w:val="22"/>
                <w:lang w:val="lt-LT"/>
              </w:rPr>
            </w:pPr>
          </w:p>
        </w:tc>
        <w:tc>
          <w:tcPr>
            <w:tcW w:w="3600" w:type="dxa"/>
          </w:tcPr>
          <w:p w14:paraId="08A8989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Dozavimo planas</w:t>
            </w:r>
          </w:p>
        </w:tc>
        <w:tc>
          <w:tcPr>
            <w:tcW w:w="2376" w:type="dxa"/>
          </w:tcPr>
          <w:p w14:paraId="46F1BB5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Didžiausia paros dozė</w:t>
            </w:r>
          </w:p>
        </w:tc>
      </w:tr>
      <w:tr w:rsidR="00890384" w14:paraId="5FA561C8" w14:textId="77777777">
        <w:trPr>
          <w:trHeight w:val="506"/>
        </w:trPr>
        <w:tc>
          <w:tcPr>
            <w:tcW w:w="3312" w:type="dxa"/>
            <w:vMerge w:val="restart"/>
          </w:tcPr>
          <w:p w14:paraId="132ADB8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GVT arba PE gydymas</w:t>
            </w:r>
          </w:p>
        </w:tc>
        <w:tc>
          <w:tcPr>
            <w:tcW w:w="3600" w:type="dxa"/>
          </w:tcPr>
          <w:p w14:paraId="6E359BB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pirmąsias 7 paras – po 10 mg du kartus per parą</w:t>
            </w:r>
          </w:p>
        </w:tc>
        <w:tc>
          <w:tcPr>
            <w:tcW w:w="2376" w:type="dxa"/>
          </w:tcPr>
          <w:p w14:paraId="19A4BAF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20 mg</w:t>
            </w:r>
          </w:p>
        </w:tc>
      </w:tr>
      <w:tr w:rsidR="00890384" w14:paraId="6DED56FF" w14:textId="77777777">
        <w:trPr>
          <w:trHeight w:val="429"/>
        </w:trPr>
        <w:tc>
          <w:tcPr>
            <w:tcW w:w="3312" w:type="dxa"/>
            <w:vMerge/>
            <w:tcBorders>
              <w:top w:val="nil"/>
            </w:tcBorders>
          </w:tcPr>
          <w:p w14:paraId="66A51D81" w14:textId="77777777" w:rsidR="00890384" w:rsidRDefault="00890384">
            <w:pPr>
              <w:widowControl w:val="0"/>
              <w:tabs>
                <w:tab w:val="clear" w:pos="567"/>
              </w:tabs>
              <w:autoSpaceDE w:val="0"/>
              <w:autoSpaceDN w:val="0"/>
              <w:spacing w:line="240" w:lineRule="auto"/>
              <w:rPr>
                <w:snapToGrid/>
                <w:szCs w:val="22"/>
                <w:lang w:val="lt-LT"/>
              </w:rPr>
            </w:pPr>
          </w:p>
        </w:tc>
        <w:tc>
          <w:tcPr>
            <w:tcW w:w="3600" w:type="dxa"/>
          </w:tcPr>
          <w:p w14:paraId="6769D49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vėliau – po 5 mg du kartus per parą</w:t>
            </w:r>
          </w:p>
        </w:tc>
        <w:tc>
          <w:tcPr>
            <w:tcW w:w="2376" w:type="dxa"/>
          </w:tcPr>
          <w:p w14:paraId="620ED42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10 mg</w:t>
            </w:r>
          </w:p>
        </w:tc>
      </w:tr>
      <w:tr w:rsidR="00890384" w14:paraId="7CC2C839" w14:textId="77777777">
        <w:trPr>
          <w:trHeight w:val="757"/>
        </w:trPr>
        <w:tc>
          <w:tcPr>
            <w:tcW w:w="3312" w:type="dxa"/>
          </w:tcPr>
          <w:p w14:paraId="452F606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Pasikartojančios GVT ir (arba) PE profilaktika po 6 mėn. trukmės GVT ar PE gydymo kurso</w:t>
            </w:r>
          </w:p>
        </w:tc>
        <w:tc>
          <w:tcPr>
            <w:tcW w:w="3600" w:type="dxa"/>
          </w:tcPr>
          <w:p w14:paraId="4591713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po 2,5 mg du kartus per parą</w:t>
            </w:r>
          </w:p>
        </w:tc>
        <w:tc>
          <w:tcPr>
            <w:tcW w:w="2376" w:type="dxa"/>
          </w:tcPr>
          <w:p w14:paraId="77B1D84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5 mg</w:t>
            </w:r>
          </w:p>
        </w:tc>
      </w:tr>
    </w:tbl>
    <w:p w14:paraId="578827F8" w14:textId="77777777" w:rsidR="00890384" w:rsidRDefault="00890384">
      <w:pPr>
        <w:widowControl w:val="0"/>
        <w:tabs>
          <w:tab w:val="clear" w:pos="567"/>
        </w:tabs>
        <w:autoSpaceDE w:val="0"/>
        <w:autoSpaceDN w:val="0"/>
        <w:spacing w:line="240" w:lineRule="auto"/>
        <w:rPr>
          <w:b/>
          <w:snapToGrid/>
          <w:szCs w:val="22"/>
          <w:lang w:val="lt-LT"/>
        </w:rPr>
      </w:pPr>
    </w:p>
    <w:p w14:paraId="1D72394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Viso gydymo trukmė turi būti parenkama individualiai, atidžiai įvertinus gydymo naudos ir kraujavimo rizikos santykį (žr. 4.4 skyrių).</w:t>
      </w:r>
    </w:p>
    <w:p w14:paraId="420C06A6" w14:textId="77777777" w:rsidR="00890384" w:rsidRDefault="00890384">
      <w:pPr>
        <w:widowControl w:val="0"/>
        <w:tabs>
          <w:tab w:val="clear" w:pos="567"/>
        </w:tabs>
        <w:autoSpaceDE w:val="0"/>
        <w:autoSpaceDN w:val="0"/>
        <w:spacing w:line="240" w:lineRule="auto"/>
      </w:pPr>
    </w:p>
    <w:p w14:paraId="6267EE70" w14:textId="77777777" w:rsidR="00890384" w:rsidRPr="005261E3" w:rsidRDefault="00B26795">
      <w:pPr>
        <w:widowControl w:val="0"/>
        <w:tabs>
          <w:tab w:val="clear" w:pos="567"/>
        </w:tabs>
        <w:autoSpaceDE w:val="0"/>
        <w:autoSpaceDN w:val="0"/>
        <w:spacing w:line="240" w:lineRule="auto"/>
        <w:rPr>
          <w:i/>
          <w:iCs/>
        </w:rPr>
      </w:pPr>
      <w:r w:rsidRPr="005261E3">
        <w:rPr>
          <w:i/>
          <w:iCs/>
        </w:rPr>
        <w:t>VTE gydymas ir VTE pasikartojimo profilaktika pacientams vaikams</w:t>
      </w:r>
    </w:p>
    <w:p w14:paraId="48331A40" w14:textId="1C387B78" w:rsidR="00890384" w:rsidRDefault="00B26795">
      <w:pPr>
        <w:widowControl w:val="0"/>
        <w:tabs>
          <w:tab w:val="clear" w:pos="567"/>
        </w:tabs>
        <w:autoSpaceDE w:val="0"/>
        <w:autoSpaceDN w:val="0"/>
        <w:spacing w:line="240" w:lineRule="auto"/>
      </w:pPr>
      <w:r>
        <w:t>Vaik</w:t>
      </w:r>
      <w:r w:rsidR="00332D39">
        <w:t>ams</w:t>
      </w:r>
      <w:r>
        <w:t xml:space="preserve"> nuo 28 dienų iki mažiau kaip 18 metų, gydymą apiksabanu reikia pradėti po mažiausiai 5 dienų trukmės pradinės parenterinės antikoaguliantų terapijos (žr. 5.1 skyrių).</w:t>
      </w:r>
    </w:p>
    <w:p w14:paraId="6B82E1BD" w14:textId="77777777" w:rsidR="00890384" w:rsidRDefault="00890384">
      <w:pPr>
        <w:widowControl w:val="0"/>
        <w:tabs>
          <w:tab w:val="clear" w:pos="567"/>
        </w:tabs>
        <w:autoSpaceDE w:val="0"/>
        <w:autoSpaceDN w:val="0"/>
        <w:spacing w:line="240" w:lineRule="auto"/>
      </w:pPr>
    </w:p>
    <w:p w14:paraId="171AFD5C" w14:textId="3DE55E98" w:rsidR="00890384" w:rsidRDefault="00B26795">
      <w:pPr>
        <w:widowControl w:val="0"/>
        <w:tabs>
          <w:tab w:val="clear" w:pos="567"/>
        </w:tabs>
        <w:autoSpaceDE w:val="0"/>
        <w:autoSpaceDN w:val="0"/>
        <w:spacing w:line="240" w:lineRule="auto"/>
      </w:pPr>
      <w:r>
        <w:t>Gydant apiksabanu vaikus, dozė parenkama pagal kūno masės kategoriją. Rekomenduojama apiksabano dozė vaikams, kurių kūno masė ≥</w:t>
      </w:r>
      <w:r w:rsidR="00491865">
        <w:t> </w:t>
      </w:r>
      <w:r>
        <w:t>35 kg, pateikta 2 lentelėje.</w:t>
      </w:r>
    </w:p>
    <w:p w14:paraId="35BCFF67" w14:textId="236AC94F" w:rsidR="00890384" w:rsidRPr="005261E3" w:rsidRDefault="00B26795">
      <w:pPr>
        <w:widowControl w:val="0"/>
        <w:tabs>
          <w:tab w:val="clear" w:pos="567"/>
        </w:tabs>
        <w:autoSpaceDE w:val="0"/>
        <w:autoSpaceDN w:val="0"/>
        <w:spacing w:line="240" w:lineRule="auto"/>
        <w:rPr>
          <w:b/>
          <w:bCs/>
          <w:snapToGrid/>
          <w:szCs w:val="22"/>
          <w:lang w:val="lt-LT"/>
        </w:rPr>
      </w:pPr>
      <w:r w:rsidRPr="005261E3">
        <w:rPr>
          <w:b/>
          <w:bCs/>
        </w:rPr>
        <w:t>2</w:t>
      </w:r>
      <w:r>
        <w:rPr>
          <w:b/>
          <w:bCs/>
        </w:rPr>
        <w:t> </w:t>
      </w:r>
      <w:r w:rsidRPr="005261E3">
        <w:rPr>
          <w:b/>
          <w:bCs/>
        </w:rPr>
        <w:t>lentelė. Dozės rekomendacijos VTE gydymui ir VTE pasikartojimo profilaktikai pacientams vaikams, kurių kūno masė ≥</w:t>
      </w:r>
      <w:r w:rsidR="00386523">
        <w:rPr>
          <w:b/>
          <w:bCs/>
        </w:rPr>
        <w:t> </w:t>
      </w:r>
      <w:r w:rsidRPr="005261E3">
        <w:rPr>
          <w:b/>
          <w:bCs/>
        </w:rPr>
        <w:t>35</w:t>
      </w:r>
      <w:r>
        <w:rPr>
          <w:b/>
          <w:bCs/>
        </w:rPr>
        <w:t> </w:t>
      </w:r>
      <w:r w:rsidRPr="005261E3">
        <w:rPr>
          <w:b/>
          <w:bCs/>
        </w:rPr>
        <w:t>kg</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6"/>
        <w:gridCol w:w="1950"/>
        <w:gridCol w:w="1754"/>
        <w:gridCol w:w="1875"/>
        <w:gridCol w:w="1754"/>
      </w:tblGrid>
      <w:tr w:rsidR="00890384" w14:paraId="6B3C07F2" w14:textId="77777777">
        <w:trPr>
          <w:trHeight w:val="307"/>
        </w:trPr>
        <w:tc>
          <w:tcPr>
            <w:tcW w:w="1726" w:type="dxa"/>
          </w:tcPr>
          <w:p w14:paraId="2E9ED0D6" w14:textId="77777777" w:rsidR="00890384" w:rsidRDefault="00890384">
            <w:pPr>
              <w:widowControl w:val="0"/>
              <w:tabs>
                <w:tab w:val="clear" w:pos="567"/>
              </w:tabs>
              <w:spacing w:line="240" w:lineRule="auto"/>
              <w:jc w:val="both"/>
              <w:rPr>
                <w:iCs/>
                <w:snapToGrid/>
                <w:szCs w:val="22"/>
                <w:lang w:val="en-US" w:eastAsia="sl-SI"/>
              </w:rPr>
            </w:pPr>
          </w:p>
        </w:tc>
        <w:tc>
          <w:tcPr>
            <w:tcW w:w="3704" w:type="dxa"/>
            <w:gridSpan w:val="2"/>
          </w:tcPr>
          <w:p w14:paraId="1DBE6C73"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1-7 dienos</w:t>
            </w:r>
          </w:p>
        </w:tc>
        <w:tc>
          <w:tcPr>
            <w:tcW w:w="3629" w:type="dxa"/>
            <w:gridSpan w:val="2"/>
          </w:tcPr>
          <w:p w14:paraId="2D532EED"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8 diena ir vėliau</w:t>
            </w:r>
          </w:p>
        </w:tc>
      </w:tr>
      <w:tr w:rsidR="00890384" w14:paraId="342FA0A7" w14:textId="77777777">
        <w:trPr>
          <w:trHeight w:val="562"/>
        </w:trPr>
        <w:tc>
          <w:tcPr>
            <w:tcW w:w="1726" w:type="dxa"/>
          </w:tcPr>
          <w:p w14:paraId="7909C48C"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Kūno masė (kg)</w:t>
            </w:r>
          </w:p>
        </w:tc>
        <w:tc>
          <w:tcPr>
            <w:tcW w:w="1950" w:type="dxa"/>
          </w:tcPr>
          <w:p w14:paraId="06C635F5"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Dozavimo grafikas</w:t>
            </w:r>
          </w:p>
        </w:tc>
        <w:tc>
          <w:tcPr>
            <w:tcW w:w="1754" w:type="dxa"/>
          </w:tcPr>
          <w:p w14:paraId="7D10BEA8"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Didžiausia paros dozė</w:t>
            </w:r>
          </w:p>
        </w:tc>
        <w:tc>
          <w:tcPr>
            <w:tcW w:w="1875" w:type="dxa"/>
          </w:tcPr>
          <w:p w14:paraId="066F3E40"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Dozavimo grafikas</w:t>
            </w:r>
          </w:p>
        </w:tc>
        <w:tc>
          <w:tcPr>
            <w:tcW w:w="1754" w:type="dxa"/>
          </w:tcPr>
          <w:p w14:paraId="74B3E39B"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Didžiausia paros dozė</w:t>
            </w:r>
          </w:p>
        </w:tc>
      </w:tr>
      <w:tr w:rsidR="00890384" w14:paraId="0554711A" w14:textId="77777777">
        <w:trPr>
          <w:trHeight w:val="309"/>
        </w:trPr>
        <w:tc>
          <w:tcPr>
            <w:tcW w:w="1726" w:type="dxa"/>
          </w:tcPr>
          <w:p w14:paraId="2232FD83" w14:textId="52B9983E"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w:t>
            </w:r>
            <w:r w:rsidR="00533B25">
              <w:rPr>
                <w:iCs/>
                <w:snapToGrid/>
                <w:szCs w:val="22"/>
                <w:lang w:val="en-US" w:eastAsia="sl-SI"/>
              </w:rPr>
              <w:t> </w:t>
            </w:r>
            <w:r>
              <w:rPr>
                <w:iCs/>
                <w:snapToGrid/>
                <w:szCs w:val="22"/>
                <w:lang w:val="en-US" w:eastAsia="sl-SI"/>
              </w:rPr>
              <w:t>35</w:t>
            </w:r>
          </w:p>
        </w:tc>
        <w:tc>
          <w:tcPr>
            <w:tcW w:w="1950" w:type="dxa"/>
          </w:tcPr>
          <w:p w14:paraId="19345213"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10 mg du kartus per parą</w:t>
            </w:r>
          </w:p>
        </w:tc>
        <w:tc>
          <w:tcPr>
            <w:tcW w:w="1754" w:type="dxa"/>
          </w:tcPr>
          <w:p w14:paraId="073D6152"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20 mg</w:t>
            </w:r>
          </w:p>
        </w:tc>
        <w:tc>
          <w:tcPr>
            <w:tcW w:w="1875" w:type="dxa"/>
          </w:tcPr>
          <w:p w14:paraId="58CB4607"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5 mg du kartus per parą</w:t>
            </w:r>
          </w:p>
        </w:tc>
        <w:tc>
          <w:tcPr>
            <w:tcW w:w="1754" w:type="dxa"/>
          </w:tcPr>
          <w:p w14:paraId="094A6013"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10 mg</w:t>
            </w:r>
          </w:p>
        </w:tc>
      </w:tr>
    </w:tbl>
    <w:p w14:paraId="1383AEC4" w14:textId="77777777" w:rsidR="00890384" w:rsidRDefault="00890384">
      <w:pPr>
        <w:widowControl w:val="0"/>
        <w:tabs>
          <w:tab w:val="clear" w:pos="567"/>
        </w:tabs>
        <w:autoSpaceDE w:val="0"/>
        <w:autoSpaceDN w:val="0"/>
        <w:spacing w:line="240" w:lineRule="auto"/>
        <w:rPr>
          <w:snapToGrid/>
          <w:szCs w:val="22"/>
          <w:lang w:val="lt-LT"/>
        </w:rPr>
      </w:pPr>
    </w:p>
    <w:p w14:paraId="3DD45125" w14:textId="735CE3D6" w:rsidR="00890384" w:rsidRDefault="00B26795">
      <w:pPr>
        <w:widowControl w:val="0"/>
        <w:tabs>
          <w:tab w:val="clear" w:pos="567"/>
        </w:tabs>
        <w:autoSpaceDE w:val="0"/>
        <w:autoSpaceDN w:val="0"/>
        <w:spacing w:line="240" w:lineRule="auto"/>
      </w:pPr>
      <w:r>
        <w:t>Dėl vaikų, kurių kūno masė &lt; 35 kg, žr. Aboxoma granulių atidaromose kapsulėse preparato charakteristikų santrauką ir Aboxoma dengtų granulių paketėlyje preparato charakteristikų santrauką.</w:t>
      </w:r>
    </w:p>
    <w:p w14:paraId="1539DE46" w14:textId="77777777" w:rsidR="00890384" w:rsidRDefault="00890384">
      <w:pPr>
        <w:widowControl w:val="0"/>
        <w:tabs>
          <w:tab w:val="clear" w:pos="567"/>
        </w:tabs>
        <w:autoSpaceDE w:val="0"/>
        <w:autoSpaceDN w:val="0"/>
        <w:spacing w:line="240" w:lineRule="auto"/>
      </w:pPr>
    </w:p>
    <w:p w14:paraId="6810D122" w14:textId="77777777" w:rsidR="00890384" w:rsidRDefault="00B26795">
      <w:pPr>
        <w:widowControl w:val="0"/>
        <w:tabs>
          <w:tab w:val="clear" w:pos="567"/>
        </w:tabs>
        <w:autoSpaceDE w:val="0"/>
        <w:autoSpaceDN w:val="0"/>
        <w:spacing w:line="240" w:lineRule="auto"/>
        <w:rPr>
          <w:snapToGrid/>
          <w:szCs w:val="22"/>
          <w:lang w:val="lt-LT"/>
        </w:rPr>
      </w:pPr>
      <w:r>
        <w:t>Remiantis vaikų populiacijai skirtomis VTE gydymo gairėmis, viso gydymo trukmė turi būti parenkama individualiai, atidžiai įvertinus gydymo naudos ir kraujavimo rizikos santykį (žr. 4.4 skyrių).</w:t>
      </w:r>
    </w:p>
    <w:p w14:paraId="6833FDE9" w14:textId="77777777" w:rsidR="00890384" w:rsidRDefault="00890384">
      <w:pPr>
        <w:widowControl w:val="0"/>
        <w:tabs>
          <w:tab w:val="clear" w:pos="567"/>
        </w:tabs>
        <w:autoSpaceDE w:val="0"/>
        <w:autoSpaceDN w:val="0"/>
        <w:spacing w:line="240" w:lineRule="auto"/>
        <w:rPr>
          <w:snapToGrid/>
          <w:szCs w:val="22"/>
          <w:lang w:val="lt-LT"/>
        </w:rPr>
      </w:pPr>
    </w:p>
    <w:p w14:paraId="2DA0B773"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Praleista dozė suaugusiems ir vaikams</w:t>
      </w:r>
    </w:p>
    <w:p w14:paraId="6F2A52B0" w14:textId="28931916" w:rsidR="00890384" w:rsidRDefault="00B26795">
      <w:pPr>
        <w:widowControl w:val="0"/>
        <w:tabs>
          <w:tab w:val="clear" w:pos="567"/>
        </w:tabs>
        <w:autoSpaceDE w:val="0"/>
        <w:autoSpaceDN w:val="0"/>
        <w:spacing w:line="240" w:lineRule="auto"/>
        <w:rPr>
          <w:snapToGrid/>
          <w:szCs w:val="22"/>
          <w:lang w:val="lt-LT"/>
        </w:rPr>
      </w:pPr>
      <w: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45B329FD"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Gydymo keitimas</w:t>
      </w:r>
    </w:p>
    <w:p w14:paraId="055EB91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Gydymą parenteriniu būdu vartojamais antikoaguliantais į gydymą </w:t>
      </w:r>
      <w:r>
        <w:rPr>
          <w:snapToGrid/>
          <w:color w:val="000000"/>
          <w:szCs w:val="22"/>
          <w:lang w:val="lt-LT"/>
        </w:rPr>
        <w:t>Aboxoma</w:t>
      </w:r>
      <w:r>
        <w:rPr>
          <w:snapToGrid/>
          <w:szCs w:val="22"/>
          <w:lang w:val="lt-LT"/>
        </w:rPr>
        <w:t xml:space="preserve"> (ir atvirkščiai) galima pakeisti atėjus kitos planinės dozės vartojimo laikui (žr. 4.5 skyrių). Šie vaistiniai preparatai neturi būti skiriami kartu.</w:t>
      </w:r>
    </w:p>
    <w:p w14:paraId="1DEF433B" w14:textId="77777777" w:rsidR="00890384" w:rsidRDefault="00890384">
      <w:pPr>
        <w:widowControl w:val="0"/>
        <w:tabs>
          <w:tab w:val="clear" w:pos="567"/>
        </w:tabs>
        <w:autoSpaceDE w:val="0"/>
        <w:autoSpaceDN w:val="0"/>
        <w:spacing w:line="240" w:lineRule="auto"/>
        <w:rPr>
          <w:snapToGrid/>
          <w:szCs w:val="22"/>
          <w:lang w:val="lt-LT"/>
        </w:rPr>
      </w:pPr>
    </w:p>
    <w:p w14:paraId="7EF2F7C9"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 xml:space="preserve">Gydymo vitamino K antagonistu (VKA) keitimas į gydymą </w:t>
      </w:r>
      <w:r>
        <w:rPr>
          <w:i/>
          <w:snapToGrid/>
          <w:color w:val="000000"/>
          <w:szCs w:val="22"/>
          <w:lang w:val="lt-LT"/>
        </w:rPr>
        <w:t>Aboxoma</w:t>
      </w:r>
    </w:p>
    <w:p w14:paraId="4A18D38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Paciento gydymą vitamino K antagonistu (VKA) keičiant į gydymą </w:t>
      </w:r>
      <w:r>
        <w:rPr>
          <w:snapToGrid/>
          <w:color w:val="000000"/>
          <w:szCs w:val="22"/>
          <w:lang w:val="lt-LT"/>
        </w:rPr>
        <w:t>Aboxoma</w:t>
      </w:r>
      <w:r>
        <w:rPr>
          <w:snapToGrid/>
          <w:szCs w:val="22"/>
          <w:lang w:val="lt-LT"/>
        </w:rPr>
        <w:t xml:space="preserve">, reikia nutraukti gydymą varfarinu arba kitu VKA ir pradėti vartoti </w:t>
      </w:r>
      <w:r>
        <w:rPr>
          <w:snapToGrid/>
          <w:color w:val="000000"/>
          <w:szCs w:val="22"/>
          <w:lang w:val="lt-LT"/>
        </w:rPr>
        <w:t>Aboxoma</w:t>
      </w:r>
      <w:r>
        <w:rPr>
          <w:snapToGrid/>
          <w:szCs w:val="22"/>
          <w:lang w:val="lt-LT"/>
        </w:rPr>
        <w:t>, kai tarptautinis normalizuotasis santykis (TNS) yra &lt; 2.</w:t>
      </w:r>
    </w:p>
    <w:p w14:paraId="3578BA0A" w14:textId="77777777" w:rsidR="00890384" w:rsidRDefault="00890384">
      <w:pPr>
        <w:widowControl w:val="0"/>
        <w:tabs>
          <w:tab w:val="clear" w:pos="567"/>
        </w:tabs>
        <w:autoSpaceDE w:val="0"/>
        <w:autoSpaceDN w:val="0"/>
        <w:spacing w:line="240" w:lineRule="auto"/>
        <w:rPr>
          <w:snapToGrid/>
          <w:szCs w:val="22"/>
          <w:lang w:val="lt-LT"/>
        </w:rPr>
      </w:pPr>
    </w:p>
    <w:p w14:paraId="7385E819"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 xml:space="preserve">Gydymo </w:t>
      </w:r>
      <w:r>
        <w:rPr>
          <w:i/>
          <w:snapToGrid/>
          <w:color w:val="000000"/>
          <w:szCs w:val="22"/>
          <w:lang w:val="lt-LT"/>
        </w:rPr>
        <w:t>Aboxoma</w:t>
      </w:r>
      <w:r>
        <w:rPr>
          <w:i/>
          <w:snapToGrid/>
          <w:szCs w:val="22"/>
          <w:lang w:val="lt-LT"/>
        </w:rPr>
        <w:t xml:space="preserve"> keitimas į gydymą VKA</w:t>
      </w:r>
    </w:p>
    <w:p w14:paraId="7325F87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Paciento gydymą </w:t>
      </w:r>
      <w:r>
        <w:rPr>
          <w:snapToGrid/>
          <w:color w:val="000000"/>
          <w:szCs w:val="22"/>
          <w:lang w:val="lt-LT"/>
        </w:rPr>
        <w:t>Aboxoma</w:t>
      </w:r>
      <w:r>
        <w:rPr>
          <w:snapToGrid/>
          <w:szCs w:val="22"/>
          <w:lang w:val="lt-LT"/>
        </w:rPr>
        <w:t xml:space="preserve"> keičiant į gydymą VKA, reikia ir toliau vartoti </w:t>
      </w:r>
      <w:r>
        <w:rPr>
          <w:snapToGrid/>
          <w:color w:val="000000"/>
          <w:szCs w:val="22"/>
          <w:lang w:val="lt-LT"/>
        </w:rPr>
        <w:t>Aboxoma</w:t>
      </w:r>
      <w:r>
        <w:rPr>
          <w:snapToGrid/>
          <w:szCs w:val="22"/>
          <w:lang w:val="lt-LT"/>
        </w:rPr>
        <w:t xml:space="preserve"> ne trumpiau kaip 2 paras po to, kai pradedamas gydymas VKA. Po 2 </w:t>
      </w:r>
      <w:r>
        <w:rPr>
          <w:snapToGrid/>
          <w:color w:val="000000"/>
          <w:szCs w:val="22"/>
          <w:lang w:val="lt-LT"/>
        </w:rPr>
        <w:t>Aboxoma</w:t>
      </w:r>
      <w:r>
        <w:rPr>
          <w:snapToGrid/>
          <w:szCs w:val="22"/>
          <w:lang w:val="lt-LT"/>
        </w:rPr>
        <w:t xml:space="preserve"> vartojimo kartu su VKA parų, prieš vartojant kitą planinę </w:t>
      </w:r>
      <w:r>
        <w:rPr>
          <w:snapToGrid/>
          <w:color w:val="000000"/>
          <w:szCs w:val="22"/>
          <w:lang w:val="lt-LT"/>
        </w:rPr>
        <w:t>Aboxoma</w:t>
      </w:r>
      <w:r>
        <w:rPr>
          <w:snapToGrid/>
          <w:szCs w:val="22"/>
          <w:lang w:val="lt-LT"/>
        </w:rPr>
        <w:t xml:space="preserve"> dozę, reikia nustatyti TNS. </w:t>
      </w:r>
      <w:r>
        <w:rPr>
          <w:snapToGrid/>
          <w:color w:val="000000"/>
          <w:szCs w:val="22"/>
          <w:lang w:val="lt-LT"/>
        </w:rPr>
        <w:t>Aboxoma</w:t>
      </w:r>
      <w:r>
        <w:rPr>
          <w:snapToGrid/>
          <w:szCs w:val="22"/>
          <w:lang w:val="lt-LT"/>
        </w:rPr>
        <w:t xml:space="preserve"> vartoti kartu su VKA reikia tol, kol TNS taps ≥ 2.</w:t>
      </w:r>
    </w:p>
    <w:p w14:paraId="12B926E0" w14:textId="77777777" w:rsidR="00890384" w:rsidRDefault="00890384">
      <w:pPr>
        <w:widowControl w:val="0"/>
        <w:tabs>
          <w:tab w:val="clear" w:pos="567"/>
        </w:tabs>
        <w:autoSpaceDE w:val="0"/>
        <w:autoSpaceDN w:val="0"/>
        <w:spacing w:line="240" w:lineRule="auto"/>
        <w:rPr>
          <w:i/>
          <w:snapToGrid/>
          <w:szCs w:val="22"/>
          <w:u w:val="single"/>
          <w:lang w:val="lt-LT"/>
        </w:rPr>
      </w:pPr>
    </w:p>
    <w:p w14:paraId="641523C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Senyviems pacientams</w:t>
      </w:r>
    </w:p>
    <w:p w14:paraId="1A0AA9A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VTEp ir VTEt. Dozės koreguoti nereikia (žr. 4.4 ir 5.2 skyrius).</w:t>
      </w:r>
    </w:p>
    <w:p w14:paraId="261AC754" w14:textId="77777777" w:rsidR="00890384" w:rsidRDefault="00890384">
      <w:pPr>
        <w:widowControl w:val="0"/>
        <w:tabs>
          <w:tab w:val="clear" w:pos="567"/>
        </w:tabs>
        <w:autoSpaceDE w:val="0"/>
        <w:autoSpaceDN w:val="0"/>
        <w:spacing w:line="240" w:lineRule="auto"/>
        <w:rPr>
          <w:snapToGrid/>
          <w:szCs w:val="22"/>
          <w:lang w:val="lt-LT"/>
        </w:rPr>
      </w:pPr>
    </w:p>
    <w:p w14:paraId="6C5DB7A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„Dozės mažinimas“).</w:t>
      </w:r>
    </w:p>
    <w:p w14:paraId="625C8A11" w14:textId="77777777" w:rsidR="00890384" w:rsidRDefault="00890384">
      <w:pPr>
        <w:widowControl w:val="0"/>
        <w:tabs>
          <w:tab w:val="clear" w:pos="567"/>
        </w:tabs>
        <w:autoSpaceDE w:val="0"/>
        <w:autoSpaceDN w:val="0"/>
        <w:spacing w:line="240" w:lineRule="auto"/>
        <w:rPr>
          <w:snapToGrid/>
          <w:szCs w:val="22"/>
          <w:lang w:val="lt-LT"/>
        </w:rPr>
      </w:pPr>
    </w:p>
    <w:p w14:paraId="132991C2" w14:textId="77777777"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kurių inkstų funkcija sutrikusi</w:t>
      </w:r>
    </w:p>
    <w:p w14:paraId="61053FA2" w14:textId="77777777" w:rsidR="00390C36" w:rsidRDefault="00390C36">
      <w:pPr>
        <w:widowControl w:val="0"/>
        <w:tabs>
          <w:tab w:val="clear" w:pos="567"/>
        </w:tabs>
        <w:autoSpaceDE w:val="0"/>
        <w:autoSpaceDN w:val="0"/>
        <w:spacing w:line="240" w:lineRule="auto"/>
        <w:rPr>
          <w:i/>
          <w:snapToGrid/>
          <w:szCs w:val="22"/>
          <w:lang w:val="lt-LT"/>
        </w:rPr>
      </w:pPr>
    </w:p>
    <w:p w14:paraId="3CC98250" w14:textId="77777777" w:rsidR="00890384" w:rsidRPr="005261E3" w:rsidRDefault="00B26795">
      <w:pPr>
        <w:widowControl w:val="0"/>
        <w:tabs>
          <w:tab w:val="clear" w:pos="567"/>
        </w:tabs>
        <w:autoSpaceDE w:val="0"/>
        <w:autoSpaceDN w:val="0"/>
        <w:spacing w:line="240" w:lineRule="auto"/>
        <w:rPr>
          <w:i/>
          <w:iCs/>
        </w:rPr>
      </w:pPr>
      <w:r w:rsidRPr="005261E3">
        <w:rPr>
          <w:i/>
          <w:iCs/>
        </w:rPr>
        <w:t>Suaugę pacientai</w:t>
      </w:r>
    </w:p>
    <w:p w14:paraId="199911CE" w14:textId="2E362D58"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Suaugusiems pacientams, kuriems yra lengvas arba vidutinio sunkumo inkstų funkcijos sutrikimas, taikomos šios rekomendacijos:</w:t>
      </w:r>
    </w:p>
    <w:p w14:paraId="204CBE0A" w14:textId="77777777" w:rsidR="00890384" w:rsidRDefault="00890384">
      <w:pPr>
        <w:widowControl w:val="0"/>
        <w:tabs>
          <w:tab w:val="clear" w:pos="567"/>
        </w:tabs>
        <w:autoSpaceDE w:val="0"/>
        <w:autoSpaceDN w:val="0"/>
        <w:spacing w:line="240" w:lineRule="auto"/>
        <w:rPr>
          <w:snapToGrid/>
          <w:szCs w:val="22"/>
          <w:lang w:val="lt-LT"/>
        </w:rPr>
      </w:pPr>
    </w:p>
    <w:p w14:paraId="3B2353EF" w14:textId="77777777" w:rsidR="00890384" w:rsidRDefault="00B26795">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(VTEp), GVT gydymui, PE gydymui ir pasikartojančios GVT ir PE profilaktikai (VTEt) dozės koreguoti nereikia (žr. 5.2 skyrių);</w:t>
      </w:r>
    </w:p>
    <w:p w14:paraId="5557CA8B" w14:textId="77777777" w:rsidR="00890384" w:rsidRDefault="00890384">
      <w:pPr>
        <w:widowControl w:val="0"/>
        <w:tabs>
          <w:tab w:val="clear" w:pos="567"/>
        </w:tabs>
        <w:autoSpaceDE w:val="0"/>
        <w:autoSpaceDN w:val="0"/>
        <w:spacing w:line="240" w:lineRule="auto"/>
        <w:rPr>
          <w:snapToGrid/>
          <w:szCs w:val="22"/>
          <w:lang w:val="lt-LT"/>
        </w:rPr>
      </w:pPr>
    </w:p>
    <w:p w14:paraId="240224B8" w14:textId="77777777" w:rsidR="00890384" w:rsidRDefault="00B26795">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o kreatinino koncentracija kraujo serume yra ≥ 1,5 mg/dl (133 mikromoliai/l) ir jiems yra ≥ 80 metų arba jų kūno svoris ≤ 60 kg, dozę reikia sumažinti, kaip aprašyta pirmiau. Jeigu kitų kriterijų dozei sumažinti nėra (amžius, kūno svoris), dozės koreguoti nereikia (žr. 5.2 skyrių).</w:t>
      </w:r>
    </w:p>
    <w:p w14:paraId="014761BE" w14:textId="77777777" w:rsidR="00890384" w:rsidRDefault="00890384">
      <w:pPr>
        <w:widowControl w:val="0"/>
        <w:tabs>
          <w:tab w:val="clear" w:pos="567"/>
        </w:tabs>
        <w:autoSpaceDE w:val="0"/>
        <w:autoSpaceDN w:val="0"/>
        <w:spacing w:line="240" w:lineRule="auto"/>
        <w:rPr>
          <w:snapToGrid/>
          <w:szCs w:val="22"/>
          <w:lang w:val="lt-LT"/>
        </w:rPr>
      </w:pPr>
    </w:p>
    <w:p w14:paraId="2A7D60A9" w14:textId="6F766654" w:rsidR="00890384" w:rsidRDefault="007A4F90">
      <w:pPr>
        <w:widowControl w:val="0"/>
        <w:tabs>
          <w:tab w:val="clear" w:pos="567"/>
        </w:tabs>
        <w:autoSpaceDE w:val="0"/>
        <w:autoSpaceDN w:val="0"/>
        <w:spacing w:line="240" w:lineRule="auto"/>
        <w:rPr>
          <w:snapToGrid/>
          <w:szCs w:val="22"/>
          <w:lang w:val="lt-LT"/>
        </w:rPr>
      </w:pPr>
      <w:r>
        <w:rPr>
          <w:snapToGrid/>
          <w:szCs w:val="22"/>
          <w:lang w:val="lt-LT"/>
        </w:rPr>
        <w:t>Suaugusiems p</w:t>
      </w:r>
      <w:r w:rsidR="00B26795">
        <w:rPr>
          <w:snapToGrid/>
          <w:szCs w:val="22"/>
          <w:lang w:val="lt-LT"/>
        </w:rPr>
        <w:t>acientams, kuriems yra sunkus inkstų funkcijos sutrikimas (kreatinino klirensas 15</w:t>
      </w:r>
      <w:r w:rsidR="00B26795">
        <w:rPr>
          <w:snapToGrid/>
          <w:szCs w:val="22"/>
          <w:lang w:val="lt-LT"/>
        </w:rPr>
        <w:noBreakHyphen/>
        <w:t>29 ml/min.), taikomos šios rekomendacijos (žr. 4.4 ir 5.2 skyrius):</w:t>
      </w:r>
    </w:p>
    <w:p w14:paraId="26F1F46F" w14:textId="77777777" w:rsidR="00890384" w:rsidRDefault="00890384">
      <w:pPr>
        <w:widowControl w:val="0"/>
        <w:tabs>
          <w:tab w:val="clear" w:pos="567"/>
        </w:tabs>
        <w:autoSpaceDE w:val="0"/>
        <w:autoSpaceDN w:val="0"/>
        <w:spacing w:line="240" w:lineRule="auto"/>
        <w:rPr>
          <w:snapToGrid/>
          <w:szCs w:val="22"/>
          <w:lang w:val="lt-LT"/>
        </w:rPr>
      </w:pPr>
    </w:p>
    <w:p w14:paraId="2B3B1EC7" w14:textId="77777777" w:rsidR="00890384" w:rsidRDefault="00B26795">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(VTEp), GVT gydymui, PE gydymui ir pasikartojančios GVT ir PE profilaktikai (VTEt) apiksabaną reikia vartoti atsargiai;</w:t>
      </w:r>
    </w:p>
    <w:p w14:paraId="16188F53" w14:textId="77777777" w:rsidR="00890384" w:rsidRDefault="00890384">
      <w:pPr>
        <w:widowControl w:val="0"/>
        <w:tabs>
          <w:tab w:val="clear" w:pos="567"/>
        </w:tabs>
        <w:autoSpaceDE w:val="0"/>
        <w:autoSpaceDN w:val="0"/>
        <w:spacing w:line="240" w:lineRule="auto"/>
        <w:rPr>
          <w:snapToGrid/>
          <w:szCs w:val="22"/>
          <w:lang w:val="lt-LT"/>
        </w:rPr>
      </w:pPr>
    </w:p>
    <w:p w14:paraId="473F28DF" w14:textId="77777777" w:rsidR="00890384" w:rsidRDefault="00B26795">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reikia skirti mažesniąją 2,5 mg apiksabano dozę du kartus per parą.</w:t>
      </w:r>
    </w:p>
    <w:p w14:paraId="5D0FE0AB" w14:textId="77777777" w:rsidR="00890384" w:rsidRDefault="00890384">
      <w:pPr>
        <w:widowControl w:val="0"/>
        <w:tabs>
          <w:tab w:val="clear" w:pos="567"/>
        </w:tabs>
        <w:autoSpaceDE w:val="0"/>
        <w:autoSpaceDN w:val="0"/>
        <w:spacing w:line="240" w:lineRule="auto"/>
        <w:rPr>
          <w:snapToGrid/>
          <w:szCs w:val="22"/>
          <w:lang w:val="lt-LT"/>
        </w:rPr>
      </w:pPr>
    </w:p>
    <w:p w14:paraId="452AE69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Pacientų, kurių kreatinino klirensas yra &lt; 15 ml/min. ar kuriems atliekamos dializės, gydymo šiuo vaistiniu preparatu patirties nėra, todėl jiems apiksabano vartoti nerekomenduojama (žr. 4.4 ir 5.2 skyrius).</w:t>
      </w:r>
    </w:p>
    <w:p w14:paraId="19DE4E30" w14:textId="77777777" w:rsidR="00890384" w:rsidRDefault="00890384">
      <w:pPr>
        <w:widowControl w:val="0"/>
        <w:tabs>
          <w:tab w:val="clear" w:pos="567"/>
        </w:tabs>
        <w:autoSpaceDE w:val="0"/>
        <w:autoSpaceDN w:val="0"/>
        <w:spacing w:line="240" w:lineRule="auto"/>
      </w:pPr>
    </w:p>
    <w:p w14:paraId="006A348C" w14:textId="77777777" w:rsidR="00890384" w:rsidRPr="005261E3" w:rsidRDefault="00B26795">
      <w:pPr>
        <w:widowControl w:val="0"/>
        <w:tabs>
          <w:tab w:val="clear" w:pos="567"/>
        </w:tabs>
        <w:autoSpaceDE w:val="0"/>
        <w:autoSpaceDN w:val="0"/>
        <w:spacing w:line="240" w:lineRule="auto"/>
        <w:rPr>
          <w:i/>
          <w:iCs/>
        </w:rPr>
      </w:pPr>
      <w:r w:rsidRPr="005261E3">
        <w:rPr>
          <w:i/>
          <w:iCs/>
        </w:rPr>
        <w:t>Vaikų populiacija</w:t>
      </w:r>
    </w:p>
    <w:p w14:paraId="056E9FAD" w14:textId="77777777" w:rsidR="00890384" w:rsidRDefault="00B26795">
      <w:pPr>
        <w:widowControl w:val="0"/>
        <w:tabs>
          <w:tab w:val="clear" w:pos="567"/>
        </w:tabs>
        <w:autoSpaceDE w:val="0"/>
        <w:autoSpaceDN w:val="0"/>
        <w:spacing w:line="240" w:lineRule="auto"/>
      </w:pPr>
      <w:r>
        <w:t xml:space="preserve">Remiantis duomenimis apie suaugusiuosius ir ribotais duomenimis apie pacientus vaikus (žr. 5.2 skyrių), dozės nereikia koreguoti pacientams vaikams, kurių inkstų funkcijos sutrikimas yra lengvas arba vidutinio sunkumo. </w:t>
      </w:r>
      <w:r>
        <w:lastRenderedPageBreak/>
        <w:t>Apiksabano nerekomenduojama vartoti pacientams vaikams, kuriems yra sunkus inkstų funkcijos sutrikimas (žr. 4.4 skyrių).</w:t>
      </w:r>
    </w:p>
    <w:p w14:paraId="7FF067E4" w14:textId="77777777" w:rsidR="00890384" w:rsidRDefault="00890384">
      <w:pPr>
        <w:widowControl w:val="0"/>
        <w:tabs>
          <w:tab w:val="clear" w:pos="567"/>
        </w:tabs>
        <w:autoSpaceDE w:val="0"/>
        <w:autoSpaceDN w:val="0"/>
        <w:spacing w:line="240" w:lineRule="auto"/>
        <w:rPr>
          <w:snapToGrid/>
          <w:szCs w:val="22"/>
          <w:lang w:val="lt-LT"/>
        </w:rPr>
      </w:pPr>
    </w:p>
    <w:p w14:paraId="44CE9C6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kurių kepenų funkcija sutrikusi</w:t>
      </w:r>
    </w:p>
    <w:p w14:paraId="455419A1"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negalima vartoti suaugusiems pacientams, kurie serga su koaguliopatija ar kliniškai reikšminga kraujavimo rizika susijusia kepenų liga (žr. 4.3 skyrių).</w:t>
      </w:r>
    </w:p>
    <w:p w14:paraId="4667FE05" w14:textId="77777777" w:rsidR="00890384" w:rsidRDefault="00890384">
      <w:pPr>
        <w:widowControl w:val="0"/>
        <w:tabs>
          <w:tab w:val="clear" w:pos="567"/>
        </w:tabs>
        <w:autoSpaceDE w:val="0"/>
        <w:autoSpaceDN w:val="0"/>
        <w:spacing w:line="240" w:lineRule="auto"/>
        <w:rPr>
          <w:snapToGrid/>
          <w:szCs w:val="22"/>
          <w:lang w:val="lt-LT"/>
        </w:rPr>
      </w:pPr>
    </w:p>
    <w:p w14:paraId="1E88D91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4.4 ir 5.2 skyrius).</w:t>
      </w:r>
    </w:p>
    <w:p w14:paraId="02FC0D16" w14:textId="77777777" w:rsidR="00890384" w:rsidRDefault="00890384">
      <w:pPr>
        <w:widowControl w:val="0"/>
        <w:tabs>
          <w:tab w:val="clear" w:pos="567"/>
        </w:tabs>
        <w:autoSpaceDE w:val="0"/>
        <w:autoSpaceDN w:val="0"/>
        <w:spacing w:line="240" w:lineRule="auto"/>
        <w:rPr>
          <w:snapToGrid/>
          <w:szCs w:val="22"/>
          <w:lang w:val="lt-LT"/>
        </w:rPr>
      </w:pPr>
    </w:p>
    <w:p w14:paraId="1A8EC96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Vaistinio preparato reikia atsargiai vartoti pacientams, kuriems yra lengvas ar vidutinio sunkumo kepenų funkcijos sutrikimas (A arba B klasės pagal </w:t>
      </w:r>
      <w:r>
        <w:rPr>
          <w:i/>
          <w:snapToGrid/>
          <w:szCs w:val="22"/>
          <w:lang w:val="lt-LT"/>
        </w:rPr>
        <w:t>Child Pugh</w:t>
      </w:r>
      <w:r>
        <w:rPr>
          <w:snapToGrid/>
          <w:szCs w:val="22"/>
          <w:lang w:val="lt-LT"/>
        </w:rPr>
        <w:t>). Pacientams, kuriems yra lengvas ar vidutinio sunkumo kepenų funkcijos sutrikimas, vaistinio preparato dozės koreguoti nereikia (žr. 4.4 ir 5.2 skyrius).</w:t>
      </w:r>
    </w:p>
    <w:p w14:paraId="72D1480A" w14:textId="77777777" w:rsidR="00890384" w:rsidRDefault="00890384">
      <w:pPr>
        <w:widowControl w:val="0"/>
        <w:tabs>
          <w:tab w:val="clear" w:pos="567"/>
        </w:tabs>
        <w:autoSpaceDE w:val="0"/>
        <w:autoSpaceDN w:val="0"/>
        <w:spacing w:line="240" w:lineRule="auto"/>
        <w:rPr>
          <w:snapToGrid/>
          <w:szCs w:val="22"/>
          <w:lang w:val="lt-LT"/>
        </w:rPr>
      </w:pPr>
    </w:p>
    <w:p w14:paraId="61C58D6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(alaninaminotransferazės (ALT) / aspartataminotransferazės (AST) aktyvumas buvo &gt; 2 x VNR (viršutinė normos riba) arba bendrojo bilirubino koncentracija buvo ≥ 1,5 x VNR), nebuvo įtraukti į klinikinius tyrimus. Todėl šiems pacientams </w:t>
      </w:r>
      <w:r>
        <w:rPr>
          <w:snapToGrid/>
          <w:color w:val="000000"/>
          <w:szCs w:val="22"/>
          <w:lang w:val="lt-LT"/>
        </w:rPr>
        <w:t>Aboxoma</w:t>
      </w:r>
      <w:r>
        <w:rPr>
          <w:snapToGrid/>
          <w:szCs w:val="22"/>
          <w:lang w:val="lt-LT"/>
        </w:rPr>
        <w:t xml:space="preserve"> reikia vartoti atsargiai (žr. 4.4 ir 5.2 skyrius). Prieš pradedant vartoti </w:t>
      </w:r>
      <w:r>
        <w:rPr>
          <w:snapToGrid/>
          <w:color w:val="000000"/>
          <w:szCs w:val="22"/>
          <w:lang w:val="lt-LT"/>
        </w:rPr>
        <w:t>Aboxoma</w:t>
      </w:r>
      <w:r>
        <w:rPr>
          <w:snapToGrid/>
          <w:szCs w:val="22"/>
          <w:lang w:val="lt-LT"/>
        </w:rPr>
        <w:t>, reikia atlikti kepenų funkcijos tyrimus.</w:t>
      </w:r>
    </w:p>
    <w:p w14:paraId="72CDDC37" w14:textId="77777777" w:rsidR="00890384" w:rsidRPr="006543BC" w:rsidRDefault="00890384">
      <w:pPr>
        <w:widowControl w:val="0"/>
        <w:tabs>
          <w:tab w:val="clear" w:pos="567"/>
        </w:tabs>
        <w:autoSpaceDE w:val="0"/>
        <w:autoSpaceDN w:val="0"/>
        <w:spacing w:line="240" w:lineRule="auto"/>
        <w:rPr>
          <w:iCs/>
        </w:rPr>
      </w:pPr>
    </w:p>
    <w:p w14:paraId="31199AEE" w14:textId="2C408ACB" w:rsidR="006543BC" w:rsidRPr="005261E3" w:rsidRDefault="006543BC" w:rsidP="006543BC">
      <w:pPr>
        <w:pStyle w:val="Pagrindinistekstas"/>
        <w:rPr>
          <w:i w:val="0"/>
          <w:iCs/>
          <w:lang w:val="lt-LT"/>
        </w:rPr>
      </w:pPr>
      <w:r w:rsidRPr="005261E3">
        <w:rPr>
          <w:i w:val="0"/>
          <w:iCs/>
          <w:lang w:val="lt-LT"/>
        </w:rPr>
        <w:t>Vaikams, kurių kepenų funkcija sutrikusi, apiksabano poveikis neištirtas.</w:t>
      </w:r>
    </w:p>
    <w:p w14:paraId="57DCEF22" w14:textId="77777777" w:rsidR="00890384" w:rsidRDefault="00890384">
      <w:pPr>
        <w:widowControl w:val="0"/>
        <w:tabs>
          <w:tab w:val="clear" w:pos="567"/>
        </w:tabs>
        <w:autoSpaceDE w:val="0"/>
        <w:autoSpaceDN w:val="0"/>
        <w:spacing w:line="240" w:lineRule="auto"/>
        <w:rPr>
          <w:snapToGrid/>
          <w:szCs w:val="22"/>
          <w:lang w:val="lt-LT"/>
        </w:rPr>
      </w:pPr>
    </w:p>
    <w:p w14:paraId="51CED54D"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Kūno svoris</w:t>
      </w:r>
    </w:p>
    <w:p w14:paraId="06D9BEAC" w14:textId="10EA36EE"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VTEp ir VTEt. Suaugusie</w:t>
      </w:r>
      <w:r w:rsidR="008F0618">
        <w:rPr>
          <w:snapToGrid/>
          <w:szCs w:val="22"/>
          <w:lang w:val="lt-LT"/>
        </w:rPr>
        <w:t>siems</w:t>
      </w:r>
      <w:r>
        <w:rPr>
          <w:snapToGrid/>
          <w:szCs w:val="22"/>
          <w:lang w:val="lt-LT"/>
        </w:rPr>
        <w:t xml:space="preserve"> dozės koreguoti nereikia (žr. 4.4 ir 5.2 skyrius).</w:t>
      </w:r>
    </w:p>
    <w:p w14:paraId="6A747BD6" w14:textId="77777777" w:rsidR="00890384" w:rsidRDefault="00890384">
      <w:pPr>
        <w:widowControl w:val="0"/>
        <w:tabs>
          <w:tab w:val="clear" w:pos="567"/>
        </w:tabs>
        <w:autoSpaceDE w:val="0"/>
        <w:autoSpaceDN w:val="0"/>
        <w:spacing w:line="240" w:lineRule="auto"/>
        <w:rPr>
          <w:snapToGrid/>
          <w:szCs w:val="22"/>
          <w:lang w:val="lt-LT"/>
        </w:rPr>
      </w:pPr>
    </w:p>
    <w:p w14:paraId="11BFB92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w:t>
      </w:r>
      <w:r>
        <w:rPr>
          <w:i/>
          <w:snapToGrid/>
          <w:szCs w:val="22"/>
          <w:lang w:val="lt-LT"/>
        </w:rPr>
        <w:t>Dozės mažinimas</w:t>
      </w:r>
      <w:r>
        <w:rPr>
          <w:snapToGrid/>
          <w:szCs w:val="22"/>
          <w:lang w:val="lt-LT"/>
        </w:rPr>
        <w:t>“).</w:t>
      </w:r>
    </w:p>
    <w:p w14:paraId="032EE30A" w14:textId="77777777" w:rsidR="00890384" w:rsidRDefault="00890384">
      <w:pPr>
        <w:widowControl w:val="0"/>
        <w:tabs>
          <w:tab w:val="clear" w:pos="567"/>
        </w:tabs>
        <w:autoSpaceDE w:val="0"/>
        <w:autoSpaceDN w:val="0"/>
        <w:spacing w:line="240" w:lineRule="auto"/>
      </w:pPr>
    </w:p>
    <w:p w14:paraId="061E7B3F" w14:textId="044A0B73" w:rsidR="00890384" w:rsidRDefault="00B26795">
      <w:pPr>
        <w:widowControl w:val="0"/>
        <w:tabs>
          <w:tab w:val="clear" w:pos="567"/>
        </w:tabs>
        <w:autoSpaceDE w:val="0"/>
        <w:autoSpaceDN w:val="0"/>
        <w:spacing w:line="240" w:lineRule="auto"/>
        <w:rPr>
          <w:i/>
          <w:snapToGrid/>
          <w:szCs w:val="22"/>
          <w:u w:val="single"/>
          <w:lang w:val="lt-LT"/>
        </w:rPr>
      </w:pPr>
      <w:r>
        <w:t>Apiksabano skyrimas vaikams yra pagrįstas fiksuotos dozės pagal kūno masės kategoriją režimu (žr. 4.2 skyrių).</w:t>
      </w:r>
    </w:p>
    <w:p w14:paraId="5A6ACAE5"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Lytis</w:t>
      </w:r>
    </w:p>
    <w:p w14:paraId="4DF6971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Dozės koreguoti nereikia (žr. 5.2 skyrių).</w:t>
      </w:r>
    </w:p>
    <w:p w14:paraId="080E6C41" w14:textId="77777777" w:rsidR="00890384" w:rsidRDefault="00890384">
      <w:pPr>
        <w:widowControl w:val="0"/>
        <w:tabs>
          <w:tab w:val="clear" w:pos="567"/>
        </w:tabs>
        <w:autoSpaceDE w:val="0"/>
        <w:autoSpaceDN w:val="0"/>
        <w:spacing w:line="240" w:lineRule="auto"/>
        <w:rPr>
          <w:snapToGrid/>
          <w:szCs w:val="22"/>
          <w:lang w:val="lt-LT"/>
        </w:rPr>
      </w:pPr>
    </w:p>
    <w:p w14:paraId="2C5B9D81"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atliekama kateterinė abliacija (VNPV)</w:t>
      </w:r>
    </w:p>
    <w:p w14:paraId="51B637E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kateterinę abliaciją pacientai gali toliau vartoti apiksabaną (žr. 4.3, 4.4 ir 4.5 skyrius).</w:t>
      </w:r>
    </w:p>
    <w:p w14:paraId="568C65AC" w14:textId="77777777" w:rsidR="00890384" w:rsidRDefault="00890384">
      <w:pPr>
        <w:widowControl w:val="0"/>
        <w:tabs>
          <w:tab w:val="clear" w:pos="567"/>
        </w:tabs>
        <w:autoSpaceDE w:val="0"/>
        <w:autoSpaceDN w:val="0"/>
        <w:spacing w:line="240" w:lineRule="auto"/>
        <w:rPr>
          <w:snapToGrid/>
          <w:szCs w:val="22"/>
          <w:lang w:val="lt-LT"/>
        </w:rPr>
      </w:pPr>
    </w:p>
    <w:p w14:paraId="63256AD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atliekama kardioversija</w:t>
      </w:r>
    </w:p>
    <w:p w14:paraId="2D81E2BA" w14:textId="27A5FD1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Suaugę pacientai, kuriems pasireiškia VNPV ir gali reikėti kardioversijos, gali pradėti ar tęsti apiksabano vartojimą.</w:t>
      </w:r>
    </w:p>
    <w:p w14:paraId="6AE3BAC1" w14:textId="77777777" w:rsidR="00890384" w:rsidRDefault="00890384">
      <w:pPr>
        <w:widowControl w:val="0"/>
        <w:tabs>
          <w:tab w:val="clear" w:pos="567"/>
        </w:tabs>
        <w:autoSpaceDE w:val="0"/>
        <w:autoSpaceDN w:val="0"/>
        <w:spacing w:line="240" w:lineRule="auto"/>
        <w:rPr>
          <w:snapToGrid/>
          <w:szCs w:val="22"/>
          <w:lang w:val="lt-LT"/>
        </w:rPr>
      </w:pPr>
    </w:p>
    <w:p w14:paraId="3D807F5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Anksčiau antikoaguliantų nevartojusiems pacientams reikia apsvarstyti galimybę prieš kardioversiją vaizdinimo metodu (pvz., atliekant transezofaginę echokardiografiją (TEE) arba kompiuterinės tomografijos (KT) skenavimą) atmesti trombo kairiajame prieširdyje buvimą, atsižvelgiant į nustatytas medicinines gaires. </w:t>
      </w:r>
    </w:p>
    <w:p w14:paraId="05A2F95E" w14:textId="77777777" w:rsidR="00890384" w:rsidRDefault="00890384">
      <w:pPr>
        <w:widowControl w:val="0"/>
        <w:tabs>
          <w:tab w:val="clear" w:pos="567"/>
        </w:tabs>
        <w:autoSpaceDE w:val="0"/>
        <w:autoSpaceDN w:val="0"/>
        <w:spacing w:line="240" w:lineRule="auto"/>
        <w:rPr>
          <w:snapToGrid/>
          <w:szCs w:val="22"/>
          <w:lang w:val="lt-LT"/>
        </w:rPr>
      </w:pPr>
    </w:p>
    <w:p w14:paraId="584531C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Pacientams, pradedantiems gydymą apiksabanu, ne trumpiau kaip 2,5 paros prieš kardioversiją reikia vartoti 5 mg du kartus per parą (5 vienkartines dozes) tinkamai antikoaguliacijai užtikrinti (žr. 5.1 skyrių). Jeigu pacientas atitinka dozės mažinimo kriterijus (žr. anksčiau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dozavimo režimą reikia sumažinti iki 2,5 mg apiksabano du kartus per parą, gydymą tęsiant 2,5 paros (suvartojant 5 vienkartines dozes).</w:t>
      </w:r>
    </w:p>
    <w:p w14:paraId="7194C7E9" w14:textId="77777777" w:rsidR="00890384" w:rsidRDefault="00890384">
      <w:pPr>
        <w:widowControl w:val="0"/>
        <w:tabs>
          <w:tab w:val="clear" w:pos="567"/>
        </w:tabs>
        <w:autoSpaceDE w:val="0"/>
        <w:autoSpaceDN w:val="0"/>
        <w:spacing w:line="240" w:lineRule="auto"/>
        <w:rPr>
          <w:snapToGrid/>
          <w:szCs w:val="22"/>
          <w:lang w:val="lt-LT"/>
        </w:rPr>
      </w:pPr>
    </w:p>
    <w:p w14:paraId="73C61D3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reikia atlikti kardioversiją prieš suvartojant 5 apiksabano dozes, reikia skirti 10 mg įsotinamąją dozę, o paskui vartoti po 5 mg du kartus per parą. Jeigu pacientas atitinka dozės mažinimo kriterijus (žr. ankstesnius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dozavimo režimą reikia sumažinti ir skirti 5 mg įsotinamąją dozę, o paskui vartoti po 2,5 mg du kartus per parą. Įsotinamąją dozę reikia skirti ne vėliau kaip 2 valandos prieš kardioversiją (žr. 5.1 skyrių).</w:t>
      </w:r>
    </w:p>
    <w:p w14:paraId="125AE234" w14:textId="77777777" w:rsidR="00890384" w:rsidRDefault="00890384">
      <w:pPr>
        <w:widowControl w:val="0"/>
        <w:tabs>
          <w:tab w:val="clear" w:pos="567"/>
        </w:tabs>
        <w:autoSpaceDE w:val="0"/>
        <w:autoSpaceDN w:val="0"/>
        <w:spacing w:line="240" w:lineRule="auto"/>
        <w:rPr>
          <w:snapToGrid/>
          <w:szCs w:val="22"/>
          <w:lang w:val="lt-LT"/>
        </w:rPr>
      </w:pPr>
    </w:p>
    <w:p w14:paraId="43A4B30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Visiems pacientams, kuriems atliekama kardioversija, prieš atliekant kardioversiją reikia gauti patvirtinimą, kad pacientas suvartojo apiksabano, kaip skirta. Priimant sprendimą dėl gydymo pradžios ir trukmės reikia </w:t>
      </w:r>
      <w:r>
        <w:rPr>
          <w:snapToGrid/>
          <w:szCs w:val="22"/>
          <w:lang w:val="lt-LT"/>
        </w:rPr>
        <w:lastRenderedPageBreak/>
        <w:t>atsižvelgti į nustatytas rekomendacines gydymo antikoaguliantais gaires pacientams, kuriems atliekama kardioversija.</w:t>
      </w:r>
    </w:p>
    <w:p w14:paraId="207571C8" w14:textId="77777777" w:rsidR="00890384" w:rsidRDefault="00890384">
      <w:pPr>
        <w:widowControl w:val="0"/>
        <w:tabs>
          <w:tab w:val="clear" w:pos="567"/>
        </w:tabs>
        <w:autoSpaceDE w:val="0"/>
        <w:autoSpaceDN w:val="0"/>
        <w:spacing w:line="240" w:lineRule="auto"/>
        <w:rPr>
          <w:snapToGrid/>
          <w:szCs w:val="22"/>
          <w:lang w:val="lt-LT"/>
        </w:rPr>
      </w:pPr>
    </w:p>
    <w:p w14:paraId="549AD5C1" w14:textId="77777777"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kuriems pasireiškia VNPV ir kurie serga ūminiu koronariniu sindromu (ŪKS) ir (arba) kuriems atliekama perkutaninė vainikinių arterijų intervencija (PVAI)</w:t>
      </w:r>
    </w:p>
    <w:p w14:paraId="53072D9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Nepakanka patirties apiksabano rekomenduojamomis dozėmis gydant VNPV sergančius pacientus, kai vaistinio preparato skiriama deriniu su trombocitų agregaciją slopinančiais vaistiniais preparatais ŪKS sergantiems pacientams ir (arba) pacientams, kuriems atliekama PVAI pasiekus hemostazę (žr. 4.4 ir 5.1 skyrius).</w:t>
      </w:r>
    </w:p>
    <w:p w14:paraId="556E04CD" w14:textId="77777777" w:rsidR="00890384" w:rsidRDefault="00890384">
      <w:pPr>
        <w:widowControl w:val="0"/>
        <w:tabs>
          <w:tab w:val="clear" w:pos="567"/>
        </w:tabs>
        <w:autoSpaceDE w:val="0"/>
        <w:autoSpaceDN w:val="0"/>
        <w:spacing w:line="240" w:lineRule="auto"/>
        <w:rPr>
          <w:snapToGrid/>
          <w:szCs w:val="22"/>
          <w:lang w:val="lt-LT"/>
        </w:rPr>
      </w:pPr>
    </w:p>
    <w:p w14:paraId="78BB16B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Vaikų populiacija</w:t>
      </w:r>
    </w:p>
    <w:p w14:paraId="3C63806A" w14:textId="62AE8BD3" w:rsidR="00890384" w:rsidRDefault="00B26795">
      <w:pPr>
        <w:widowControl w:val="0"/>
        <w:tabs>
          <w:tab w:val="clear" w:pos="567"/>
        </w:tabs>
        <w:autoSpaceDE w:val="0"/>
        <w:autoSpaceDN w:val="0"/>
        <w:spacing w:line="240" w:lineRule="auto"/>
      </w:pPr>
      <w:r>
        <w:t>Apiksabano saugumas ir veiksmingumas pacientams vaikams</w:t>
      </w:r>
      <w:r w:rsidR="001D5574">
        <w:t xml:space="preserve"> </w:t>
      </w:r>
      <w:r>
        <w:t xml:space="preserve">nuo 28 dienų iki 18 metų, kitoms indikacijoms nei venų tromboembolijos (VTE) gydymas ir VTE pasikartojimo profilaktika, neištirti. Duomenų apie naujagimius ir apie kitas indikacijas nėra (taip pat žr. 5.1 skyrių). Todėl apiksabano nerekomenduojama vartoti naujagimiams ir pacientams vaikamsnuo 28 dienų iki 18 metų, esant kitoms indikacijoms nei VTE gydymas ir VTE pasikartojimo profilaktika. </w:t>
      </w:r>
    </w:p>
    <w:p w14:paraId="504227D1" w14:textId="77777777" w:rsidR="00890384" w:rsidRDefault="00890384">
      <w:pPr>
        <w:widowControl w:val="0"/>
        <w:tabs>
          <w:tab w:val="clear" w:pos="567"/>
        </w:tabs>
        <w:autoSpaceDE w:val="0"/>
        <w:autoSpaceDN w:val="0"/>
        <w:spacing w:line="240" w:lineRule="auto"/>
      </w:pPr>
    </w:p>
    <w:p w14:paraId="14FE5771" w14:textId="5D3702A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saugumas ir veiksmingumas jaunesniems kaip 18 metų vaikams ir paaugliams </w:t>
      </w:r>
      <w:r>
        <w:t xml:space="preserve">tromboembolijos profilaktikos indikacijai </w:t>
      </w:r>
      <w:r>
        <w:rPr>
          <w:snapToGrid/>
          <w:szCs w:val="22"/>
          <w:lang w:val="lt-LT"/>
        </w:rPr>
        <w:t xml:space="preserve">neištirti. </w:t>
      </w:r>
      <w:r>
        <w:t>Turimi duomenys apie tromboembolijos profilaktiką pateikiami 5.1 skyriuje, tačiau dozavimo rekomendacijų pateikti negalima.</w:t>
      </w:r>
    </w:p>
    <w:p w14:paraId="7C6D4DB5" w14:textId="77777777" w:rsidR="00890384" w:rsidRDefault="00890384">
      <w:pPr>
        <w:widowControl w:val="0"/>
        <w:tabs>
          <w:tab w:val="clear" w:pos="567"/>
        </w:tabs>
        <w:autoSpaceDE w:val="0"/>
        <w:autoSpaceDN w:val="0"/>
        <w:spacing w:line="240" w:lineRule="auto"/>
        <w:rPr>
          <w:snapToGrid/>
          <w:szCs w:val="22"/>
          <w:lang w:val="lt-LT"/>
        </w:rPr>
      </w:pPr>
    </w:p>
    <w:p w14:paraId="084B19C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 xml:space="preserve">Vartojimo metodas </w:t>
      </w:r>
      <w:r>
        <w:t>suaugusiesiems ir vaikams</w:t>
      </w:r>
    </w:p>
    <w:p w14:paraId="4428DF67" w14:textId="77777777" w:rsidR="00890384" w:rsidRDefault="00890384">
      <w:pPr>
        <w:widowControl w:val="0"/>
        <w:tabs>
          <w:tab w:val="clear" w:pos="567"/>
        </w:tabs>
        <w:autoSpaceDE w:val="0"/>
        <w:autoSpaceDN w:val="0"/>
        <w:spacing w:line="240" w:lineRule="auto"/>
        <w:rPr>
          <w:snapToGrid/>
          <w:szCs w:val="22"/>
          <w:lang w:val="lt-LT"/>
        </w:rPr>
      </w:pPr>
    </w:p>
    <w:p w14:paraId="6F0F52C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39E76666"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reikia nuryti užgeriant vandeniu valgio metu arba nevalgius.</w:t>
      </w:r>
    </w:p>
    <w:p w14:paraId="7D502341" w14:textId="77777777" w:rsidR="00890384" w:rsidRDefault="00890384">
      <w:pPr>
        <w:widowControl w:val="0"/>
        <w:tabs>
          <w:tab w:val="clear" w:pos="567"/>
        </w:tabs>
        <w:autoSpaceDE w:val="0"/>
        <w:autoSpaceDN w:val="0"/>
        <w:spacing w:line="240" w:lineRule="auto"/>
        <w:rPr>
          <w:snapToGrid/>
          <w:szCs w:val="22"/>
          <w:lang w:val="lt-LT"/>
        </w:rPr>
      </w:pPr>
    </w:p>
    <w:p w14:paraId="06656A6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Pacientams, kurie negali nuryti visos tabletės, </w:t>
      </w:r>
      <w:r>
        <w:rPr>
          <w:snapToGrid/>
          <w:color w:val="000000"/>
          <w:szCs w:val="22"/>
          <w:lang w:val="lt-LT"/>
        </w:rPr>
        <w:t>Aboxoma</w:t>
      </w:r>
      <w:r>
        <w:rPr>
          <w:snapToGrid/>
          <w:szCs w:val="22"/>
          <w:lang w:val="lt-LT"/>
        </w:rPr>
        <w:t xml:space="preserve"> tabletę galima sutrinti ir ištirpinti vandenyje, 5 % gliukozės tirpale (G5W) arba obuolių sultyse, arba sumaišyti su obuolių tyre ir iš karto suvartoti per burną (žr. 5.2 skyrių). </w:t>
      </w:r>
      <w:r>
        <w:rPr>
          <w:snapToGrid/>
          <w:color w:val="000000"/>
          <w:szCs w:val="22"/>
          <w:lang w:val="lt-LT"/>
        </w:rPr>
        <w:t>Aboxoma</w:t>
      </w:r>
      <w:r>
        <w:rPr>
          <w:snapToGrid/>
          <w:szCs w:val="22"/>
          <w:lang w:val="lt-LT"/>
        </w:rPr>
        <w:t xml:space="preserve"> tabletes taip pat galima sutrinti ir ištirpinti 60 ml vandens arba G5W ir iš karto suleisti pro nazogastrinį zondą (žr. 5.2 skyrių).</w:t>
      </w:r>
    </w:p>
    <w:p w14:paraId="7BAFB99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Sutrintos </w:t>
      </w:r>
      <w:r>
        <w:rPr>
          <w:snapToGrid/>
          <w:color w:val="000000"/>
          <w:szCs w:val="22"/>
          <w:lang w:val="lt-LT"/>
        </w:rPr>
        <w:t>Aboxoma</w:t>
      </w:r>
      <w:r>
        <w:rPr>
          <w:snapToGrid/>
          <w:szCs w:val="22"/>
          <w:lang w:val="lt-LT"/>
        </w:rPr>
        <w:t xml:space="preserve"> tabletės išlieka stabilios vandenyje, G5W, obuolių sultyse ir obuolių tyrėje iki 4 valandų.</w:t>
      </w:r>
    </w:p>
    <w:p w14:paraId="1F6F132C" w14:textId="77777777" w:rsidR="00890384" w:rsidRDefault="00890384">
      <w:pPr>
        <w:widowControl w:val="0"/>
        <w:tabs>
          <w:tab w:val="clear" w:pos="567"/>
        </w:tabs>
        <w:autoSpaceDE w:val="0"/>
        <w:autoSpaceDN w:val="0"/>
        <w:spacing w:line="240" w:lineRule="auto"/>
        <w:rPr>
          <w:snapToGrid/>
          <w:szCs w:val="22"/>
          <w:lang w:val="lt-LT"/>
        </w:rPr>
      </w:pPr>
    </w:p>
    <w:p w14:paraId="033F3FA7"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4.3</w:t>
      </w:r>
      <w:r>
        <w:rPr>
          <w:b/>
          <w:snapToGrid/>
          <w:szCs w:val="22"/>
          <w:lang w:val="lt-LT"/>
        </w:rPr>
        <w:tab/>
        <w:t>Kontraindikacijos</w:t>
      </w:r>
    </w:p>
    <w:p w14:paraId="2C7993C7" w14:textId="77777777" w:rsidR="00890384" w:rsidRDefault="00890384">
      <w:pPr>
        <w:widowControl w:val="0"/>
        <w:tabs>
          <w:tab w:val="clear" w:pos="567"/>
        </w:tabs>
        <w:autoSpaceDE w:val="0"/>
        <w:autoSpaceDN w:val="0"/>
        <w:spacing w:line="240" w:lineRule="auto"/>
        <w:rPr>
          <w:b/>
          <w:snapToGrid/>
          <w:szCs w:val="22"/>
          <w:lang w:val="lt-LT"/>
        </w:rPr>
      </w:pPr>
    </w:p>
    <w:p w14:paraId="4F271648"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Padidėjęs jautrumas veikliajai arba bet kuriai 6.1 skyriuje nurodytai pagalbinei medžiagai.</w:t>
      </w:r>
    </w:p>
    <w:p w14:paraId="298EA299"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Aktyvus, kliniškai reikšmingas kraujavimas.</w:t>
      </w:r>
    </w:p>
    <w:p w14:paraId="60008446"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Kepenų liga, susijusi su koaguliopatija ir kliniškai reikšminga kraujavimo rizika (žr. 5.2 skyrių).</w:t>
      </w:r>
    </w:p>
    <w:p w14:paraId="0EDF5038"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arba akių operacija, neseniai patirtas intrakranijinis kraujavimas, diagnozuotos arba įtariamos stemplės venų varikozės, arterioveninės malformacijos, kraujagyslių aneurizmos arba dideli galvos ar nugaros smegenyse esančių kraujagyslių pokyčiai. </w:t>
      </w:r>
    </w:p>
    <w:p w14:paraId="28151F34" w14:textId="226DBB2E"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Kartu taikomas gydymas kokiais nors kitais antikoaguliantais, pavyzdžiui: nefrakcionuotu heparinu (NFH), mažos molekulinės masės heparinais (enoksaparinu, dalteparinu ir kt.), heparino dariniais (fondaparinuksu ir kt.), per burną vartojamais antikoaguliantais (varfarinu, rivaroksabanu, dabigatrano eteksilatu ir kt.), išskyrus konkrečiomis aplinkybėmis, kai vienas antikoaguliantas keičiamas kitu (žr. 4.2 skyrių), kai skiriamos NFH dozės, kurios būtinos centrinės venos arba arterinio kateterio pralaidumo palaikymui arba kai skiriama NFH kateterinės abliacijos, atliekamos dėl prieširdžių virpėjimo, metu (žr. 4.4 ir 4.5 skyrius).</w:t>
      </w:r>
    </w:p>
    <w:p w14:paraId="4D5AE3D5" w14:textId="77777777" w:rsidR="00890384" w:rsidRDefault="00890384">
      <w:pPr>
        <w:widowControl w:val="0"/>
        <w:tabs>
          <w:tab w:val="clear" w:pos="567"/>
        </w:tabs>
        <w:autoSpaceDE w:val="0"/>
        <w:autoSpaceDN w:val="0"/>
        <w:spacing w:line="240" w:lineRule="auto"/>
        <w:rPr>
          <w:snapToGrid/>
          <w:szCs w:val="22"/>
          <w:lang w:val="lt-LT"/>
        </w:rPr>
      </w:pPr>
    </w:p>
    <w:p w14:paraId="32E34955" w14:textId="77777777" w:rsidR="00890384" w:rsidRDefault="00B26795">
      <w:pPr>
        <w:widowControl w:val="0"/>
        <w:tabs>
          <w:tab w:val="clear" w:pos="567"/>
          <w:tab w:val="left" w:pos="0"/>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4.4</w:t>
      </w:r>
      <w:r>
        <w:rPr>
          <w:b/>
          <w:bCs/>
          <w:snapToGrid/>
          <w:szCs w:val="22"/>
          <w:lang w:val="lt-LT"/>
        </w:rPr>
        <w:tab/>
        <w:t>Specialūs įspėjimai ir atsargumo priemonės</w:t>
      </w:r>
    </w:p>
    <w:p w14:paraId="54810B62" w14:textId="77777777" w:rsidR="00890384" w:rsidRDefault="00890384">
      <w:pPr>
        <w:widowControl w:val="0"/>
        <w:tabs>
          <w:tab w:val="clear" w:pos="567"/>
        </w:tabs>
        <w:autoSpaceDE w:val="0"/>
        <w:autoSpaceDN w:val="0"/>
        <w:spacing w:line="240" w:lineRule="auto"/>
        <w:rPr>
          <w:b/>
          <w:snapToGrid/>
          <w:szCs w:val="22"/>
          <w:lang w:val="lt-LT"/>
        </w:rPr>
      </w:pPr>
    </w:p>
    <w:p w14:paraId="759E8FB5"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Kraujavimo rizika</w:t>
      </w:r>
    </w:p>
    <w:p w14:paraId="5EFBFC2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Kaip ir vartojant kitų antikoaguliantų, apiksabano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 4.8 ir 4.9 skyrius).</w:t>
      </w:r>
    </w:p>
    <w:p w14:paraId="04063A12" w14:textId="77777777" w:rsidR="00890384" w:rsidRDefault="00890384">
      <w:pPr>
        <w:widowControl w:val="0"/>
        <w:tabs>
          <w:tab w:val="clear" w:pos="567"/>
        </w:tabs>
        <w:autoSpaceDE w:val="0"/>
        <w:autoSpaceDN w:val="0"/>
        <w:spacing w:line="240" w:lineRule="auto"/>
        <w:rPr>
          <w:snapToGrid/>
          <w:szCs w:val="22"/>
          <w:lang w:val="lt-LT"/>
        </w:rPr>
      </w:pPr>
    </w:p>
    <w:p w14:paraId="7DEE715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mėginys (žr. 5.1 skyrių).</w:t>
      </w:r>
    </w:p>
    <w:p w14:paraId="3F7F2EA3" w14:textId="77777777" w:rsidR="00890384" w:rsidRDefault="00890384">
      <w:pPr>
        <w:widowControl w:val="0"/>
        <w:tabs>
          <w:tab w:val="clear" w:pos="567"/>
        </w:tabs>
        <w:autoSpaceDE w:val="0"/>
        <w:autoSpaceDN w:val="0"/>
        <w:spacing w:line="240" w:lineRule="auto"/>
        <w:rPr>
          <w:snapToGrid/>
          <w:szCs w:val="22"/>
          <w:lang w:val="lt-LT"/>
        </w:rPr>
      </w:pPr>
    </w:p>
    <w:p w14:paraId="0F5FB182" w14:textId="1ACE356F" w:rsidR="00890384" w:rsidRDefault="00B26795">
      <w:pPr>
        <w:widowControl w:val="0"/>
        <w:tabs>
          <w:tab w:val="clear" w:pos="567"/>
        </w:tabs>
        <w:autoSpaceDE w:val="0"/>
        <w:autoSpaceDN w:val="0"/>
        <w:spacing w:line="240" w:lineRule="auto"/>
        <w:rPr>
          <w:snapToGrid/>
          <w:szCs w:val="22"/>
          <w:lang w:val="lt-LT"/>
        </w:rPr>
      </w:pPr>
      <w:r>
        <w:t>Suaugusiesiems galima skirti specifin</w:t>
      </w:r>
      <w:r w:rsidR="00E64AFA">
        <w:t>io</w:t>
      </w:r>
      <w:r>
        <w:t xml:space="preserve"> neutralizuojan</w:t>
      </w:r>
      <w:r w:rsidR="00E64AFA">
        <w:t>čio</w:t>
      </w:r>
      <w:r>
        <w:t xml:space="preserve"> vaistin</w:t>
      </w:r>
      <w:r w:rsidR="00E64AFA">
        <w:t>io</w:t>
      </w:r>
      <w:r>
        <w:t xml:space="preserve"> preparat</w:t>
      </w:r>
      <w:r w:rsidR="00E64AFA">
        <w:t>o</w:t>
      </w:r>
      <w:r>
        <w:t xml:space="preserve"> (andeksanet</w:t>
      </w:r>
      <w:r w:rsidR="00E64AFA">
        <w:t>o</w:t>
      </w:r>
      <w:r>
        <w:t xml:space="preserve"> alfa), kuris slopina apiksabano farmakodinaminį poveikį. Tačiau jo saugumas ir veiksmingumas pacientams vaikams nenustatyti (žr. andeksaneto alfa preparato charakteristikų santrauką). Galima spręsti dėl švieži</w:t>
      </w:r>
      <w:r w:rsidR="00DC34B9">
        <w:t>ai</w:t>
      </w:r>
      <w:r>
        <w:t xml:space="preserve"> šaldytos plazmos transfuzijos, protrombino komplekso koncentrato (PKK) arba rekombinantinio VIIa faktoriaus skyrimo. Tačiau nėra 4 faktorių PKK preparatų vartojimo klinikinėje praktikoje patirties, juos skiriant kraujavimui, kuris pasireiškė apiksaban</w:t>
      </w:r>
      <w:r w:rsidR="00BE463B">
        <w:t>o</w:t>
      </w:r>
      <w:r>
        <w:t xml:space="preserve"> vartojantiems vaikams ir suaugusiems pacientams, stabdyti.</w:t>
      </w:r>
    </w:p>
    <w:p w14:paraId="65297003"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kitais vaistiniais preparatais, kurie veikia hemostazę</w:t>
      </w:r>
    </w:p>
    <w:p w14:paraId="01BB0E3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Dėl padidėjusios kraujavimo rizikos apiksabano negalima vartoti kartu su jokiais kitais antikoaguliantais (žr. 4.3 skyrių).</w:t>
      </w:r>
    </w:p>
    <w:p w14:paraId="001E0A43" w14:textId="77777777" w:rsidR="00890384" w:rsidRDefault="00890384">
      <w:pPr>
        <w:widowControl w:val="0"/>
        <w:tabs>
          <w:tab w:val="clear" w:pos="567"/>
        </w:tabs>
        <w:autoSpaceDE w:val="0"/>
        <w:autoSpaceDN w:val="0"/>
        <w:spacing w:line="240" w:lineRule="auto"/>
        <w:rPr>
          <w:snapToGrid/>
          <w:szCs w:val="22"/>
          <w:lang w:val="lt-LT"/>
        </w:rPr>
      </w:pPr>
    </w:p>
    <w:p w14:paraId="1B7C667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vartojimas kartu su trombocitų funkciją slopinančiais vaistiniais preparatais didina kraujavimo riziką (žr. 4.5 skyrių).</w:t>
      </w:r>
    </w:p>
    <w:p w14:paraId="0E749217" w14:textId="77777777" w:rsidR="00890384" w:rsidRDefault="00890384">
      <w:pPr>
        <w:widowControl w:val="0"/>
        <w:tabs>
          <w:tab w:val="clear" w:pos="567"/>
        </w:tabs>
        <w:autoSpaceDE w:val="0"/>
        <w:autoSpaceDN w:val="0"/>
        <w:spacing w:line="240" w:lineRule="auto"/>
        <w:rPr>
          <w:snapToGrid/>
          <w:szCs w:val="22"/>
          <w:lang w:val="lt-LT"/>
        </w:rPr>
      </w:pPr>
    </w:p>
    <w:p w14:paraId="291526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Reikia gydyti atsargiai, jeigu pacientas kartu yra gydomas selektyviaisiais serotonino reabsorbcijos inhibitoriais (SSRI), serotonino-norepinefrino reabsorbcijos inhibitoriais (SNRI) arba nesteroidiniais vaistais nuo uždegimo (NVNU), įskaitant acetilsalicilo rūgštį (ASR).</w:t>
      </w:r>
    </w:p>
    <w:p w14:paraId="2B82BF71" w14:textId="77777777" w:rsidR="00890384" w:rsidRDefault="00890384">
      <w:pPr>
        <w:widowControl w:val="0"/>
        <w:tabs>
          <w:tab w:val="clear" w:pos="567"/>
        </w:tabs>
        <w:autoSpaceDE w:val="0"/>
        <w:autoSpaceDN w:val="0"/>
        <w:spacing w:line="240" w:lineRule="auto"/>
        <w:rPr>
          <w:snapToGrid/>
          <w:szCs w:val="22"/>
          <w:lang w:val="lt-LT"/>
        </w:rPr>
      </w:pPr>
    </w:p>
    <w:p w14:paraId="51F7231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Po operacijos kitų trombocitų agregacijos inhibitorių vartoti kartu su apiksabanu nerekomenduojama (žr. 4.5 skyrių).</w:t>
      </w:r>
    </w:p>
    <w:p w14:paraId="110B4AA2" w14:textId="77777777" w:rsidR="00890384" w:rsidRDefault="00890384">
      <w:pPr>
        <w:widowControl w:val="0"/>
        <w:tabs>
          <w:tab w:val="clear" w:pos="567"/>
        </w:tabs>
        <w:autoSpaceDE w:val="0"/>
        <w:autoSpaceDN w:val="0"/>
        <w:spacing w:line="240" w:lineRule="auto"/>
        <w:rPr>
          <w:snapToGrid/>
          <w:szCs w:val="22"/>
          <w:lang w:val="lt-LT"/>
        </w:rPr>
      </w:pPr>
    </w:p>
    <w:p w14:paraId="793AF1A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kuriems pasireiškė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65568F54" w14:textId="77777777" w:rsidR="00890384" w:rsidRDefault="00890384">
      <w:pPr>
        <w:widowControl w:val="0"/>
        <w:tabs>
          <w:tab w:val="clear" w:pos="567"/>
        </w:tabs>
        <w:autoSpaceDE w:val="0"/>
        <w:autoSpaceDN w:val="0"/>
        <w:spacing w:line="240" w:lineRule="auto"/>
        <w:rPr>
          <w:snapToGrid/>
          <w:szCs w:val="22"/>
          <w:lang w:val="lt-LT"/>
        </w:rPr>
      </w:pPr>
    </w:p>
    <w:p w14:paraId="44C571B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Klinikinio tyrimo su suaugusiais pacientais, kuriems pasireiškė prieširdžių virpėjimas, duomenimis, ASR vartojimas kartu padidino stipraus kraujavimo riziką vartojant apiksabano nuo 1,8 % per metus iki 3,4 % per metus ir padidino kraujavimo riziką vartojant varfarino nuo 2,7 % per metus iki 4,6 % per metus. Šio klinikinio tyrimo duomenimis, nedaug pacientų (2,1 %) buvo taikytas gydymas dviem trombocitų funkciją slopinančiais vaistiniais preparatais (žr. 5.1 skyrių).</w:t>
      </w:r>
    </w:p>
    <w:p w14:paraId="65A952E6" w14:textId="77777777" w:rsidR="00890384" w:rsidRDefault="00890384">
      <w:pPr>
        <w:widowControl w:val="0"/>
        <w:tabs>
          <w:tab w:val="clear" w:pos="567"/>
        </w:tabs>
        <w:autoSpaceDE w:val="0"/>
        <w:autoSpaceDN w:val="0"/>
        <w:spacing w:line="240" w:lineRule="auto"/>
        <w:rPr>
          <w:snapToGrid/>
          <w:szCs w:val="22"/>
          <w:lang w:val="lt-LT"/>
        </w:rPr>
      </w:pPr>
    </w:p>
    <w:p w14:paraId="2BDE295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Klinikiniame tyrime dalyvavo pacientai, kuriems pasireiškė prieširdžių virpėjimas ir kurie sirgo ŪKS, ir (arba) kuriems atlikta PVAI ir taikytas planinis 6 mėnesių trukmės gydymo laikotarpis P2Y12 inhibitoriumi (su ASR arba be jos) ir per burną vartojamu antikoaguliantu (apiksabanu arba VKA). Kartu vartojant ASR, stipraus kraujavimo pagal tarptautinės trombozės ir hemostazės asociacijos (angl. </w:t>
      </w:r>
      <w:r>
        <w:rPr>
          <w:i/>
          <w:snapToGrid/>
          <w:szCs w:val="22"/>
          <w:lang w:val="lt-LT"/>
        </w:rPr>
        <w:t xml:space="preserve">International Society on Thrombosis and Hemostasis, </w:t>
      </w:r>
      <w:r>
        <w:rPr>
          <w:iCs/>
          <w:snapToGrid/>
          <w:szCs w:val="22"/>
          <w:lang w:val="lt-LT"/>
        </w:rPr>
        <w:t>ISTH</w:t>
      </w:r>
      <w:r>
        <w:rPr>
          <w:snapToGrid/>
          <w:szCs w:val="22"/>
          <w:lang w:val="lt-LT"/>
        </w:rPr>
        <w:t>) klasifikaciją arba kliniškai reikšmingo nestipraus (KRNS) kraujavimo rizika apiksabanu gydytiems pacientams padidėjo nuo 16,4 % per metus iki 33,1 % per metus (žr. 5.1 skyrių).</w:t>
      </w:r>
    </w:p>
    <w:p w14:paraId="04E46B50" w14:textId="77777777" w:rsidR="00890384" w:rsidRDefault="00890384">
      <w:pPr>
        <w:widowControl w:val="0"/>
        <w:tabs>
          <w:tab w:val="clear" w:pos="567"/>
        </w:tabs>
        <w:autoSpaceDE w:val="0"/>
        <w:autoSpaceDN w:val="0"/>
        <w:spacing w:line="240" w:lineRule="auto"/>
        <w:rPr>
          <w:snapToGrid/>
          <w:szCs w:val="22"/>
          <w:lang w:val="lt-LT"/>
        </w:rPr>
      </w:pPr>
    </w:p>
    <w:p w14:paraId="49F58FD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Klinikinio tyrimo su didelės rizikos grupės pacientais, patyrusiais ūminį koronarinį sindromą nepasireiškiant prieširdžių virpėjimui, kurie kartu sirgo įvairiomis širdies ir ne širdies ligomis bei vartojo ASR arba ASR kartu su klopidogreliu, duomenimis, buvo pranešta apie reikšmingą stipraus kraujavimo pagal ISTH rizikos padidėjimą vartojant apiksabaną (5,13 % per metus), palyginti su placebu (2,04 % per metus).</w:t>
      </w:r>
    </w:p>
    <w:p w14:paraId="6C9BF249" w14:textId="77777777" w:rsidR="00890384" w:rsidRDefault="00890384">
      <w:pPr>
        <w:widowControl w:val="0"/>
        <w:tabs>
          <w:tab w:val="clear" w:pos="567"/>
        </w:tabs>
        <w:autoSpaceDE w:val="0"/>
        <w:autoSpaceDN w:val="0"/>
        <w:spacing w:line="240" w:lineRule="auto"/>
      </w:pPr>
    </w:p>
    <w:p w14:paraId="35AAC9CA" w14:textId="73E4A6D6" w:rsidR="00890384" w:rsidRDefault="00B26795">
      <w:pPr>
        <w:widowControl w:val="0"/>
        <w:tabs>
          <w:tab w:val="clear" w:pos="567"/>
        </w:tabs>
        <w:autoSpaceDE w:val="0"/>
        <w:autoSpaceDN w:val="0"/>
        <w:spacing w:line="240" w:lineRule="auto"/>
      </w:pPr>
      <w:r>
        <w:t>Tyrimo CV185325 metu 12 pacientų vaikų, kurie vienu metu buvo gydomi apiksabanu ir ASR</w:t>
      </w:r>
      <w:r w:rsidR="004316A3">
        <w:t> </w:t>
      </w:r>
      <w:r>
        <w:t>≤ 165 mg per parą, kliniškai svarbių kraujavimo reiškinių nenustatyta.</w:t>
      </w:r>
    </w:p>
    <w:p w14:paraId="740C1A2E" w14:textId="77777777" w:rsidR="00890384" w:rsidRDefault="00890384">
      <w:pPr>
        <w:widowControl w:val="0"/>
        <w:tabs>
          <w:tab w:val="clear" w:pos="567"/>
        </w:tabs>
        <w:autoSpaceDE w:val="0"/>
        <w:autoSpaceDN w:val="0"/>
        <w:spacing w:line="240" w:lineRule="auto"/>
        <w:rPr>
          <w:snapToGrid/>
          <w:szCs w:val="22"/>
          <w:lang w:val="lt-LT"/>
        </w:rPr>
      </w:pPr>
    </w:p>
    <w:p w14:paraId="0F5541B6"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Trombolizinių vaistinių preparatų vartojimas ūminio išeminio insulto gydymui</w:t>
      </w:r>
    </w:p>
    <w:p w14:paraId="54C6A54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Duomenų, apie trombolizinių vaistinių preparatų vartojimo patirtį su pacientais, ūminio išeminio insulto gydymui vartojančiais apiksabaną, nepakanka (žr. 4.5 skyrių).</w:t>
      </w:r>
    </w:p>
    <w:p w14:paraId="63BF7D8A" w14:textId="77777777" w:rsidR="00890384" w:rsidRDefault="00890384">
      <w:pPr>
        <w:widowControl w:val="0"/>
        <w:tabs>
          <w:tab w:val="clear" w:pos="567"/>
        </w:tabs>
        <w:autoSpaceDE w:val="0"/>
        <w:autoSpaceDN w:val="0"/>
        <w:spacing w:line="240" w:lineRule="auto"/>
      </w:pPr>
    </w:p>
    <w:p w14:paraId="696A544F" w14:textId="25E14379" w:rsidR="00890384" w:rsidRDefault="00B26795">
      <w:pPr>
        <w:widowControl w:val="0"/>
        <w:tabs>
          <w:tab w:val="clear" w:pos="567"/>
        </w:tabs>
        <w:autoSpaceDE w:val="0"/>
        <w:autoSpaceDN w:val="0"/>
        <w:spacing w:line="240" w:lineRule="auto"/>
        <w:rPr>
          <w:snapToGrid/>
          <w:szCs w:val="22"/>
          <w:lang w:val="lt-LT"/>
        </w:rPr>
      </w:pPr>
      <w:r>
        <w:t>Apiksabanas netirtas pacientams vaikams, kuriems protezuoti širdies vožtuvai, todėl vartoti apiksabano nerekomenduojama.</w:t>
      </w:r>
    </w:p>
    <w:p w14:paraId="2F314D1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Pacientai, kuriems protezuoti širdies vožtuvai</w:t>
      </w:r>
    </w:p>
    <w:p w14:paraId="1168396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Apiksabano saugumas ir veiksmingumas nebuvo tirti pacientams, kuriems protezuoti širdies vožtuvai ir </w:t>
      </w:r>
      <w:r>
        <w:rPr>
          <w:snapToGrid/>
          <w:szCs w:val="22"/>
          <w:lang w:val="lt-LT"/>
        </w:rPr>
        <w:lastRenderedPageBreak/>
        <w:t>pasireiškė arba nepasireiškė prieširdžių virpėjimas. Todėl šiai grupei apiksabano skirti nerekomenduojama.</w:t>
      </w:r>
    </w:p>
    <w:p w14:paraId="666E5B5C" w14:textId="77777777" w:rsidR="00890384" w:rsidRDefault="00890384">
      <w:pPr>
        <w:widowControl w:val="0"/>
        <w:tabs>
          <w:tab w:val="clear" w:pos="567"/>
        </w:tabs>
        <w:autoSpaceDE w:val="0"/>
        <w:autoSpaceDN w:val="0"/>
        <w:spacing w:line="240" w:lineRule="auto"/>
        <w:rPr>
          <w:snapToGrid/>
          <w:szCs w:val="22"/>
          <w:lang w:val="lt-LT"/>
        </w:rPr>
      </w:pPr>
    </w:p>
    <w:p w14:paraId="32B3D4C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Antifosfolipidiniu sindromu sergantys pacientai</w:t>
      </w:r>
    </w:p>
    <w:p w14:paraId="37F7AA6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Tiesioginio poveikio geriamieji antikoaguliantai (TPGA), įskaitant apiksabaną,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 glikoproteino I antikūnai), tromboziniai reiškiniai gali pasikartoti dažniau, nei taikant vitamino K antagonistų terapiją.</w:t>
      </w:r>
    </w:p>
    <w:p w14:paraId="3350AA13" w14:textId="77777777" w:rsidR="00890384" w:rsidRDefault="00890384">
      <w:pPr>
        <w:widowControl w:val="0"/>
        <w:tabs>
          <w:tab w:val="clear" w:pos="567"/>
        </w:tabs>
        <w:autoSpaceDE w:val="0"/>
        <w:autoSpaceDN w:val="0"/>
        <w:spacing w:line="240" w:lineRule="auto"/>
        <w:rPr>
          <w:snapToGrid/>
          <w:szCs w:val="22"/>
          <w:lang w:val="lt-LT"/>
        </w:rPr>
      </w:pPr>
    </w:p>
    <w:p w14:paraId="38997C63"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Chirurginės operacijos ir invazinės procedūros</w:t>
      </w:r>
    </w:p>
    <w:p w14:paraId="7345A18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5151ACE7" w14:textId="77777777" w:rsidR="00890384" w:rsidRDefault="00890384">
      <w:pPr>
        <w:widowControl w:val="0"/>
        <w:tabs>
          <w:tab w:val="clear" w:pos="567"/>
        </w:tabs>
        <w:autoSpaceDE w:val="0"/>
        <w:autoSpaceDN w:val="0"/>
        <w:spacing w:line="240" w:lineRule="auto"/>
        <w:rPr>
          <w:snapToGrid/>
          <w:szCs w:val="22"/>
          <w:lang w:val="lt-LT"/>
        </w:rPr>
      </w:pPr>
    </w:p>
    <w:p w14:paraId="4562E81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7E6DBF52" w14:textId="77777777" w:rsidR="00890384" w:rsidRDefault="00890384">
      <w:pPr>
        <w:widowControl w:val="0"/>
        <w:tabs>
          <w:tab w:val="clear" w:pos="567"/>
        </w:tabs>
        <w:autoSpaceDE w:val="0"/>
        <w:autoSpaceDN w:val="0"/>
        <w:spacing w:line="240" w:lineRule="auto"/>
        <w:rPr>
          <w:snapToGrid/>
          <w:szCs w:val="22"/>
          <w:lang w:val="lt-LT"/>
        </w:rPr>
      </w:pPr>
    </w:p>
    <w:p w14:paraId="5351A34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7DF0AED4" w14:textId="77777777" w:rsidR="00890384" w:rsidRDefault="00890384">
      <w:pPr>
        <w:widowControl w:val="0"/>
        <w:tabs>
          <w:tab w:val="clear" w:pos="567"/>
        </w:tabs>
        <w:autoSpaceDE w:val="0"/>
        <w:autoSpaceDN w:val="0"/>
        <w:spacing w:line="240" w:lineRule="auto"/>
        <w:rPr>
          <w:snapToGrid/>
          <w:szCs w:val="22"/>
          <w:lang w:val="lt-LT"/>
        </w:rPr>
      </w:pPr>
    </w:p>
    <w:p w14:paraId="1570006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vartojimą po invazinės procedūros arba operacinės intervencijos reikia atnaujinti iš karto, kai tik leidžia klinikinės aplinkybės ir pasiekiama reikiama hemostazė (apie kardioversiją žr. 4.2 skyriuje).</w:t>
      </w:r>
    </w:p>
    <w:p w14:paraId="04CBBC19" w14:textId="77777777" w:rsidR="00890384" w:rsidRDefault="00890384">
      <w:pPr>
        <w:widowControl w:val="0"/>
        <w:tabs>
          <w:tab w:val="clear" w:pos="567"/>
        </w:tabs>
        <w:autoSpaceDE w:val="0"/>
        <w:autoSpaceDN w:val="0"/>
        <w:spacing w:line="240" w:lineRule="auto"/>
        <w:rPr>
          <w:snapToGrid/>
          <w:szCs w:val="22"/>
          <w:lang w:val="lt-LT"/>
        </w:rPr>
      </w:pPr>
    </w:p>
    <w:p w14:paraId="16FBAE4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kuriems atliekama kateterinė abliacija dėl prieširdžių virpėjimo, gydymo apiksabanu nutraukti nereikia (žr. 4.2, 4.3 ir 4.5 skyrius).</w:t>
      </w:r>
    </w:p>
    <w:p w14:paraId="505A81AF" w14:textId="77777777" w:rsidR="00890384" w:rsidRDefault="00890384">
      <w:pPr>
        <w:widowControl w:val="0"/>
        <w:tabs>
          <w:tab w:val="clear" w:pos="567"/>
        </w:tabs>
        <w:autoSpaceDE w:val="0"/>
        <w:autoSpaceDN w:val="0"/>
        <w:spacing w:line="240" w:lineRule="auto"/>
        <w:rPr>
          <w:snapToGrid/>
          <w:szCs w:val="22"/>
          <w:lang w:val="lt-LT"/>
        </w:rPr>
      </w:pPr>
    </w:p>
    <w:p w14:paraId="3B2DFBE1"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Laikinas vaistinio preparato vartojimo sustabdymas</w:t>
      </w:r>
    </w:p>
    <w:p w14:paraId="6E24B06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108FDB60" w14:textId="77777777" w:rsidR="00890384" w:rsidRDefault="00890384">
      <w:pPr>
        <w:widowControl w:val="0"/>
        <w:tabs>
          <w:tab w:val="clear" w:pos="567"/>
        </w:tabs>
        <w:autoSpaceDE w:val="0"/>
        <w:autoSpaceDN w:val="0"/>
        <w:spacing w:line="240" w:lineRule="auto"/>
        <w:rPr>
          <w:snapToGrid/>
          <w:szCs w:val="22"/>
          <w:lang w:val="lt-LT"/>
        </w:rPr>
      </w:pPr>
    </w:p>
    <w:p w14:paraId="79DFACD7"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Spinalinė/epidurinė anestezija arba punkcija</w:t>
      </w:r>
    </w:p>
    <w:p w14:paraId="14F6B27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neuroaksialinę anesteziją (spinalinę/epidurinę anesteziją) arba spinalinę/epidurinę punkciją, antitrombozinius vaistinius preparatus tromboembolinių komplikacijų profilaktikai vartojantiems pacientams yra 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būtina neatidėliotina diagnostika ir gydymas. Prieš neuroaksialinę intervenciją gydytojas turi įvertinti laukiamos naudos ir rizikos santykį pacientams, kuriems taikomas antikoaguliacinis gydymas, arba pacientams, kuriems bus taikomas antikoaguliacinis gydymas trombozių profilaktikai.</w:t>
      </w:r>
    </w:p>
    <w:p w14:paraId="57282FC1" w14:textId="77777777" w:rsidR="00890384" w:rsidRDefault="00890384">
      <w:pPr>
        <w:widowControl w:val="0"/>
        <w:tabs>
          <w:tab w:val="clear" w:pos="567"/>
        </w:tabs>
        <w:autoSpaceDE w:val="0"/>
        <w:autoSpaceDN w:val="0"/>
        <w:spacing w:line="240" w:lineRule="auto"/>
        <w:rPr>
          <w:snapToGrid/>
          <w:szCs w:val="22"/>
          <w:lang w:val="lt-LT"/>
        </w:rPr>
      </w:pPr>
    </w:p>
    <w:p w14:paraId="3BBCDA6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Klinikinės apiksabano vartojimo patirties, naudojant nuolatinius intratekalinius ar epidurinius kateterius, nėra. Jeigu yra tokia būtinybė, atsižvelgiant į bendrąsias apiksabano farmakokinetines (FK) savybes, po paskutiniosios apiksabano dozės pavartojimo iki kateterio ištraukimo turi praeiti ne mažiau kaip 20–30 valandų (t. y., 2 x pusinės eliminacijos laikas) ir, prieš ištraukiant kateterį, reikia praleisti mažiausiai vieną dozę. Kitą apiksabano dozę galima skirti praėjus ne mažiau kaip 5 valandoms po kateterio ištraukimo. Kaip ir vartojant visus kitus naujuosius antikoaguliacinius vaistinius preparatus, patirtis taikant neuroaksialinę blokadą yra ribota, todėl atliekant tokią blokadą, apiksabaną rekomenduojama vartoti labai atsargiai.</w:t>
      </w:r>
    </w:p>
    <w:p w14:paraId="571277DB" w14:textId="77777777" w:rsidR="00890384" w:rsidRDefault="00890384">
      <w:pPr>
        <w:widowControl w:val="0"/>
        <w:tabs>
          <w:tab w:val="clear" w:pos="567"/>
        </w:tabs>
        <w:autoSpaceDE w:val="0"/>
        <w:autoSpaceDN w:val="0"/>
        <w:spacing w:line="240" w:lineRule="auto"/>
      </w:pPr>
    </w:p>
    <w:p w14:paraId="7A8CE45F" w14:textId="16AA3D4E" w:rsidR="00890384" w:rsidRDefault="00B26795">
      <w:pPr>
        <w:widowControl w:val="0"/>
        <w:tabs>
          <w:tab w:val="clear" w:pos="567"/>
        </w:tabs>
        <w:autoSpaceDE w:val="0"/>
        <w:autoSpaceDN w:val="0"/>
        <w:spacing w:line="240" w:lineRule="auto"/>
      </w:pPr>
      <w:r>
        <w:lastRenderedPageBreak/>
        <w:t xml:space="preserve">Duomenų apie laidinės anestezijos kateterio </w:t>
      </w:r>
      <w:r w:rsidR="00F30379">
        <w:t>įvedimo</w:t>
      </w:r>
      <w:r>
        <w:t xml:space="preserve"> arba ištraukimo laiką apiksaban</w:t>
      </w:r>
      <w:r w:rsidR="00F30379">
        <w:t>o</w:t>
      </w:r>
      <w:r>
        <w:t xml:space="preserve"> vartojantiems pacientams vaikams nėra. Tokiais atvejais reikia nutraukti apiksabano vartojimą ir apsvarstyti galimybę skirti trumpo poveikio parenterinį antikoaguliantą.</w:t>
      </w:r>
    </w:p>
    <w:p w14:paraId="0A220C39" w14:textId="77777777" w:rsidR="00890384" w:rsidRDefault="00890384">
      <w:pPr>
        <w:widowControl w:val="0"/>
        <w:tabs>
          <w:tab w:val="clear" w:pos="567"/>
        </w:tabs>
        <w:autoSpaceDE w:val="0"/>
        <w:autoSpaceDN w:val="0"/>
        <w:spacing w:line="240" w:lineRule="auto"/>
        <w:rPr>
          <w:snapToGrid/>
          <w:szCs w:val="22"/>
          <w:lang w:val="lt-LT"/>
        </w:rPr>
      </w:pPr>
    </w:p>
    <w:p w14:paraId="573B95FC"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PE sergantys pacientai, kurių nestabili hemodinamika, arba pacientai, kuriems būtina trombolizė arba plaučių embolektomija</w:t>
      </w:r>
    </w:p>
    <w:p w14:paraId="23F5D5F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Gydant plaučių embolija sergančius pacientus, kurių yra nestabili hemodinamika arba kuriems gali būti taikoma trombolizė ar plaučių embolektomija, apiksabano nerekomenduojama skirti vietoje nefrakcionuoto heparino, nes apiksabano veiksmingumas ir saugumas šiomis klinikinėmis aplinkybėmis neištirti.</w:t>
      </w:r>
    </w:p>
    <w:p w14:paraId="291F24E7" w14:textId="77777777" w:rsidR="00890384" w:rsidRDefault="00890384">
      <w:pPr>
        <w:widowControl w:val="0"/>
        <w:tabs>
          <w:tab w:val="clear" w:pos="567"/>
        </w:tabs>
        <w:autoSpaceDE w:val="0"/>
        <w:autoSpaceDN w:val="0"/>
        <w:spacing w:line="240" w:lineRule="auto"/>
        <w:rPr>
          <w:snapToGrid/>
          <w:szCs w:val="22"/>
          <w:lang w:val="lt-LT"/>
        </w:rPr>
      </w:pPr>
    </w:p>
    <w:p w14:paraId="2AD76B2A"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Pacientai, kurie serga aktyviu vėžiu</w:t>
      </w:r>
    </w:p>
    <w:p w14:paraId="2536FB6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Aktyviu vėžiu sergantiems pacientams gali būti didelė venų tromboembolijos ir kraujavimo rizika. Kai svarstoma dėl vėžiu sergančių pacientų GVT ar PE gydymo apiksabanu, reikia atidžiai įvertinti naudos ir rizikos santykį (taip pat žr. 4.3 skyrių).</w:t>
      </w:r>
    </w:p>
    <w:p w14:paraId="495793C1" w14:textId="77777777" w:rsidR="00890384" w:rsidRDefault="00890384">
      <w:pPr>
        <w:widowControl w:val="0"/>
        <w:tabs>
          <w:tab w:val="clear" w:pos="567"/>
        </w:tabs>
        <w:autoSpaceDE w:val="0"/>
        <w:autoSpaceDN w:val="0"/>
        <w:spacing w:line="240" w:lineRule="auto"/>
        <w:rPr>
          <w:snapToGrid/>
          <w:szCs w:val="22"/>
          <w:lang w:val="lt-LT"/>
        </w:rPr>
      </w:pPr>
    </w:p>
    <w:p w14:paraId="3FCC3E30"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inkstų funkcija sutrikusi</w:t>
      </w:r>
    </w:p>
    <w:p w14:paraId="6A748ED2" w14:textId="77777777" w:rsidR="000815A9" w:rsidRDefault="000815A9">
      <w:pPr>
        <w:widowControl w:val="0"/>
        <w:tabs>
          <w:tab w:val="clear" w:pos="567"/>
        </w:tabs>
        <w:autoSpaceDE w:val="0"/>
        <w:autoSpaceDN w:val="0"/>
        <w:spacing w:line="240" w:lineRule="auto"/>
        <w:rPr>
          <w:snapToGrid/>
          <w:szCs w:val="22"/>
          <w:lang w:val="lt-LT"/>
        </w:rPr>
      </w:pPr>
    </w:p>
    <w:p w14:paraId="197A8092" w14:textId="77777777" w:rsidR="00890384" w:rsidRPr="005261E3" w:rsidRDefault="00B26795">
      <w:pPr>
        <w:widowControl w:val="0"/>
        <w:tabs>
          <w:tab w:val="clear" w:pos="567"/>
        </w:tabs>
        <w:autoSpaceDE w:val="0"/>
        <w:autoSpaceDN w:val="0"/>
        <w:spacing w:line="240" w:lineRule="auto"/>
        <w:rPr>
          <w:i/>
          <w:iCs/>
        </w:rPr>
      </w:pPr>
      <w:r w:rsidRPr="005261E3">
        <w:rPr>
          <w:i/>
          <w:iCs/>
        </w:rPr>
        <w:t>Suaugę pacientai</w:t>
      </w:r>
    </w:p>
    <w:p w14:paraId="0BA31F4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Riboti klinikiniai duomenys rodo, kad pacientams, kuriems yra sunkus inkstų funkcijos sutrikimas (kreatinino klirensas yra 15–29 ml/min.), padidėja apiksabano koncentracija kraujo plazmoje ir tai gali padidinti kraujavimo riziką. VTE profilaktikai po atliktos planinės klubo arba kelio sąnario pakeitimo operacijos (VTEp), GVT gydymui, PE gydymui ir pasikartojančios GVT ir PE profilaktikai (VTEt) apiksabaną reikia vartoti atsargiai pacientams, kuriems yra sunkus inkstų funkcijos sutrikimas (kreatinino klirensas yra 15–29 ml/min.) (žr. 4.2 ir 5.2 skyrius).</w:t>
      </w:r>
    </w:p>
    <w:p w14:paraId="0BF4CB01" w14:textId="77777777" w:rsidR="00890384" w:rsidRDefault="00890384">
      <w:pPr>
        <w:widowControl w:val="0"/>
        <w:tabs>
          <w:tab w:val="clear" w:pos="567"/>
        </w:tabs>
        <w:autoSpaceDE w:val="0"/>
        <w:autoSpaceDN w:val="0"/>
        <w:spacing w:line="240" w:lineRule="auto"/>
        <w:rPr>
          <w:snapToGrid/>
          <w:szCs w:val="22"/>
          <w:lang w:val="lt-LT"/>
        </w:rPr>
      </w:pPr>
    </w:p>
    <w:p w14:paraId="491CACC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profilaktikai pacientams, kuriems pasireiškia VNPV, pacientams, kuriems yra sunkus inkstų funkcijos sutrikimas (kreatinino klirensas yra 15–29 ml/min.), ir pacientams, kurių kreatinino koncentracija kraujo serume yra ≥ 1,5 mg/dl (133 mikromoliai/l) ir jiems yra ≥ 80 metų arba jų kūno svoris ≤ 60 kg, reikia skirti mažesniąją 2,5 mg apiksabano dozę du kartus per parą (žr. 4.2 skyrių).</w:t>
      </w:r>
    </w:p>
    <w:p w14:paraId="6C1CDF60" w14:textId="77777777" w:rsidR="00890384" w:rsidRDefault="00890384">
      <w:pPr>
        <w:widowControl w:val="0"/>
        <w:tabs>
          <w:tab w:val="clear" w:pos="567"/>
        </w:tabs>
        <w:autoSpaceDE w:val="0"/>
        <w:autoSpaceDN w:val="0"/>
        <w:spacing w:line="240" w:lineRule="auto"/>
        <w:rPr>
          <w:snapToGrid/>
          <w:szCs w:val="22"/>
          <w:lang w:val="lt-LT"/>
        </w:rPr>
      </w:pPr>
    </w:p>
    <w:p w14:paraId="2AB24F9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Pacientų, kurių kreatinino klirensas yra &lt; 15 ml/min. ar kuriems atliekamos dializės, gydymo šiuo vaistiniu preparatu patirties nėra, todėl jiems apiksabano vartoti nerekomenduojama (žr. 4.2 ir 5.2 skyrius).</w:t>
      </w:r>
    </w:p>
    <w:p w14:paraId="15A485D0" w14:textId="77777777" w:rsidR="00890384" w:rsidRDefault="00890384">
      <w:pPr>
        <w:widowControl w:val="0"/>
        <w:tabs>
          <w:tab w:val="clear" w:pos="567"/>
        </w:tabs>
        <w:autoSpaceDE w:val="0"/>
        <w:autoSpaceDN w:val="0"/>
        <w:spacing w:line="240" w:lineRule="auto"/>
      </w:pPr>
    </w:p>
    <w:p w14:paraId="63AE3F3F" w14:textId="77777777" w:rsidR="00890384" w:rsidRPr="005261E3" w:rsidRDefault="00B26795">
      <w:pPr>
        <w:widowControl w:val="0"/>
        <w:tabs>
          <w:tab w:val="clear" w:pos="567"/>
        </w:tabs>
        <w:autoSpaceDE w:val="0"/>
        <w:autoSpaceDN w:val="0"/>
        <w:spacing w:line="240" w:lineRule="auto"/>
        <w:rPr>
          <w:i/>
          <w:iCs/>
        </w:rPr>
      </w:pPr>
      <w:r w:rsidRPr="005261E3">
        <w:rPr>
          <w:i/>
          <w:iCs/>
        </w:rPr>
        <w:t>Pacientai vaikai</w:t>
      </w:r>
    </w:p>
    <w:p w14:paraId="2EBD470E" w14:textId="77777777" w:rsidR="00890384" w:rsidRDefault="00B26795">
      <w:pPr>
        <w:widowControl w:val="0"/>
        <w:tabs>
          <w:tab w:val="clear" w:pos="567"/>
        </w:tabs>
        <w:autoSpaceDE w:val="0"/>
        <w:autoSpaceDN w:val="0"/>
        <w:spacing w:line="240" w:lineRule="auto"/>
      </w:pPr>
      <w:r>
        <w:t>Gydymas pacientams vaikams, kuriems nustatytas sunkus inkstų funkcijos sutrikimas, netirtas, todėl jiems apiksabano vartoti negalima (žr. 4.2 ir 5.2 skyrius).</w:t>
      </w:r>
    </w:p>
    <w:p w14:paraId="2E5B9E88" w14:textId="77777777" w:rsidR="00890384" w:rsidRDefault="00890384">
      <w:pPr>
        <w:widowControl w:val="0"/>
        <w:tabs>
          <w:tab w:val="clear" w:pos="567"/>
        </w:tabs>
        <w:autoSpaceDE w:val="0"/>
        <w:autoSpaceDN w:val="0"/>
        <w:spacing w:line="240" w:lineRule="auto"/>
        <w:rPr>
          <w:snapToGrid/>
          <w:szCs w:val="22"/>
          <w:lang w:val="lt-LT"/>
        </w:rPr>
      </w:pPr>
    </w:p>
    <w:p w14:paraId="0BDD94F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4EA854C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Vyresnis amžius gali padidinti kraujavimo riziką (žr. 5.2 skyrių).</w:t>
      </w:r>
    </w:p>
    <w:p w14:paraId="2AC8D446" w14:textId="77777777" w:rsidR="00890384" w:rsidRDefault="00890384">
      <w:pPr>
        <w:widowControl w:val="0"/>
        <w:tabs>
          <w:tab w:val="clear" w:pos="567"/>
        </w:tabs>
        <w:autoSpaceDE w:val="0"/>
        <w:autoSpaceDN w:val="0"/>
        <w:spacing w:line="240" w:lineRule="auto"/>
        <w:rPr>
          <w:snapToGrid/>
          <w:szCs w:val="22"/>
          <w:lang w:val="lt-LT"/>
        </w:rPr>
      </w:pPr>
    </w:p>
    <w:p w14:paraId="7584389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Be to, apiksabaną vartoti kartu su ASR senyviems pacientams reikia atsargiai, nes gali būti didesnė kraujavimo rizika.</w:t>
      </w:r>
    </w:p>
    <w:p w14:paraId="6C7B539D" w14:textId="77777777" w:rsidR="00890384" w:rsidRDefault="00890384">
      <w:pPr>
        <w:widowControl w:val="0"/>
        <w:tabs>
          <w:tab w:val="clear" w:pos="567"/>
        </w:tabs>
        <w:autoSpaceDE w:val="0"/>
        <w:autoSpaceDN w:val="0"/>
        <w:spacing w:line="240" w:lineRule="auto"/>
        <w:rPr>
          <w:snapToGrid/>
          <w:szCs w:val="22"/>
          <w:lang w:val="lt-LT"/>
        </w:rPr>
      </w:pPr>
    </w:p>
    <w:p w14:paraId="5243A3B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07EDBE04" w14:textId="1BFE882B"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Suaugusiesiems mažesnis kūno svoris (&lt; 60 kg) gali padidinti kraujavimo riziką (žr. 5.2 skyrių). </w:t>
      </w:r>
    </w:p>
    <w:p w14:paraId="469F5AF2" w14:textId="77777777" w:rsidR="00890384" w:rsidRDefault="00890384">
      <w:pPr>
        <w:widowControl w:val="0"/>
        <w:tabs>
          <w:tab w:val="clear" w:pos="567"/>
        </w:tabs>
        <w:autoSpaceDE w:val="0"/>
        <w:autoSpaceDN w:val="0"/>
        <w:spacing w:line="240" w:lineRule="auto"/>
        <w:rPr>
          <w:snapToGrid/>
          <w:szCs w:val="22"/>
          <w:lang w:val="lt-LT"/>
        </w:rPr>
      </w:pPr>
    </w:p>
    <w:p w14:paraId="6A70D84B"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kepenų funkcija sutrikusi</w:t>
      </w:r>
    </w:p>
    <w:p w14:paraId="0626A20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negalima vartoti pacientams, kurie serga su koaguliopatija ar kliniškai reikšminga kraujavimo rizika susijusia kepenų liga (žr. 4.3 skyrių).</w:t>
      </w:r>
    </w:p>
    <w:p w14:paraId="13234FF3" w14:textId="77777777" w:rsidR="00890384" w:rsidRDefault="00890384">
      <w:pPr>
        <w:widowControl w:val="0"/>
        <w:tabs>
          <w:tab w:val="clear" w:pos="567"/>
        </w:tabs>
        <w:autoSpaceDE w:val="0"/>
        <w:autoSpaceDN w:val="0"/>
        <w:spacing w:line="240" w:lineRule="auto"/>
        <w:rPr>
          <w:snapToGrid/>
          <w:szCs w:val="22"/>
          <w:lang w:val="lt-LT"/>
        </w:rPr>
      </w:pPr>
    </w:p>
    <w:p w14:paraId="4CBEC97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5.2 skyrių).</w:t>
      </w:r>
    </w:p>
    <w:p w14:paraId="4E447A54" w14:textId="77777777" w:rsidR="00890384" w:rsidRDefault="00890384">
      <w:pPr>
        <w:widowControl w:val="0"/>
        <w:tabs>
          <w:tab w:val="clear" w:pos="567"/>
        </w:tabs>
        <w:autoSpaceDE w:val="0"/>
        <w:autoSpaceDN w:val="0"/>
        <w:spacing w:line="240" w:lineRule="auto"/>
        <w:rPr>
          <w:snapToGrid/>
          <w:szCs w:val="22"/>
          <w:lang w:val="lt-LT"/>
        </w:rPr>
      </w:pPr>
    </w:p>
    <w:p w14:paraId="3415D20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Vaistinį preparatą reikėtų atsargiai vartoti pacientams, kuriems yra lengvas ar vidutinio sunkumo kepenų funkcijos sutrikimas (A arba B klasės pagal </w:t>
      </w:r>
      <w:r>
        <w:rPr>
          <w:i/>
          <w:snapToGrid/>
          <w:szCs w:val="22"/>
          <w:lang w:val="lt-LT"/>
        </w:rPr>
        <w:t>Child Pugh</w:t>
      </w:r>
      <w:r>
        <w:rPr>
          <w:snapToGrid/>
          <w:szCs w:val="22"/>
          <w:lang w:val="lt-LT"/>
        </w:rPr>
        <w:t>) (žr. 4.2 ir 5.2 skyrius).</w:t>
      </w:r>
    </w:p>
    <w:p w14:paraId="4426B3B4" w14:textId="77777777" w:rsidR="00890384" w:rsidRDefault="00890384">
      <w:pPr>
        <w:widowControl w:val="0"/>
        <w:tabs>
          <w:tab w:val="clear" w:pos="567"/>
        </w:tabs>
        <w:autoSpaceDE w:val="0"/>
        <w:autoSpaceDN w:val="0"/>
        <w:spacing w:line="240" w:lineRule="auto"/>
        <w:rPr>
          <w:snapToGrid/>
          <w:szCs w:val="22"/>
          <w:lang w:val="lt-LT"/>
        </w:rPr>
      </w:pPr>
    </w:p>
    <w:p w14:paraId="1BC8C87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(ALT/AST koncentracija buvo &gt; 2 x VNR) arba bendrojo bilirubino koncentracija buvo ≥ 1,5 x VNR, nebuvo įtraukti į klinikinius tyrimus. Todėl </w:t>
      </w:r>
      <w:r>
        <w:rPr>
          <w:snapToGrid/>
          <w:szCs w:val="22"/>
          <w:lang w:val="lt-LT"/>
        </w:rPr>
        <w:lastRenderedPageBreak/>
        <w:t>šiems pacientams apiksabano reikia vartoti atsargiai (žr. 5.2 skyrių). Prieš pradedant vartoti apiksabano, reikia atlikti kepenų funkcijos tyrimus.</w:t>
      </w:r>
    </w:p>
    <w:p w14:paraId="00BF99C3" w14:textId="77777777" w:rsidR="00890384" w:rsidRDefault="00890384">
      <w:pPr>
        <w:widowControl w:val="0"/>
        <w:tabs>
          <w:tab w:val="clear" w:pos="567"/>
        </w:tabs>
        <w:autoSpaceDE w:val="0"/>
        <w:autoSpaceDN w:val="0"/>
        <w:spacing w:line="240" w:lineRule="auto"/>
        <w:rPr>
          <w:snapToGrid/>
          <w:szCs w:val="22"/>
          <w:lang w:val="lt-LT"/>
        </w:rPr>
      </w:pPr>
    </w:p>
    <w:p w14:paraId="609256B2" w14:textId="0EBAA142" w:rsidR="00890384" w:rsidRDefault="00B26795">
      <w:pPr>
        <w:widowControl w:val="0"/>
        <w:tabs>
          <w:tab w:val="clear" w:pos="567"/>
        </w:tabs>
        <w:autoSpaceDE w:val="0"/>
        <w:autoSpaceDN w:val="0"/>
        <w:spacing w:line="240" w:lineRule="auto"/>
        <w:rPr>
          <w:snapToGrid/>
          <w:szCs w:val="22"/>
          <w:lang w:val="lt-LT"/>
        </w:rPr>
      </w:pPr>
      <w:r>
        <w:t>Apiksabanas netirtas pacientams vaikams, kurių kepenų funkcija sutrikusi.</w:t>
      </w:r>
    </w:p>
    <w:p w14:paraId="6914DEE0"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vaistiniais preparatais, kurie yra ir citochromo P450 3A4 (CYP3A4) izofermento, ir P-glikoproteino (P-gp) inhibitoriai</w:t>
      </w:r>
    </w:p>
    <w:p w14:paraId="60B72D0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nerekomenduojama skirti pacientams, kurie kartu vartoja stipraus sisteminio poveikio ir CYP3A4 izofermento, ir P-gp inhibitorių, pavyzdžiui: azolų grupės priešgrybelinių vaistinių preparatų (pvz., ketokonazolo, itrakonazolo, vorikonazolo ir pozakonazolo) ir ŽIV proteazių inhibitorių (pvz., ritonaviro). Šių vaistinių preparatų vartojimas gali padidinti apiksabano ekspoziciją 2 kartus (žr. 4.5 skyrių) arba dar daugiau, jeigu kartu yra papildomų apiksabano ekspoziciją didinančių veiksnių (pvz., sunkus inkstų funkcijos sutrikimas).</w:t>
      </w:r>
    </w:p>
    <w:p w14:paraId="6E46ACAB" w14:textId="77777777" w:rsidR="00890384" w:rsidRDefault="00890384">
      <w:pPr>
        <w:widowControl w:val="0"/>
        <w:tabs>
          <w:tab w:val="clear" w:pos="567"/>
        </w:tabs>
        <w:autoSpaceDE w:val="0"/>
        <w:autoSpaceDN w:val="0"/>
        <w:spacing w:line="240" w:lineRule="auto"/>
      </w:pPr>
    </w:p>
    <w:p w14:paraId="285B217F" w14:textId="28C906F8" w:rsidR="00890384" w:rsidRDefault="00B26795">
      <w:pPr>
        <w:widowControl w:val="0"/>
        <w:tabs>
          <w:tab w:val="clear" w:pos="567"/>
        </w:tabs>
        <w:autoSpaceDE w:val="0"/>
        <w:autoSpaceDN w:val="0"/>
        <w:spacing w:line="240" w:lineRule="auto"/>
      </w:pPr>
      <w:bookmarkStart w:id="1" w:name="_Hlk179293061"/>
      <w:r>
        <w:t>Klinikinių duomenų apie pacientus vaikus, kurie vienu metu gauna sisteminį gydymą stipriais CYP</w:t>
      </w:r>
      <w:r w:rsidR="00562CD7">
        <w:t> </w:t>
      </w:r>
      <w:r>
        <w:t>3A4 ir P-gp inhibitoriais, nėra (žr. 4.5 skyrių).</w:t>
      </w:r>
    </w:p>
    <w:bookmarkEnd w:id="1"/>
    <w:p w14:paraId="4B20C4E6" w14:textId="77777777" w:rsidR="00890384" w:rsidRDefault="00890384">
      <w:pPr>
        <w:widowControl w:val="0"/>
        <w:tabs>
          <w:tab w:val="clear" w:pos="567"/>
        </w:tabs>
        <w:autoSpaceDE w:val="0"/>
        <w:autoSpaceDN w:val="0"/>
        <w:spacing w:line="240" w:lineRule="auto"/>
        <w:rPr>
          <w:snapToGrid/>
          <w:szCs w:val="22"/>
          <w:lang w:val="lt-LT"/>
        </w:rPr>
      </w:pPr>
    </w:p>
    <w:p w14:paraId="432E9B7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Sąveika su vaistiniais preparatais, kurie yra ir CYP3A4 izofermento, ir P-gp induktoriai</w:t>
      </w:r>
    </w:p>
    <w:p w14:paraId="6E103F3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vartojant kartu su stipraus poveikio CYP3A4 izofermento ir P-gp induktoriais (pvz., rifampicinu, fenitoinu, karbamazepinu, fenobarbitaliu ar jonažolės preparatais), gali maždaug 50 % sumažėti apiksabano ekspozicija. Klinikinio tyrimo, kuriame dalyvavo pacientai, kuriems pasireiškė prieširdžių virpėjimas, duomenimis, apiksabano vartojant kartu su stipraus poveikio ir CYP3A4 izofermento, ir P-gp induktoriais, palyginti su vien apiksabano vartojimu, buvo stebėtas veiksmingumo sumažėjimas ir kraujavimo rizikos padidėjimas.</w:t>
      </w:r>
    </w:p>
    <w:p w14:paraId="0055DFED" w14:textId="77777777" w:rsidR="00890384" w:rsidRDefault="00890384">
      <w:pPr>
        <w:widowControl w:val="0"/>
        <w:tabs>
          <w:tab w:val="clear" w:pos="567"/>
        </w:tabs>
        <w:autoSpaceDE w:val="0"/>
        <w:autoSpaceDN w:val="0"/>
        <w:spacing w:line="240" w:lineRule="auto"/>
        <w:rPr>
          <w:snapToGrid/>
          <w:szCs w:val="22"/>
          <w:lang w:val="lt-LT"/>
        </w:rPr>
      </w:pPr>
    </w:p>
    <w:p w14:paraId="797C2A6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kurie kartu vartoja sisteminio poveikio stiprių CYP3A4 ir P-gp induktorių, taikomos šios rekomendacijos (žr. 4.5 skyrių):</w:t>
      </w:r>
    </w:p>
    <w:p w14:paraId="2B730703" w14:textId="77777777" w:rsidR="00890384" w:rsidRDefault="00890384">
      <w:pPr>
        <w:widowControl w:val="0"/>
        <w:tabs>
          <w:tab w:val="clear" w:pos="567"/>
        </w:tabs>
        <w:autoSpaceDE w:val="0"/>
        <w:autoSpaceDN w:val="0"/>
        <w:spacing w:line="240" w:lineRule="auto"/>
        <w:rPr>
          <w:snapToGrid/>
          <w:szCs w:val="22"/>
          <w:lang w:val="lt-LT"/>
        </w:rPr>
      </w:pPr>
    </w:p>
    <w:p w14:paraId="76E0C74B" w14:textId="77777777" w:rsidR="00890384" w:rsidRDefault="00B26795">
      <w:pPr>
        <w:widowControl w:val="0"/>
        <w:numPr>
          <w:ilvl w:val="0"/>
          <w:numId w:val="7"/>
        </w:numPr>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insulto ir sisteminės embolijos profilaktikai pacientams, kuriems pasireiškia VNPV, ir pasikartojančios GVT ir PE profilaktikai apiksabaną reikia vartoti atsargiai;</w:t>
      </w:r>
    </w:p>
    <w:p w14:paraId="284A73D8"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4B4AF903" w14:textId="77777777" w:rsidR="00890384" w:rsidRDefault="00B26795">
      <w:pPr>
        <w:widowControl w:val="0"/>
        <w:numPr>
          <w:ilvl w:val="0"/>
          <w:numId w:val="7"/>
        </w:numPr>
        <w:autoSpaceDE w:val="0"/>
        <w:autoSpaceDN w:val="0"/>
        <w:spacing w:line="240" w:lineRule="auto"/>
        <w:ind w:left="540" w:hanging="540"/>
        <w:rPr>
          <w:snapToGrid/>
          <w:szCs w:val="22"/>
          <w:lang w:val="lt-LT"/>
        </w:rPr>
      </w:pPr>
      <w:r>
        <w:rPr>
          <w:snapToGrid/>
          <w:szCs w:val="22"/>
          <w:lang w:val="lt-LT"/>
        </w:rPr>
        <w:t>GVT gydymui ir PE gydymui apiksabano vartoti negalima, nes gali būti mažesnis veiksmingumas.</w:t>
      </w:r>
    </w:p>
    <w:p w14:paraId="163FD63D"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2A0A9616" w14:textId="77777777" w:rsidR="00890384" w:rsidRPr="005261E3" w:rsidRDefault="00B26795" w:rsidP="005261E3">
      <w:pPr>
        <w:widowControl w:val="0"/>
        <w:tabs>
          <w:tab w:val="clear" w:pos="567"/>
        </w:tabs>
        <w:autoSpaceDE w:val="0"/>
        <w:autoSpaceDN w:val="0"/>
        <w:spacing w:line="240" w:lineRule="auto"/>
      </w:pPr>
      <w:r>
        <w:t>Klinikinių duomenų apie pacientus vaikus, kurie vienu metu gauna sisteminį gydymą stipriais CYP 3A4 ir P-gp inhibitoriais, nėra (žr. 4.5 skyrių).</w:t>
      </w:r>
    </w:p>
    <w:p w14:paraId="732C9F1C"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11E0DC34"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Šlaunikaulio lūžio operacija</w:t>
      </w:r>
    </w:p>
    <w:p w14:paraId="7A6C611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veiksmingumas ir saugumas pacientams, kuriems atliekama šlaunikaulio lūžio operacija, klinikinių tyrimų metu netirti. Todėl šiems pacientams vaistinio preparato vartoti nerekomenduojama.</w:t>
      </w:r>
    </w:p>
    <w:p w14:paraId="2AD4F9DC" w14:textId="77777777" w:rsidR="00890384" w:rsidRDefault="00890384">
      <w:pPr>
        <w:widowControl w:val="0"/>
        <w:tabs>
          <w:tab w:val="clear" w:pos="567"/>
        </w:tabs>
        <w:autoSpaceDE w:val="0"/>
        <w:autoSpaceDN w:val="0"/>
        <w:spacing w:line="240" w:lineRule="auto"/>
        <w:rPr>
          <w:snapToGrid/>
          <w:szCs w:val="22"/>
          <w:lang w:val="lt-LT"/>
        </w:rPr>
      </w:pPr>
    </w:p>
    <w:p w14:paraId="47822C63"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Laboratorinių tyrimų rodmenys</w:t>
      </w:r>
    </w:p>
    <w:p w14:paraId="67EDA60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Kaip ir tikėtasi, dėl apiksabano veikimo mechanizmo daromas poveikis krešėjimo tyrimų [pvz., protrombino laiko (PL), tarptautinio normalizuotojo santykio (TNS) ir aktyvinto dalinio tromboplastino laiko (aDTL)] rezultatams. Pastebėta, kad vartojant terapinę vaistinio preparato dozę, šių krešėjimo tyrimų rezultatų pokyčiai yra nedideli ir labai skiriasi įvairiems pacientams (žr. 5.1 skyrių).</w:t>
      </w:r>
    </w:p>
    <w:p w14:paraId="23077978" w14:textId="77777777" w:rsidR="00890384" w:rsidRDefault="00890384">
      <w:pPr>
        <w:widowControl w:val="0"/>
        <w:tabs>
          <w:tab w:val="clear" w:pos="567"/>
        </w:tabs>
        <w:autoSpaceDE w:val="0"/>
        <w:autoSpaceDN w:val="0"/>
        <w:spacing w:line="240" w:lineRule="auto"/>
        <w:rPr>
          <w:snapToGrid/>
          <w:szCs w:val="22"/>
          <w:lang w:val="lt-LT"/>
        </w:rPr>
      </w:pPr>
    </w:p>
    <w:p w14:paraId="70CBAE08"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Informacija apie pagalbines medžiagas</w:t>
      </w:r>
    </w:p>
    <w:p w14:paraId="50E06703" w14:textId="77777777" w:rsidR="00890384" w:rsidRDefault="00890384">
      <w:pPr>
        <w:widowControl w:val="0"/>
        <w:tabs>
          <w:tab w:val="clear" w:pos="567"/>
        </w:tabs>
        <w:autoSpaceDE w:val="0"/>
        <w:autoSpaceDN w:val="0"/>
        <w:spacing w:line="240" w:lineRule="auto"/>
        <w:rPr>
          <w:i/>
          <w:snapToGrid/>
          <w:szCs w:val="22"/>
          <w:lang w:val="lt-LT"/>
        </w:rPr>
      </w:pPr>
    </w:p>
    <w:p w14:paraId="4BDCAC8A"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Laktozė</w:t>
      </w:r>
    </w:p>
    <w:p w14:paraId="6BD40ACA"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40AECD5C" w14:textId="77777777" w:rsidR="00890384" w:rsidRDefault="00890384">
      <w:pPr>
        <w:widowControl w:val="0"/>
        <w:tabs>
          <w:tab w:val="clear" w:pos="567"/>
        </w:tabs>
        <w:autoSpaceDE w:val="0"/>
        <w:autoSpaceDN w:val="0"/>
        <w:spacing w:line="240" w:lineRule="auto"/>
        <w:rPr>
          <w:i/>
          <w:snapToGrid/>
          <w:szCs w:val="22"/>
          <w:lang w:val="lt-LT"/>
        </w:rPr>
      </w:pPr>
    </w:p>
    <w:p w14:paraId="0D092482"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Natris</w:t>
      </w:r>
    </w:p>
    <w:p w14:paraId="32CA39C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Šio vaistinio preparato tabletėje yra mažiau kaip 1 mmol (23 mg) natrio, t. y. jis beveik neturi reikšmės.</w:t>
      </w:r>
    </w:p>
    <w:p w14:paraId="1317B475" w14:textId="77777777" w:rsidR="00890384" w:rsidRDefault="00890384">
      <w:pPr>
        <w:widowControl w:val="0"/>
        <w:tabs>
          <w:tab w:val="clear" w:pos="567"/>
        </w:tabs>
        <w:autoSpaceDE w:val="0"/>
        <w:autoSpaceDN w:val="0"/>
        <w:spacing w:line="240" w:lineRule="auto"/>
        <w:rPr>
          <w:snapToGrid/>
          <w:szCs w:val="22"/>
          <w:lang w:val="lt-LT"/>
        </w:rPr>
      </w:pPr>
    </w:p>
    <w:p w14:paraId="0F729737" w14:textId="77777777" w:rsidR="00890384" w:rsidRDefault="00B26795">
      <w:pPr>
        <w:widowControl w:val="0"/>
        <w:numPr>
          <w:ilvl w:val="1"/>
          <w:numId w:val="17"/>
        </w:numPr>
        <w:autoSpaceDE w:val="0"/>
        <w:autoSpaceDN w:val="0"/>
        <w:spacing w:line="240" w:lineRule="auto"/>
        <w:ind w:left="567" w:hanging="567"/>
        <w:outlineLvl w:val="1"/>
        <w:rPr>
          <w:b/>
          <w:bCs/>
          <w:snapToGrid/>
          <w:szCs w:val="22"/>
          <w:lang w:val="lt-LT"/>
        </w:rPr>
      </w:pPr>
      <w:r>
        <w:rPr>
          <w:b/>
          <w:bCs/>
          <w:snapToGrid/>
          <w:szCs w:val="22"/>
          <w:lang w:val="lt-LT"/>
        </w:rPr>
        <w:t>Sąveika su kitais vaistiniais preparatais ir kitokia sąveika</w:t>
      </w:r>
    </w:p>
    <w:p w14:paraId="3A1FE0FD" w14:textId="77777777" w:rsidR="00890384" w:rsidRDefault="00890384">
      <w:pPr>
        <w:widowControl w:val="0"/>
        <w:tabs>
          <w:tab w:val="clear" w:pos="567"/>
        </w:tabs>
        <w:autoSpaceDE w:val="0"/>
        <w:autoSpaceDN w:val="0"/>
        <w:spacing w:line="240" w:lineRule="auto"/>
        <w:rPr>
          <w:b/>
          <w:snapToGrid/>
          <w:szCs w:val="22"/>
          <w:lang w:val="lt-LT"/>
        </w:rPr>
      </w:pPr>
    </w:p>
    <w:p w14:paraId="740712BD"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lastRenderedPageBreak/>
        <w:t>CYP3A4 izofermento ir P-gp inhibitoriai</w:t>
      </w:r>
    </w:p>
    <w:p w14:paraId="4E66CBC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kartu su stipraus poveikio ir CYP3A4 izofermento, ir P-gp inhibitoriumi ketokonazolu (400 mg vieną kartą per parą), apiksabano vidutinis AUC padidėjo 2 kartus, o vidutinė C</w:t>
      </w:r>
      <w:r>
        <w:rPr>
          <w:snapToGrid/>
          <w:szCs w:val="22"/>
          <w:vertAlign w:val="subscript"/>
          <w:lang w:val="lt-LT"/>
        </w:rPr>
        <w:t>max</w:t>
      </w:r>
      <w:r>
        <w:rPr>
          <w:snapToGrid/>
          <w:szCs w:val="22"/>
          <w:lang w:val="lt-LT"/>
        </w:rPr>
        <w:t xml:space="preserve"> – 1,6 karto.</w:t>
      </w:r>
    </w:p>
    <w:p w14:paraId="58A47984" w14:textId="77777777" w:rsidR="00890384" w:rsidRDefault="00890384">
      <w:pPr>
        <w:widowControl w:val="0"/>
        <w:tabs>
          <w:tab w:val="clear" w:pos="567"/>
        </w:tabs>
        <w:autoSpaceDE w:val="0"/>
        <w:autoSpaceDN w:val="0"/>
        <w:spacing w:line="240" w:lineRule="auto"/>
        <w:rPr>
          <w:snapToGrid/>
          <w:szCs w:val="22"/>
          <w:lang w:val="lt-LT"/>
        </w:rPr>
      </w:pPr>
    </w:p>
    <w:p w14:paraId="38D6B03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nerekomenduojama skirti pacientams, kurie kartu vartoja stipraus sisteminio poveikio ir CYP3A4 izofermento, ir P-gp inhibitorių, pavyzdžiui: azolų grupės priešgrybelinių vaistinių preparatų (pvz., ketokonazolo, itrakonazolo, vorikonazolo ir pozakonazolo) ir ŽIV proteazių inhibitorių (pvz., ritonaviro) (žr. 4.4 skyrių).</w:t>
      </w:r>
    </w:p>
    <w:p w14:paraId="1F322F94" w14:textId="77777777" w:rsidR="00890384" w:rsidRDefault="00890384">
      <w:pPr>
        <w:widowControl w:val="0"/>
        <w:tabs>
          <w:tab w:val="clear" w:pos="567"/>
        </w:tabs>
        <w:autoSpaceDE w:val="0"/>
        <w:autoSpaceDN w:val="0"/>
        <w:spacing w:line="240" w:lineRule="auto"/>
        <w:rPr>
          <w:snapToGrid/>
          <w:szCs w:val="22"/>
          <w:lang w:val="lt-LT"/>
        </w:rPr>
      </w:pPr>
    </w:p>
    <w:p w14:paraId="63580A3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Numatoma, kad veikliosios medžiagos, kurios nelaikomos stipraus poveikio ir CYP3A4, ir P-gp inhibitoriais (pvz., amjodaronas, klaritromicinas, diltiazemas, flukonazolas, naproksenas, chinidinas, verapamilis), apiksabano koncentraciją kraujo plazmoje didins mažiau. Kartu su medžiagomis, kurios nėra stiprūs ir CYP3A4 izofermento, ir P-gp inhibitoriai, vartojamo apiksabano dozės koreguoti nereikia. Pavyzdžiui, diltiazemo (360 mg kartą per parą), kuris laikomas vidutinio stiprumo CYP3A4 izofermento ir silpnu P-gp inhibitoriumi, vartojimas apiksabano vidutinį AUC padidino 1,4 karto, o C</w:t>
      </w:r>
      <w:r>
        <w:rPr>
          <w:snapToGrid/>
          <w:szCs w:val="22"/>
          <w:vertAlign w:val="subscript"/>
          <w:lang w:val="lt-LT"/>
        </w:rPr>
        <w:t>max</w:t>
      </w:r>
      <w:r>
        <w:rPr>
          <w:snapToGrid/>
          <w:szCs w:val="22"/>
          <w:lang w:val="lt-LT"/>
        </w:rPr>
        <w:t xml:space="preserve"> – 1,3 karto. Naprokseno (vienkartinė 500 mg dozė), kuris yra P-gp inhibitorius, bet neslopina CYP3A4 izofermento, vartojimas apiksabano vidutinius AUC ir C</w:t>
      </w:r>
      <w:r>
        <w:rPr>
          <w:snapToGrid/>
          <w:szCs w:val="22"/>
          <w:vertAlign w:val="subscript"/>
          <w:lang w:val="lt-LT"/>
        </w:rPr>
        <w:t>max</w:t>
      </w:r>
      <w:r>
        <w:rPr>
          <w:snapToGrid/>
          <w:szCs w:val="22"/>
          <w:lang w:val="lt-LT"/>
        </w:rPr>
        <w:t xml:space="preserve"> padidino atitinkamai 1,5 karto ir 1,6 karto. Klaritromicino (500 mg dozė du kartus per parą), kuris yra P-gp inhibitorius ir stiprus CYP3A4 izofermento inhibitorius, vartojimas apiksabano vidutinius AUC ir C</w:t>
      </w:r>
      <w:r>
        <w:rPr>
          <w:snapToGrid/>
          <w:szCs w:val="22"/>
          <w:vertAlign w:val="subscript"/>
          <w:lang w:val="lt-LT"/>
        </w:rPr>
        <w:t>max</w:t>
      </w:r>
      <w:r>
        <w:rPr>
          <w:snapToGrid/>
          <w:szCs w:val="22"/>
          <w:lang w:val="lt-LT"/>
        </w:rPr>
        <w:t xml:space="preserve"> padidino atitinkamai 1,6 karto ir 1,3 karto.</w:t>
      </w:r>
    </w:p>
    <w:p w14:paraId="438BFA4E" w14:textId="77777777" w:rsidR="00890384" w:rsidRDefault="00890384">
      <w:pPr>
        <w:widowControl w:val="0"/>
        <w:tabs>
          <w:tab w:val="clear" w:pos="567"/>
        </w:tabs>
        <w:autoSpaceDE w:val="0"/>
        <w:autoSpaceDN w:val="0"/>
        <w:spacing w:line="240" w:lineRule="auto"/>
        <w:rPr>
          <w:snapToGrid/>
          <w:szCs w:val="22"/>
          <w:u w:val="single"/>
          <w:lang w:val="lt-LT"/>
        </w:rPr>
      </w:pPr>
    </w:p>
    <w:p w14:paraId="6C0E4984"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CYP3A4 izofermento ir P-gp induktoriai</w:t>
      </w:r>
    </w:p>
    <w:p w14:paraId="7B273C3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Apiksabano skiriant kartu su stipraus poveikio ir CYP3A4 izofermento, ir P-gp induktoriumi </w:t>
      </w:r>
      <w:r>
        <w:rPr>
          <w:snapToGrid/>
          <w:position w:val="2"/>
          <w:szCs w:val="22"/>
          <w:lang w:val="lt-LT"/>
        </w:rPr>
        <w:t>rifampicinu, apiksabano vidutiniai AUC</w:t>
      </w:r>
      <w:r>
        <w:rPr>
          <w:i/>
          <w:snapToGrid/>
          <w:position w:val="2"/>
          <w:szCs w:val="22"/>
          <w:lang w:val="lt-LT"/>
        </w:rPr>
        <w:t xml:space="preserve"> </w:t>
      </w:r>
      <w:r>
        <w:rPr>
          <w:snapToGrid/>
          <w:position w:val="2"/>
          <w:szCs w:val="22"/>
          <w:lang w:val="lt-LT"/>
        </w:rPr>
        <w:t>ir C</w:t>
      </w:r>
      <w:r>
        <w:rPr>
          <w:snapToGrid/>
          <w:szCs w:val="22"/>
          <w:vertAlign w:val="subscript"/>
          <w:lang w:val="lt-LT"/>
        </w:rPr>
        <w:t>max</w:t>
      </w:r>
      <w:r>
        <w:rPr>
          <w:i/>
          <w:snapToGrid/>
          <w:szCs w:val="22"/>
          <w:lang w:val="lt-LT"/>
        </w:rPr>
        <w:t xml:space="preserve"> </w:t>
      </w:r>
      <w:r>
        <w:rPr>
          <w:snapToGrid/>
          <w:position w:val="2"/>
          <w:szCs w:val="22"/>
          <w:lang w:val="lt-LT"/>
        </w:rPr>
        <w:t xml:space="preserve">sumažėjo atitinkamai maždaug 54 % ir 42 %. </w:t>
      </w:r>
      <w:r>
        <w:rPr>
          <w:snapToGrid/>
          <w:szCs w:val="22"/>
          <w:lang w:val="lt-LT"/>
        </w:rPr>
        <w:t>Apiksabano vartojant kartu su kitais stipraus poveikio CYP3A4 izofermento ir P-gp induktoriais (pvz., fenitoinu, karbamazepinu, fenobarbitaliu ar jonažolės preparatais), apiksabano koncentracija kraujo plazmoje taip pat gali sumažėti. Kartu su šiais vaistiniais preparatais vartojamo apiksabano dozės koreguoti nereikia, tačiau apiksabaną reikia atsargiai vartoti pacientams, kurie kartu vartoja stiprius CYP3A4 izofermento ir P-gp induktorius ir kuriems apiksabano skiriama VTE profilaktikai po planinių klubo arba kelio sąnario pakeitimo operacijų, insulto ir sisteminės embolijos profilaktikai pacientams, kuriems pasireiškia VNPV, ir pasikartojančios GVT ir PE profilaktikai.</w:t>
      </w:r>
    </w:p>
    <w:p w14:paraId="2B3E2682" w14:textId="77777777" w:rsidR="00890384" w:rsidRDefault="00890384">
      <w:pPr>
        <w:widowControl w:val="0"/>
        <w:tabs>
          <w:tab w:val="clear" w:pos="567"/>
        </w:tabs>
        <w:autoSpaceDE w:val="0"/>
        <w:autoSpaceDN w:val="0"/>
        <w:spacing w:line="240" w:lineRule="auto"/>
        <w:rPr>
          <w:snapToGrid/>
          <w:szCs w:val="22"/>
          <w:lang w:val="lt-LT"/>
        </w:rPr>
      </w:pPr>
    </w:p>
    <w:p w14:paraId="0A580DF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nerekomenduojama skirti GVT ir PE gydymui pacientams, kurie kartu vartoja sisteminio poveikio stiprius CYP3A4 ir P-gp induktorius, nes gali būti mažesnis veiksmingumas (žr. 4.4 skyrių).</w:t>
      </w:r>
    </w:p>
    <w:p w14:paraId="6F1B7951" w14:textId="77777777" w:rsidR="00890384" w:rsidRDefault="00890384">
      <w:pPr>
        <w:widowControl w:val="0"/>
        <w:tabs>
          <w:tab w:val="clear" w:pos="567"/>
        </w:tabs>
        <w:autoSpaceDE w:val="0"/>
        <w:autoSpaceDN w:val="0"/>
        <w:spacing w:line="240" w:lineRule="auto"/>
        <w:rPr>
          <w:snapToGrid/>
          <w:szCs w:val="22"/>
          <w:lang w:val="lt-LT"/>
        </w:rPr>
      </w:pPr>
    </w:p>
    <w:p w14:paraId="0C09FD0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Antikoaguliantai, trombocitų agregacijos inhibitoriai, SSRI (SNRI) ir NVNU</w:t>
      </w:r>
    </w:p>
    <w:p w14:paraId="763DD9D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 skyrių).</w:t>
      </w:r>
    </w:p>
    <w:p w14:paraId="3DDA6864" w14:textId="77777777" w:rsidR="00890384" w:rsidRDefault="00890384">
      <w:pPr>
        <w:widowControl w:val="0"/>
        <w:tabs>
          <w:tab w:val="clear" w:pos="567"/>
        </w:tabs>
        <w:autoSpaceDE w:val="0"/>
        <w:autoSpaceDN w:val="0"/>
        <w:spacing w:line="240" w:lineRule="auto"/>
        <w:rPr>
          <w:snapToGrid/>
          <w:szCs w:val="22"/>
          <w:lang w:val="lt-LT"/>
        </w:rPr>
      </w:pPr>
    </w:p>
    <w:p w14:paraId="7EE39E2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Po enoksaparino (vienkartinė 40 mg dozė) pavartojimo kartu su apiksabanu (5 mg vienkartinė dozė), buvo stebėtas adityvus poveikis anti-Xa faktoriaus aktyvumui.</w:t>
      </w:r>
    </w:p>
    <w:p w14:paraId="7D37A94A" w14:textId="77777777" w:rsidR="00890384" w:rsidRDefault="00890384">
      <w:pPr>
        <w:widowControl w:val="0"/>
        <w:tabs>
          <w:tab w:val="clear" w:pos="567"/>
        </w:tabs>
        <w:autoSpaceDE w:val="0"/>
        <w:autoSpaceDN w:val="0"/>
        <w:spacing w:line="240" w:lineRule="auto"/>
        <w:rPr>
          <w:snapToGrid/>
          <w:szCs w:val="22"/>
          <w:lang w:val="lt-LT"/>
        </w:rPr>
      </w:pPr>
    </w:p>
    <w:p w14:paraId="5B667BC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kartu su vieną kartą per parą vartojama 325 mg ASR doze, farmakokinetinės ar farmakodinaminės sąveikos nenustatyta.</w:t>
      </w:r>
    </w:p>
    <w:p w14:paraId="05A7AA43" w14:textId="77777777" w:rsidR="00890384" w:rsidRDefault="00890384">
      <w:pPr>
        <w:widowControl w:val="0"/>
        <w:tabs>
          <w:tab w:val="clear" w:pos="567"/>
        </w:tabs>
        <w:autoSpaceDE w:val="0"/>
        <w:autoSpaceDN w:val="0"/>
        <w:spacing w:line="240" w:lineRule="auto"/>
        <w:rPr>
          <w:snapToGrid/>
          <w:szCs w:val="22"/>
          <w:lang w:val="lt-LT"/>
        </w:rPr>
      </w:pPr>
    </w:p>
    <w:p w14:paraId="0C3B707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 fazės tyrimų metu apiksabano skiriant kartu su klopidogreliu (75 mg vieną kartą per parą) ar deriniu su vieną kartą per parą vartojamu 75 mg klopidogrelio ir 162 mg ASR deriniu arba su prasugreliu (iš pradžių 60 mg, o vėliau – 10 mg vieną kartą per parą), nenustatyta reikšmingo kraujavimo laiko pailgėjimo arba papildomo trombocitų agregacijos slopinimo, palyginti su trombocitų funkciją slopinančių vaistinių preparatų vartojimu be apiksabano. Krešėjimo tyrimų (PL, TNS ir aDTL) rodmenų padidėjimas atitiko vien apiksabano poveikį.</w:t>
      </w:r>
    </w:p>
    <w:p w14:paraId="5F56011C" w14:textId="77777777" w:rsidR="00890384" w:rsidRDefault="00890384">
      <w:pPr>
        <w:widowControl w:val="0"/>
        <w:tabs>
          <w:tab w:val="clear" w:pos="567"/>
        </w:tabs>
        <w:autoSpaceDE w:val="0"/>
        <w:autoSpaceDN w:val="0"/>
        <w:spacing w:line="240" w:lineRule="auto"/>
        <w:rPr>
          <w:snapToGrid/>
          <w:szCs w:val="22"/>
          <w:lang w:val="lt-LT"/>
        </w:rPr>
      </w:pPr>
    </w:p>
    <w:p w14:paraId="0175696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P-gp inhibitoriaus naprokseno (500 mg) vartojimas apiksabano vidutinius AUC ir C</w:t>
      </w:r>
      <w:r>
        <w:rPr>
          <w:snapToGrid/>
          <w:szCs w:val="22"/>
          <w:vertAlign w:val="subscript"/>
          <w:lang w:val="lt-LT"/>
        </w:rPr>
        <w:t>max</w:t>
      </w:r>
      <w:r>
        <w:rPr>
          <w:snapToGrid/>
          <w:szCs w:val="22"/>
          <w:lang w:val="lt-LT"/>
        </w:rPr>
        <w:t xml:space="preserve"> padidino atitinkamai 1,5 karto ir 1,6 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1058C91E" w14:textId="77777777" w:rsidR="00890384" w:rsidRDefault="00890384">
      <w:pPr>
        <w:widowControl w:val="0"/>
        <w:tabs>
          <w:tab w:val="clear" w:pos="567"/>
        </w:tabs>
        <w:autoSpaceDE w:val="0"/>
        <w:autoSpaceDN w:val="0"/>
        <w:spacing w:line="240" w:lineRule="auto"/>
        <w:rPr>
          <w:snapToGrid/>
          <w:szCs w:val="22"/>
          <w:lang w:val="lt-LT"/>
        </w:rPr>
      </w:pPr>
    </w:p>
    <w:p w14:paraId="392848A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Nepaisant šių duomenų, kartu su apiksabanu vartojant trombocitų agregaciją slopinančių vaistinių preparatų, </w:t>
      </w:r>
      <w:r>
        <w:rPr>
          <w:snapToGrid/>
          <w:szCs w:val="22"/>
          <w:lang w:val="lt-LT"/>
        </w:rPr>
        <w:lastRenderedPageBreak/>
        <w:t>kai kuriems asmenims gali pasireikšti stipresnis farmakodinaminis poveikis. Apiksabaną reikia atsargiai vartoti kartu su SSRI (SNRI), NVNU, ASR ir (arba) P2Y12 inhibitoriais, kadangi šie vaistiniai preparatai paprastai didina kraujavimo riziką (žr. 4.4 skyrių).</w:t>
      </w:r>
    </w:p>
    <w:p w14:paraId="59793D2C" w14:textId="77777777" w:rsidR="00890384" w:rsidRDefault="00890384">
      <w:pPr>
        <w:widowControl w:val="0"/>
        <w:tabs>
          <w:tab w:val="clear" w:pos="567"/>
        </w:tabs>
        <w:autoSpaceDE w:val="0"/>
        <w:autoSpaceDN w:val="0"/>
        <w:spacing w:line="240" w:lineRule="auto"/>
        <w:rPr>
          <w:snapToGrid/>
          <w:szCs w:val="22"/>
          <w:lang w:val="lt-LT"/>
        </w:rPr>
      </w:pPr>
    </w:p>
    <w:p w14:paraId="1B2CB02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Trūksta patirties skiriant kartu su kitais trombocitų agregacijos inhibitoriais (pvz., GPIIb/IIIa receptorių antagonistais, dipiridamoliu, dekstranu arba sulfinpirazonu) arba tromboliziniais vaistiniais preparatais. Kadangi tokie vaistiniai preparatai didina kraujavimo riziką, šių preparatų vartoti kartu su apiksabanu nerekomenduojama (žr. 4.4 skyrių).</w:t>
      </w:r>
    </w:p>
    <w:p w14:paraId="1C6F9D78" w14:textId="77777777" w:rsidR="00890384" w:rsidRDefault="00890384">
      <w:pPr>
        <w:widowControl w:val="0"/>
        <w:tabs>
          <w:tab w:val="clear" w:pos="567"/>
        </w:tabs>
        <w:autoSpaceDE w:val="0"/>
        <w:autoSpaceDN w:val="0"/>
        <w:spacing w:line="240" w:lineRule="auto"/>
      </w:pPr>
    </w:p>
    <w:p w14:paraId="00F8C663" w14:textId="0DC12BC6" w:rsidR="00890384" w:rsidRDefault="00B26795">
      <w:pPr>
        <w:widowControl w:val="0"/>
        <w:tabs>
          <w:tab w:val="clear" w:pos="567"/>
        </w:tabs>
        <w:autoSpaceDE w:val="0"/>
        <w:autoSpaceDN w:val="0"/>
        <w:spacing w:line="240" w:lineRule="auto"/>
      </w:pPr>
      <w:r>
        <w:t>Tyrimo CV185325 metu 12 pacientų vaikų, kurie vienu metu buvo gydomi apiksabanu ir ASR</w:t>
      </w:r>
      <w:r w:rsidR="00C23872">
        <w:t> </w:t>
      </w:r>
      <w:r>
        <w:t>≤</w:t>
      </w:r>
      <w:r w:rsidR="00C23872">
        <w:t> </w:t>
      </w:r>
      <w:r>
        <w:t>165 mg per parą, kliniškai svarbių kraujavimo reiškinių nenustatyta.</w:t>
      </w:r>
    </w:p>
    <w:p w14:paraId="62DF6382" w14:textId="77777777" w:rsidR="00890384" w:rsidRDefault="00890384">
      <w:pPr>
        <w:widowControl w:val="0"/>
        <w:tabs>
          <w:tab w:val="clear" w:pos="567"/>
        </w:tabs>
        <w:autoSpaceDE w:val="0"/>
        <w:autoSpaceDN w:val="0"/>
        <w:spacing w:line="240" w:lineRule="auto"/>
        <w:rPr>
          <w:snapToGrid/>
          <w:szCs w:val="22"/>
          <w:lang w:val="lt-LT"/>
        </w:rPr>
      </w:pPr>
    </w:p>
    <w:p w14:paraId="2EF95E20"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Kiti kartu vartojami vaistiniai preparatai</w:t>
      </w:r>
    </w:p>
    <w:p w14:paraId="2F9CC62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kartu su atenololiu arba famotidinu, kliniškai reikšmingos farmakokinetinės ar farmakodinaminės sąveikos nenustatyta. 10 mg apiksabano dozę skiriant kartu su 100 mg atenololio, apiksabano farmakokinetika kliniškai reikšmingai nepakito.</w:t>
      </w:r>
    </w:p>
    <w:p w14:paraId="2C6A4F1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Šių abiejų vaistinių preparatų vartojant kartu, apiksabano vidutiniai AUC ir C</w:t>
      </w:r>
      <w:r>
        <w:rPr>
          <w:snapToGrid/>
          <w:szCs w:val="22"/>
          <w:vertAlign w:val="subscript"/>
          <w:lang w:val="lt-LT"/>
        </w:rPr>
        <w:t>max</w:t>
      </w:r>
      <w:r>
        <w:rPr>
          <w:snapToGrid/>
          <w:szCs w:val="22"/>
          <w:lang w:val="lt-LT"/>
        </w:rPr>
        <w:t xml:space="preserve"> buvo atitinkamai 15 % ir 18 % mažesni nei skiriant vieną apiksabaną. 10 mg apiksabano dozę skiriant kartu su 40 mg famotidino, apiksabano AUC ir C</w:t>
      </w:r>
      <w:r>
        <w:rPr>
          <w:snapToGrid/>
          <w:szCs w:val="22"/>
          <w:vertAlign w:val="subscript"/>
          <w:lang w:val="lt-LT"/>
        </w:rPr>
        <w:t>max</w:t>
      </w:r>
      <w:r>
        <w:rPr>
          <w:snapToGrid/>
          <w:szCs w:val="22"/>
          <w:lang w:val="lt-LT"/>
        </w:rPr>
        <w:t xml:space="preserve"> nepakito.</w:t>
      </w:r>
    </w:p>
    <w:p w14:paraId="0568CA13" w14:textId="77777777" w:rsidR="00890384" w:rsidRDefault="00890384">
      <w:pPr>
        <w:widowControl w:val="0"/>
        <w:tabs>
          <w:tab w:val="clear" w:pos="567"/>
        </w:tabs>
        <w:autoSpaceDE w:val="0"/>
        <w:autoSpaceDN w:val="0"/>
        <w:spacing w:line="240" w:lineRule="auto"/>
        <w:rPr>
          <w:snapToGrid/>
          <w:szCs w:val="22"/>
          <w:lang w:val="lt-LT"/>
        </w:rPr>
      </w:pPr>
    </w:p>
    <w:p w14:paraId="201CEE8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Apiksabano poveikis kitiems vaistiniams preparatams</w:t>
      </w:r>
    </w:p>
    <w:p w14:paraId="10F790A8"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 xml:space="preserve">In vitro </w:t>
      </w:r>
      <w:r>
        <w:rPr>
          <w:snapToGrid/>
          <w:szCs w:val="22"/>
          <w:lang w:val="lt-LT"/>
        </w:rPr>
        <w:t>tyrimų metu nustatyta, kad apiksabanas neslopina CYP1A2, CYP2A6, CYP2B6, CYP2C8, CYP2C9, CYP2D6 ar CYP3A4 izofermentų aktyvumo (IC</w:t>
      </w:r>
      <w:r>
        <w:rPr>
          <w:snapToGrid/>
          <w:szCs w:val="22"/>
          <w:vertAlign w:val="subscript"/>
          <w:lang w:val="lt-LT"/>
        </w:rPr>
        <w:t>50</w:t>
      </w:r>
      <w:r>
        <w:rPr>
          <w:snapToGrid/>
          <w:szCs w:val="22"/>
          <w:lang w:val="lt-LT"/>
        </w:rPr>
        <w:t> &gt; 45 µM, IC</w:t>
      </w:r>
      <w:r>
        <w:rPr>
          <w:snapToGrid/>
          <w:szCs w:val="22"/>
          <w:vertAlign w:val="subscript"/>
          <w:lang w:val="lt-LT"/>
        </w:rPr>
        <w:t>50</w:t>
      </w:r>
      <w:r>
        <w:rPr>
          <w:snapToGrid/>
          <w:szCs w:val="22"/>
          <w:lang w:val="lt-LT"/>
        </w:rPr>
        <w:t xml:space="preserve"> – angl. </w:t>
      </w:r>
      <w:r>
        <w:rPr>
          <w:i/>
          <w:snapToGrid/>
          <w:szCs w:val="22"/>
          <w:lang w:val="lt-LT"/>
        </w:rPr>
        <w:t>half-maximal inhibitory concentration</w:t>
      </w:r>
      <w:r>
        <w:rPr>
          <w:snapToGrid/>
          <w:szCs w:val="22"/>
          <w:lang w:val="lt-LT"/>
        </w:rPr>
        <w:t>) ir silpnai slopina CYP2C19 izofermento aktyvumą (IC</w:t>
      </w:r>
      <w:r>
        <w:rPr>
          <w:snapToGrid/>
          <w:szCs w:val="22"/>
          <w:vertAlign w:val="subscript"/>
          <w:lang w:val="lt-LT"/>
        </w:rPr>
        <w:t>50</w:t>
      </w:r>
      <w:r>
        <w:rPr>
          <w:snapToGrid/>
          <w:szCs w:val="22"/>
          <w:lang w:val="lt-LT"/>
        </w:rPr>
        <w:t> &gt; 20 µM), kai vaistinio preparato koncentracija yra reikšmingai didesnė nei pacientų organizmuose susidaranti didžiausia koncentracija kraujo plazmoje. Apiksabanas neindukavo CYP1A2, CYP2B6, CYP3A4/5 izofermentų, kai jo koncentracija buvo iki 20 µM. Todėl nesitikima, kad apiksabanas keistų kartu vartojamų ir minėtų izofermentų metabolizuojamų vaistinių preparatų metabolizmo klirensą. Apiksabanas reikšmingai neslopina P-gp.</w:t>
      </w:r>
    </w:p>
    <w:p w14:paraId="047527D2" w14:textId="77777777" w:rsidR="00890384" w:rsidRDefault="00890384">
      <w:pPr>
        <w:widowControl w:val="0"/>
        <w:tabs>
          <w:tab w:val="clear" w:pos="567"/>
        </w:tabs>
        <w:autoSpaceDE w:val="0"/>
        <w:autoSpaceDN w:val="0"/>
        <w:spacing w:line="240" w:lineRule="auto"/>
        <w:rPr>
          <w:snapToGrid/>
          <w:szCs w:val="22"/>
          <w:lang w:val="lt-LT"/>
        </w:rPr>
      </w:pPr>
    </w:p>
    <w:p w14:paraId="1D854BE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 sveikais savanoriais atliktų tyrimų duomenimis, kaip nurodyta toliau, apiksabanas nedarė reikšmingo poveikio digoksino, naprokseno ar atenololio farmakokinetikos rodmenims.</w:t>
      </w:r>
    </w:p>
    <w:p w14:paraId="1DBDA1A1" w14:textId="77777777" w:rsidR="00890384" w:rsidRDefault="00890384">
      <w:pPr>
        <w:widowControl w:val="0"/>
        <w:tabs>
          <w:tab w:val="clear" w:pos="567"/>
        </w:tabs>
        <w:autoSpaceDE w:val="0"/>
        <w:autoSpaceDN w:val="0"/>
        <w:spacing w:line="240" w:lineRule="auto"/>
        <w:rPr>
          <w:snapToGrid/>
          <w:szCs w:val="22"/>
          <w:lang w:val="lt-LT"/>
        </w:rPr>
      </w:pPr>
    </w:p>
    <w:p w14:paraId="0EEE669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Digoksinas</w:t>
      </w:r>
    </w:p>
    <w:p w14:paraId="6AE3A00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Kartu skiriant apiksabano (20 mg vieną kartą per parą) ir P-gp substratą digoksino (0,25 mg vieną kartą per parą), digoksino AUC ar C</w:t>
      </w:r>
      <w:r>
        <w:rPr>
          <w:snapToGrid/>
          <w:szCs w:val="22"/>
          <w:vertAlign w:val="subscript"/>
          <w:lang w:val="lt-LT"/>
        </w:rPr>
        <w:t>max</w:t>
      </w:r>
      <w:r>
        <w:rPr>
          <w:snapToGrid/>
          <w:szCs w:val="22"/>
          <w:lang w:val="lt-LT"/>
        </w:rPr>
        <w:t xml:space="preserve"> nepakito. Taigi, apiksabanas neslopina P-gp veikiamų substratų pernašos.</w:t>
      </w:r>
    </w:p>
    <w:p w14:paraId="397F0436" w14:textId="77777777" w:rsidR="00890384" w:rsidRDefault="00890384">
      <w:pPr>
        <w:widowControl w:val="0"/>
        <w:tabs>
          <w:tab w:val="clear" w:pos="567"/>
        </w:tabs>
        <w:autoSpaceDE w:val="0"/>
        <w:autoSpaceDN w:val="0"/>
        <w:spacing w:line="240" w:lineRule="auto"/>
        <w:rPr>
          <w:snapToGrid/>
          <w:szCs w:val="22"/>
          <w:lang w:val="lt-LT"/>
        </w:rPr>
      </w:pPr>
    </w:p>
    <w:p w14:paraId="58D1532C"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Naproksenas</w:t>
      </w:r>
    </w:p>
    <w:p w14:paraId="7170AAB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Vienkartinę apiksabano dozę (10 mg) skiriant kartu su dažnai vartojamu NVNU naproksenu (500 mg), </w:t>
      </w:r>
      <w:r>
        <w:rPr>
          <w:snapToGrid/>
          <w:position w:val="2"/>
          <w:szCs w:val="22"/>
          <w:lang w:val="lt-LT"/>
        </w:rPr>
        <w:t>naprokseno AUC</w:t>
      </w:r>
      <w:r>
        <w:rPr>
          <w:i/>
          <w:snapToGrid/>
          <w:position w:val="2"/>
          <w:szCs w:val="22"/>
          <w:lang w:val="lt-LT"/>
        </w:rPr>
        <w:t xml:space="preserve"> </w:t>
      </w:r>
      <w:r>
        <w:rPr>
          <w:snapToGrid/>
          <w:position w:val="2"/>
          <w:szCs w:val="22"/>
          <w:lang w:val="lt-LT"/>
        </w:rPr>
        <w:t>ir C</w:t>
      </w:r>
      <w:r>
        <w:rPr>
          <w:snapToGrid/>
          <w:szCs w:val="22"/>
          <w:vertAlign w:val="subscript"/>
          <w:lang w:val="lt-LT"/>
        </w:rPr>
        <w:t>max</w:t>
      </w:r>
      <w:r>
        <w:rPr>
          <w:i/>
          <w:snapToGrid/>
          <w:szCs w:val="22"/>
          <w:lang w:val="lt-LT"/>
        </w:rPr>
        <w:t xml:space="preserve"> </w:t>
      </w:r>
      <w:r>
        <w:rPr>
          <w:snapToGrid/>
          <w:position w:val="2"/>
          <w:szCs w:val="22"/>
          <w:lang w:val="lt-LT"/>
        </w:rPr>
        <w:t>nepakito.</w:t>
      </w:r>
    </w:p>
    <w:p w14:paraId="0A52A96B" w14:textId="77777777" w:rsidR="00890384" w:rsidRDefault="00890384">
      <w:pPr>
        <w:widowControl w:val="0"/>
        <w:tabs>
          <w:tab w:val="clear" w:pos="567"/>
        </w:tabs>
        <w:autoSpaceDE w:val="0"/>
        <w:autoSpaceDN w:val="0"/>
        <w:spacing w:line="240" w:lineRule="auto"/>
        <w:rPr>
          <w:snapToGrid/>
          <w:szCs w:val="22"/>
          <w:lang w:val="lt-LT"/>
        </w:rPr>
      </w:pPr>
    </w:p>
    <w:p w14:paraId="203A2D7D"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Atenololis</w:t>
      </w:r>
    </w:p>
    <w:p w14:paraId="72EFD00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Vienkartinę apiksabano dozę (10 mg) skiriant kartu su dažnai vartojamu beta adrenoreceptorių blokatoriumi atenololiu (100 mg), atenololio farmakokinetikos rodmenys nepakito.</w:t>
      </w:r>
    </w:p>
    <w:p w14:paraId="750D730A" w14:textId="77777777" w:rsidR="00890384" w:rsidRDefault="00890384">
      <w:pPr>
        <w:widowControl w:val="0"/>
        <w:tabs>
          <w:tab w:val="clear" w:pos="567"/>
        </w:tabs>
        <w:autoSpaceDE w:val="0"/>
        <w:autoSpaceDN w:val="0"/>
        <w:spacing w:line="240" w:lineRule="auto"/>
        <w:rPr>
          <w:snapToGrid/>
          <w:szCs w:val="22"/>
          <w:lang w:val="lt-LT"/>
        </w:rPr>
      </w:pPr>
    </w:p>
    <w:p w14:paraId="20032B44"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Aktyvintoji anglis</w:t>
      </w:r>
    </w:p>
    <w:p w14:paraId="349F811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Aktyvintosios anglies vartojimas mažina apiksabano ekspoziciją (žr. 4.9 skyrių).</w:t>
      </w:r>
    </w:p>
    <w:p w14:paraId="6627D100" w14:textId="77777777" w:rsidR="00890384" w:rsidRDefault="00890384">
      <w:pPr>
        <w:widowControl w:val="0"/>
        <w:tabs>
          <w:tab w:val="clear" w:pos="567"/>
        </w:tabs>
        <w:autoSpaceDE w:val="0"/>
        <w:autoSpaceDN w:val="0"/>
        <w:spacing w:line="240" w:lineRule="auto"/>
      </w:pPr>
    </w:p>
    <w:p w14:paraId="2089ED0E" w14:textId="77777777" w:rsidR="00890384" w:rsidRPr="005261E3" w:rsidRDefault="00B26795">
      <w:pPr>
        <w:widowControl w:val="0"/>
        <w:tabs>
          <w:tab w:val="clear" w:pos="567"/>
        </w:tabs>
        <w:autoSpaceDE w:val="0"/>
        <w:autoSpaceDN w:val="0"/>
        <w:spacing w:line="240" w:lineRule="auto"/>
        <w:rPr>
          <w:u w:val="single"/>
        </w:rPr>
      </w:pPr>
      <w:r w:rsidRPr="005261E3">
        <w:rPr>
          <w:u w:val="single"/>
        </w:rPr>
        <w:t>Vaikų populiacija</w:t>
      </w:r>
    </w:p>
    <w:p w14:paraId="6657F5D2" w14:textId="44C4EDC5" w:rsidR="00890384" w:rsidRDefault="00B26795">
      <w:pPr>
        <w:widowControl w:val="0"/>
        <w:tabs>
          <w:tab w:val="clear" w:pos="567"/>
        </w:tabs>
        <w:autoSpaceDE w:val="0"/>
        <w:autoSpaceDN w:val="0"/>
        <w:spacing w:line="240" w:lineRule="auto"/>
      </w:pPr>
      <w:r>
        <w:t>Sąveikos tyrim</w:t>
      </w:r>
      <w:r w:rsidR="00BD2F86">
        <w:t>ų</w:t>
      </w:r>
      <w:r>
        <w:t xml:space="preserve"> su pacientais vaikais neatlikt</w:t>
      </w:r>
      <w:r w:rsidR="0022458F">
        <w:t>a</w:t>
      </w:r>
      <w:r>
        <w:t>.</w:t>
      </w:r>
    </w:p>
    <w:p w14:paraId="2572DD36" w14:textId="51E26BBE" w:rsidR="00890384" w:rsidRDefault="00B26795">
      <w:pPr>
        <w:widowControl w:val="0"/>
        <w:autoSpaceDE w:val="0"/>
        <w:autoSpaceDN w:val="0"/>
        <w:spacing w:line="240" w:lineRule="auto"/>
        <w:ind w:left="567" w:hanging="567"/>
        <w:outlineLvl w:val="1"/>
        <w:rPr>
          <w:b/>
          <w:bCs/>
          <w:snapToGrid/>
          <w:szCs w:val="22"/>
          <w:lang w:val="lt-LT"/>
        </w:rPr>
      </w:pPr>
      <w:r>
        <w:t xml:space="preserve">Pirmiau nurodyti sąveikos duomenys buvo gauti vertinant suaugusiuosius, todėl reikia atsižvelgti į 4.4 skyriuje pateiktus įspėjimus gydant vaikų populiacijos pacientus. </w:t>
      </w:r>
      <w:r>
        <w:rPr>
          <w:b/>
          <w:bCs/>
          <w:snapToGrid/>
          <w:szCs w:val="22"/>
          <w:lang w:val="lt-LT"/>
        </w:rPr>
        <w:t>4.6</w:t>
      </w:r>
      <w:r>
        <w:rPr>
          <w:b/>
          <w:bCs/>
          <w:snapToGrid/>
          <w:szCs w:val="22"/>
          <w:lang w:val="lt-LT"/>
        </w:rPr>
        <w:tab/>
        <w:t>Vaisingumas, nėštumo ir žindymo laikotarpis</w:t>
      </w:r>
    </w:p>
    <w:p w14:paraId="429D336A" w14:textId="77777777" w:rsidR="00890384" w:rsidRDefault="00890384">
      <w:pPr>
        <w:widowControl w:val="0"/>
        <w:tabs>
          <w:tab w:val="clear" w:pos="567"/>
        </w:tabs>
        <w:autoSpaceDE w:val="0"/>
        <w:autoSpaceDN w:val="0"/>
        <w:spacing w:line="240" w:lineRule="auto"/>
        <w:rPr>
          <w:b/>
          <w:snapToGrid/>
          <w:szCs w:val="22"/>
          <w:lang w:val="lt-LT"/>
        </w:rPr>
      </w:pPr>
    </w:p>
    <w:p w14:paraId="23CA385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Nėštumas</w:t>
      </w:r>
    </w:p>
    <w:p w14:paraId="1FDFF20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Duomenų apie apiksabano vartojimą nėštumo metu nėra. Tyrimai su gyvūnais tiesioginio ar netiesioginio kenksmingo toksinio poveikio reprodukcijai neparodė (žr. 5.3 skyrių). Nėštumo metu apiksabano geriau nevartoti.</w:t>
      </w:r>
    </w:p>
    <w:p w14:paraId="6D5454D3" w14:textId="77777777" w:rsidR="00890384" w:rsidRDefault="00890384">
      <w:pPr>
        <w:widowControl w:val="0"/>
        <w:tabs>
          <w:tab w:val="clear" w:pos="567"/>
        </w:tabs>
        <w:autoSpaceDE w:val="0"/>
        <w:autoSpaceDN w:val="0"/>
        <w:spacing w:line="240" w:lineRule="auto"/>
        <w:rPr>
          <w:snapToGrid/>
          <w:szCs w:val="22"/>
          <w:lang w:val="lt-LT"/>
        </w:rPr>
      </w:pPr>
    </w:p>
    <w:p w14:paraId="5747068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lastRenderedPageBreak/>
        <w:t>Žindymas</w:t>
      </w:r>
    </w:p>
    <w:p w14:paraId="5AD26E3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Nežinoma, ar apiksabano ar jo metabolitų išsiskiria į motinos pieną. Esami tyrimų su gyvūnais duomenys rodo, kad apiksabano išsiskiria į gyvūnų pieną (žr. 5.3 skyrių). Pavojaus žindomam vaikui negalima atmesti.</w:t>
      </w:r>
    </w:p>
    <w:p w14:paraId="55DA1F06" w14:textId="77777777" w:rsidR="00890384" w:rsidRDefault="00890384">
      <w:pPr>
        <w:widowControl w:val="0"/>
        <w:tabs>
          <w:tab w:val="clear" w:pos="567"/>
        </w:tabs>
        <w:autoSpaceDE w:val="0"/>
        <w:autoSpaceDN w:val="0"/>
        <w:spacing w:line="240" w:lineRule="auto"/>
        <w:rPr>
          <w:snapToGrid/>
          <w:szCs w:val="22"/>
          <w:lang w:val="lt-LT"/>
        </w:rPr>
      </w:pPr>
    </w:p>
    <w:p w14:paraId="2BE4FF2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Atsižvelgiant į žindymo naudą kūdikiui ir gydymo naudą motinai, reikia nuspręsti, ar nutraukti žindymą, ar nutraukti/susilaikyti nuo gydymo apiksabanu.</w:t>
      </w:r>
    </w:p>
    <w:p w14:paraId="0B1C2F37" w14:textId="77777777" w:rsidR="00890384" w:rsidRDefault="00890384">
      <w:pPr>
        <w:widowControl w:val="0"/>
        <w:tabs>
          <w:tab w:val="clear" w:pos="567"/>
        </w:tabs>
        <w:autoSpaceDE w:val="0"/>
        <w:autoSpaceDN w:val="0"/>
        <w:spacing w:line="240" w:lineRule="auto"/>
        <w:rPr>
          <w:snapToGrid/>
          <w:szCs w:val="22"/>
          <w:lang w:val="lt-LT"/>
        </w:rPr>
      </w:pPr>
    </w:p>
    <w:p w14:paraId="534C1A7C"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Vaisingumas</w:t>
      </w:r>
    </w:p>
    <w:p w14:paraId="29A0E82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Tyrimai su gyvūnais, kuriems buvo skiriamas apiksabanas, poveikio vaisingumui neparodė (žr. 5.3 skyrių).</w:t>
      </w:r>
    </w:p>
    <w:p w14:paraId="1CF70998" w14:textId="77777777" w:rsidR="00890384" w:rsidRDefault="00890384">
      <w:pPr>
        <w:widowControl w:val="0"/>
        <w:tabs>
          <w:tab w:val="clear" w:pos="567"/>
        </w:tabs>
        <w:autoSpaceDE w:val="0"/>
        <w:autoSpaceDN w:val="0"/>
        <w:spacing w:line="240" w:lineRule="auto"/>
        <w:rPr>
          <w:snapToGrid/>
          <w:szCs w:val="22"/>
          <w:lang w:val="lt-LT"/>
        </w:rPr>
      </w:pPr>
    </w:p>
    <w:p w14:paraId="4C37D580"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4.7</w:t>
      </w:r>
      <w:r>
        <w:rPr>
          <w:b/>
          <w:bCs/>
          <w:snapToGrid/>
          <w:szCs w:val="22"/>
          <w:lang w:val="lt-LT"/>
        </w:rPr>
        <w:tab/>
        <w:t>Poveikis gebėjimui vairuoti ir valdyti mechanizmus</w:t>
      </w:r>
    </w:p>
    <w:p w14:paraId="15065BB4" w14:textId="77777777" w:rsidR="00890384" w:rsidRDefault="00890384">
      <w:pPr>
        <w:widowControl w:val="0"/>
        <w:tabs>
          <w:tab w:val="clear" w:pos="567"/>
        </w:tabs>
        <w:autoSpaceDE w:val="0"/>
        <w:autoSpaceDN w:val="0"/>
        <w:spacing w:line="240" w:lineRule="auto"/>
        <w:rPr>
          <w:b/>
          <w:snapToGrid/>
          <w:szCs w:val="22"/>
          <w:lang w:val="lt-LT"/>
        </w:rPr>
      </w:pPr>
    </w:p>
    <w:p w14:paraId="2FF8D7D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Apiksabanas gebėjimo vairuoti ir valdyti mechanizmus neveikia arba veikia nereikšmingai.</w:t>
      </w:r>
    </w:p>
    <w:p w14:paraId="787C3514" w14:textId="77777777" w:rsidR="00890384" w:rsidRDefault="00890384">
      <w:pPr>
        <w:widowControl w:val="0"/>
        <w:tabs>
          <w:tab w:val="clear" w:pos="567"/>
        </w:tabs>
        <w:autoSpaceDE w:val="0"/>
        <w:autoSpaceDN w:val="0"/>
        <w:spacing w:line="240" w:lineRule="auto"/>
        <w:rPr>
          <w:snapToGrid/>
          <w:szCs w:val="22"/>
          <w:lang w:val="lt-LT"/>
        </w:rPr>
      </w:pPr>
    </w:p>
    <w:p w14:paraId="500D3D65"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4.8</w:t>
      </w:r>
      <w:r>
        <w:rPr>
          <w:b/>
          <w:bCs/>
          <w:snapToGrid/>
          <w:szCs w:val="22"/>
          <w:lang w:val="lt-LT"/>
        </w:rPr>
        <w:tab/>
        <w:t>Nepageidaujamas poveikis</w:t>
      </w:r>
    </w:p>
    <w:p w14:paraId="26F932B8" w14:textId="77777777" w:rsidR="00890384" w:rsidRDefault="00890384">
      <w:pPr>
        <w:widowControl w:val="0"/>
        <w:tabs>
          <w:tab w:val="clear" w:pos="567"/>
        </w:tabs>
        <w:autoSpaceDE w:val="0"/>
        <w:autoSpaceDN w:val="0"/>
        <w:spacing w:line="240" w:lineRule="auto"/>
        <w:rPr>
          <w:b/>
          <w:snapToGrid/>
          <w:szCs w:val="22"/>
          <w:lang w:val="lt-LT"/>
        </w:rPr>
      </w:pPr>
    </w:p>
    <w:p w14:paraId="411B8D5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Saugumo duomenų santrauka</w:t>
      </w:r>
    </w:p>
    <w:p w14:paraId="5909396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saugumas suaugusiesiems buvo tiriamas septyniuose III fazės klinikiniuose tyrimuose, kuriuose dalyvavo daugiau kaip 21 000 pacientų: daugiau kaip 5 000 pacientų dalyvavo VTEp tyrimuose, daugiau kaip 11 000 pacientų dalyvavo VNPV tyrimuose ir daugiau kaip 4 000 pacientų dalyvavo VTE (VTEt) gydymo tyrimuose, kurių metu bendra vidutinė vaistinio preparato ekspozicija buvo atitinkamai 20 dienų, 1,7 metų ir 221 diena (žr. 5.1 skyrių).</w:t>
      </w:r>
    </w:p>
    <w:p w14:paraId="51EC5AF1" w14:textId="77777777" w:rsidR="00890384" w:rsidRDefault="00890384">
      <w:pPr>
        <w:widowControl w:val="0"/>
        <w:tabs>
          <w:tab w:val="clear" w:pos="567"/>
        </w:tabs>
        <w:autoSpaceDE w:val="0"/>
        <w:autoSpaceDN w:val="0"/>
        <w:spacing w:line="240" w:lineRule="auto"/>
        <w:rPr>
          <w:snapToGrid/>
          <w:szCs w:val="22"/>
          <w:lang w:val="lt-LT"/>
        </w:rPr>
      </w:pPr>
    </w:p>
    <w:p w14:paraId="7369BBAB" w14:textId="764C354E"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Dažnos nepageidaujamos reakcijos buvo kraujavimas, sumušimas, kraujavimas iš nosies ir hematoma (žr. 3 lentelę, kurioje aprašytas nepageidaujamų reakcijų pobūdis ir dažnis pagal indikacijas).</w:t>
      </w:r>
    </w:p>
    <w:p w14:paraId="3A519372" w14:textId="77777777" w:rsidR="00890384" w:rsidRDefault="00890384">
      <w:pPr>
        <w:widowControl w:val="0"/>
        <w:tabs>
          <w:tab w:val="clear" w:pos="567"/>
        </w:tabs>
        <w:autoSpaceDE w:val="0"/>
        <w:autoSpaceDN w:val="0"/>
        <w:spacing w:line="240" w:lineRule="auto"/>
        <w:rPr>
          <w:snapToGrid/>
          <w:szCs w:val="22"/>
          <w:lang w:val="lt-LT"/>
        </w:rPr>
      </w:pPr>
    </w:p>
    <w:p w14:paraId="66924DD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VTEp tyrimų duomenimis, iš viso 11 % pacientų, kurie vartojo 2,5 mg apiksabano dozę du kartus per parą, pasireiškė nepageidaujamų reakcijų. Bendrasis nepageidaujamų reakcijų, susijusių su kraujavimu vartojant apiksabaną, dažnis buvo 10 % apiksabano palyginti su enoksiparinu tyrimų metu.</w:t>
      </w:r>
    </w:p>
    <w:p w14:paraId="15C1DBC6" w14:textId="77777777" w:rsidR="00890384" w:rsidRDefault="00890384">
      <w:pPr>
        <w:widowControl w:val="0"/>
        <w:tabs>
          <w:tab w:val="clear" w:pos="567"/>
        </w:tabs>
        <w:autoSpaceDE w:val="0"/>
        <w:autoSpaceDN w:val="0"/>
        <w:spacing w:line="240" w:lineRule="auto"/>
        <w:rPr>
          <w:snapToGrid/>
          <w:szCs w:val="22"/>
          <w:lang w:val="lt-LT"/>
        </w:rPr>
      </w:pPr>
    </w:p>
    <w:p w14:paraId="4918EF2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VNPV tyrimus, bendrasis nepageidaujamų reakcijų, susijusių su kraujavimu vartojant apiksabaną, dažnis buvo 24,3 % apiksabano palyginti su varfarinu tyrimo metu ir 9,6 %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0,76 % per metus. Stipraus kraujavimo į akį pagal ISTH dažnis vartojant apiksabaną buvo 0,18 % per metus.</w:t>
      </w:r>
    </w:p>
    <w:p w14:paraId="5C9B9C29" w14:textId="77777777" w:rsidR="00890384" w:rsidRDefault="00890384">
      <w:pPr>
        <w:widowControl w:val="0"/>
        <w:tabs>
          <w:tab w:val="clear" w:pos="567"/>
        </w:tabs>
        <w:autoSpaceDE w:val="0"/>
        <w:autoSpaceDN w:val="0"/>
        <w:spacing w:line="240" w:lineRule="auto"/>
        <w:rPr>
          <w:snapToGrid/>
          <w:szCs w:val="22"/>
          <w:lang w:val="lt-LT"/>
        </w:rPr>
      </w:pPr>
    </w:p>
    <w:p w14:paraId="58C2A76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VTEt tyrimus, bendrasis nepageidaujamų reakcijų, susijusių su kraujavimu vartojant apiksabaną, dažnis buvo: 15,6 % apiksabano palyginti su enoksaparinu/varfarinu tyrimo metu ir 13,3 % apiksabano palyginti su placebu tyrimo metu (žr. 5.1 skyrių).</w:t>
      </w:r>
    </w:p>
    <w:p w14:paraId="3E9E45A9" w14:textId="77777777" w:rsidR="00890384" w:rsidRDefault="00890384">
      <w:pPr>
        <w:widowControl w:val="0"/>
        <w:tabs>
          <w:tab w:val="clear" w:pos="567"/>
        </w:tabs>
        <w:autoSpaceDE w:val="0"/>
        <w:autoSpaceDN w:val="0"/>
        <w:spacing w:line="240" w:lineRule="auto"/>
        <w:rPr>
          <w:snapToGrid/>
          <w:szCs w:val="22"/>
          <w:lang w:val="lt-LT"/>
        </w:rPr>
      </w:pPr>
    </w:p>
    <w:p w14:paraId="58E3334B"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Nepageidaujamų reakcijų santrauka lentelėje</w:t>
      </w:r>
    </w:p>
    <w:p w14:paraId="1F33A85A" w14:textId="397C463F" w:rsidR="00890384" w:rsidRDefault="000C1CBA">
      <w:pPr>
        <w:widowControl w:val="0"/>
        <w:tabs>
          <w:tab w:val="clear" w:pos="567"/>
        </w:tabs>
        <w:autoSpaceDE w:val="0"/>
        <w:autoSpaceDN w:val="0"/>
        <w:spacing w:line="240" w:lineRule="auto"/>
        <w:rPr>
          <w:snapToGrid/>
          <w:szCs w:val="22"/>
          <w:lang w:val="lt-LT"/>
        </w:rPr>
      </w:pPr>
      <w:r>
        <w:rPr>
          <w:snapToGrid/>
          <w:szCs w:val="22"/>
          <w:lang w:val="lt-LT"/>
        </w:rPr>
        <w:t>3 </w:t>
      </w:r>
      <w:r w:rsidR="00B26795">
        <w:rPr>
          <w:snapToGrid/>
          <w:szCs w:val="22"/>
          <w:lang w:val="lt-LT"/>
        </w:rPr>
        <w:t>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nežinomas (negali būti apskaičiuotas pagal turimus duomenis), atitinkamai skiriant suaugusiesiems VTEp, VNPV ir VTEt</w:t>
      </w:r>
      <w:r w:rsidR="00245F1C">
        <w:rPr>
          <w:snapToGrid/>
          <w:szCs w:val="22"/>
          <w:lang w:val="lt-LT"/>
        </w:rPr>
        <w:t>,</w:t>
      </w:r>
      <w:r w:rsidR="00B26795">
        <w:rPr>
          <w:snapToGrid/>
          <w:szCs w:val="22"/>
          <w:lang w:val="lt-LT"/>
        </w:rPr>
        <w:t xml:space="preserve"> </w:t>
      </w:r>
      <w:r w:rsidR="00B26795">
        <w:t>ir pacientams vaikams nuo 28 dienų iki &lt;</w:t>
      </w:r>
      <w:r w:rsidR="00245F1C">
        <w:t> </w:t>
      </w:r>
      <w:r w:rsidR="00B26795">
        <w:t xml:space="preserve">18 metų amžiaus VTEt </w:t>
      </w:r>
      <w:r w:rsidR="00C811DB">
        <w:t>bei</w:t>
      </w:r>
      <w:r w:rsidR="00B26795">
        <w:t xml:space="preserve"> VTE pasikartojimo profilaktikos </w:t>
      </w:r>
      <w:r w:rsidR="00B26795">
        <w:rPr>
          <w:snapToGrid/>
          <w:szCs w:val="22"/>
          <w:lang w:val="lt-LT"/>
        </w:rPr>
        <w:t>indikacijoms.</w:t>
      </w:r>
    </w:p>
    <w:p w14:paraId="1BCE51F3" w14:textId="77777777" w:rsidR="00890384" w:rsidRDefault="00890384">
      <w:pPr>
        <w:widowControl w:val="0"/>
        <w:tabs>
          <w:tab w:val="clear" w:pos="567"/>
        </w:tabs>
        <w:autoSpaceDE w:val="0"/>
        <w:autoSpaceDN w:val="0"/>
        <w:spacing w:line="240" w:lineRule="auto"/>
      </w:pPr>
    </w:p>
    <w:p w14:paraId="552A952B" w14:textId="6F9FA218" w:rsidR="00890384" w:rsidRDefault="00B26795">
      <w:pPr>
        <w:widowControl w:val="0"/>
        <w:tabs>
          <w:tab w:val="clear" w:pos="567"/>
        </w:tabs>
        <w:autoSpaceDE w:val="0"/>
        <w:autoSpaceDN w:val="0"/>
        <w:spacing w:line="240" w:lineRule="auto"/>
      </w:pPr>
      <w:r>
        <w:t>3 lentelėje nurodytų nepageidaujamų reakcijų dažnis pacientams vaikams yra gautas iš tyrimo CV185325, kuriame jie vartojo apiksaban</w:t>
      </w:r>
      <w:r w:rsidR="00FC489A">
        <w:t>o</w:t>
      </w:r>
      <w:r>
        <w:t xml:space="preserve"> VTE gydymui ir VTE pasikartojimo profilaktikai.</w:t>
      </w:r>
    </w:p>
    <w:p w14:paraId="5DA96DCF" w14:textId="77777777" w:rsidR="00890384" w:rsidRDefault="00890384">
      <w:pPr>
        <w:widowControl w:val="0"/>
        <w:tabs>
          <w:tab w:val="clear" w:pos="567"/>
        </w:tabs>
        <w:autoSpaceDE w:val="0"/>
        <w:autoSpaceDN w:val="0"/>
        <w:spacing w:line="240" w:lineRule="auto"/>
        <w:rPr>
          <w:snapToGrid/>
          <w:szCs w:val="22"/>
          <w:lang w:val="lt-LT"/>
        </w:rPr>
      </w:pPr>
    </w:p>
    <w:p w14:paraId="47E67A36" w14:textId="5A1A704C" w:rsidR="00890384" w:rsidRDefault="00B26795">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3 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4"/>
        <w:gridCol w:w="128"/>
        <w:gridCol w:w="1231"/>
        <w:gridCol w:w="1418"/>
        <w:gridCol w:w="1417"/>
        <w:gridCol w:w="1418"/>
      </w:tblGrid>
      <w:tr w:rsidR="00890384" w14:paraId="601140A9" w14:textId="77777777" w:rsidTr="005261E3">
        <w:trPr>
          <w:trHeight w:val="2783"/>
        </w:trPr>
        <w:tc>
          <w:tcPr>
            <w:tcW w:w="3734" w:type="dxa"/>
          </w:tcPr>
          <w:p w14:paraId="6FEB458D"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lastRenderedPageBreak/>
              <w:t>Organų sistemų klasės</w:t>
            </w:r>
          </w:p>
        </w:tc>
        <w:tc>
          <w:tcPr>
            <w:tcW w:w="1359" w:type="dxa"/>
            <w:gridSpan w:val="2"/>
          </w:tcPr>
          <w:p w14:paraId="2FD82D8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VTE reiškinių profilaktika suaugusiems pacientams, kuriems atlikta planinė klubo arba kelio sąnario pakeitimo operacija (VTEp)</w:t>
            </w:r>
          </w:p>
        </w:tc>
        <w:tc>
          <w:tcPr>
            <w:tcW w:w="1418" w:type="dxa"/>
          </w:tcPr>
          <w:p w14:paraId="135879D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Insulto ir sisteminės embolijos profilaktika suaugusiems pacientams, kuriems pasireiškė VNPV ir yra vienas ar</w:t>
            </w:r>
          </w:p>
          <w:p w14:paraId="44467A4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daugiau rizikos veiksnių (VNPV)</w:t>
            </w:r>
          </w:p>
        </w:tc>
        <w:tc>
          <w:tcPr>
            <w:tcW w:w="1417" w:type="dxa"/>
          </w:tcPr>
          <w:p w14:paraId="5ECED65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GVT bei PE gydymas ir pasikartojančios GVT bei PE (VTEt)</w:t>
            </w:r>
          </w:p>
          <w:p w14:paraId="4001461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profilaktika</w:t>
            </w:r>
          </w:p>
        </w:tc>
        <w:tc>
          <w:tcPr>
            <w:tcW w:w="1418" w:type="dxa"/>
          </w:tcPr>
          <w:p w14:paraId="0BEB61BD" w14:textId="77777777" w:rsidR="00890384" w:rsidRDefault="00B26795">
            <w:pPr>
              <w:widowControl w:val="0"/>
              <w:tabs>
                <w:tab w:val="clear" w:pos="567"/>
              </w:tabs>
              <w:autoSpaceDE w:val="0"/>
              <w:autoSpaceDN w:val="0"/>
              <w:spacing w:line="240" w:lineRule="auto"/>
              <w:jc w:val="center"/>
              <w:rPr>
                <w:b/>
                <w:bCs/>
                <w:snapToGrid/>
                <w:szCs w:val="22"/>
                <w:lang w:val="lt-LT"/>
              </w:rPr>
            </w:pPr>
            <w:r w:rsidRPr="005261E3">
              <w:rPr>
                <w:b/>
                <w:bCs/>
              </w:rPr>
              <w:t>VTE gydymas ir VTE pasikartojimo profilaktika pacientams vaikams nuo 28 dienų iki mažiau kaip 18 metų amžiaus</w:t>
            </w:r>
          </w:p>
        </w:tc>
      </w:tr>
      <w:tr w:rsidR="00890384" w14:paraId="10FC73F7" w14:textId="77777777">
        <w:trPr>
          <w:trHeight w:val="357"/>
        </w:trPr>
        <w:tc>
          <w:tcPr>
            <w:tcW w:w="9346" w:type="dxa"/>
            <w:gridSpan w:val="6"/>
          </w:tcPr>
          <w:p w14:paraId="10EA8BA8"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Kraujo ir limfinės sistemos sutrikimai</w:t>
            </w:r>
          </w:p>
        </w:tc>
      </w:tr>
      <w:tr w:rsidR="00890384" w14:paraId="59BCE62E" w14:textId="77777777" w:rsidTr="005261E3">
        <w:trPr>
          <w:trHeight w:val="253"/>
        </w:trPr>
        <w:tc>
          <w:tcPr>
            <w:tcW w:w="3734" w:type="dxa"/>
          </w:tcPr>
          <w:p w14:paraId="3FF98C9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Anemija</w:t>
            </w:r>
          </w:p>
        </w:tc>
        <w:tc>
          <w:tcPr>
            <w:tcW w:w="1359" w:type="dxa"/>
            <w:gridSpan w:val="2"/>
          </w:tcPr>
          <w:p w14:paraId="6393701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2A40307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7B91419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0E8D31D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2B206D15" w14:textId="77777777" w:rsidTr="005261E3">
        <w:trPr>
          <w:trHeight w:val="251"/>
        </w:trPr>
        <w:tc>
          <w:tcPr>
            <w:tcW w:w="3734" w:type="dxa"/>
          </w:tcPr>
          <w:p w14:paraId="3ED768F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Trombocitopenija</w:t>
            </w:r>
          </w:p>
        </w:tc>
        <w:tc>
          <w:tcPr>
            <w:tcW w:w="1359" w:type="dxa"/>
            <w:gridSpan w:val="2"/>
          </w:tcPr>
          <w:p w14:paraId="68E1FDE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0D5852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A619F3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E2561A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6DF0D9B2" w14:textId="77777777">
        <w:trPr>
          <w:trHeight w:val="362"/>
        </w:trPr>
        <w:tc>
          <w:tcPr>
            <w:tcW w:w="9346" w:type="dxa"/>
            <w:gridSpan w:val="6"/>
          </w:tcPr>
          <w:p w14:paraId="16058CA2"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Imuninės sistemos sutrikimai</w:t>
            </w:r>
          </w:p>
        </w:tc>
      </w:tr>
      <w:tr w:rsidR="00890384" w14:paraId="0966D4C6" w14:textId="77777777" w:rsidTr="005261E3">
        <w:trPr>
          <w:trHeight w:val="505"/>
        </w:trPr>
        <w:tc>
          <w:tcPr>
            <w:tcW w:w="3734" w:type="dxa"/>
          </w:tcPr>
          <w:p w14:paraId="4BDC805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Padidėjęs jautrumas, alerginė edema ir anafilaksija</w:t>
            </w:r>
          </w:p>
        </w:tc>
        <w:tc>
          <w:tcPr>
            <w:tcW w:w="1359" w:type="dxa"/>
            <w:gridSpan w:val="2"/>
          </w:tcPr>
          <w:p w14:paraId="653575F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4EFC043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53B5AC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11623C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en-US" w:eastAsia="sl-SI"/>
              </w:rPr>
              <w:t>Dažnas‡</w:t>
            </w:r>
          </w:p>
        </w:tc>
      </w:tr>
      <w:tr w:rsidR="00890384" w14:paraId="321F3119" w14:textId="77777777" w:rsidTr="005261E3">
        <w:trPr>
          <w:trHeight w:val="251"/>
        </w:trPr>
        <w:tc>
          <w:tcPr>
            <w:tcW w:w="3734" w:type="dxa"/>
          </w:tcPr>
          <w:p w14:paraId="48FD56B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Niežėjimas</w:t>
            </w:r>
          </w:p>
        </w:tc>
        <w:tc>
          <w:tcPr>
            <w:tcW w:w="1359" w:type="dxa"/>
            <w:gridSpan w:val="2"/>
          </w:tcPr>
          <w:p w14:paraId="39F5944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D477A0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A207A5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2B03213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479BCAF7" w14:textId="77777777" w:rsidTr="005261E3">
        <w:trPr>
          <w:trHeight w:val="506"/>
        </w:trPr>
        <w:tc>
          <w:tcPr>
            <w:tcW w:w="3734" w:type="dxa"/>
          </w:tcPr>
          <w:p w14:paraId="71AB634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Angioneurozinė edema</w:t>
            </w:r>
          </w:p>
        </w:tc>
        <w:tc>
          <w:tcPr>
            <w:tcW w:w="1359" w:type="dxa"/>
            <w:gridSpan w:val="2"/>
          </w:tcPr>
          <w:p w14:paraId="570D44E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331A551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143E81FD" w14:textId="77777777" w:rsidR="00890384" w:rsidRDefault="00B26795" w:rsidP="005261E3">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3D0D7059" w14:textId="77777777" w:rsidR="00890384" w:rsidRDefault="00B26795" w:rsidP="005261E3">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58B4FC5D" w14:textId="77777777">
        <w:trPr>
          <w:trHeight w:val="357"/>
        </w:trPr>
        <w:tc>
          <w:tcPr>
            <w:tcW w:w="9346" w:type="dxa"/>
            <w:gridSpan w:val="6"/>
          </w:tcPr>
          <w:p w14:paraId="3EC64E41"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Nervų sistemos sutrikimai</w:t>
            </w:r>
          </w:p>
        </w:tc>
      </w:tr>
      <w:tr w:rsidR="00890384" w14:paraId="50D1D74F" w14:textId="77777777" w:rsidTr="005261E3">
        <w:trPr>
          <w:trHeight w:val="323"/>
        </w:trPr>
        <w:tc>
          <w:tcPr>
            <w:tcW w:w="3734" w:type="dxa"/>
          </w:tcPr>
          <w:p w14:paraId="3242531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į galvos smegenis</w:t>
            </w:r>
            <w:r>
              <w:rPr>
                <w:snapToGrid/>
                <w:position w:val="10"/>
                <w:szCs w:val="22"/>
                <w:lang w:val="lt-LT"/>
              </w:rPr>
              <w:t>†</w:t>
            </w:r>
          </w:p>
        </w:tc>
        <w:tc>
          <w:tcPr>
            <w:tcW w:w="1359" w:type="dxa"/>
            <w:gridSpan w:val="2"/>
          </w:tcPr>
          <w:p w14:paraId="3579F1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226D73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71B40D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7B92FBC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69B89C25" w14:textId="77777777">
        <w:trPr>
          <w:trHeight w:val="359"/>
        </w:trPr>
        <w:tc>
          <w:tcPr>
            <w:tcW w:w="9346" w:type="dxa"/>
            <w:gridSpan w:val="6"/>
          </w:tcPr>
          <w:p w14:paraId="1D3DDF9F"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Akių sutrikimai</w:t>
            </w:r>
          </w:p>
        </w:tc>
      </w:tr>
      <w:tr w:rsidR="00890384" w14:paraId="45403CEF" w14:textId="77777777" w:rsidTr="005261E3">
        <w:trPr>
          <w:trHeight w:val="506"/>
        </w:trPr>
        <w:tc>
          <w:tcPr>
            <w:tcW w:w="3734" w:type="dxa"/>
          </w:tcPr>
          <w:p w14:paraId="6A4B18E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į akį (įskaitant junginės kraujosruvą)</w:t>
            </w:r>
          </w:p>
        </w:tc>
        <w:tc>
          <w:tcPr>
            <w:tcW w:w="1359" w:type="dxa"/>
            <w:gridSpan w:val="2"/>
          </w:tcPr>
          <w:p w14:paraId="5E07FBA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734D774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7DE4C6A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CA7324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458BC0C4" w14:textId="77777777">
        <w:trPr>
          <w:trHeight w:val="359"/>
        </w:trPr>
        <w:tc>
          <w:tcPr>
            <w:tcW w:w="9346" w:type="dxa"/>
            <w:gridSpan w:val="6"/>
          </w:tcPr>
          <w:p w14:paraId="4C6E7BA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Kraujagyslių sutrikimai</w:t>
            </w:r>
          </w:p>
        </w:tc>
      </w:tr>
      <w:tr w:rsidR="00890384" w14:paraId="69B8A133" w14:textId="77777777" w:rsidTr="005261E3">
        <w:trPr>
          <w:trHeight w:val="253"/>
        </w:trPr>
        <w:tc>
          <w:tcPr>
            <w:tcW w:w="3734" w:type="dxa"/>
          </w:tcPr>
          <w:p w14:paraId="1D6EF10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hematoma</w:t>
            </w:r>
          </w:p>
        </w:tc>
        <w:tc>
          <w:tcPr>
            <w:tcW w:w="1359" w:type="dxa"/>
            <w:gridSpan w:val="2"/>
          </w:tcPr>
          <w:p w14:paraId="44215A8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4E99F33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3142B1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7C709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0962DC2A" w14:textId="77777777" w:rsidTr="005261E3">
        <w:trPr>
          <w:trHeight w:val="506"/>
        </w:trPr>
        <w:tc>
          <w:tcPr>
            <w:tcW w:w="3734" w:type="dxa"/>
          </w:tcPr>
          <w:p w14:paraId="6B0D10C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Hipotenzija (įskaitant hipotenziją procedūros metu)</w:t>
            </w:r>
          </w:p>
        </w:tc>
        <w:tc>
          <w:tcPr>
            <w:tcW w:w="1359" w:type="dxa"/>
            <w:gridSpan w:val="2"/>
          </w:tcPr>
          <w:p w14:paraId="6F4A31D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C669C6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578B2E8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183D3D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3291606C" w14:textId="77777777" w:rsidTr="005261E3">
        <w:trPr>
          <w:trHeight w:val="506"/>
        </w:trPr>
        <w:tc>
          <w:tcPr>
            <w:tcW w:w="3734" w:type="dxa"/>
          </w:tcPr>
          <w:p w14:paraId="30A4F0C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į pilvo ertmę</w:t>
            </w:r>
          </w:p>
        </w:tc>
        <w:tc>
          <w:tcPr>
            <w:tcW w:w="1359" w:type="dxa"/>
            <w:gridSpan w:val="2"/>
          </w:tcPr>
          <w:p w14:paraId="42B6D57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B2927A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74E211B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Dažnis nežinomas</w:t>
            </w:r>
          </w:p>
        </w:tc>
        <w:tc>
          <w:tcPr>
            <w:tcW w:w="1418" w:type="dxa"/>
          </w:tcPr>
          <w:p w14:paraId="1FCDBB26" w14:textId="77777777" w:rsidR="00890384" w:rsidRDefault="00B26795" w:rsidP="005261E3">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676FE3B1" w14:textId="77777777">
        <w:trPr>
          <w:trHeight w:val="359"/>
        </w:trPr>
        <w:tc>
          <w:tcPr>
            <w:tcW w:w="9346" w:type="dxa"/>
            <w:gridSpan w:val="6"/>
          </w:tcPr>
          <w:p w14:paraId="0E2CCAE1"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Kvėpavimo sistemos, krūtinės ląstos ir tarpuplaučio sutrikimai</w:t>
            </w:r>
          </w:p>
        </w:tc>
      </w:tr>
      <w:tr w:rsidR="00890384" w14:paraId="4C16BD2B" w14:textId="77777777" w:rsidTr="005261E3">
        <w:trPr>
          <w:trHeight w:val="251"/>
        </w:trPr>
        <w:tc>
          <w:tcPr>
            <w:tcW w:w="3734" w:type="dxa"/>
          </w:tcPr>
          <w:p w14:paraId="4A7EE1D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nosies</w:t>
            </w:r>
          </w:p>
        </w:tc>
        <w:tc>
          <w:tcPr>
            <w:tcW w:w="1359" w:type="dxa"/>
            <w:gridSpan w:val="2"/>
          </w:tcPr>
          <w:p w14:paraId="00AB5F4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972328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3D085C4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04C9C85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Labai dažnas</w:t>
            </w:r>
          </w:p>
        </w:tc>
      </w:tr>
      <w:tr w:rsidR="00890384" w14:paraId="6B7FDD28" w14:textId="77777777" w:rsidTr="005261E3">
        <w:trPr>
          <w:trHeight w:val="253"/>
        </w:trPr>
        <w:tc>
          <w:tcPr>
            <w:tcW w:w="3734" w:type="dxa"/>
          </w:tcPr>
          <w:p w14:paraId="1F63EA1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Hemoptozė (atsikosėjimas krauju)</w:t>
            </w:r>
          </w:p>
        </w:tc>
        <w:tc>
          <w:tcPr>
            <w:tcW w:w="1359" w:type="dxa"/>
            <w:gridSpan w:val="2"/>
          </w:tcPr>
          <w:p w14:paraId="5719766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06DF869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83BF5E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F56441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0693DFC7" w14:textId="77777777" w:rsidTr="005261E3">
        <w:trPr>
          <w:trHeight w:val="251"/>
        </w:trPr>
        <w:tc>
          <w:tcPr>
            <w:tcW w:w="3734" w:type="dxa"/>
          </w:tcPr>
          <w:p w14:paraId="2354327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kvėpavimo takų</w:t>
            </w:r>
          </w:p>
        </w:tc>
        <w:tc>
          <w:tcPr>
            <w:tcW w:w="1359" w:type="dxa"/>
            <w:gridSpan w:val="2"/>
          </w:tcPr>
          <w:p w14:paraId="70206DC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72012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146EF2B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7F62A65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7EF28C6D" w14:textId="77777777">
        <w:trPr>
          <w:trHeight w:val="361"/>
        </w:trPr>
        <w:tc>
          <w:tcPr>
            <w:tcW w:w="9346" w:type="dxa"/>
            <w:gridSpan w:val="6"/>
          </w:tcPr>
          <w:p w14:paraId="71FC8120"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Virškinimo trakto sutrikimai</w:t>
            </w:r>
          </w:p>
        </w:tc>
      </w:tr>
      <w:tr w:rsidR="00890384" w14:paraId="31775DE4" w14:textId="77777777" w:rsidTr="005261E3">
        <w:trPr>
          <w:trHeight w:val="251"/>
        </w:trPr>
        <w:tc>
          <w:tcPr>
            <w:tcW w:w="3734" w:type="dxa"/>
          </w:tcPr>
          <w:p w14:paraId="3A022FB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Pykinimas</w:t>
            </w:r>
          </w:p>
        </w:tc>
        <w:tc>
          <w:tcPr>
            <w:tcW w:w="1359" w:type="dxa"/>
            <w:gridSpan w:val="2"/>
          </w:tcPr>
          <w:p w14:paraId="00ECDAD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19944AC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690500D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FFD3F6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4B0B3689" w14:textId="77777777" w:rsidTr="005261E3">
        <w:trPr>
          <w:trHeight w:val="253"/>
        </w:trPr>
        <w:tc>
          <w:tcPr>
            <w:tcW w:w="3734" w:type="dxa"/>
          </w:tcPr>
          <w:p w14:paraId="4B59C24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virškinimo trakto</w:t>
            </w:r>
          </w:p>
        </w:tc>
        <w:tc>
          <w:tcPr>
            <w:tcW w:w="1359" w:type="dxa"/>
            <w:gridSpan w:val="2"/>
          </w:tcPr>
          <w:p w14:paraId="4D7EFE7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BF467C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A3D392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9C5243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703645D7" w14:textId="77777777" w:rsidTr="005261E3">
        <w:trPr>
          <w:trHeight w:val="251"/>
        </w:trPr>
        <w:tc>
          <w:tcPr>
            <w:tcW w:w="3734" w:type="dxa"/>
          </w:tcPr>
          <w:p w14:paraId="0837F67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hemorojinių mazgų</w:t>
            </w:r>
          </w:p>
        </w:tc>
        <w:tc>
          <w:tcPr>
            <w:tcW w:w="1359" w:type="dxa"/>
            <w:gridSpan w:val="2"/>
          </w:tcPr>
          <w:p w14:paraId="65F7251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5557F3B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A2CE0E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6BD1E0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02653F82" w14:textId="77777777" w:rsidTr="005261E3">
        <w:trPr>
          <w:trHeight w:val="253"/>
        </w:trPr>
        <w:tc>
          <w:tcPr>
            <w:tcW w:w="3734" w:type="dxa"/>
          </w:tcPr>
          <w:p w14:paraId="6D222BA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burnos</w:t>
            </w:r>
          </w:p>
        </w:tc>
        <w:tc>
          <w:tcPr>
            <w:tcW w:w="1359" w:type="dxa"/>
            <w:gridSpan w:val="2"/>
          </w:tcPr>
          <w:p w14:paraId="52F0E0A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DE7822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5789B9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EF6855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7A048061" w14:textId="77777777" w:rsidTr="005261E3">
        <w:trPr>
          <w:trHeight w:val="251"/>
        </w:trPr>
        <w:tc>
          <w:tcPr>
            <w:tcW w:w="3734" w:type="dxa"/>
          </w:tcPr>
          <w:p w14:paraId="0142120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Kraujingos išmatos</w:t>
            </w:r>
          </w:p>
        </w:tc>
        <w:tc>
          <w:tcPr>
            <w:tcW w:w="1359" w:type="dxa"/>
            <w:gridSpan w:val="2"/>
          </w:tcPr>
          <w:p w14:paraId="5EB9778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C2C15C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124BB3C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D3BCBC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0889D7D6" w14:textId="77777777" w:rsidTr="005261E3">
        <w:trPr>
          <w:trHeight w:val="506"/>
        </w:trPr>
        <w:tc>
          <w:tcPr>
            <w:tcW w:w="3734" w:type="dxa"/>
          </w:tcPr>
          <w:p w14:paraId="19BDFE5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tiesiosios žarnos, kraujavimas iš dantenų</w:t>
            </w:r>
          </w:p>
        </w:tc>
        <w:tc>
          <w:tcPr>
            <w:tcW w:w="1359" w:type="dxa"/>
            <w:gridSpan w:val="2"/>
          </w:tcPr>
          <w:p w14:paraId="28D398F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589F0BA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688EBEB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4736488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032E5209" w14:textId="77777777" w:rsidTr="005261E3">
        <w:trPr>
          <w:trHeight w:val="508"/>
        </w:trPr>
        <w:tc>
          <w:tcPr>
            <w:tcW w:w="3734" w:type="dxa"/>
          </w:tcPr>
          <w:p w14:paraId="2B29F05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Retroperitoninis kraujavimas</w:t>
            </w:r>
          </w:p>
        </w:tc>
        <w:tc>
          <w:tcPr>
            <w:tcW w:w="1359" w:type="dxa"/>
            <w:gridSpan w:val="2"/>
          </w:tcPr>
          <w:p w14:paraId="02F59A3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329DF5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1869B84B" w14:textId="77777777" w:rsidR="00890384" w:rsidRDefault="00B26795" w:rsidP="005261E3">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ACFDBC1" w14:textId="77777777" w:rsidR="00890384" w:rsidRDefault="00B26795" w:rsidP="005261E3">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633F42B7" w14:textId="77777777">
        <w:trPr>
          <w:trHeight w:val="359"/>
        </w:trPr>
        <w:tc>
          <w:tcPr>
            <w:tcW w:w="9346" w:type="dxa"/>
            <w:gridSpan w:val="6"/>
          </w:tcPr>
          <w:p w14:paraId="230DCB5C"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lastRenderedPageBreak/>
              <w:t>Kepenų, tulžies pūslės ir latakų sutrikimai</w:t>
            </w:r>
          </w:p>
        </w:tc>
      </w:tr>
      <w:tr w:rsidR="00890384" w14:paraId="372B4C0A" w14:textId="77777777" w:rsidTr="005261E3">
        <w:trPr>
          <w:trHeight w:val="1518"/>
        </w:trPr>
        <w:tc>
          <w:tcPr>
            <w:tcW w:w="3862" w:type="dxa"/>
            <w:gridSpan w:val="2"/>
          </w:tcPr>
          <w:p w14:paraId="0CEF637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Nenormalūs kepenų funkcijos tyrimų rodmenys, aspartataminotransferazių aktyvumo padidėjimas kraujyje, šarminės fosfatazės aktyvumo padidėjimas kraujyje, bilirubino koncentracijos padidėjimas kraujyje</w:t>
            </w:r>
          </w:p>
        </w:tc>
        <w:tc>
          <w:tcPr>
            <w:tcW w:w="1231" w:type="dxa"/>
          </w:tcPr>
          <w:p w14:paraId="56C77E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E5895F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677E7C4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A735FB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7B2591E7" w14:textId="77777777" w:rsidTr="005261E3">
        <w:trPr>
          <w:trHeight w:val="504"/>
        </w:trPr>
        <w:tc>
          <w:tcPr>
            <w:tcW w:w="3862" w:type="dxa"/>
            <w:gridSpan w:val="2"/>
          </w:tcPr>
          <w:p w14:paraId="1310F8C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Gama gliutamiltransferazių aktyvumo padidėjimas kraujyje</w:t>
            </w:r>
          </w:p>
        </w:tc>
        <w:tc>
          <w:tcPr>
            <w:tcW w:w="1231" w:type="dxa"/>
          </w:tcPr>
          <w:p w14:paraId="0D246EF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9C0D11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52157E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B3569B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68BF602E" w14:textId="77777777" w:rsidTr="005261E3">
        <w:trPr>
          <w:trHeight w:val="506"/>
        </w:trPr>
        <w:tc>
          <w:tcPr>
            <w:tcW w:w="3862" w:type="dxa"/>
            <w:gridSpan w:val="2"/>
          </w:tcPr>
          <w:p w14:paraId="6B5B580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Alaninaminotransferazių aktyvumo padidėjimas kraujyje</w:t>
            </w:r>
          </w:p>
        </w:tc>
        <w:tc>
          <w:tcPr>
            <w:tcW w:w="1231" w:type="dxa"/>
          </w:tcPr>
          <w:p w14:paraId="2A4C1FC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56B705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5C217D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4219899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0D1F19C9" w14:textId="77777777">
        <w:trPr>
          <w:trHeight w:val="359"/>
        </w:trPr>
        <w:tc>
          <w:tcPr>
            <w:tcW w:w="9346" w:type="dxa"/>
            <w:gridSpan w:val="6"/>
          </w:tcPr>
          <w:p w14:paraId="10D9C31E"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Odos ir poodinio audinio sutrikimai</w:t>
            </w:r>
          </w:p>
        </w:tc>
      </w:tr>
      <w:tr w:rsidR="00890384" w14:paraId="55195472" w14:textId="77777777" w:rsidTr="005261E3">
        <w:trPr>
          <w:trHeight w:val="254"/>
        </w:trPr>
        <w:tc>
          <w:tcPr>
            <w:tcW w:w="3862" w:type="dxa"/>
            <w:gridSpan w:val="2"/>
          </w:tcPr>
          <w:p w14:paraId="7D2CFD3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Odos išbėrimas</w:t>
            </w:r>
          </w:p>
        </w:tc>
        <w:tc>
          <w:tcPr>
            <w:tcW w:w="1231" w:type="dxa"/>
          </w:tcPr>
          <w:p w14:paraId="41FB5F4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638406E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B08D3E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CB55F6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60FB63CA" w14:textId="77777777" w:rsidTr="005261E3">
        <w:trPr>
          <w:trHeight w:val="251"/>
        </w:trPr>
        <w:tc>
          <w:tcPr>
            <w:tcW w:w="3862" w:type="dxa"/>
            <w:gridSpan w:val="2"/>
          </w:tcPr>
          <w:p w14:paraId="47C9807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Alopecija</w:t>
            </w:r>
          </w:p>
        </w:tc>
        <w:tc>
          <w:tcPr>
            <w:tcW w:w="1231" w:type="dxa"/>
          </w:tcPr>
          <w:p w14:paraId="18513F8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7FFED4A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6E31678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85E9EB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4F399389" w14:textId="77777777" w:rsidTr="005261E3">
        <w:trPr>
          <w:trHeight w:val="130"/>
        </w:trPr>
        <w:tc>
          <w:tcPr>
            <w:tcW w:w="3862" w:type="dxa"/>
            <w:gridSpan w:val="2"/>
          </w:tcPr>
          <w:p w14:paraId="273014B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Daugiaformė raudonė (eritema)</w:t>
            </w:r>
          </w:p>
        </w:tc>
        <w:tc>
          <w:tcPr>
            <w:tcW w:w="1231" w:type="dxa"/>
          </w:tcPr>
          <w:p w14:paraId="7A97DC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F04CED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Labai retas</w:t>
            </w:r>
          </w:p>
        </w:tc>
        <w:tc>
          <w:tcPr>
            <w:tcW w:w="1417" w:type="dxa"/>
          </w:tcPr>
          <w:p w14:paraId="667EEEB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E996EB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3DAC903F" w14:textId="77777777" w:rsidTr="005261E3">
        <w:trPr>
          <w:trHeight w:val="148"/>
        </w:trPr>
        <w:tc>
          <w:tcPr>
            <w:tcW w:w="3862" w:type="dxa"/>
            <w:gridSpan w:val="2"/>
          </w:tcPr>
          <w:p w14:paraId="6EDDD0E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Odos vaskulitas</w:t>
            </w:r>
          </w:p>
        </w:tc>
        <w:tc>
          <w:tcPr>
            <w:tcW w:w="1231" w:type="dxa"/>
          </w:tcPr>
          <w:p w14:paraId="4EA4EBF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7FE254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5BE9AD0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E9FA5E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26973E8B" w14:textId="77777777" w:rsidTr="005261E3">
        <w:trPr>
          <w:trHeight w:val="359"/>
        </w:trPr>
        <w:tc>
          <w:tcPr>
            <w:tcW w:w="6511" w:type="dxa"/>
            <w:gridSpan w:val="4"/>
          </w:tcPr>
          <w:p w14:paraId="202687F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Skeleto, raumenų ir jungiamojo audinio sutrikimai</w:t>
            </w:r>
          </w:p>
        </w:tc>
        <w:tc>
          <w:tcPr>
            <w:tcW w:w="1417" w:type="dxa"/>
          </w:tcPr>
          <w:p w14:paraId="013C0394" w14:textId="77777777" w:rsidR="00890384" w:rsidRDefault="00890384">
            <w:pPr>
              <w:widowControl w:val="0"/>
              <w:tabs>
                <w:tab w:val="clear" w:pos="567"/>
              </w:tabs>
              <w:autoSpaceDE w:val="0"/>
              <w:autoSpaceDN w:val="0"/>
              <w:spacing w:line="240" w:lineRule="auto"/>
              <w:rPr>
                <w:snapToGrid/>
                <w:szCs w:val="22"/>
                <w:lang w:val="lt-LT"/>
              </w:rPr>
            </w:pPr>
          </w:p>
        </w:tc>
        <w:tc>
          <w:tcPr>
            <w:tcW w:w="1418" w:type="dxa"/>
          </w:tcPr>
          <w:p w14:paraId="7661F23E"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7132E23C" w14:textId="77777777" w:rsidTr="005261E3">
        <w:trPr>
          <w:trHeight w:val="253"/>
        </w:trPr>
        <w:tc>
          <w:tcPr>
            <w:tcW w:w="3862" w:type="dxa"/>
            <w:gridSpan w:val="2"/>
          </w:tcPr>
          <w:p w14:paraId="13472FD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į raumenis</w:t>
            </w:r>
          </w:p>
        </w:tc>
        <w:tc>
          <w:tcPr>
            <w:tcW w:w="1231" w:type="dxa"/>
          </w:tcPr>
          <w:p w14:paraId="2D0320A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6C0950F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3C73A51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B9228C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41417B26" w14:textId="77777777">
        <w:trPr>
          <w:trHeight w:val="359"/>
        </w:trPr>
        <w:tc>
          <w:tcPr>
            <w:tcW w:w="9346" w:type="dxa"/>
            <w:gridSpan w:val="6"/>
          </w:tcPr>
          <w:p w14:paraId="481DFB60"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Inkstų ir šlapimo takų sutrikimai</w:t>
            </w:r>
          </w:p>
        </w:tc>
      </w:tr>
      <w:tr w:rsidR="00890384" w14:paraId="0780DCF0" w14:textId="77777777" w:rsidTr="005261E3">
        <w:trPr>
          <w:trHeight w:val="253"/>
        </w:trPr>
        <w:tc>
          <w:tcPr>
            <w:tcW w:w="3862" w:type="dxa"/>
            <w:gridSpan w:val="2"/>
          </w:tcPr>
          <w:p w14:paraId="081E428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Hematurija</w:t>
            </w:r>
          </w:p>
        </w:tc>
        <w:tc>
          <w:tcPr>
            <w:tcW w:w="1231" w:type="dxa"/>
          </w:tcPr>
          <w:p w14:paraId="0BEA700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BD8D7F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8E12E1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41B2E82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6171D4DD" w14:textId="77777777">
        <w:trPr>
          <w:trHeight w:val="359"/>
        </w:trPr>
        <w:tc>
          <w:tcPr>
            <w:tcW w:w="9346" w:type="dxa"/>
            <w:gridSpan w:val="6"/>
          </w:tcPr>
          <w:p w14:paraId="75A8A293"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Lytinės sistemos ir krūties sutrikimai</w:t>
            </w:r>
          </w:p>
        </w:tc>
      </w:tr>
      <w:tr w:rsidR="00890384" w14:paraId="7D65A907" w14:textId="77777777" w:rsidTr="005261E3">
        <w:trPr>
          <w:trHeight w:val="506"/>
        </w:trPr>
        <w:tc>
          <w:tcPr>
            <w:tcW w:w="3862" w:type="dxa"/>
            <w:gridSpan w:val="2"/>
          </w:tcPr>
          <w:p w14:paraId="67001F0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Nenormalus kraujavimas iš makšties, kraujavimas iš urogenitalinės sistemos</w:t>
            </w:r>
          </w:p>
        </w:tc>
        <w:tc>
          <w:tcPr>
            <w:tcW w:w="1231" w:type="dxa"/>
          </w:tcPr>
          <w:p w14:paraId="0AB3AD0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2A01E30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57026B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5A8A0EC6" w14:textId="77777777" w:rsidR="00890384" w:rsidRDefault="00B26795">
            <w:pPr>
              <w:widowControl w:val="0"/>
              <w:tabs>
                <w:tab w:val="clear" w:pos="567"/>
              </w:tabs>
              <w:autoSpaceDE w:val="0"/>
              <w:autoSpaceDN w:val="0"/>
              <w:spacing w:line="240" w:lineRule="auto"/>
              <w:jc w:val="center"/>
              <w:rPr>
                <w:snapToGrid/>
                <w:szCs w:val="22"/>
                <w:lang w:val="lt-LT"/>
              </w:rPr>
            </w:pPr>
            <w:r w:rsidRPr="005261E3">
              <w:rPr>
                <w:rFonts w:eastAsia="Calibri"/>
                <w:snapToGrid/>
                <w:spacing w:val="-2"/>
                <w:szCs w:val="22"/>
                <w:lang w:val="en-US" w:eastAsia="sl-SI"/>
              </w:rPr>
              <w:t>Labai dažnas</w:t>
            </w:r>
            <w:r>
              <w:rPr>
                <w:rFonts w:eastAsia="Calibri"/>
                <w:snapToGrid/>
                <w:spacing w:val="-2"/>
                <w:szCs w:val="22"/>
                <w:vertAlign w:val="superscript"/>
                <w:lang w:val="en-US" w:eastAsia="sl-SI"/>
              </w:rPr>
              <w:t>§</w:t>
            </w:r>
          </w:p>
        </w:tc>
      </w:tr>
      <w:tr w:rsidR="00890384" w14:paraId="1E468246" w14:textId="77777777">
        <w:trPr>
          <w:trHeight w:val="359"/>
        </w:trPr>
        <w:tc>
          <w:tcPr>
            <w:tcW w:w="9346" w:type="dxa"/>
            <w:gridSpan w:val="6"/>
          </w:tcPr>
          <w:p w14:paraId="40126F59"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Bendrieji sutrikimai ir vartojimo vietos pažeidimai</w:t>
            </w:r>
          </w:p>
        </w:tc>
      </w:tr>
      <w:tr w:rsidR="00890384" w14:paraId="5C2C95B1" w14:textId="77777777" w:rsidTr="005261E3">
        <w:trPr>
          <w:trHeight w:val="253"/>
        </w:trPr>
        <w:tc>
          <w:tcPr>
            <w:tcW w:w="3862" w:type="dxa"/>
            <w:gridSpan w:val="2"/>
          </w:tcPr>
          <w:p w14:paraId="1200823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vartojimo vietos</w:t>
            </w:r>
          </w:p>
        </w:tc>
        <w:tc>
          <w:tcPr>
            <w:tcW w:w="1231" w:type="dxa"/>
          </w:tcPr>
          <w:p w14:paraId="38900FB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09B8690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2A201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C1491D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447415D2" w14:textId="77777777">
        <w:trPr>
          <w:trHeight w:val="359"/>
        </w:trPr>
        <w:tc>
          <w:tcPr>
            <w:tcW w:w="9346" w:type="dxa"/>
            <w:gridSpan w:val="6"/>
          </w:tcPr>
          <w:p w14:paraId="35777FF1"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Tyrimai</w:t>
            </w:r>
          </w:p>
        </w:tc>
      </w:tr>
      <w:tr w:rsidR="00890384" w14:paraId="429D1297" w14:textId="77777777" w:rsidTr="005261E3">
        <w:trPr>
          <w:trHeight w:val="251"/>
        </w:trPr>
        <w:tc>
          <w:tcPr>
            <w:tcW w:w="3862" w:type="dxa"/>
            <w:gridSpan w:val="2"/>
          </w:tcPr>
          <w:p w14:paraId="3475E7E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Teigiamas slapto kraujavimo mėginys</w:t>
            </w:r>
          </w:p>
        </w:tc>
        <w:tc>
          <w:tcPr>
            <w:tcW w:w="1231" w:type="dxa"/>
          </w:tcPr>
          <w:p w14:paraId="2A4DDE1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084CC33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3E8C4D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3D3E24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890384" w14:paraId="6BF4FBA5" w14:textId="77777777">
        <w:trPr>
          <w:trHeight w:val="359"/>
        </w:trPr>
        <w:tc>
          <w:tcPr>
            <w:tcW w:w="9346" w:type="dxa"/>
            <w:gridSpan w:val="6"/>
          </w:tcPr>
          <w:p w14:paraId="1EDEFF4D"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Sužalojimai, apsinuodijimai ir procedūrų komplikacijos</w:t>
            </w:r>
          </w:p>
        </w:tc>
      </w:tr>
      <w:tr w:rsidR="00890384" w14:paraId="79E6B2E9" w14:textId="77777777" w:rsidTr="005261E3">
        <w:trPr>
          <w:trHeight w:val="414"/>
        </w:trPr>
        <w:tc>
          <w:tcPr>
            <w:tcW w:w="3862" w:type="dxa"/>
            <w:gridSpan w:val="2"/>
          </w:tcPr>
          <w:p w14:paraId="3066DE8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Sumušimas</w:t>
            </w:r>
          </w:p>
        </w:tc>
        <w:tc>
          <w:tcPr>
            <w:tcW w:w="1231" w:type="dxa"/>
          </w:tcPr>
          <w:p w14:paraId="7572D48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51510F5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DC59E6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115B62B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0DA98670" w14:textId="77777777" w:rsidTr="005261E3">
        <w:trPr>
          <w:trHeight w:val="2022"/>
        </w:trPr>
        <w:tc>
          <w:tcPr>
            <w:tcW w:w="3862" w:type="dxa"/>
            <w:gridSpan w:val="2"/>
          </w:tcPr>
          <w:p w14:paraId="226A89D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231" w:type="dxa"/>
          </w:tcPr>
          <w:p w14:paraId="6C368D8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3DFD25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C949E2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2C85375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890384" w14:paraId="0B023BAD" w14:textId="77777777" w:rsidTr="005261E3">
        <w:trPr>
          <w:trHeight w:val="253"/>
        </w:trPr>
        <w:tc>
          <w:tcPr>
            <w:tcW w:w="3862" w:type="dxa"/>
            <w:gridSpan w:val="2"/>
          </w:tcPr>
          <w:p w14:paraId="3B972B2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Kraujavimas iš sužalojimų</w:t>
            </w:r>
          </w:p>
        </w:tc>
        <w:tc>
          <w:tcPr>
            <w:tcW w:w="1231" w:type="dxa"/>
          </w:tcPr>
          <w:p w14:paraId="315EBD4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1A8F0A6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7C8FF10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91F90C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bl>
    <w:p w14:paraId="6FB8085A" w14:textId="77777777" w:rsidR="00890384" w:rsidRDefault="00B26795">
      <w:pPr>
        <w:widowControl w:val="0"/>
        <w:numPr>
          <w:ilvl w:val="0"/>
          <w:numId w:val="5"/>
        </w:numPr>
        <w:tabs>
          <w:tab w:val="clear" w:pos="567"/>
          <w:tab w:val="left" w:pos="371"/>
        </w:tabs>
        <w:autoSpaceDE w:val="0"/>
        <w:autoSpaceDN w:val="0"/>
        <w:spacing w:line="240" w:lineRule="auto"/>
        <w:ind w:left="0" w:firstLine="0"/>
        <w:rPr>
          <w:snapToGrid/>
          <w:sz w:val="20"/>
          <w:szCs w:val="22"/>
          <w:lang w:val="lt-LT"/>
        </w:rPr>
      </w:pPr>
      <w:r>
        <w:rPr>
          <w:snapToGrid/>
          <w:sz w:val="20"/>
          <w:szCs w:val="22"/>
          <w:lang w:val="lt-LT"/>
        </w:rPr>
        <w:t>CV185057 atveju (ilgalaikė venų tromboembolinių reiškinių profilaktika) viso kūno niežėjimas nepasireiškė</w:t>
      </w:r>
    </w:p>
    <w:p w14:paraId="022560DB" w14:textId="77777777" w:rsidR="00890384" w:rsidRDefault="00B26795">
      <w:pPr>
        <w:widowControl w:val="0"/>
        <w:tabs>
          <w:tab w:val="clear" w:pos="567"/>
        </w:tabs>
        <w:autoSpaceDE w:val="0"/>
        <w:autoSpaceDN w:val="0"/>
        <w:spacing w:line="240" w:lineRule="auto"/>
        <w:rPr>
          <w:snapToGrid/>
          <w:sz w:val="20"/>
          <w:szCs w:val="22"/>
          <w:lang w:val="lt-LT"/>
        </w:rPr>
      </w:pPr>
      <w:r>
        <w:rPr>
          <w:snapToGrid/>
          <w:position w:val="10"/>
          <w:sz w:val="20"/>
          <w:szCs w:val="22"/>
          <w:lang w:val="lt-LT"/>
        </w:rPr>
        <w:t xml:space="preserve">† </w:t>
      </w:r>
      <w:r>
        <w:rPr>
          <w:snapToGrid/>
          <w:sz w:val="20"/>
          <w:szCs w:val="22"/>
          <w:lang w:val="lt-LT"/>
        </w:rPr>
        <w:t xml:space="preserve">Terminas „Kraujavimas į galvos smegenis“ apima visus kraujavimo į kaukolės ertmę ir stuburo kanalą atvejus (t. y. hemoraginį insultą arba kraujavimą į kiautą (lot. </w:t>
      </w:r>
      <w:r>
        <w:rPr>
          <w:i/>
          <w:snapToGrid/>
          <w:sz w:val="20"/>
          <w:szCs w:val="22"/>
          <w:lang w:val="lt-LT"/>
        </w:rPr>
        <w:t>Putamen</w:t>
      </w:r>
      <w:r>
        <w:rPr>
          <w:snapToGrid/>
          <w:sz w:val="20"/>
          <w:szCs w:val="22"/>
          <w:lang w:val="lt-LT"/>
        </w:rPr>
        <w:t>), smegenėles, skilvelių viduje arba subdurinį kraujavimą).</w:t>
      </w:r>
    </w:p>
    <w:p w14:paraId="6F016448" w14:textId="77777777" w:rsidR="00890384" w:rsidRDefault="00B26795">
      <w:pPr>
        <w:widowControl w:val="0"/>
        <w:tabs>
          <w:tab w:val="clear" w:pos="567"/>
        </w:tabs>
        <w:autoSpaceDE w:val="0"/>
        <w:autoSpaceDN w:val="0"/>
        <w:spacing w:line="240" w:lineRule="auto"/>
      </w:pPr>
      <w:r>
        <w:t>‡ Apima anafilaksinę reakciją, padidėjusį jautrumą vaistams ir padidėjusį jautrumą.</w:t>
      </w:r>
    </w:p>
    <w:p w14:paraId="23711D3D" w14:textId="77777777" w:rsidR="00890384" w:rsidRDefault="00B26795">
      <w:pPr>
        <w:widowControl w:val="0"/>
        <w:tabs>
          <w:tab w:val="clear" w:pos="567"/>
        </w:tabs>
        <w:autoSpaceDE w:val="0"/>
        <w:autoSpaceDN w:val="0"/>
        <w:spacing w:line="240" w:lineRule="auto"/>
      </w:pPr>
      <w:r>
        <w:t>§ Apima gausų menstruacinį kraujavimą, kraujavimą tarp menstruacijų ir kraujavimą iš makšties.</w:t>
      </w:r>
    </w:p>
    <w:p w14:paraId="457B7A1D" w14:textId="77777777" w:rsidR="00890384" w:rsidRDefault="00890384">
      <w:pPr>
        <w:widowControl w:val="0"/>
        <w:tabs>
          <w:tab w:val="clear" w:pos="567"/>
        </w:tabs>
        <w:autoSpaceDE w:val="0"/>
        <w:autoSpaceDN w:val="0"/>
        <w:spacing w:line="240" w:lineRule="auto"/>
        <w:rPr>
          <w:snapToGrid/>
          <w:szCs w:val="22"/>
          <w:lang w:val="lt-LT"/>
        </w:rPr>
      </w:pPr>
    </w:p>
    <w:p w14:paraId="2D0872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Apiksabano vartojimas gali būti susijęs su padidėjusia slapto ar akivaizdaus kraujavimo iš bet kurio audinio arba organo bei dėl to pasireiškiančios pohemoraginės anemijos pasireiškimo rizika. Sutrikimo požymiai, </w:t>
      </w:r>
      <w:r>
        <w:rPr>
          <w:snapToGrid/>
          <w:szCs w:val="22"/>
          <w:lang w:val="lt-LT"/>
        </w:rPr>
        <w:lastRenderedPageBreak/>
        <w:t>simptomai ir sunkumas gali būti skirtingi, priklausomai nuo kraujavimo vietos, masto ir intensyvumo (žr. 4.4 ir 5.1 skyrius).</w:t>
      </w:r>
    </w:p>
    <w:p w14:paraId="382D66AE" w14:textId="77777777" w:rsidR="00890384" w:rsidRDefault="00890384">
      <w:pPr>
        <w:widowControl w:val="0"/>
        <w:tabs>
          <w:tab w:val="clear" w:pos="567"/>
        </w:tabs>
        <w:autoSpaceDE w:val="0"/>
        <w:autoSpaceDN w:val="0"/>
        <w:spacing w:line="240" w:lineRule="auto"/>
        <w:rPr>
          <w:snapToGrid/>
          <w:szCs w:val="22"/>
          <w:lang w:val="lt-LT"/>
        </w:rPr>
      </w:pPr>
    </w:p>
    <w:p w14:paraId="40C8FBB9" w14:textId="77777777" w:rsidR="00890384" w:rsidRPr="005261E3" w:rsidRDefault="00B26795">
      <w:pPr>
        <w:widowControl w:val="0"/>
        <w:tabs>
          <w:tab w:val="clear" w:pos="567"/>
        </w:tabs>
        <w:autoSpaceDE w:val="0"/>
        <w:autoSpaceDN w:val="0"/>
        <w:spacing w:line="240" w:lineRule="auto"/>
        <w:rPr>
          <w:u w:val="single"/>
        </w:rPr>
      </w:pPr>
      <w:r w:rsidRPr="005261E3">
        <w:rPr>
          <w:u w:val="single"/>
        </w:rPr>
        <w:t>Vaikų populiacija</w:t>
      </w:r>
    </w:p>
    <w:p w14:paraId="796DD23A" w14:textId="77777777" w:rsidR="00890384" w:rsidRDefault="00890384">
      <w:pPr>
        <w:widowControl w:val="0"/>
        <w:tabs>
          <w:tab w:val="clear" w:pos="567"/>
        </w:tabs>
        <w:autoSpaceDE w:val="0"/>
        <w:autoSpaceDN w:val="0"/>
        <w:spacing w:line="240" w:lineRule="auto"/>
      </w:pPr>
    </w:p>
    <w:p w14:paraId="0526FC1A" w14:textId="178EE31E" w:rsidR="00890384" w:rsidRDefault="00B26795">
      <w:pPr>
        <w:widowControl w:val="0"/>
        <w:tabs>
          <w:tab w:val="clear" w:pos="567"/>
        </w:tabs>
        <w:autoSpaceDE w:val="0"/>
        <w:autoSpaceDN w:val="0"/>
        <w:spacing w:line="240" w:lineRule="auto"/>
      </w:pPr>
      <w:r>
        <w:t>Apiksabano saugumas tirtas viename I fazės ir trijuose II/III fazės klinikiniuose tyrimuose, kuriuose dalyvavo 970 pacientų. 568 iš šių pacientų gavo vieną ar daugiau apiksabano dozių ir bendra vidutinė vaistinio preparato ekspozicija buvo atitinkamai 1, 24, 331 ir 80 dienų (žr. 5.1 skyrių). Pacientai vartojo pagal amžių pritaikytų apiksabano farmacinių formų pagal kūno svorį koreguotas dozes.</w:t>
      </w:r>
    </w:p>
    <w:p w14:paraId="43A21CD4" w14:textId="77777777" w:rsidR="00890384" w:rsidRDefault="00890384">
      <w:pPr>
        <w:widowControl w:val="0"/>
        <w:tabs>
          <w:tab w:val="clear" w:pos="567"/>
        </w:tabs>
        <w:autoSpaceDE w:val="0"/>
        <w:autoSpaceDN w:val="0"/>
        <w:spacing w:line="240" w:lineRule="auto"/>
      </w:pPr>
    </w:p>
    <w:p w14:paraId="3D38D160" w14:textId="56AA83C3" w:rsidR="00890384" w:rsidRDefault="00B26795">
      <w:pPr>
        <w:widowControl w:val="0"/>
        <w:tabs>
          <w:tab w:val="clear" w:pos="567"/>
        </w:tabs>
        <w:autoSpaceDE w:val="0"/>
        <w:autoSpaceDN w:val="0"/>
        <w:spacing w:line="240" w:lineRule="auto"/>
      </w:pPr>
      <w:r>
        <w:t>Apskritai apiksabano saugumo duomenys pacientams vaikams nuo 28 dienų iki &lt;</w:t>
      </w:r>
      <w:r w:rsidR="0087339F">
        <w:t> </w:t>
      </w:r>
      <w:r>
        <w:t>18 metų buvo panašūs kaip suaugusiesiems ir iš esmės nesiskyrė tarp skirtingų vaikų amžiaus grupių. Dažniausiai pasireiškusios nepageidaujamos reakcijos pacientams vaikams buvo kraujavimas iš nosies ir nenormalus kraujavimas iš makšties (žr. 3 lentelę, kurioje pateikiamas nepageidaujamų reakcijų sąrašas ir dažnis pagal indikacijas).</w:t>
      </w:r>
    </w:p>
    <w:p w14:paraId="47C519FB" w14:textId="77777777" w:rsidR="00890384" w:rsidRDefault="00890384">
      <w:pPr>
        <w:widowControl w:val="0"/>
        <w:tabs>
          <w:tab w:val="clear" w:pos="567"/>
        </w:tabs>
        <w:autoSpaceDE w:val="0"/>
        <w:autoSpaceDN w:val="0"/>
        <w:spacing w:line="240" w:lineRule="auto"/>
      </w:pPr>
    </w:p>
    <w:p w14:paraId="6F827E4F" w14:textId="668DBBE2" w:rsidR="00890384" w:rsidRDefault="00B26795">
      <w:pPr>
        <w:widowControl w:val="0"/>
        <w:tabs>
          <w:tab w:val="clear" w:pos="567"/>
        </w:tabs>
        <w:autoSpaceDE w:val="0"/>
        <w:autoSpaceDN w:val="0"/>
        <w:spacing w:line="240" w:lineRule="auto"/>
        <w:rPr>
          <w:snapToGrid/>
          <w:szCs w:val="22"/>
          <w:lang w:val="lt-LT"/>
        </w:rPr>
      </w:pPr>
      <w:r>
        <w:t>Pacientams vaikams kraujavimas iš nosies (labai dažnas), nenormalus kraujavimas iš makšties (labai dažnas), padidėjęs jautrumas ir anafilaksija (dažnas), niežėjimas (dažnas), hipotenzija (dažnas), kraujingos išmatos (dažnas), padidėjęs aspartataminotransferazės aktyvumas (dažnas), alopecija (dažnas) ir kraujavimas po procedūros (dažnas) buvo registruojami dažniau, palyginti su suaugusiaisiais, gydytais apiksabanu, tačiau toje pačioje dažnumo kategorijoje kaip ir standartinio gydymo (SG) grupės vaikų; vienintelė išimtis buvo nenormalus kraujavimas iš makšties, apie kurį buvo pranešta kaip apie dažną SG grupėje. Visais atvejais, išskyrus vieną, buvo pranešta apie kepenų transaminazių aktyvumo padidėjimą pacientams vaikams, kurie kartu buvo gydomi chemoterapija dėl piktybinio naviko.</w:t>
      </w:r>
    </w:p>
    <w:p w14:paraId="7C348B84" w14:textId="77777777" w:rsidR="00890384" w:rsidRDefault="00890384">
      <w:pPr>
        <w:widowControl w:val="0"/>
        <w:tabs>
          <w:tab w:val="clear" w:pos="567"/>
        </w:tabs>
        <w:autoSpaceDE w:val="0"/>
        <w:autoSpaceDN w:val="0"/>
        <w:spacing w:line="240" w:lineRule="auto"/>
        <w:rPr>
          <w:snapToGrid/>
          <w:szCs w:val="22"/>
          <w:lang w:val="lt-LT"/>
        </w:rPr>
      </w:pPr>
    </w:p>
    <w:p w14:paraId="06D939AC"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Pranešimas apie įtariamas nepageidaujamas reakcijas</w:t>
      </w:r>
    </w:p>
    <w:p w14:paraId="5686328E" w14:textId="77777777" w:rsidR="00890384" w:rsidRDefault="00B26795">
      <w:pPr>
        <w:jc w:val="both"/>
        <w:rPr>
          <w:snapToGrid/>
          <w:szCs w:val="24"/>
          <w:lang w:val="lt-LT"/>
        </w:rPr>
      </w:pPr>
      <w:r>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szCs w:val="22"/>
          <w:u w:val="single"/>
          <w:lang w:val="lt-LT"/>
        </w:rPr>
        <w:t>https://vvkt.lrv.lt/lt/</w:t>
      </w:r>
      <w:r>
        <w:rPr>
          <w:snapToGrid/>
          <w:szCs w:val="22"/>
          <w:lang w:val="lt-LT"/>
        </w:rPr>
        <w:t xml:space="preserve"> nurodytais būdais.</w:t>
      </w:r>
    </w:p>
    <w:p w14:paraId="5A98E4C6" w14:textId="77777777" w:rsidR="00890384" w:rsidRDefault="00890384">
      <w:pPr>
        <w:autoSpaceDE w:val="0"/>
        <w:autoSpaceDN w:val="0"/>
        <w:adjustRightInd w:val="0"/>
        <w:jc w:val="both"/>
        <w:rPr>
          <w:noProof/>
          <w:szCs w:val="24"/>
          <w:lang w:val="lt-LT"/>
        </w:rPr>
      </w:pPr>
    </w:p>
    <w:p w14:paraId="368D6037" w14:textId="77777777" w:rsidR="00890384" w:rsidRDefault="00890384">
      <w:pPr>
        <w:widowControl w:val="0"/>
        <w:tabs>
          <w:tab w:val="clear" w:pos="567"/>
        </w:tabs>
        <w:autoSpaceDE w:val="0"/>
        <w:autoSpaceDN w:val="0"/>
        <w:spacing w:line="240" w:lineRule="auto"/>
        <w:rPr>
          <w:snapToGrid/>
          <w:szCs w:val="22"/>
          <w:lang w:val="lt-LT"/>
        </w:rPr>
      </w:pPr>
    </w:p>
    <w:p w14:paraId="68B0E11D"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4.9</w:t>
      </w:r>
      <w:r>
        <w:rPr>
          <w:b/>
          <w:bCs/>
          <w:snapToGrid/>
          <w:szCs w:val="22"/>
          <w:lang w:val="lt-LT"/>
        </w:rPr>
        <w:tab/>
        <w:t>Perdozavimas</w:t>
      </w:r>
    </w:p>
    <w:p w14:paraId="64B90C25" w14:textId="77777777" w:rsidR="00890384" w:rsidRDefault="00890384">
      <w:pPr>
        <w:widowControl w:val="0"/>
        <w:tabs>
          <w:tab w:val="clear" w:pos="567"/>
        </w:tabs>
        <w:autoSpaceDE w:val="0"/>
        <w:autoSpaceDN w:val="0"/>
        <w:spacing w:line="240" w:lineRule="auto"/>
        <w:rPr>
          <w:b/>
          <w:snapToGrid/>
          <w:szCs w:val="22"/>
          <w:lang w:val="lt-LT"/>
        </w:rPr>
      </w:pPr>
    </w:p>
    <w:p w14:paraId="2A13D5E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 </w:t>
      </w:r>
      <w:r>
        <w:t>(žr. 4.4 skyrių)</w:t>
      </w:r>
      <w:r>
        <w:rPr>
          <w:snapToGrid/>
          <w:szCs w:val="22"/>
          <w:lang w:val="lt-LT"/>
        </w:rPr>
        <w:t>.</w:t>
      </w:r>
    </w:p>
    <w:p w14:paraId="56013543" w14:textId="77777777" w:rsidR="00890384" w:rsidRDefault="00890384">
      <w:pPr>
        <w:widowControl w:val="0"/>
        <w:tabs>
          <w:tab w:val="clear" w:pos="567"/>
        </w:tabs>
        <w:autoSpaceDE w:val="0"/>
        <w:autoSpaceDN w:val="0"/>
        <w:spacing w:line="240" w:lineRule="auto"/>
        <w:rPr>
          <w:snapToGrid/>
          <w:szCs w:val="22"/>
          <w:lang w:val="lt-LT"/>
        </w:rPr>
      </w:pPr>
    </w:p>
    <w:p w14:paraId="0765365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Kontroliuojamųjų klinikinių tyrimų duomenimis, sveikiems tiriamiesiems asmenims skyrus iki 50 mg geriamojo apiksabano paros dozę 3</w:t>
      </w:r>
      <w:r>
        <w:rPr>
          <w:snapToGrid/>
          <w:szCs w:val="22"/>
          <w:lang w:val="lt-LT"/>
        </w:rPr>
        <w:noBreakHyphen/>
        <w:t>7 dienas (po 25 mg du kartus per parą 7 dienas arba 50 mg vieną kartą per parą 3 dienas), kliniškai reikšmingų nepageidaujamų reakcijų nepasireiškė.</w:t>
      </w:r>
    </w:p>
    <w:p w14:paraId="50E269C4" w14:textId="77777777" w:rsidR="00890384" w:rsidRDefault="00890384">
      <w:pPr>
        <w:widowControl w:val="0"/>
        <w:tabs>
          <w:tab w:val="clear" w:pos="567"/>
        </w:tabs>
        <w:autoSpaceDE w:val="0"/>
        <w:autoSpaceDN w:val="0"/>
        <w:spacing w:line="240" w:lineRule="auto"/>
        <w:rPr>
          <w:snapToGrid/>
          <w:szCs w:val="22"/>
          <w:lang w:val="lt-LT"/>
        </w:rPr>
      </w:pPr>
    </w:p>
    <w:p w14:paraId="19006CF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Remiantis sveikų tiriamųjų duomenimis, išgėrus aktyvintosios anglies praėjus 2 ir 6 valandoms po 20 mg apiksabano dozės nurijimo, vidutinis apiksabano AUC sumažėjo atitinkamai 50 % ir 27 %, o poveikio C</w:t>
      </w:r>
      <w:r>
        <w:rPr>
          <w:snapToGrid/>
          <w:szCs w:val="22"/>
          <w:vertAlign w:val="subscript"/>
          <w:lang w:val="lt-LT"/>
        </w:rPr>
        <w:t>max</w:t>
      </w:r>
      <w:r>
        <w:rPr>
          <w:snapToGrid/>
          <w:szCs w:val="22"/>
          <w:lang w:val="lt-LT"/>
        </w:rPr>
        <w:t xml:space="preserve"> nebuvo. Vidutinis apiksabano pusinės eliminacijos laikas sutrumpėjo nuo 13,4 valandų, vartojant vien apiksabaną, iki atitinkamai 5,3 valandų ir 4,9 valandų, pavartojus aktyvintosios anglies praėjus 2 ir 6 valandoms po apiksabano pavartojimo. Taigi aktyvintosios anglies vartojimas gali būti naudingas, gydant apiksabano perdozavimą arba atsitiktinį nurijimą.</w:t>
      </w:r>
    </w:p>
    <w:p w14:paraId="4060A3EF" w14:textId="77777777" w:rsidR="00890384" w:rsidRDefault="00890384">
      <w:pPr>
        <w:widowControl w:val="0"/>
        <w:tabs>
          <w:tab w:val="clear" w:pos="567"/>
        </w:tabs>
        <w:autoSpaceDE w:val="0"/>
        <w:autoSpaceDN w:val="0"/>
        <w:spacing w:line="240" w:lineRule="auto"/>
      </w:pPr>
    </w:p>
    <w:p w14:paraId="567DD2C0" w14:textId="51E36442" w:rsidR="00890384" w:rsidRDefault="00B26795">
      <w:pPr>
        <w:widowControl w:val="0"/>
        <w:tabs>
          <w:tab w:val="clear" w:pos="567"/>
        </w:tabs>
        <w:autoSpaceDE w:val="0"/>
        <w:autoSpaceDN w:val="0"/>
        <w:spacing w:line="240" w:lineRule="auto"/>
      </w:pPr>
      <w:r>
        <w:t>Pacientams, sergantiems galutinės stadijos inkstų liga (GSIL), per burną skiriant vienkartinę 5</w:t>
      </w:r>
      <w:r w:rsidR="008C3DF6">
        <w:t> </w:t>
      </w:r>
      <w:r>
        <w:t xml:space="preserve">mg apiksabano dozę, apiksabano AUC dėl hemodializės sumažėjo 14 %. Todėl </w:t>
      </w:r>
      <w:r w:rsidR="00407C96">
        <w:t xml:space="preserve">mažai tikėtina, kad </w:t>
      </w:r>
      <w:r>
        <w:t xml:space="preserve">hemodializė </w:t>
      </w:r>
      <w:r w:rsidR="00407C96">
        <w:t>yra</w:t>
      </w:r>
      <w:r>
        <w:t xml:space="preserve"> veiksminga</w:t>
      </w:r>
      <w:r w:rsidR="00FD4FA3">
        <w:t xml:space="preserve"> gydymo</w:t>
      </w:r>
      <w:r>
        <w:t xml:space="preserve"> priemonė perdozavus apiksabano.</w:t>
      </w:r>
    </w:p>
    <w:p w14:paraId="340B022B" w14:textId="77777777" w:rsidR="00890384" w:rsidRDefault="00890384">
      <w:pPr>
        <w:widowControl w:val="0"/>
        <w:tabs>
          <w:tab w:val="clear" w:pos="567"/>
        </w:tabs>
        <w:autoSpaceDE w:val="0"/>
        <w:autoSpaceDN w:val="0"/>
        <w:spacing w:line="240" w:lineRule="auto"/>
        <w:rPr>
          <w:snapToGrid/>
          <w:szCs w:val="22"/>
          <w:lang w:val="lt-LT"/>
        </w:rPr>
      </w:pPr>
    </w:p>
    <w:p w14:paraId="255EED1C" w14:textId="21488FF4"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Tais atvejais, kai reikia neutralizuoti antikoaguliacinį poveikį dėl gyvybei pavojingo arba nekontroliuojamo kraujavimo, galima skirti Xa faktoriaus inhibitorių poveikį neutralizuojantį vaistinį preparatą </w:t>
      </w:r>
      <w:r>
        <w:t>(andeksanetą alfa)</w:t>
      </w:r>
      <w:r>
        <w:rPr>
          <w:snapToGrid/>
          <w:szCs w:val="22"/>
          <w:lang w:val="lt-LT"/>
        </w:rPr>
        <w:t xml:space="preserve"> suaugusie</w:t>
      </w:r>
      <w:r w:rsidR="00F57BB2">
        <w:rPr>
          <w:snapToGrid/>
          <w:szCs w:val="22"/>
          <w:lang w:val="lt-LT"/>
        </w:rPr>
        <w:t>sie</w:t>
      </w:r>
      <w:r>
        <w:rPr>
          <w:snapToGrid/>
          <w:szCs w:val="22"/>
          <w:lang w:val="lt-LT"/>
        </w:rPr>
        <w:t xml:space="preserve">ms (žr. 4.4 skyrių). Galima spręsti ir dėl protrombino komplekso koncentrato (PKK) arba rekombinantinio VIIa faktoriaus skyrimo. Apiksabano farmakodinaminio poveikio neutralizavimas, kurį rodo </w:t>
      </w:r>
      <w:r>
        <w:rPr>
          <w:snapToGrid/>
          <w:szCs w:val="22"/>
          <w:lang w:val="lt-LT"/>
        </w:rPr>
        <w:lastRenderedPageBreak/>
        <w:t>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apiksabaną vartojantiems pacientams, stabdyti. Rekombinantinio VIIa faktoriaus skyrimo apiksabano vartojantiems pacientams patirties iki šiol nėra. Atsižvelgiant į kraujavimo mažėjimą, reikėtų apsvarstyti kartotinės rekombinantinio VIIa faktoriaus dozės skyrimą ir dozės koregavimą.</w:t>
      </w:r>
    </w:p>
    <w:p w14:paraId="45BB1B92" w14:textId="77777777" w:rsidR="00890384" w:rsidRDefault="00890384">
      <w:pPr>
        <w:widowControl w:val="0"/>
        <w:tabs>
          <w:tab w:val="clear" w:pos="567"/>
        </w:tabs>
        <w:autoSpaceDE w:val="0"/>
        <w:autoSpaceDN w:val="0"/>
        <w:spacing w:line="240" w:lineRule="auto"/>
      </w:pPr>
    </w:p>
    <w:p w14:paraId="361D860F" w14:textId="149B31CB" w:rsidR="00890384" w:rsidRDefault="00B26795">
      <w:pPr>
        <w:widowControl w:val="0"/>
        <w:tabs>
          <w:tab w:val="clear" w:pos="567"/>
        </w:tabs>
        <w:autoSpaceDE w:val="0"/>
        <w:autoSpaceDN w:val="0"/>
        <w:spacing w:line="240" w:lineRule="auto"/>
      </w:pPr>
      <w:r>
        <w:t xml:space="preserve">Specifinis neutralizuojantysis vaistinis preparatas (andeksanetas alfa), kuris slopina apiksabano farmakodinaminį poveikį, vaikų populiacijai nėra patvirtintas (žr. andeksaneto alfa preparato charakteristikų santrauką). Taip pat galima </w:t>
      </w:r>
      <w:r w:rsidR="0048185C">
        <w:t>apsvarstyti</w:t>
      </w:r>
      <w:r>
        <w:t xml:space="preserve"> </w:t>
      </w:r>
      <w:r w:rsidR="00FF7970">
        <w:t>apie</w:t>
      </w:r>
      <w:r>
        <w:t xml:space="preserve"> švieži</w:t>
      </w:r>
      <w:r w:rsidR="00E04A3A">
        <w:t>ai</w:t>
      </w:r>
      <w:r>
        <w:t xml:space="preserve"> šaldytos plazmos transfuzijos, PKK arba rekombinantinio VIIa faktoriaus skyrim</w:t>
      </w:r>
      <w:r w:rsidR="008807B9">
        <w:t>ą</w:t>
      </w:r>
      <w:r>
        <w:t>.</w:t>
      </w:r>
    </w:p>
    <w:p w14:paraId="25ACB502" w14:textId="77777777" w:rsidR="00890384" w:rsidRDefault="00890384">
      <w:pPr>
        <w:widowControl w:val="0"/>
        <w:tabs>
          <w:tab w:val="clear" w:pos="567"/>
        </w:tabs>
        <w:autoSpaceDE w:val="0"/>
        <w:autoSpaceDN w:val="0"/>
        <w:spacing w:line="240" w:lineRule="auto"/>
        <w:rPr>
          <w:snapToGrid/>
          <w:szCs w:val="22"/>
          <w:lang w:val="lt-LT"/>
        </w:rPr>
      </w:pPr>
    </w:p>
    <w:p w14:paraId="6DA8D31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Priklausomai nuo prieinamumo, reikia apsvarstyti galimybę pasikonsultuoti su krešėjimo sutrikimų ekspertu, jei pasireiškia stiprus kraujavimas.</w:t>
      </w:r>
    </w:p>
    <w:p w14:paraId="138761F4" w14:textId="77777777" w:rsidR="00890384" w:rsidRDefault="00890384">
      <w:pPr>
        <w:widowControl w:val="0"/>
        <w:tabs>
          <w:tab w:val="clear" w:pos="567"/>
        </w:tabs>
        <w:autoSpaceDE w:val="0"/>
        <w:autoSpaceDN w:val="0"/>
        <w:spacing w:line="240" w:lineRule="auto"/>
        <w:rPr>
          <w:snapToGrid/>
          <w:szCs w:val="22"/>
          <w:lang w:val="lt-LT"/>
        </w:rPr>
      </w:pPr>
    </w:p>
    <w:p w14:paraId="4BC57CBC" w14:textId="77777777" w:rsidR="00890384" w:rsidRDefault="00890384">
      <w:pPr>
        <w:widowControl w:val="0"/>
        <w:tabs>
          <w:tab w:val="clear" w:pos="567"/>
        </w:tabs>
        <w:autoSpaceDE w:val="0"/>
        <w:autoSpaceDN w:val="0"/>
        <w:spacing w:line="240" w:lineRule="auto"/>
        <w:rPr>
          <w:snapToGrid/>
          <w:szCs w:val="22"/>
          <w:lang w:val="lt-LT"/>
        </w:rPr>
      </w:pPr>
    </w:p>
    <w:p w14:paraId="724F0522" w14:textId="77777777" w:rsidR="00890384" w:rsidRDefault="00B26795">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5.</w:t>
      </w:r>
      <w:r>
        <w:rPr>
          <w:b/>
          <w:bCs/>
          <w:snapToGrid/>
          <w:szCs w:val="22"/>
          <w:lang w:val="lt-LT"/>
        </w:rPr>
        <w:tab/>
        <w:t>FARMAKOLOGINĖS SAVYBĖS</w:t>
      </w:r>
    </w:p>
    <w:p w14:paraId="5C84E0C9" w14:textId="77777777" w:rsidR="00890384" w:rsidRDefault="00890384">
      <w:pPr>
        <w:widowControl w:val="0"/>
        <w:tabs>
          <w:tab w:val="clear" w:pos="567"/>
        </w:tabs>
        <w:autoSpaceDE w:val="0"/>
        <w:autoSpaceDN w:val="0"/>
        <w:spacing w:line="240" w:lineRule="auto"/>
        <w:ind w:left="540" w:hanging="540"/>
        <w:rPr>
          <w:b/>
          <w:snapToGrid/>
          <w:szCs w:val="22"/>
          <w:lang w:val="lt-LT"/>
        </w:rPr>
      </w:pPr>
    </w:p>
    <w:p w14:paraId="70B06D89" w14:textId="77777777" w:rsidR="00890384" w:rsidRDefault="00B26795">
      <w:pPr>
        <w:widowControl w:val="0"/>
        <w:numPr>
          <w:ilvl w:val="1"/>
          <w:numId w:val="8"/>
        </w:numPr>
        <w:autoSpaceDE w:val="0"/>
        <w:autoSpaceDN w:val="0"/>
        <w:spacing w:line="240" w:lineRule="auto"/>
        <w:ind w:left="540" w:hanging="540"/>
        <w:outlineLvl w:val="1"/>
        <w:rPr>
          <w:b/>
          <w:bCs/>
          <w:snapToGrid/>
          <w:szCs w:val="22"/>
          <w:lang w:val="lt-LT"/>
        </w:rPr>
      </w:pPr>
      <w:r>
        <w:rPr>
          <w:b/>
          <w:bCs/>
          <w:snapToGrid/>
          <w:szCs w:val="22"/>
          <w:lang w:val="lt-LT"/>
        </w:rPr>
        <w:t>Farmakodinaminės savybės</w:t>
      </w:r>
    </w:p>
    <w:p w14:paraId="3B671DE7" w14:textId="77777777" w:rsidR="00890384" w:rsidRDefault="00890384">
      <w:pPr>
        <w:widowControl w:val="0"/>
        <w:tabs>
          <w:tab w:val="clear" w:pos="567"/>
        </w:tabs>
        <w:autoSpaceDE w:val="0"/>
        <w:autoSpaceDN w:val="0"/>
        <w:spacing w:line="240" w:lineRule="auto"/>
        <w:rPr>
          <w:b/>
          <w:snapToGrid/>
          <w:szCs w:val="22"/>
          <w:lang w:val="lt-LT"/>
        </w:rPr>
      </w:pPr>
    </w:p>
    <w:p w14:paraId="7DF2E79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Farmakoterapinė grupė – antitromboziniai vaistiniai preparatai, tiesioginiai Xa faktoriaus inhibitoriai, ATC kodas – B01AF02.</w:t>
      </w:r>
    </w:p>
    <w:p w14:paraId="6AAB0F9A" w14:textId="77777777" w:rsidR="00890384" w:rsidRDefault="00890384">
      <w:pPr>
        <w:widowControl w:val="0"/>
        <w:tabs>
          <w:tab w:val="clear" w:pos="567"/>
        </w:tabs>
        <w:autoSpaceDE w:val="0"/>
        <w:autoSpaceDN w:val="0"/>
        <w:spacing w:line="240" w:lineRule="auto"/>
        <w:rPr>
          <w:snapToGrid/>
          <w:szCs w:val="22"/>
          <w:u w:val="single"/>
          <w:lang w:val="lt-LT"/>
        </w:rPr>
      </w:pPr>
    </w:p>
    <w:p w14:paraId="3F826415"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Veikimo mechanizmas</w:t>
      </w:r>
    </w:p>
    <w:p w14:paraId="08464B0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0BB822E2" w14:textId="77777777" w:rsidR="00890384" w:rsidRDefault="00890384">
      <w:pPr>
        <w:widowControl w:val="0"/>
        <w:tabs>
          <w:tab w:val="clear" w:pos="567"/>
        </w:tabs>
        <w:autoSpaceDE w:val="0"/>
        <w:autoSpaceDN w:val="0"/>
        <w:spacing w:line="240" w:lineRule="auto"/>
        <w:rPr>
          <w:snapToGrid/>
          <w:szCs w:val="22"/>
          <w:lang w:val="lt-LT"/>
        </w:rPr>
      </w:pPr>
    </w:p>
    <w:p w14:paraId="321EF073"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Farmakodinaminis poveikis</w:t>
      </w:r>
    </w:p>
    <w:p w14:paraId="67FB3607" w14:textId="5432F1EC" w:rsidR="00890384" w:rsidRDefault="00B26795">
      <w:pPr>
        <w:widowControl w:val="0"/>
        <w:tabs>
          <w:tab w:val="clear" w:pos="567"/>
        </w:tabs>
        <w:autoSpaceDE w:val="0"/>
        <w:autoSpaceDN w:val="0"/>
        <w:spacing w:line="240" w:lineRule="auto"/>
        <w:rPr>
          <w:snapToGrid/>
          <w:szCs w:val="22"/>
          <w:lang w:val="lt-LT"/>
        </w:rPr>
      </w:pPr>
      <w:r>
        <w:rPr>
          <w:snapToGrid/>
          <w:szCs w:val="22"/>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(aDTL). Suaugusiesiems vartojant terapinę vaistinio preparato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kraujo plazmoje rodmenį.</w:t>
      </w:r>
    </w:p>
    <w:p w14:paraId="2B54AAF9" w14:textId="77777777" w:rsidR="00890384" w:rsidRDefault="00890384">
      <w:pPr>
        <w:widowControl w:val="0"/>
        <w:tabs>
          <w:tab w:val="clear" w:pos="567"/>
        </w:tabs>
        <w:autoSpaceDE w:val="0"/>
        <w:autoSpaceDN w:val="0"/>
        <w:spacing w:line="240" w:lineRule="auto"/>
        <w:rPr>
          <w:snapToGrid/>
          <w:szCs w:val="22"/>
          <w:lang w:val="lt-LT"/>
        </w:rPr>
      </w:pPr>
    </w:p>
    <w:p w14:paraId="6A2FD2A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Apiksabano slopinamasis poveikis Xa faktoriaus aktyvumui taip pat nustatytas įrodžius Xa faktoriaus fermento aktyvumo sumažėjimą, naudojant daugelį rinkoje esančių Xa faktoriaus aktyvumo tyrimo rinkinių, tačiau naudojant šiuos rinkinius gauti rezultatai tarpusavyje skyrėsi. Klinikinių tyrimų su suaugusiaisiais metu surinkti duomenys gauti tik atliekant </w:t>
      </w:r>
      <w:r>
        <w:rPr>
          <w:i/>
          <w:snapToGrid/>
          <w:szCs w:val="22"/>
          <w:lang w:val="lt-LT"/>
        </w:rPr>
        <w:t>Rotachrom</w:t>
      </w:r>
      <w:r>
        <w:rPr>
          <w:snapToGrid/>
          <w:szCs w:val="22"/>
          <w:vertAlign w:val="superscript"/>
          <w:lang w:val="lt-LT"/>
        </w:rPr>
        <w:t>®</w:t>
      </w:r>
      <w:r>
        <w:rPr>
          <w:snapToGrid/>
          <w:szCs w:val="22"/>
          <w:lang w:val="lt-LT"/>
        </w:rPr>
        <w:t xml:space="preserve"> heparino chromogeninį tyrimą. Poveikis Xa faktoriaus aktyvumui beveik tiesioginiu tiesiniu būdu priklauso nuo apiksabano koncentracijos kraujo plazmoje ir šis poveikis būna stipriausias susidarius didžiausiai apiksabano koncentracijai plazmoje. Priklausomybė tarp apiksabano koncentracijos kraujo plazmoje ir Xa faktoriaus slopinimo yra apytikriai tiesinė, skiriant įvairias apiksabano dozes. </w:t>
      </w:r>
      <w:r>
        <w:t>Apiksabano tyrimų su vaikais rezultatai rodo, kad tiesinis ryšys tarp apiksabano koncentracijos ir AXA atitinka anksčiau nustatytą ryšį suaugusiesiems. Tai patvirtina dokumentuotą apiksabano, kaip selektyvaus FXa inhibitoriaus, veikimo mechanizmą.</w:t>
      </w:r>
    </w:p>
    <w:p w14:paraId="47B1DD83" w14:textId="77777777" w:rsidR="00890384" w:rsidRDefault="00890384">
      <w:pPr>
        <w:widowControl w:val="0"/>
        <w:tabs>
          <w:tab w:val="clear" w:pos="567"/>
        </w:tabs>
        <w:autoSpaceDE w:val="0"/>
        <w:autoSpaceDN w:val="0"/>
        <w:spacing w:line="240" w:lineRule="auto"/>
        <w:rPr>
          <w:snapToGrid/>
          <w:szCs w:val="22"/>
          <w:lang w:val="lt-LT"/>
        </w:rPr>
      </w:pPr>
    </w:p>
    <w:p w14:paraId="0D8BB9F1" w14:textId="21591F75" w:rsidR="00890384" w:rsidRDefault="00177302">
      <w:pPr>
        <w:widowControl w:val="0"/>
        <w:tabs>
          <w:tab w:val="clear" w:pos="567"/>
        </w:tabs>
        <w:autoSpaceDE w:val="0"/>
        <w:autoSpaceDN w:val="0"/>
        <w:spacing w:line="240" w:lineRule="auto"/>
        <w:rPr>
          <w:snapToGrid/>
          <w:szCs w:val="22"/>
          <w:lang w:val="lt-LT"/>
        </w:rPr>
      </w:pPr>
      <w:r>
        <w:rPr>
          <w:noProof/>
          <w:lang w:val="lt-LT" w:eastAsia="lt-LT"/>
        </w:rPr>
        <mc:AlternateContent>
          <mc:Choice Requires="wps">
            <w:drawing>
              <wp:anchor distT="0" distB="0" distL="114300" distR="114300" simplePos="0" relativeHeight="251662336" behindDoc="1" locked="0" layoutInCell="1" allowOverlap="1" wp14:anchorId="13E86B9C" wp14:editId="5674F312">
                <wp:simplePos x="0" y="0"/>
                <wp:positionH relativeFrom="page">
                  <wp:posOffset>3437890</wp:posOffset>
                </wp:positionH>
                <wp:positionV relativeFrom="paragraph">
                  <wp:posOffset>1108710</wp:posOffset>
                </wp:positionV>
                <wp:extent cx="34925" cy="6350"/>
                <wp:effectExtent l="0" t="0" r="0" b="0"/>
                <wp:wrapNone/>
                <wp:docPr id="1200479917"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34925"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C9FE90B" id="docshape2" o:spid="_x0000_s1026" style="position:absolute;margin-left:270.7pt;margin-top:87.3pt;width:2.75pt;height:.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" fillcolor="black" stroked="f">
                <o:lock v:ext="edit" aspectratio="t" verticies="t" text="t" shapetype="t"/>
                <w10:wrap anchorx="page"/>
              </v:rect>
            </w:pict>
          </mc:Fallback>
        </mc:AlternateContent>
      </w:r>
      <w:r>
        <w:rPr>
          <w:noProof/>
          <w:lang w:val="sl-SI" w:eastAsia="sl-SI"/>
        </w:rPr>
        <w:t>4</w:t>
      </w:r>
      <w:r>
        <w:rPr>
          <w:snapToGrid/>
          <w:szCs w:val="22"/>
          <w:lang w:val="lt-LT"/>
        </w:rPr>
        <w:t> </w:t>
      </w:r>
      <w:r w:rsidR="00B26795">
        <w:rPr>
          <w:snapToGrid/>
          <w:szCs w:val="22"/>
          <w:lang w:val="lt-LT"/>
        </w:rPr>
        <w:t xml:space="preserve">lentelėje pateikiama </w:t>
      </w:r>
      <w:r w:rsidR="002E44AD">
        <w:rPr>
          <w:snapToGrid/>
          <w:szCs w:val="22"/>
          <w:lang w:val="lt-LT"/>
        </w:rPr>
        <w:t xml:space="preserve">suaugusiųsjų </w:t>
      </w:r>
      <w:r w:rsidR="00B26795">
        <w:rPr>
          <w:snapToGrid/>
          <w:szCs w:val="22"/>
          <w:lang w:val="lt-LT"/>
        </w:rPr>
        <w:t xml:space="preserve">kiekvienos indikacijos numanoma nusistovėjusios pusiausvyrinės koncentracijos ekspozicija ir Xa faktoriaus slopinimo aktyvumas. Pacientų, vartojusių apiksabaną VTE profilaktikai po klubo ar kelio sąnario pakeitimo operacijos, rezultatai rodo mažesnį nei 1,6 karto svyravimą esant didžiausiai ir mažiausiai vaistinio preparato koncentracijoms. Pacientų, kuriems pasireiškė su vožtuvais nesusijęs prieširdžių virpėjimas (VNPV), vartojusių apiksabaną insulto ir sisteminės embolijos profilaktikai, </w:t>
      </w:r>
      <w:r w:rsidR="00B26795">
        <w:rPr>
          <w:snapToGrid/>
          <w:szCs w:val="22"/>
          <w:lang w:val="lt-LT"/>
        </w:rPr>
        <w:lastRenderedPageBreak/>
        <w:t>rezultatai rodo mažesnį nei 1,7 karto svyravimą esant didžiausiai ir mažiausiai vaistinio preparato koncentracijai. Pacientų, vartojusių apiksabaną GVT bei PE gydyti, ir pasikartojančios GVT bei PE profilaktikai rezultatai rodo mažesnį nei 2,2 karto svyravimą esant didžiausiai ir mažiausiai vaistinio preparato koncentracijai.</w:t>
      </w:r>
    </w:p>
    <w:p w14:paraId="446913BD" w14:textId="77777777" w:rsidR="00890384" w:rsidRDefault="00890384">
      <w:pPr>
        <w:widowControl w:val="0"/>
        <w:tabs>
          <w:tab w:val="clear" w:pos="567"/>
        </w:tabs>
        <w:autoSpaceDE w:val="0"/>
        <w:autoSpaceDN w:val="0"/>
        <w:spacing w:line="240" w:lineRule="auto"/>
        <w:rPr>
          <w:snapToGrid/>
          <w:szCs w:val="22"/>
          <w:lang w:val="lt-LT"/>
        </w:rPr>
      </w:pPr>
    </w:p>
    <w:p w14:paraId="0E27148D" w14:textId="48FECFB6"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4 lentelė. Numanoma apiksabano nusistovėjusios pusiausvyros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890384" w14:paraId="7AFE884A" w14:textId="77777777">
        <w:trPr>
          <w:trHeight w:val="1264"/>
        </w:trPr>
        <w:tc>
          <w:tcPr>
            <w:tcW w:w="1858" w:type="dxa"/>
          </w:tcPr>
          <w:p w14:paraId="0C4C255D" w14:textId="77777777" w:rsidR="00890384" w:rsidRDefault="00890384">
            <w:pPr>
              <w:widowControl w:val="0"/>
              <w:tabs>
                <w:tab w:val="clear" w:pos="567"/>
              </w:tabs>
              <w:autoSpaceDE w:val="0"/>
              <w:autoSpaceDN w:val="0"/>
              <w:spacing w:line="240" w:lineRule="auto"/>
              <w:rPr>
                <w:snapToGrid/>
                <w:szCs w:val="22"/>
                <w:lang w:val="lt-LT"/>
              </w:rPr>
            </w:pPr>
          </w:p>
        </w:tc>
        <w:tc>
          <w:tcPr>
            <w:tcW w:w="1858" w:type="dxa"/>
            <w:gridSpan w:val="3"/>
          </w:tcPr>
          <w:p w14:paraId="604226D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w:t>
            </w:r>
          </w:p>
          <w:p w14:paraId="64D8FFF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Cs w:val="22"/>
                <w:vertAlign w:val="subscript"/>
                <w:lang w:val="lt-LT"/>
              </w:rPr>
              <w:t>max</w:t>
            </w:r>
            <w:r>
              <w:rPr>
                <w:b/>
                <w:snapToGrid/>
                <w:szCs w:val="22"/>
                <w:lang w:val="lt-LT"/>
              </w:rPr>
              <w:t xml:space="preserve"> </w:t>
            </w:r>
            <w:r>
              <w:rPr>
                <w:b/>
                <w:snapToGrid/>
                <w:position w:val="2"/>
                <w:szCs w:val="22"/>
                <w:lang w:val="lt-LT"/>
              </w:rPr>
              <w:t>(ng/ ml)</w:t>
            </w:r>
          </w:p>
        </w:tc>
        <w:tc>
          <w:tcPr>
            <w:tcW w:w="1864" w:type="dxa"/>
          </w:tcPr>
          <w:p w14:paraId="73DF815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w:t>
            </w:r>
          </w:p>
          <w:p w14:paraId="6072AB3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 w:val="20"/>
                <w:szCs w:val="22"/>
                <w:lang w:val="lt-LT"/>
              </w:rPr>
              <w:t>min</w:t>
            </w:r>
            <w:r>
              <w:rPr>
                <w:b/>
                <w:snapToGrid/>
                <w:szCs w:val="22"/>
                <w:lang w:val="lt-LT"/>
              </w:rPr>
              <w:t xml:space="preserve"> </w:t>
            </w:r>
            <w:r>
              <w:rPr>
                <w:b/>
                <w:snapToGrid/>
                <w:position w:val="2"/>
                <w:szCs w:val="22"/>
                <w:lang w:val="lt-LT"/>
              </w:rPr>
              <w:t>(ng/ ml)</w:t>
            </w:r>
          </w:p>
        </w:tc>
        <w:tc>
          <w:tcPr>
            <w:tcW w:w="1858" w:type="dxa"/>
          </w:tcPr>
          <w:p w14:paraId="2A1E71E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 Xa faktoriaus slopinimo aktyvumo maks.</w:t>
            </w:r>
          </w:p>
          <w:p w14:paraId="6D04BBD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c>
          <w:tcPr>
            <w:tcW w:w="2012" w:type="dxa"/>
            <w:gridSpan w:val="2"/>
          </w:tcPr>
          <w:p w14:paraId="69A6991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 Xa faktoriaus slopinimo aktyvumo min.</w:t>
            </w:r>
          </w:p>
          <w:p w14:paraId="374C08E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(TV/ ml)</w:t>
            </w:r>
          </w:p>
        </w:tc>
      </w:tr>
      <w:tr w:rsidR="00890384" w14:paraId="752307F4" w14:textId="77777777">
        <w:trPr>
          <w:trHeight w:val="266"/>
        </w:trPr>
        <w:tc>
          <w:tcPr>
            <w:tcW w:w="1858" w:type="dxa"/>
          </w:tcPr>
          <w:p w14:paraId="11BF8130" w14:textId="77777777" w:rsidR="00890384" w:rsidRDefault="00890384">
            <w:pPr>
              <w:widowControl w:val="0"/>
              <w:tabs>
                <w:tab w:val="clear" w:pos="567"/>
              </w:tabs>
              <w:autoSpaceDE w:val="0"/>
              <w:autoSpaceDN w:val="0"/>
              <w:spacing w:line="240" w:lineRule="auto"/>
              <w:rPr>
                <w:snapToGrid/>
                <w:szCs w:val="22"/>
                <w:lang w:val="lt-LT"/>
              </w:rPr>
            </w:pPr>
          </w:p>
        </w:tc>
        <w:tc>
          <w:tcPr>
            <w:tcW w:w="7592" w:type="dxa"/>
            <w:gridSpan w:val="7"/>
          </w:tcPr>
          <w:p w14:paraId="7ACBBD1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Mediana [5-oji, 95-oji procentilės]</w:t>
            </w:r>
          </w:p>
        </w:tc>
      </w:tr>
      <w:tr w:rsidR="00890384" w14:paraId="64768802" w14:textId="77777777">
        <w:trPr>
          <w:trHeight w:val="268"/>
        </w:trPr>
        <w:tc>
          <w:tcPr>
            <w:tcW w:w="9450" w:type="dxa"/>
            <w:gridSpan w:val="8"/>
          </w:tcPr>
          <w:p w14:paraId="5BF516B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VTE profilaktika: planinė klubo ar kelio sąnario pakeitimo operacija</w:t>
            </w:r>
          </w:p>
        </w:tc>
      </w:tr>
      <w:tr w:rsidR="00890384" w14:paraId="178DEF83" w14:textId="77777777">
        <w:trPr>
          <w:trHeight w:val="561"/>
        </w:trPr>
        <w:tc>
          <w:tcPr>
            <w:tcW w:w="1858" w:type="dxa"/>
          </w:tcPr>
          <w:p w14:paraId="324CA0C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40C0A2E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77 [41, 146]</w:t>
            </w:r>
          </w:p>
        </w:tc>
        <w:tc>
          <w:tcPr>
            <w:tcW w:w="1864" w:type="dxa"/>
          </w:tcPr>
          <w:p w14:paraId="39370D2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51 [23, 109]</w:t>
            </w:r>
          </w:p>
        </w:tc>
        <w:tc>
          <w:tcPr>
            <w:tcW w:w="1858" w:type="dxa"/>
          </w:tcPr>
          <w:p w14:paraId="10006DB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 [0,67, 2,4]</w:t>
            </w:r>
          </w:p>
        </w:tc>
        <w:tc>
          <w:tcPr>
            <w:tcW w:w="2012" w:type="dxa"/>
            <w:gridSpan w:val="2"/>
          </w:tcPr>
          <w:p w14:paraId="7B7D78B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0,84 [0,37, 1,8]</w:t>
            </w:r>
          </w:p>
        </w:tc>
      </w:tr>
      <w:tr w:rsidR="00890384" w14:paraId="5B9AA27C" w14:textId="77777777">
        <w:trPr>
          <w:trHeight w:val="282"/>
        </w:trPr>
        <w:tc>
          <w:tcPr>
            <w:tcW w:w="9450" w:type="dxa"/>
            <w:gridSpan w:val="8"/>
          </w:tcPr>
          <w:p w14:paraId="3B2A2A04"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Insulto ir sisteminės embolijos profilaktika: VNPV</w:t>
            </w:r>
          </w:p>
        </w:tc>
      </w:tr>
      <w:tr w:rsidR="00890384" w14:paraId="17DA45E1" w14:textId="77777777">
        <w:trPr>
          <w:trHeight w:val="561"/>
        </w:trPr>
        <w:tc>
          <w:tcPr>
            <w:tcW w:w="1858" w:type="dxa"/>
          </w:tcPr>
          <w:p w14:paraId="5658506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1510713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123 [69, 221]</w:t>
            </w:r>
          </w:p>
        </w:tc>
        <w:tc>
          <w:tcPr>
            <w:tcW w:w="1864" w:type="dxa"/>
          </w:tcPr>
          <w:p w14:paraId="32D3BB2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79 [34, 162]</w:t>
            </w:r>
          </w:p>
        </w:tc>
        <w:tc>
          <w:tcPr>
            <w:tcW w:w="1858" w:type="dxa"/>
          </w:tcPr>
          <w:p w14:paraId="7FC0544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1,8 [1,0, 3,3]</w:t>
            </w:r>
          </w:p>
        </w:tc>
        <w:tc>
          <w:tcPr>
            <w:tcW w:w="2012" w:type="dxa"/>
            <w:gridSpan w:val="2"/>
          </w:tcPr>
          <w:p w14:paraId="106F45E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 [0,51, 2,4]</w:t>
            </w:r>
          </w:p>
        </w:tc>
      </w:tr>
      <w:tr w:rsidR="00890384" w14:paraId="648F890A" w14:textId="77777777">
        <w:trPr>
          <w:trHeight w:val="561"/>
        </w:trPr>
        <w:tc>
          <w:tcPr>
            <w:tcW w:w="1858" w:type="dxa"/>
          </w:tcPr>
          <w:p w14:paraId="2BB785B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58" w:type="dxa"/>
            <w:gridSpan w:val="3"/>
          </w:tcPr>
          <w:p w14:paraId="3A922B3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171 [91, 321]</w:t>
            </w:r>
          </w:p>
        </w:tc>
        <w:tc>
          <w:tcPr>
            <w:tcW w:w="1864" w:type="dxa"/>
          </w:tcPr>
          <w:p w14:paraId="1491372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103 [41, 230]</w:t>
            </w:r>
          </w:p>
        </w:tc>
        <w:tc>
          <w:tcPr>
            <w:tcW w:w="1858" w:type="dxa"/>
          </w:tcPr>
          <w:p w14:paraId="21FE6A6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 [1,4, 4,8]</w:t>
            </w:r>
          </w:p>
        </w:tc>
        <w:tc>
          <w:tcPr>
            <w:tcW w:w="2012" w:type="dxa"/>
            <w:gridSpan w:val="2"/>
          </w:tcPr>
          <w:p w14:paraId="3845B07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 [0,61, 3,4]</w:t>
            </w:r>
          </w:p>
        </w:tc>
      </w:tr>
      <w:tr w:rsidR="00890384" w14:paraId="36992027" w14:textId="77777777">
        <w:trPr>
          <w:trHeight w:val="371"/>
        </w:trPr>
        <w:tc>
          <w:tcPr>
            <w:tcW w:w="9450" w:type="dxa"/>
            <w:gridSpan w:val="8"/>
          </w:tcPr>
          <w:p w14:paraId="71892D3B"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GVT gydymas, PE gydymas ir pasikartojančios GVT bei PE (VTEt) profilaktika</w:t>
            </w:r>
          </w:p>
        </w:tc>
      </w:tr>
      <w:tr w:rsidR="00890384" w14:paraId="2545254E" w14:textId="77777777">
        <w:trPr>
          <w:trHeight w:val="626"/>
        </w:trPr>
        <w:tc>
          <w:tcPr>
            <w:tcW w:w="1890" w:type="dxa"/>
            <w:gridSpan w:val="2"/>
          </w:tcPr>
          <w:p w14:paraId="2B734B6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00" w:type="dxa"/>
            <w:vAlign w:val="center"/>
          </w:tcPr>
          <w:p w14:paraId="0120F3C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67 [30, 153]</w:t>
            </w:r>
          </w:p>
        </w:tc>
        <w:tc>
          <w:tcPr>
            <w:tcW w:w="1890" w:type="dxa"/>
            <w:gridSpan w:val="2"/>
            <w:vAlign w:val="center"/>
          </w:tcPr>
          <w:p w14:paraId="6835041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32 [11, 90]</w:t>
            </w:r>
          </w:p>
        </w:tc>
        <w:tc>
          <w:tcPr>
            <w:tcW w:w="1890" w:type="dxa"/>
            <w:gridSpan w:val="2"/>
            <w:vAlign w:val="center"/>
          </w:tcPr>
          <w:p w14:paraId="54E9D3C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 [0,46, 2,5]</w:t>
            </w:r>
          </w:p>
        </w:tc>
        <w:tc>
          <w:tcPr>
            <w:tcW w:w="1980" w:type="dxa"/>
            <w:vAlign w:val="center"/>
          </w:tcPr>
          <w:p w14:paraId="296F135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0,49 [0,17, 1,4]</w:t>
            </w:r>
          </w:p>
        </w:tc>
      </w:tr>
      <w:tr w:rsidR="00890384" w14:paraId="62B418F4" w14:textId="77777777">
        <w:trPr>
          <w:trHeight w:val="625"/>
        </w:trPr>
        <w:tc>
          <w:tcPr>
            <w:tcW w:w="1890" w:type="dxa"/>
            <w:gridSpan w:val="2"/>
          </w:tcPr>
          <w:p w14:paraId="68B4E61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00" w:type="dxa"/>
            <w:vAlign w:val="center"/>
          </w:tcPr>
          <w:p w14:paraId="7EED035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132 [59, 302]</w:t>
            </w:r>
          </w:p>
        </w:tc>
        <w:tc>
          <w:tcPr>
            <w:tcW w:w="1890" w:type="dxa"/>
            <w:gridSpan w:val="2"/>
            <w:vAlign w:val="center"/>
          </w:tcPr>
          <w:p w14:paraId="65A6C0E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63 [22, 177]</w:t>
            </w:r>
          </w:p>
        </w:tc>
        <w:tc>
          <w:tcPr>
            <w:tcW w:w="1890" w:type="dxa"/>
            <w:gridSpan w:val="2"/>
            <w:vAlign w:val="center"/>
          </w:tcPr>
          <w:p w14:paraId="4944428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2,1 [0,91, 5,2]</w:t>
            </w:r>
          </w:p>
        </w:tc>
        <w:tc>
          <w:tcPr>
            <w:tcW w:w="1980" w:type="dxa"/>
            <w:vAlign w:val="center"/>
          </w:tcPr>
          <w:p w14:paraId="5AB812B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 [0,33, 2,9]</w:t>
            </w:r>
          </w:p>
        </w:tc>
      </w:tr>
      <w:tr w:rsidR="00890384" w14:paraId="64AA25B3" w14:textId="77777777">
        <w:trPr>
          <w:trHeight w:val="626"/>
        </w:trPr>
        <w:tc>
          <w:tcPr>
            <w:tcW w:w="1890" w:type="dxa"/>
            <w:gridSpan w:val="2"/>
          </w:tcPr>
          <w:p w14:paraId="322E343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10 mg du kartus per parą</w:t>
            </w:r>
          </w:p>
        </w:tc>
        <w:tc>
          <w:tcPr>
            <w:tcW w:w="1800" w:type="dxa"/>
            <w:vAlign w:val="center"/>
          </w:tcPr>
          <w:p w14:paraId="3196DBB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251 [111, 572]</w:t>
            </w:r>
          </w:p>
        </w:tc>
        <w:tc>
          <w:tcPr>
            <w:tcW w:w="1890" w:type="dxa"/>
            <w:gridSpan w:val="2"/>
            <w:vAlign w:val="center"/>
          </w:tcPr>
          <w:p w14:paraId="0377768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120 [41, 335]</w:t>
            </w:r>
          </w:p>
        </w:tc>
        <w:tc>
          <w:tcPr>
            <w:tcW w:w="1890" w:type="dxa"/>
            <w:gridSpan w:val="2"/>
            <w:vAlign w:val="center"/>
          </w:tcPr>
          <w:p w14:paraId="190B401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4,2 [1,8, 10,8]</w:t>
            </w:r>
          </w:p>
        </w:tc>
        <w:tc>
          <w:tcPr>
            <w:tcW w:w="1980" w:type="dxa"/>
            <w:vAlign w:val="center"/>
          </w:tcPr>
          <w:p w14:paraId="5FA5549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1,9 [0,64, 5,8]</w:t>
            </w:r>
          </w:p>
        </w:tc>
      </w:tr>
    </w:tbl>
    <w:p w14:paraId="6E753ADC" w14:textId="77777777" w:rsidR="00890384" w:rsidRDefault="00B26795">
      <w:pPr>
        <w:widowControl w:val="0"/>
        <w:tabs>
          <w:tab w:val="clear" w:pos="567"/>
        </w:tabs>
        <w:autoSpaceDE w:val="0"/>
        <w:autoSpaceDN w:val="0"/>
        <w:spacing w:line="240" w:lineRule="auto"/>
        <w:rPr>
          <w:snapToGrid/>
          <w:szCs w:val="22"/>
          <w:lang w:val="lt-LT"/>
        </w:rPr>
      </w:pPr>
      <w:r>
        <w:rPr>
          <w:snapToGrid/>
          <w:sz w:val="20"/>
          <w:szCs w:val="22"/>
          <w:lang w:val="lt-LT"/>
        </w:rPr>
        <w:t>*Koreguotos dozės populiacija pagal ARISTOTLE</w:t>
      </w:r>
      <w:r>
        <w:rPr>
          <w:i/>
          <w:snapToGrid/>
          <w:sz w:val="20"/>
          <w:szCs w:val="22"/>
          <w:lang w:val="lt-LT"/>
        </w:rPr>
        <w:t xml:space="preserve"> </w:t>
      </w:r>
      <w:r>
        <w:rPr>
          <w:snapToGrid/>
          <w:sz w:val="20"/>
          <w:szCs w:val="22"/>
          <w:lang w:val="lt-LT"/>
        </w:rPr>
        <w:t>tyrimo 2 iš 3 dozės mažinimo kriterijus.</w:t>
      </w:r>
    </w:p>
    <w:p w14:paraId="22600D46" w14:textId="77777777" w:rsidR="00890384" w:rsidRDefault="00890384">
      <w:pPr>
        <w:widowControl w:val="0"/>
        <w:tabs>
          <w:tab w:val="clear" w:pos="567"/>
        </w:tabs>
        <w:autoSpaceDE w:val="0"/>
        <w:autoSpaceDN w:val="0"/>
        <w:spacing w:line="240" w:lineRule="auto"/>
        <w:rPr>
          <w:snapToGrid/>
          <w:szCs w:val="22"/>
          <w:lang w:val="lt-LT"/>
        </w:rPr>
      </w:pPr>
    </w:p>
    <w:p w14:paraId="59E9F9F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00265F48" w14:textId="77777777" w:rsidR="00890384" w:rsidRDefault="00890384">
      <w:pPr>
        <w:widowControl w:val="0"/>
        <w:tabs>
          <w:tab w:val="clear" w:pos="567"/>
        </w:tabs>
        <w:autoSpaceDE w:val="0"/>
        <w:autoSpaceDN w:val="0"/>
        <w:spacing w:line="240" w:lineRule="auto"/>
      </w:pPr>
    </w:p>
    <w:p w14:paraId="5B2200A1" w14:textId="77777777" w:rsidR="00890384" w:rsidRPr="005261E3" w:rsidRDefault="00B26795">
      <w:pPr>
        <w:widowControl w:val="0"/>
        <w:tabs>
          <w:tab w:val="clear" w:pos="567"/>
        </w:tabs>
        <w:autoSpaceDE w:val="0"/>
        <w:autoSpaceDN w:val="0"/>
        <w:spacing w:line="240" w:lineRule="auto"/>
        <w:rPr>
          <w:u w:val="single"/>
        </w:rPr>
      </w:pPr>
      <w:r w:rsidRPr="005261E3">
        <w:rPr>
          <w:u w:val="single"/>
        </w:rPr>
        <w:t>Vaikų populiacija</w:t>
      </w:r>
    </w:p>
    <w:p w14:paraId="427F1886" w14:textId="77777777" w:rsidR="00890384" w:rsidRDefault="00B26795">
      <w:pPr>
        <w:widowControl w:val="0"/>
        <w:tabs>
          <w:tab w:val="clear" w:pos="567"/>
        </w:tabs>
        <w:autoSpaceDE w:val="0"/>
        <w:autoSpaceDN w:val="0"/>
        <w:spacing w:line="240" w:lineRule="auto"/>
      </w:pPr>
      <w:r>
        <w:t>Apiksabano tyrimuose su vaikais buvo naudojama „STA® Liquid Anti-Xa apixaban“ mėginių analizė. Šių tyrimų rezultatai rodo, kad tiesinis ryšys tarp apiksabano koncentracijos ir slopinamojo poveikio Xa faktoriaus aktyvumui (angl. anti-Factor Xa activity, AXA) atitinka anksčiau nustatytą ryšį suaugusiesiems. Tai patvirtina dokumentuotą apiksabano, kaip selektyvaus FXa inhibitoriaus, veikimo mechanizmą.</w:t>
      </w:r>
    </w:p>
    <w:p w14:paraId="20DCB475" w14:textId="77777777" w:rsidR="00890384" w:rsidRDefault="00890384">
      <w:pPr>
        <w:widowControl w:val="0"/>
        <w:tabs>
          <w:tab w:val="clear" w:pos="567"/>
        </w:tabs>
        <w:autoSpaceDE w:val="0"/>
        <w:autoSpaceDN w:val="0"/>
        <w:spacing w:line="240" w:lineRule="auto"/>
      </w:pPr>
    </w:p>
    <w:p w14:paraId="07467722" w14:textId="72735C05" w:rsidR="002978FB" w:rsidRDefault="00B26795">
      <w:pPr>
        <w:widowControl w:val="0"/>
        <w:tabs>
          <w:tab w:val="clear" w:pos="567"/>
        </w:tabs>
        <w:autoSpaceDE w:val="0"/>
        <w:autoSpaceDN w:val="0"/>
        <w:spacing w:line="240" w:lineRule="auto"/>
      </w:pPr>
      <w:r>
        <w:t>Tyrimo CV185155 metu svorio kategorijoje nuo 9 iki ≥</w:t>
      </w:r>
      <w:r w:rsidR="00A75ECA">
        <w:t> </w:t>
      </w:r>
      <w:r>
        <w:t>35 kg geometrinio vidurkio (%CV) AXAmin ir AXAmax buvo nuo 27,1 (22,2) ng/ml iki 71,9 (17,3) ng/ml ir tai atitiko geometrinio vidurkio (%CV) reikšmes C</w:t>
      </w:r>
      <w:r w:rsidRPr="005261E3">
        <w:rPr>
          <w:vertAlign w:val="subscript"/>
        </w:rPr>
        <w:t>minss</w:t>
      </w:r>
      <w:r>
        <w:t xml:space="preserve"> ir C</w:t>
      </w:r>
      <w:r w:rsidRPr="005261E3">
        <w:rPr>
          <w:vertAlign w:val="subscript"/>
        </w:rPr>
        <w:t>maxss</w:t>
      </w:r>
      <w:r>
        <w:t xml:space="preserve"> 30,3 (22) ng/ml ir 80,8 (16,8) ng/ml. Naudojant vaikams skirtą dozavimo režimą šiuose AXA diapazonuose pasiektos ekspozicijos buvo panašios į tas, kurios buvo nustatytos suaugusiesiems, du kartus per parą vartojantiems 2,5 mg apiksabano dozę.</w:t>
      </w:r>
    </w:p>
    <w:p w14:paraId="0CFE054E" w14:textId="77777777" w:rsidR="002978FB" w:rsidRDefault="002978FB">
      <w:pPr>
        <w:widowControl w:val="0"/>
        <w:tabs>
          <w:tab w:val="clear" w:pos="567"/>
        </w:tabs>
        <w:autoSpaceDE w:val="0"/>
        <w:autoSpaceDN w:val="0"/>
        <w:spacing w:line="240" w:lineRule="auto"/>
      </w:pPr>
    </w:p>
    <w:p w14:paraId="4E03B5EF" w14:textId="16410ACB" w:rsidR="00890384" w:rsidRDefault="00B26795">
      <w:pPr>
        <w:widowControl w:val="0"/>
        <w:tabs>
          <w:tab w:val="clear" w:pos="567"/>
        </w:tabs>
        <w:autoSpaceDE w:val="0"/>
        <w:autoSpaceDN w:val="0"/>
        <w:spacing w:line="240" w:lineRule="auto"/>
      </w:pPr>
      <w:r>
        <w:t>Tyrimo CV185362 metu svorio kategorijoje nuo 6 iki ≥</w:t>
      </w:r>
      <w:r w:rsidR="00A1784B">
        <w:t> </w:t>
      </w:r>
      <w:r>
        <w:t>35</w:t>
      </w:r>
      <w:r w:rsidR="00A1784B">
        <w:t> </w:t>
      </w:r>
      <w:r>
        <w:t>kg geometrinio vidurkio (%CV) AXAmin ir AXAmax buvo nuo 67,1 (30,2) ng/ml iki 213 (41,7) ng/ml ir tai atitiko geometrinio vidurkio (%CV) reikšmes C</w:t>
      </w:r>
      <w:r w:rsidRPr="005261E3">
        <w:rPr>
          <w:vertAlign w:val="subscript"/>
        </w:rPr>
        <w:t>minss</w:t>
      </w:r>
      <w:r>
        <w:t xml:space="preserve"> ir C</w:t>
      </w:r>
      <w:r w:rsidRPr="005261E3">
        <w:rPr>
          <w:vertAlign w:val="subscript"/>
        </w:rPr>
        <w:t>maxss</w:t>
      </w:r>
      <w:r>
        <w:t xml:space="preserve"> 71,3 (61,3) ng/ml ir 230 (39,5) ng/ml. Naudojant vaikams skirtą dozavimo režimą šiuose AXA diapazonuose pasiektos ekspozicijos buvo panašios į tas, kurios buvo nustatytos suaugusiesiems, du kartus per parą vartojantiems 5 mg apiksabano dozę.</w:t>
      </w:r>
    </w:p>
    <w:p w14:paraId="7F676BF6" w14:textId="77777777" w:rsidR="00890384" w:rsidRDefault="00890384">
      <w:pPr>
        <w:widowControl w:val="0"/>
        <w:tabs>
          <w:tab w:val="clear" w:pos="567"/>
        </w:tabs>
        <w:autoSpaceDE w:val="0"/>
        <w:autoSpaceDN w:val="0"/>
        <w:spacing w:line="240" w:lineRule="auto"/>
        <w:rPr>
          <w:snapToGrid/>
          <w:szCs w:val="22"/>
          <w:lang w:val="lt-LT"/>
        </w:rPr>
      </w:pPr>
    </w:p>
    <w:p w14:paraId="3DA5A9EA" w14:textId="56339DB4" w:rsidR="00890384" w:rsidRDefault="00B26795">
      <w:pPr>
        <w:widowControl w:val="0"/>
        <w:tabs>
          <w:tab w:val="clear" w:pos="567"/>
        </w:tabs>
        <w:autoSpaceDE w:val="0"/>
        <w:autoSpaceDN w:val="0"/>
        <w:spacing w:line="240" w:lineRule="auto"/>
      </w:pPr>
      <w:r>
        <w:t>Tyrimo CV185325 metu svorio kategorijoje nuo 6 iki ≥</w:t>
      </w:r>
      <w:r w:rsidR="00982864">
        <w:t> </w:t>
      </w:r>
      <w:r>
        <w:t>35 kg geometrinio vidurkio (%CV) AXAmin ir AXAmax buvo nuo 47,1 (57,2) ng/ml iki 146 (40,2) ng/ml ir tai atitiko geometrinio vidurkio (%CV) reikšmes C</w:t>
      </w:r>
      <w:r w:rsidRPr="005261E3">
        <w:rPr>
          <w:vertAlign w:val="subscript"/>
        </w:rPr>
        <w:t>minss</w:t>
      </w:r>
      <w:r>
        <w:t xml:space="preserve"> ir C</w:t>
      </w:r>
      <w:r w:rsidRPr="005261E3">
        <w:rPr>
          <w:vertAlign w:val="subscript"/>
        </w:rPr>
        <w:t xml:space="preserve">maxss </w:t>
      </w:r>
      <w:r>
        <w:t xml:space="preserve">50 (54,5) ng/ml ir 144 (36,9) ng/ml. Naudojant vaikams skirtą dozavimo režimą šiuose AXA </w:t>
      </w:r>
      <w:r>
        <w:lastRenderedPageBreak/>
        <w:t>diapazonuose pasiektos ekspozicijos buvo panašios į tas, kurios buvo nustatytos suaugusiesiems, vartojantiems 5</w:t>
      </w:r>
      <w:r w:rsidR="00082614">
        <w:t> </w:t>
      </w:r>
      <w:r>
        <w:t>mg apiksabano du kartus per parą.</w:t>
      </w:r>
    </w:p>
    <w:p w14:paraId="17743F11" w14:textId="77777777" w:rsidR="00890384" w:rsidRDefault="00890384">
      <w:pPr>
        <w:widowControl w:val="0"/>
        <w:tabs>
          <w:tab w:val="clear" w:pos="567"/>
        </w:tabs>
        <w:autoSpaceDE w:val="0"/>
        <w:autoSpaceDN w:val="0"/>
        <w:spacing w:line="240" w:lineRule="auto"/>
      </w:pPr>
    </w:p>
    <w:p w14:paraId="61A42679" w14:textId="77777777" w:rsidR="00890384" w:rsidRDefault="00B26795">
      <w:pPr>
        <w:widowControl w:val="0"/>
        <w:tabs>
          <w:tab w:val="clear" w:pos="567"/>
        </w:tabs>
        <w:autoSpaceDE w:val="0"/>
        <w:autoSpaceDN w:val="0"/>
        <w:spacing w:line="240" w:lineRule="auto"/>
        <w:rPr>
          <w:snapToGrid/>
          <w:szCs w:val="22"/>
          <w:lang w:val="lt-LT"/>
        </w:rPr>
      </w:pPr>
      <w:r>
        <w:t>Numanoma pusiausvyrinės koncentracijos ekspozicija ir Xa faktoriaus slopinimo aktyvumas pediatriniuose tyrimuose rodo, kad pusiausvyrinės apiksabano koncentracijos ir AXA svyravimai nuo didžiausios iki mažiausios reikšmės bendroje populiacijoje buvo maždaug 3 kartai (min., maks.: 2,65– 3,22).</w:t>
      </w:r>
    </w:p>
    <w:p w14:paraId="7164CBBE" w14:textId="77777777" w:rsidR="00890384" w:rsidRDefault="00890384">
      <w:pPr>
        <w:widowControl w:val="0"/>
        <w:tabs>
          <w:tab w:val="clear" w:pos="567"/>
        </w:tabs>
        <w:autoSpaceDE w:val="0"/>
        <w:autoSpaceDN w:val="0"/>
        <w:spacing w:line="240" w:lineRule="auto"/>
        <w:rPr>
          <w:snapToGrid/>
          <w:szCs w:val="22"/>
          <w:lang w:val="lt-LT"/>
        </w:rPr>
      </w:pPr>
    </w:p>
    <w:p w14:paraId="42E9256B"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Klinikinis veiksmingumas ir saugumas</w:t>
      </w:r>
    </w:p>
    <w:p w14:paraId="054D5B35" w14:textId="77777777" w:rsidR="00890384" w:rsidRDefault="00890384">
      <w:pPr>
        <w:widowControl w:val="0"/>
        <w:tabs>
          <w:tab w:val="clear" w:pos="567"/>
        </w:tabs>
        <w:autoSpaceDE w:val="0"/>
        <w:autoSpaceDN w:val="0"/>
        <w:spacing w:line="240" w:lineRule="auto"/>
        <w:rPr>
          <w:snapToGrid/>
          <w:szCs w:val="22"/>
          <w:lang w:val="lt-LT"/>
        </w:rPr>
      </w:pPr>
    </w:p>
    <w:p w14:paraId="03B0B1DC"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VTE profilaktika (VTEp): planinė klubo arba kelio pakeitimo operacija</w:t>
      </w:r>
    </w:p>
    <w:p w14:paraId="2CA401D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koduotu būdu daugelyje šalių atliktus tyrimus atsitiktinėms imtims buvo priskirti iš viso 8 464 pacientai; tyrimų metu buvo palygintas per burną vartojamo apiksabano po 2,5 mg du kartus per parą (4 236 pacientai) ir enoksaparino 40 mg kartą per parą (4 228 pacientai) poveikis. Tarp tiriamųjų asmenų buvo įtraukti 1 262 pacientai, kurie buvo 75 metų ir vyresni (iš jų 618 buvo apiksabano vartojusiųjų grupėje), 1 004 pacientai, kurių kūno svoris buvo nedidelis (≤ 60 kg; iš jų 499 buvo apiksabano vartojusiųjų grupėje), 1 495 pacientai, kurių kūno masės indeksas (KMI) buvo ≥ 33 kg/m</w:t>
      </w:r>
      <w:r>
        <w:rPr>
          <w:snapToGrid/>
          <w:szCs w:val="22"/>
          <w:vertAlign w:val="superscript"/>
          <w:lang w:val="lt-LT"/>
        </w:rPr>
        <w:t>2</w:t>
      </w:r>
      <w:r>
        <w:rPr>
          <w:snapToGrid/>
          <w:szCs w:val="22"/>
          <w:lang w:val="lt-LT"/>
        </w:rPr>
        <w:t xml:space="preserve"> (iš jų 743 buvo apiksabano vartojusiųjų grupėje), ir 415 pacientų, kuriems buvo vidutinio sunkumo inkstų funkcijos sutrikimas (iš jų 203 buvo apiksabano vartojusiųjų grupėje).</w:t>
      </w:r>
    </w:p>
    <w:p w14:paraId="2AE7626F" w14:textId="77777777" w:rsidR="00890384" w:rsidRDefault="00890384">
      <w:pPr>
        <w:widowControl w:val="0"/>
        <w:tabs>
          <w:tab w:val="clear" w:pos="567"/>
        </w:tabs>
        <w:autoSpaceDE w:val="0"/>
        <w:autoSpaceDN w:val="0"/>
        <w:spacing w:line="240" w:lineRule="auto"/>
        <w:rPr>
          <w:snapToGrid/>
          <w:szCs w:val="22"/>
          <w:lang w:val="lt-LT"/>
        </w:rPr>
      </w:pPr>
    </w:p>
    <w:p w14:paraId="09B8013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ADVANCE-3 tyrime dalyvavo 5 407 pacientai, kuriems buvo atliekama planinė klubo sąnario pakeitimo operacija, o ADVANCE-2 tyrime dalyvavo 3 057 pacientai, kuriems buvo atliekama planinė kelio sąnario pakeitimo operacija. Tiriamiesiems asmenims buvo skiriama per burną vartojamo apiksabano po 2,5 mg du kartus per parą (toliau lentelėse – </w:t>
      </w:r>
      <w:r>
        <w:rPr>
          <w:i/>
          <w:snapToGrid/>
          <w:szCs w:val="22"/>
          <w:lang w:val="lt-LT"/>
        </w:rPr>
        <w:t>po bid</w:t>
      </w:r>
      <w:r>
        <w:rPr>
          <w:snapToGrid/>
          <w:szCs w:val="22"/>
          <w:lang w:val="lt-LT"/>
        </w:rPr>
        <w:t xml:space="preserve">) arba po oda skiriamo enoksaparino 40 mg kartą per parą (toliau lentelėse – </w:t>
      </w:r>
      <w:r>
        <w:rPr>
          <w:i/>
          <w:snapToGrid/>
          <w:szCs w:val="22"/>
          <w:lang w:val="lt-LT"/>
        </w:rPr>
        <w:t>sc od</w:t>
      </w:r>
      <w:r>
        <w:rPr>
          <w:snapToGrid/>
          <w:szCs w:val="22"/>
          <w:lang w:val="lt-LT"/>
        </w:rPr>
        <w:t>). Pirmoji apiksabano dozė buvo skiriama praėjus 12–24 valandoms po operacijos, o enoksaparino buvo pradedama skirti 9–15 valandų prieš operaciją. Tiek apiksabano, tiek enoksaparino buvo skiriama 32</w:t>
      </w:r>
      <w:r>
        <w:rPr>
          <w:snapToGrid/>
          <w:szCs w:val="22"/>
          <w:lang w:val="lt-LT"/>
        </w:rPr>
        <w:noBreakHyphen/>
        <w:t>38 dienas ADVANCE-3 tyrimo metu arba 10</w:t>
      </w:r>
      <w:r>
        <w:rPr>
          <w:snapToGrid/>
          <w:szCs w:val="22"/>
          <w:lang w:val="lt-LT"/>
        </w:rPr>
        <w:noBreakHyphen/>
        <w:t>14 dienų ADVANCE-2 tyrimo metu.</w:t>
      </w:r>
    </w:p>
    <w:p w14:paraId="73123F23" w14:textId="77777777" w:rsidR="00890384" w:rsidRDefault="00890384">
      <w:pPr>
        <w:widowControl w:val="0"/>
        <w:tabs>
          <w:tab w:val="clear" w:pos="567"/>
        </w:tabs>
        <w:autoSpaceDE w:val="0"/>
        <w:autoSpaceDN w:val="0"/>
        <w:spacing w:line="240" w:lineRule="auto"/>
        <w:rPr>
          <w:snapToGrid/>
          <w:szCs w:val="22"/>
          <w:lang w:val="lt-LT"/>
        </w:rPr>
      </w:pPr>
    </w:p>
    <w:p w14:paraId="1E0D247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Remiantis ADVANCE-3 ir ADVANCE-2 tyrimuose dalyvavusių tiriamųjų asmenų (8 464 pacientų) medicininės anamnezės duomenimis, 46 % pacientų buvo hipertenzija, 10 % – hiperlipidemija, 9 % – cukrinis diabetas, o 8 % – vainikinių arterijų liga.</w:t>
      </w:r>
    </w:p>
    <w:p w14:paraId="793CC1B8" w14:textId="77777777" w:rsidR="00890384" w:rsidRDefault="00890384">
      <w:pPr>
        <w:widowControl w:val="0"/>
        <w:tabs>
          <w:tab w:val="clear" w:pos="567"/>
        </w:tabs>
        <w:autoSpaceDE w:val="0"/>
        <w:autoSpaceDN w:val="0"/>
        <w:spacing w:line="240" w:lineRule="auto"/>
        <w:rPr>
          <w:snapToGrid/>
          <w:szCs w:val="22"/>
          <w:lang w:val="lt-LT"/>
        </w:rPr>
      </w:pPr>
    </w:p>
    <w:p w14:paraId="2AE09D8A" w14:textId="1535DC3C" w:rsidR="00890384" w:rsidRDefault="00B26795">
      <w:pPr>
        <w:widowControl w:val="0"/>
        <w:tabs>
          <w:tab w:val="clear" w:pos="567"/>
        </w:tabs>
        <w:autoSpaceDE w:val="0"/>
        <w:autoSpaceDN w:val="0"/>
        <w:spacing w:line="240" w:lineRule="auto"/>
        <w:rPr>
          <w:snapToGrid/>
          <w:szCs w:val="22"/>
          <w:lang w:val="lt-LT"/>
        </w:rPr>
      </w:pPr>
      <w:r>
        <w:rPr>
          <w:snapToGrid/>
          <w:szCs w:val="22"/>
          <w:lang w:val="lt-LT"/>
        </w:rPr>
        <w:t>Nustatyta, kad apiksabanas statistiškai reikšmingai labiau sumažino pirminės vertinamosios baigties rodmenis (sudėtinį visų VTE atvejų ir mirties, įvykusios dėl bet kurios priežasties, dažnį) bei didžiųjų VTE atvejų vertinamosios baigties rodmenis (sudėtinį proksimalinių giliųjų venų trombozės, mirties, nesukėlusios plaučių embolijos, ir su VTE susijusių mirčių dažnį), palyginti su enoksaparino poveikiu tiek pacientams, kuriems atlikta planinė klubo sąnario pakeitimo operacija, tiek tiems, kuriems atlikta planinė kelio sąnario pakeitimo operacija (žr. 5 lentelę).</w:t>
      </w:r>
    </w:p>
    <w:p w14:paraId="06088DFB" w14:textId="77777777" w:rsidR="00890384" w:rsidRDefault="00890384">
      <w:pPr>
        <w:widowControl w:val="0"/>
        <w:tabs>
          <w:tab w:val="clear" w:pos="567"/>
        </w:tabs>
        <w:autoSpaceDE w:val="0"/>
        <w:autoSpaceDN w:val="0"/>
        <w:spacing w:line="240" w:lineRule="auto"/>
        <w:rPr>
          <w:snapToGrid/>
          <w:szCs w:val="22"/>
          <w:lang w:val="lt-LT"/>
        </w:rPr>
      </w:pPr>
    </w:p>
    <w:p w14:paraId="113B774E" w14:textId="4E4E951B" w:rsidR="00890384" w:rsidRDefault="00B26795">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5 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890384" w14:paraId="30049345" w14:textId="77777777">
        <w:trPr>
          <w:trHeight w:val="506"/>
        </w:trPr>
        <w:tc>
          <w:tcPr>
            <w:tcW w:w="2787" w:type="dxa"/>
          </w:tcPr>
          <w:p w14:paraId="315CA9C1"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Tyrimas</w:t>
            </w:r>
          </w:p>
        </w:tc>
        <w:tc>
          <w:tcPr>
            <w:tcW w:w="3379" w:type="dxa"/>
            <w:gridSpan w:val="3"/>
          </w:tcPr>
          <w:p w14:paraId="4AE9105A"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ADVANCE-3 (klubo sąnario pakeitimo operacija)</w:t>
            </w:r>
          </w:p>
        </w:tc>
        <w:tc>
          <w:tcPr>
            <w:tcW w:w="3396" w:type="dxa"/>
            <w:gridSpan w:val="3"/>
          </w:tcPr>
          <w:p w14:paraId="6A253239"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ADVANCE-2 (kelio sąnario pakeitimo operacija)</w:t>
            </w:r>
          </w:p>
        </w:tc>
      </w:tr>
      <w:tr w:rsidR="00890384" w14:paraId="793FF79B" w14:textId="77777777">
        <w:trPr>
          <w:trHeight w:val="1516"/>
        </w:trPr>
        <w:tc>
          <w:tcPr>
            <w:tcW w:w="2787" w:type="dxa"/>
          </w:tcPr>
          <w:p w14:paraId="3A927A6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Tiriamasis preparatas </w:t>
            </w:r>
          </w:p>
          <w:p w14:paraId="206DE3E9" w14:textId="77777777" w:rsidR="00890384" w:rsidRDefault="00890384">
            <w:pPr>
              <w:widowControl w:val="0"/>
              <w:tabs>
                <w:tab w:val="clear" w:pos="567"/>
              </w:tabs>
              <w:autoSpaceDE w:val="0"/>
              <w:autoSpaceDN w:val="0"/>
              <w:spacing w:line="240" w:lineRule="auto"/>
              <w:rPr>
                <w:snapToGrid/>
                <w:szCs w:val="22"/>
                <w:lang w:val="lt-LT"/>
              </w:rPr>
            </w:pPr>
          </w:p>
          <w:p w14:paraId="32CD211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Dozė</w:t>
            </w:r>
          </w:p>
          <w:p w14:paraId="027C033F" w14:textId="77777777" w:rsidR="00890384" w:rsidRDefault="00890384">
            <w:pPr>
              <w:widowControl w:val="0"/>
              <w:tabs>
                <w:tab w:val="clear" w:pos="567"/>
              </w:tabs>
              <w:autoSpaceDE w:val="0"/>
              <w:autoSpaceDN w:val="0"/>
              <w:spacing w:line="240" w:lineRule="auto"/>
              <w:rPr>
                <w:snapToGrid/>
                <w:szCs w:val="22"/>
                <w:lang w:val="lt-LT"/>
              </w:rPr>
            </w:pPr>
          </w:p>
          <w:p w14:paraId="6A9533B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Gydymo trukmė</w:t>
            </w:r>
          </w:p>
        </w:tc>
        <w:tc>
          <w:tcPr>
            <w:tcW w:w="1295" w:type="dxa"/>
          </w:tcPr>
          <w:p w14:paraId="78EDFDA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Apiksabanas</w:t>
            </w:r>
          </w:p>
          <w:p w14:paraId="5D28B80C" w14:textId="77777777" w:rsidR="00890384" w:rsidRDefault="00B26795">
            <w:pPr>
              <w:widowControl w:val="0"/>
              <w:tabs>
                <w:tab w:val="clear" w:pos="567"/>
              </w:tabs>
              <w:autoSpaceDE w:val="0"/>
              <w:autoSpaceDN w:val="0"/>
              <w:spacing w:line="240" w:lineRule="auto"/>
              <w:jc w:val="both"/>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7E29902D" w14:textId="77777777" w:rsidR="00890384" w:rsidRDefault="00B26795">
            <w:pPr>
              <w:widowControl w:val="0"/>
              <w:tabs>
                <w:tab w:val="clear" w:pos="567"/>
              </w:tabs>
              <w:autoSpaceDE w:val="0"/>
              <w:autoSpaceDN w:val="0"/>
              <w:spacing w:line="240" w:lineRule="auto"/>
              <w:jc w:val="both"/>
              <w:rPr>
                <w:snapToGrid/>
                <w:szCs w:val="22"/>
                <w:lang w:val="lt-LT"/>
              </w:rPr>
            </w:pPr>
            <w:r>
              <w:rPr>
                <w:snapToGrid/>
                <w:szCs w:val="22"/>
                <w:lang w:val="lt-LT"/>
              </w:rPr>
              <w:t>35 ± 3 d.</w:t>
            </w:r>
          </w:p>
        </w:tc>
        <w:tc>
          <w:tcPr>
            <w:tcW w:w="1239" w:type="dxa"/>
          </w:tcPr>
          <w:p w14:paraId="1B8D1D2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Enoksapa- rinas</w:t>
            </w:r>
          </w:p>
          <w:p w14:paraId="0FA48FD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r>
              <w:rPr>
                <w:i/>
                <w:snapToGrid/>
                <w:szCs w:val="22"/>
                <w:lang w:val="lt-LT"/>
              </w:rPr>
              <w:t xml:space="preserve">sc </w:t>
            </w:r>
            <w:r>
              <w:rPr>
                <w:snapToGrid/>
                <w:szCs w:val="22"/>
                <w:lang w:val="lt-LT"/>
              </w:rPr>
              <w:t>vieną kartą per parą</w:t>
            </w:r>
          </w:p>
          <w:p w14:paraId="372E7B0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845" w:type="dxa"/>
          </w:tcPr>
          <w:p w14:paraId="0D3197A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p rodmuo</w:t>
            </w:r>
          </w:p>
        </w:tc>
        <w:tc>
          <w:tcPr>
            <w:tcW w:w="1315" w:type="dxa"/>
          </w:tcPr>
          <w:p w14:paraId="4294982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Apiksabanas</w:t>
            </w:r>
          </w:p>
          <w:p w14:paraId="599E9F08" w14:textId="77777777" w:rsidR="00890384" w:rsidRDefault="00B26795">
            <w:pPr>
              <w:widowControl w:val="0"/>
              <w:tabs>
                <w:tab w:val="clear" w:pos="567"/>
              </w:tabs>
              <w:autoSpaceDE w:val="0"/>
              <w:autoSpaceDN w:val="0"/>
              <w:spacing w:line="240" w:lineRule="auto"/>
              <w:jc w:val="both"/>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3547E7F3" w14:textId="77777777" w:rsidR="00890384" w:rsidRDefault="00B26795">
            <w:pPr>
              <w:widowControl w:val="0"/>
              <w:tabs>
                <w:tab w:val="clear" w:pos="567"/>
              </w:tabs>
              <w:autoSpaceDE w:val="0"/>
              <w:autoSpaceDN w:val="0"/>
              <w:spacing w:line="240" w:lineRule="auto"/>
              <w:jc w:val="both"/>
              <w:rPr>
                <w:snapToGrid/>
                <w:szCs w:val="22"/>
                <w:lang w:val="lt-LT"/>
              </w:rPr>
            </w:pPr>
            <w:r>
              <w:rPr>
                <w:snapToGrid/>
                <w:szCs w:val="22"/>
                <w:lang w:val="lt-LT"/>
              </w:rPr>
              <w:t>12 ± 2 d.</w:t>
            </w:r>
          </w:p>
        </w:tc>
        <w:tc>
          <w:tcPr>
            <w:tcW w:w="1241" w:type="dxa"/>
          </w:tcPr>
          <w:p w14:paraId="229A1A4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Enoksapa- rinas</w:t>
            </w:r>
          </w:p>
          <w:p w14:paraId="0CEF478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r>
              <w:rPr>
                <w:i/>
                <w:snapToGrid/>
                <w:szCs w:val="22"/>
                <w:lang w:val="lt-LT"/>
              </w:rPr>
              <w:t xml:space="preserve">sc </w:t>
            </w:r>
            <w:r>
              <w:rPr>
                <w:snapToGrid/>
                <w:szCs w:val="22"/>
                <w:lang w:val="lt-LT"/>
              </w:rPr>
              <w:t>vieną kartą per parą</w:t>
            </w:r>
          </w:p>
          <w:p w14:paraId="5297B3D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 2 d.</w:t>
            </w:r>
          </w:p>
        </w:tc>
        <w:tc>
          <w:tcPr>
            <w:tcW w:w="840" w:type="dxa"/>
          </w:tcPr>
          <w:p w14:paraId="20DA7ED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p rodmuo</w:t>
            </w:r>
          </w:p>
        </w:tc>
      </w:tr>
      <w:tr w:rsidR="00890384" w14:paraId="0D37573D" w14:textId="77777777">
        <w:trPr>
          <w:trHeight w:val="251"/>
        </w:trPr>
        <w:tc>
          <w:tcPr>
            <w:tcW w:w="9562" w:type="dxa"/>
            <w:gridSpan w:val="7"/>
          </w:tcPr>
          <w:p w14:paraId="260AF3C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Iš viso VTE ir mirties atvejų, įvykusių dėl bet kurios priežasties</w:t>
            </w:r>
          </w:p>
        </w:tc>
      </w:tr>
      <w:tr w:rsidR="00890384" w14:paraId="645F9EB4" w14:textId="77777777">
        <w:trPr>
          <w:trHeight w:val="256"/>
        </w:trPr>
        <w:tc>
          <w:tcPr>
            <w:tcW w:w="2787" w:type="dxa"/>
            <w:tcBorders>
              <w:bottom w:val="nil"/>
            </w:tcBorders>
          </w:tcPr>
          <w:p w14:paraId="1F1A843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Atvejų skaičius/</w:t>
            </w:r>
          </w:p>
        </w:tc>
        <w:tc>
          <w:tcPr>
            <w:tcW w:w="1295" w:type="dxa"/>
            <w:tcBorders>
              <w:bottom w:val="nil"/>
            </w:tcBorders>
            <w:vAlign w:val="center"/>
          </w:tcPr>
          <w:p w14:paraId="57502A7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27/1 949</w:t>
            </w:r>
          </w:p>
        </w:tc>
        <w:tc>
          <w:tcPr>
            <w:tcW w:w="1239" w:type="dxa"/>
            <w:tcBorders>
              <w:bottom w:val="nil"/>
            </w:tcBorders>
            <w:vAlign w:val="center"/>
          </w:tcPr>
          <w:p w14:paraId="397B1A2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74/1 917</w:t>
            </w:r>
          </w:p>
        </w:tc>
        <w:tc>
          <w:tcPr>
            <w:tcW w:w="845" w:type="dxa"/>
            <w:tcBorders>
              <w:bottom w:val="nil"/>
            </w:tcBorders>
            <w:vAlign w:val="center"/>
          </w:tcPr>
          <w:p w14:paraId="42A7706F"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2C912E7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147/976</w:t>
            </w:r>
          </w:p>
        </w:tc>
        <w:tc>
          <w:tcPr>
            <w:tcW w:w="1241" w:type="dxa"/>
            <w:tcBorders>
              <w:bottom w:val="nil"/>
            </w:tcBorders>
            <w:vAlign w:val="center"/>
          </w:tcPr>
          <w:p w14:paraId="58B134E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243/997</w:t>
            </w:r>
          </w:p>
        </w:tc>
        <w:tc>
          <w:tcPr>
            <w:tcW w:w="840" w:type="dxa"/>
            <w:tcBorders>
              <w:bottom w:val="nil"/>
            </w:tcBorders>
            <w:vAlign w:val="center"/>
          </w:tcPr>
          <w:p w14:paraId="21480E77"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54034C41" w14:textId="77777777">
        <w:trPr>
          <w:trHeight w:val="253"/>
        </w:trPr>
        <w:tc>
          <w:tcPr>
            <w:tcW w:w="2787" w:type="dxa"/>
            <w:tcBorders>
              <w:top w:val="nil"/>
              <w:bottom w:val="nil"/>
            </w:tcBorders>
          </w:tcPr>
          <w:p w14:paraId="4358576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tiriamųjų asmenų</w:t>
            </w:r>
          </w:p>
        </w:tc>
        <w:tc>
          <w:tcPr>
            <w:tcW w:w="1295" w:type="dxa"/>
            <w:tcBorders>
              <w:top w:val="nil"/>
              <w:bottom w:val="nil"/>
            </w:tcBorders>
            <w:vAlign w:val="center"/>
          </w:tcPr>
          <w:p w14:paraId="2F1EC9FD"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4B37BD23"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345FB378"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top w:val="nil"/>
              <w:bottom w:val="nil"/>
            </w:tcBorders>
            <w:vAlign w:val="center"/>
          </w:tcPr>
          <w:p w14:paraId="5674CE92"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5A2597EC"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6F420D40"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0B13A5A0" w14:textId="77777777">
        <w:trPr>
          <w:trHeight w:val="254"/>
        </w:trPr>
        <w:tc>
          <w:tcPr>
            <w:tcW w:w="2787" w:type="dxa"/>
            <w:tcBorders>
              <w:top w:val="nil"/>
              <w:bottom w:val="nil"/>
            </w:tcBorders>
          </w:tcPr>
          <w:p w14:paraId="1D914B2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skaičius</w:t>
            </w:r>
          </w:p>
        </w:tc>
        <w:tc>
          <w:tcPr>
            <w:tcW w:w="1295" w:type="dxa"/>
            <w:tcBorders>
              <w:top w:val="nil"/>
              <w:bottom w:val="nil"/>
            </w:tcBorders>
            <w:vAlign w:val="center"/>
          </w:tcPr>
          <w:p w14:paraId="69FC11F1"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06494C68"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4504DCF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w:t>
            </w:r>
          </w:p>
        </w:tc>
        <w:tc>
          <w:tcPr>
            <w:tcW w:w="1315" w:type="dxa"/>
            <w:tcBorders>
              <w:top w:val="nil"/>
              <w:bottom w:val="nil"/>
            </w:tcBorders>
            <w:vAlign w:val="center"/>
          </w:tcPr>
          <w:p w14:paraId="669CD500"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29A45DD5"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21B07F6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w:t>
            </w:r>
          </w:p>
        </w:tc>
      </w:tr>
      <w:tr w:rsidR="00890384" w14:paraId="782CDFE3" w14:textId="77777777">
        <w:trPr>
          <w:trHeight w:val="248"/>
        </w:trPr>
        <w:tc>
          <w:tcPr>
            <w:tcW w:w="2787" w:type="dxa"/>
            <w:tcBorders>
              <w:top w:val="nil"/>
            </w:tcBorders>
          </w:tcPr>
          <w:p w14:paraId="0BC5A87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Atvejų dažnis</w:t>
            </w:r>
          </w:p>
        </w:tc>
        <w:tc>
          <w:tcPr>
            <w:tcW w:w="1295" w:type="dxa"/>
            <w:tcBorders>
              <w:top w:val="nil"/>
            </w:tcBorders>
            <w:vAlign w:val="center"/>
          </w:tcPr>
          <w:p w14:paraId="38DDBA8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1,39 %</w:t>
            </w:r>
          </w:p>
        </w:tc>
        <w:tc>
          <w:tcPr>
            <w:tcW w:w="1239" w:type="dxa"/>
            <w:tcBorders>
              <w:top w:val="nil"/>
            </w:tcBorders>
            <w:vAlign w:val="center"/>
          </w:tcPr>
          <w:p w14:paraId="2D4A5F5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3,86 %</w:t>
            </w:r>
          </w:p>
        </w:tc>
        <w:tc>
          <w:tcPr>
            <w:tcW w:w="845" w:type="dxa"/>
            <w:tcBorders>
              <w:top w:val="nil"/>
              <w:bottom w:val="nil"/>
            </w:tcBorders>
            <w:vAlign w:val="center"/>
          </w:tcPr>
          <w:p w14:paraId="1938FF6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w:t>
            </w:r>
          </w:p>
        </w:tc>
        <w:tc>
          <w:tcPr>
            <w:tcW w:w="1315" w:type="dxa"/>
            <w:tcBorders>
              <w:top w:val="nil"/>
            </w:tcBorders>
            <w:vAlign w:val="center"/>
          </w:tcPr>
          <w:p w14:paraId="3AA9CD2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15,06 %</w:t>
            </w:r>
          </w:p>
        </w:tc>
        <w:tc>
          <w:tcPr>
            <w:tcW w:w="1241" w:type="dxa"/>
            <w:tcBorders>
              <w:top w:val="nil"/>
            </w:tcBorders>
            <w:vAlign w:val="center"/>
          </w:tcPr>
          <w:p w14:paraId="1F2F613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24,37 %</w:t>
            </w:r>
          </w:p>
        </w:tc>
        <w:tc>
          <w:tcPr>
            <w:tcW w:w="840" w:type="dxa"/>
            <w:tcBorders>
              <w:top w:val="nil"/>
              <w:bottom w:val="nil"/>
            </w:tcBorders>
            <w:vAlign w:val="center"/>
          </w:tcPr>
          <w:p w14:paraId="77B1B9A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w:t>
            </w:r>
          </w:p>
        </w:tc>
      </w:tr>
      <w:tr w:rsidR="00890384" w14:paraId="2A04D3F1" w14:textId="77777777">
        <w:trPr>
          <w:trHeight w:val="250"/>
        </w:trPr>
        <w:tc>
          <w:tcPr>
            <w:tcW w:w="2787" w:type="dxa"/>
            <w:tcBorders>
              <w:bottom w:val="nil"/>
            </w:tcBorders>
          </w:tcPr>
          <w:p w14:paraId="6C95F09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Santykinė rizika</w:t>
            </w:r>
          </w:p>
        </w:tc>
        <w:tc>
          <w:tcPr>
            <w:tcW w:w="1295" w:type="dxa"/>
            <w:tcBorders>
              <w:bottom w:val="nil"/>
            </w:tcBorders>
            <w:vAlign w:val="center"/>
          </w:tcPr>
          <w:p w14:paraId="4F3BA4B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0,36</w:t>
            </w:r>
          </w:p>
        </w:tc>
        <w:tc>
          <w:tcPr>
            <w:tcW w:w="1239" w:type="dxa"/>
            <w:vMerge w:val="restart"/>
            <w:vAlign w:val="center"/>
          </w:tcPr>
          <w:p w14:paraId="3E2A4AC2"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7782C53F"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6ED5FAB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0,62</w:t>
            </w:r>
          </w:p>
        </w:tc>
        <w:tc>
          <w:tcPr>
            <w:tcW w:w="1241" w:type="dxa"/>
            <w:vMerge w:val="restart"/>
            <w:vAlign w:val="center"/>
          </w:tcPr>
          <w:p w14:paraId="22014AC7"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269E8298"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62AAEA10" w14:textId="77777777">
        <w:trPr>
          <w:trHeight w:val="245"/>
        </w:trPr>
        <w:tc>
          <w:tcPr>
            <w:tcW w:w="2787" w:type="dxa"/>
            <w:tcBorders>
              <w:top w:val="nil"/>
            </w:tcBorders>
          </w:tcPr>
          <w:p w14:paraId="16438C6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95 % PI</w:t>
            </w:r>
          </w:p>
        </w:tc>
        <w:tc>
          <w:tcPr>
            <w:tcW w:w="1295" w:type="dxa"/>
            <w:tcBorders>
              <w:top w:val="nil"/>
            </w:tcBorders>
            <w:vAlign w:val="center"/>
          </w:tcPr>
          <w:p w14:paraId="386E530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(0,22, 0,54)</w:t>
            </w:r>
          </w:p>
        </w:tc>
        <w:tc>
          <w:tcPr>
            <w:tcW w:w="1239" w:type="dxa"/>
            <w:vMerge/>
            <w:tcBorders>
              <w:top w:val="nil"/>
            </w:tcBorders>
            <w:vAlign w:val="center"/>
          </w:tcPr>
          <w:p w14:paraId="7B7477A1"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tcBorders>
            <w:vAlign w:val="center"/>
          </w:tcPr>
          <w:p w14:paraId="3E1E42E4"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top w:val="nil"/>
            </w:tcBorders>
            <w:vAlign w:val="center"/>
          </w:tcPr>
          <w:p w14:paraId="29F8F1C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(0,51, 0,74)</w:t>
            </w:r>
          </w:p>
        </w:tc>
        <w:tc>
          <w:tcPr>
            <w:tcW w:w="1241" w:type="dxa"/>
            <w:vMerge/>
            <w:tcBorders>
              <w:top w:val="nil"/>
            </w:tcBorders>
            <w:vAlign w:val="center"/>
          </w:tcPr>
          <w:p w14:paraId="4E604E09"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tcBorders>
            <w:vAlign w:val="center"/>
          </w:tcPr>
          <w:p w14:paraId="5F9E9AF1"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726A5967" w14:textId="77777777">
        <w:trPr>
          <w:trHeight w:val="251"/>
        </w:trPr>
        <w:tc>
          <w:tcPr>
            <w:tcW w:w="9562" w:type="dxa"/>
            <w:gridSpan w:val="7"/>
            <w:vAlign w:val="center"/>
          </w:tcPr>
          <w:p w14:paraId="51E251D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Didžiųjų VTE atvejų</w:t>
            </w:r>
          </w:p>
        </w:tc>
      </w:tr>
      <w:tr w:rsidR="00890384" w14:paraId="4A93CC35" w14:textId="77777777">
        <w:trPr>
          <w:trHeight w:val="256"/>
        </w:trPr>
        <w:tc>
          <w:tcPr>
            <w:tcW w:w="2787" w:type="dxa"/>
            <w:tcBorders>
              <w:bottom w:val="nil"/>
            </w:tcBorders>
          </w:tcPr>
          <w:p w14:paraId="74F4BC6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Atvejų skaičius/</w:t>
            </w:r>
          </w:p>
        </w:tc>
        <w:tc>
          <w:tcPr>
            <w:tcW w:w="1295" w:type="dxa"/>
            <w:tcBorders>
              <w:bottom w:val="nil"/>
            </w:tcBorders>
            <w:vAlign w:val="center"/>
          </w:tcPr>
          <w:p w14:paraId="6BEBA7B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10/2 199</w:t>
            </w:r>
          </w:p>
        </w:tc>
        <w:tc>
          <w:tcPr>
            <w:tcW w:w="1239" w:type="dxa"/>
            <w:tcBorders>
              <w:bottom w:val="nil"/>
            </w:tcBorders>
            <w:vAlign w:val="center"/>
          </w:tcPr>
          <w:p w14:paraId="4A8EB0B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25/2 195</w:t>
            </w:r>
          </w:p>
        </w:tc>
        <w:tc>
          <w:tcPr>
            <w:tcW w:w="845" w:type="dxa"/>
            <w:tcBorders>
              <w:bottom w:val="nil"/>
            </w:tcBorders>
            <w:vAlign w:val="center"/>
          </w:tcPr>
          <w:p w14:paraId="5F1D1E3C"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7B1DDCE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13/1 195</w:t>
            </w:r>
          </w:p>
        </w:tc>
        <w:tc>
          <w:tcPr>
            <w:tcW w:w="1241" w:type="dxa"/>
            <w:tcBorders>
              <w:bottom w:val="nil"/>
            </w:tcBorders>
            <w:vAlign w:val="center"/>
          </w:tcPr>
          <w:p w14:paraId="43AF91F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26/1 199</w:t>
            </w:r>
          </w:p>
        </w:tc>
        <w:tc>
          <w:tcPr>
            <w:tcW w:w="840" w:type="dxa"/>
            <w:tcBorders>
              <w:bottom w:val="nil"/>
            </w:tcBorders>
            <w:vAlign w:val="center"/>
          </w:tcPr>
          <w:p w14:paraId="417F4556"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5A1BA6AF" w14:textId="77777777">
        <w:trPr>
          <w:trHeight w:val="253"/>
        </w:trPr>
        <w:tc>
          <w:tcPr>
            <w:tcW w:w="2787" w:type="dxa"/>
            <w:tcBorders>
              <w:top w:val="nil"/>
              <w:bottom w:val="nil"/>
            </w:tcBorders>
          </w:tcPr>
          <w:p w14:paraId="230DF08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tiriamųjų asmenų</w:t>
            </w:r>
          </w:p>
        </w:tc>
        <w:tc>
          <w:tcPr>
            <w:tcW w:w="1295" w:type="dxa"/>
            <w:tcBorders>
              <w:top w:val="nil"/>
              <w:bottom w:val="nil"/>
            </w:tcBorders>
            <w:vAlign w:val="center"/>
          </w:tcPr>
          <w:p w14:paraId="68D18518"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48EBD4F1"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1A54F89F"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top w:val="nil"/>
              <w:bottom w:val="nil"/>
            </w:tcBorders>
            <w:vAlign w:val="center"/>
          </w:tcPr>
          <w:p w14:paraId="48D2A1C9"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5395746F"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27A0AD0D"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3D9D0283" w14:textId="77777777">
        <w:trPr>
          <w:trHeight w:val="502"/>
        </w:trPr>
        <w:tc>
          <w:tcPr>
            <w:tcW w:w="2787" w:type="dxa"/>
            <w:tcBorders>
              <w:top w:val="nil"/>
            </w:tcBorders>
          </w:tcPr>
          <w:p w14:paraId="71D6750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skaičius</w:t>
            </w:r>
          </w:p>
          <w:p w14:paraId="4B550F4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Atvejų dažnis</w:t>
            </w:r>
          </w:p>
        </w:tc>
        <w:tc>
          <w:tcPr>
            <w:tcW w:w="1295" w:type="dxa"/>
            <w:tcBorders>
              <w:top w:val="nil"/>
            </w:tcBorders>
            <w:vAlign w:val="center"/>
          </w:tcPr>
          <w:p w14:paraId="1938AA75" w14:textId="77777777" w:rsidR="00890384" w:rsidRDefault="00890384">
            <w:pPr>
              <w:widowControl w:val="0"/>
              <w:tabs>
                <w:tab w:val="clear" w:pos="567"/>
              </w:tabs>
              <w:autoSpaceDE w:val="0"/>
              <w:autoSpaceDN w:val="0"/>
              <w:spacing w:line="240" w:lineRule="auto"/>
              <w:jc w:val="center"/>
              <w:rPr>
                <w:b/>
                <w:snapToGrid/>
                <w:szCs w:val="22"/>
                <w:lang w:val="lt-LT"/>
              </w:rPr>
            </w:pPr>
          </w:p>
          <w:p w14:paraId="2DF007C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0,45 %</w:t>
            </w:r>
          </w:p>
        </w:tc>
        <w:tc>
          <w:tcPr>
            <w:tcW w:w="1239" w:type="dxa"/>
            <w:tcBorders>
              <w:top w:val="nil"/>
            </w:tcBorders>
            <w:vAlign w:val="center"/>
          </w:tcPr>
          <w:p w14:paraId="6C67E6E9" w14:textId="77777777" w:rsidR="00890384" w:rsidRDefault="00890384">
            <w:pPr>
              <w:widowControl w:val="0"/>
              <w:tabs>
                <w:tab w:val="clear" w:pos="567"/>
              </w:tabs>
              <w:autoSpaceDE w:val="0"/>
              <w:autoSpaceDN w:val="0"/>
              <w:spacing w:line="240" w:lineRule="auto"/>
              <w:jc w:val="center"/>
              <w:rPr>
                <w:b/>
                <w:snapToGrid/>
                <w:szCs w:val="22"/>
                <w:lang w:val="lt-LT"/>
              </w:rPr>
            </w:pPr>
          </w:p>
          <w:p w14:paraId="6912759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1,14 %</w:t>
            </w:r>
          </w:p>
        </w:tc>
        <w:tc>
          <w:tcPr>
            <w:tcW w:w="845" w:type="dxa"/>
            <w:tcBorders>
              <w:top w:val="nil"/>
              <w:bottom w:val="nil"/>
            </w:tcBorders>
            <w:vAlign w:val="center"/>
          </w:tcPr>
          <w:p w14:paraId="0437541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0,0107</w:t>
            </w:r>
          </w:p>
        </w:tc>
        <w:tc>
          <w:tcPr>
            <w:tcW w:w="1315" w:type="dxa"/>
            <w:tcBorders>
              <w:top w:val="nil"/>
            </w:tcBorders>
            <w:vAlign w:val="center"/>
          </w:tcPr>
          <w:p w14:paraId="59A0DAF4" w14:textId="77777777" w:rsidR="00890384" w:rsidRDefault="00890384">
            <w:pPr>
              <w:widowControl w:val="0"/>
              <w:tabs>
                <w:tab w:val="clear" w:pos="567"/>
              </w:tabs>
              <w:autoSpaceDE w:val="0"/>
              <w:autoSpaceDN w:val="0"/>
              <w:spacing w:line="240" w:lineRule="auto"/>
              <w:jc w:val="center"/>
              <w:rPr>
                <w:b/>
                <w:snapToGrid/>
                <w:szCs w:val="22"/>
                <w:lang w:val="lt-LT"/>
              </w:rPr>
            </w:pPr>
          </w:p>
          <w:p w14:paraId="0AFCA71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1,09 %</w:t>
            </w:r>
          </w:p>
        </w:tc>
        <w:tc>
          <w:tcPr>
            <w:tcW w:w="1241" w:type="dxa"/>
            <w:tcBorders>
              <w:top w:val="nil"/>
            </w:tcBorders>
            <w:vAlign w:val="center"/>
          </w:tcPr>
          <w:p w14:paraId="19A419FE" w14:textId="77777777" w:rsidR="00890384" w:rsidRDefault="00890384">
            <w:pPr>
              <w:widowControl w:val="0"/>
              <w:tabs>
                <w:tab w:val="clear" w:pos="567"/>
              </w:tabs>
              <w:autoSpaceDE w:val="0"/>
              <w:autoSpaceDN w:val="0"/>
              <w:spacing w:line="240" w:lineRule="auto"/>
              <w:jc w:val="center"/>
              <w:rPr>
                <w:b/>
                <w:snapToGrid/>
                <w:szCs w:val="22"/>
                <w:lang w:val="lt-LT"/>
              </w:rPr>
            </w:pPr>
          </w:p>
          <w:p w14:paraId="4785F4E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2,17 %</w:t>
            </w:r>
          </w:p>
        </w:tc>
        <w:tc>
          <w:tcPr>
            <w:tcW w:w="840" w:type="dxa"/>
            <w:tcBorders>
              <w:top w:val="nil"/>
              <w:bottom w:val="nil"/>
            </w:tcBorders>
            <w:vAlign w:val="center"/>
          </w:tcPr>
          <w:p w14:paraId="7911DEC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0,0373</w:t>
            </w:r>
          </w:p>
        </w:tc>
      </w:tr>
      <w:tr w:rsidR="00890384" w14:paraId="0FC1D8D2" w14:textId="77777777">
        <w:trPr>
          <w:trHeight w:val="250"/>
        </w:trPr>
        <w:tc>
          <w:tcPr>
            <w:tcW w:w="2787" w:type="dxa"/>
            <w:tcBorders>
              <w:bottom w:val="nil"/>
            </w:tcBorders>
          </w:tcPr>
          <w:p w14:paraId="4B7643A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Santykinė rizika</w:t>
            </w:r>
          </w:p>
        </w:tc>
        <w:tc>
          <w:tcPr>
            <w:tcW w:w="1295" w:type="dxa"/>
            <w:tcBorders>
              <w:bottom w:val="nil"/>
            </w:tcBorders>
            <w:vAlign w:val="center"/>
          </w:tcPr>
          <w:p w14:paraId="130EB61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0,40</w:t>
            </w:r>
          </w:p>
        </w:tc>
        <w:tc>
          <w:tcPr>
            <w:tcW w:w="1239" w:type="dxa"/>
            <w:vMerge w:val="restart"/>
            <w:vAlign w:val="center"/>
          </w:tcPr>
          <w:p w14:paraId="366B4D78"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4D87BD46"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6B75079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0,50</w:t>
            </w:r>
          </w:p>
        </w:tc>
        <w:tc>
          <w:tcPr>
            <w:tcW w:w="1241" w:type="dxa"/>
            <w:vMerge w:val="restart"/>
            <w:vAlign w:val="center"/>
          </w:tcPr>
          <w:p w14:paraId="03B1DC11"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59543D55"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27C8F970" w14:textId="77777777">
        <w:trPr>
          <w:trHeight w:val="245"/>
        </w:trPr>
        <w:tc>
          <w:tcPr>
            <w:tcW w:w="2787" w:type="dxa"/>
            <w:tcBorders>
              <w:top w:val="nil"/>
            </w:tcBorders>
          </w:tcPr>
          <w:p w14:paraId="1AA7BC3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95 % PI</w:t>
            </w:r>
          </w:p>
        </w:tc>
        <w:tc>
          <w:tcPr>
            <w:tcW w:w="1295" w:type="dxa"/>
            <w:tcBorders>
              <w:top w:val="nil"/>
            </w:tcBorders>
            <w:vAlign w:val="center"/>
          </w:tcPr>
          <w:p w14:paraId="2FEB7DB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(0,15, 0,80)</w:t>
            </w:r>
          </w:p>
        </w:tc>
        <w:tc>
          <w:tcPr>
            <w:tcW w:w="1239" w:type="dxa"/>
            <w:vMerge/>
            <w:tcBorders>
              <w:top w:val="nil"/>
            </w:tcBorders>
            <w:vAlign w:val="center"/>
          </w:tcPr>
          <w:p w14:paraId="7842AE1E"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5" w:type="dxa"/>
            <w:tcBorders>
              <w:top w:val="nil"/>
            </w:tcBorders>
            <w:vAlign w:val="center"/>
          </w:tcPr>
          <w:p w14:paraId="311EB088"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15" w:type="dxa"/>
            <w:tcBorders>
              <w:top w:val="nil"/>
            </w:tcBorders>
            <w:vAlign w:val="center"/>
          </w:tcPr>
          <w:p w14:paraId="0167202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(0,26, 0,97)</w:t>
            </w:r>
          </w:p>
        </w:tc>
        <w:tc>
          <w:tcPr>
            <w:tcW w:w="1241" w:type="dxa"/>
            <w:vMerge/>
            <w:tcBorders>
              <w:top w:val="nil"/>
            </w:tcBorders>
            <w:vAlign w:val="center"/>
          </w:tcPr>
          <w:p w14:paraId="6C4974B2"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840" w:type="dxa"/>
            <w:tcBorders>
              <w:top w:val="nil"/>
            </w:tcBorders>
            <w:vAlign w:val="center"/>
          </w:tcPr>
          <w:p w14:paraId="590ECC85" w14:textId="77777777" w:rsidR="00890384" w:rsidRDefault="00890384">
            <w:pPr>
              <w:widowControl w:val="0"/>
              <w:tabs>
                <w:tab w:val="clear" w:pos="567"/>
              </w:tabs>
              <w:autoSpaceDE w:val="0"/>
              <w:autoSpaceDN w:val="0"/>
              <w:spacing w:line="240" w:lineRule="auto"/>
              <w:jc w:val="center"/>
              <w:rPr>
                <w:snapToGrid/>
                <w:szCs w:val="22"/>
                <w:lang w:val="lt-LT"/>
              </w:rPr>
            </w:pPr>
          </w:p>
        </w:tc>
      </w:tr>
    </w:tbl>
    <w:p w14:paraId="6415FF79" w14:textId="77777777" w:rsidR="00890384" w:rsidRDefault="00890384">
      <w:pPr>
        <w:widowControl w:val="0"/>
        <w:tabs>
          <w:tab w:val="clear" w:pos="567"/>
        </w:tabs>
        <w:autoSpaceDE w:val="0"/>
        <w:autoSpaceDN w:val="0"/>
        <w:spacing w:line="240" w:lineRule="auto"/>
        <w:rPr>
          <w:b/>
          <w:snapToGrid/>
          <w:szCs w:val="22"/>
          <w:lang w:val="lt-LT"/>
        </w:rPr>
      </w:pPr>
    </w:p>
    <w:p w14:paraId="3AF6B13B" w14:textId="37BB0633" w:rsidR="00890384" w:rsidRDefault="00B26795">
      <w:pPr>
        <w:widowControl w:val="0"/>
        <w:tabs>
          <w:tab w:val="clear" w:pos="567"/>
        </w:tabs>
        <w:autoSpaceDE w:val="0"/>
        <w:autoSpaceDN w:val="0"/>
        <w:spacing w:line="240" w:lineRule="auto"/>
        <w:rPr>
          <w:snapToGrid/>
          <w:szCs w:val="22"/>
          <w:lang w:val="lt-LT"/>
        </w:rPr>
      </w:pPr>
      <w:r>
        <w:rPr>
          <w:snapToGrid/>
          <w:szCs w:val="22"/>
          <w:lang w:val="lt-LT"/>
        </w:rPr>
        <w:t>2,5 mg apiksabano dozę arba enoksaparino 40 mg dozę vartojusiems pacientams nustatyti saugumo vertinamųjų baigčių, stipraus kraujavimo, sudėtinio stipraus ir KRNS kraujavimo bei visų kraujavimų dažnio rodmenys buvo panašūs (žr. 6 lentelę). Visi kraujavimo kriterijai apėmė ir operacijos srities kraujavimą.</w:t>
      </w:r>
    </w:p>
    <w:p w14:paraId="24F9E9F8" w14:textId="77777777" w:rsidR="00890384" w:rsidRDefault="00890384">
      <w:pPr>
        <w:widowControl w:val="0"/>
        <w:tabs>
          <w:tab w:val="clear" w:pos="567"/>
        </w:tabs>
        <w:autoSpaceDE w:val="0"/>
        <w:autoSpaceDN w:val="0"/>
        <w:spacing w:line="240" w:lineRule="auto"/>
        <w:rPr>
          <w:snapToGrid/>
          <w:szCs w:val="22"/>
          <w:lang w:val="lt-LT"/>
        </w:rPr>
      </w:pPr>
    </w:p>
    <w:p w14:paraId="22919827" w14:textId="1CE9A0C1" w:rsidR="00890384" w:rsidRDefault="00B26795">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6 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890384" w14:paraId="24DAF02A" w14:textId="77777777">
        <w:trPr>
          <w:trHeight w:val="251"/>
        </w:trPr>
        <w:tc>
          <w:tcPr>
            <w:tcW w:w="1728" w:type="dxa"/>
          </w:tcPr>
          <w:p w14:paraId="4686C777" w14:textId="77777777" w:rsidR="00890384" w:rsidRDefault="00890384">
            <w:pPr>
              <w:widowControl w:val="0"/>
              <w:tabs>
                <w:tab w:val="clear" w:pos="567"/>
              </w:tabs>
              <w:autoSpaceDE w:val="0"/>
              <w:autoSpaceDN w:val="0"/>
              <w:spacing w:line="240" w:lineRule="auto"/>
              <w:rPr>
                <w:snapToGrid/>
                <w:szCs w:val="22"/>
                <w:lang w:val="lt-LT"/>
              </w:rPr>
            </w:pPr>
          </w:p>
        </w:tc>
        <w:tc>
          <w:tcPr>
            <w:tcW w:w="3092" w:type="dxa"/>
            <w:gridSpan w:val="2"/>
          </w:tcPr>
          <w:p w14:paraId="3B9EFC05"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ADVANCE-3 tyrimas</w:t>
            </w:r>
          </w:p>
        </w:tc>
        <w:tc>
          <w:tcPr>
            <w:tcW w:w="4112" w:type="dxa"/>
            <w:gridSpan w:val="2"/>
          </w:tcPr>
          <w:p w14:paraId="5D3712D9"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ADVANCE-2 tyrimas</w:t>
            </w:r>
          </w:p>
        </w:tc>
      </w:tr>
      <w:tr w:rsidR="00890384" w14:paraId="46610DC9" w14:textId="77777777">
        <w:trPr>
          <w:trHeight w:val="1264"/>
        </w:trPr>
        <w:tc>
          <w:tcPr>
            <w:tcW w:w="1728" w:type="dxa"/>
          </w:tcPr>
          <w:p w14:paraId="7E3C5338" w14:textId="77777777" w:rsidR="00890384" w:rsidRDefault="00890384">
            <w:pPr>
              <w:widowControl w:val="0"/>
              <w:tabs>
                <w:tab w:val="clear" w:pos="567"/>
              </w:tabs>
              <w:autoSpaceDE w:val="0"/>
              <w:autoSpaceDN w:val="0"/>
              <w:spacing w:line="240" w:lineRule="auto"/>
              <w:rPr>
                <w:snapToGrid/>
                <w:szCs w:val="22"/>
                <w:lang w:val="lt-LT"/>
              </w:rPr>
            </w:pPr>
          </w:p>
        </w:tc>
        <w:tc>
          <w:tcPr>
            <w:tcW w:w="1534" w:type="dxa"/>
          </w:tcPr>
          <w:p w14:paraId="6B5194F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Apiksabanas</w:t>
            </w:r>
          </w:p>
          <w:p w14:paraId="33CD7B5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6D0077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1558" w:type="dxa"/>
          </w:tcPr>
          <w:p w14:paraId="460718A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Enoksaparinas</w:t>
            </w:r>
          </w:p>
          <w:p w14:paraId="19494A9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r>
              <w:rPr>
                <w:i/>
                <w:snapToGrid/>
                <w:szCs w:val="22"/>
                <w:lang w:val="lt-LT"/>
              </w:rPr>
              <w:t xml:space="preserve">sc </w:t>
            </w:r>
            <w:r>
              <w:rPr>
                <w:snapToGrid/>
                <w:szCs w:val="22"/>
                <w:lang w:val="lt-LT"/>
              </w:rPr>
              <w:t>vieną kartą per parą</w:t>
            </w:r>
          </w:p>
          <w:p w14:paraId="2BBF0B6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1985" w:type="dxa"/>
          </w:tcPr>
          <w:p w14:paraId="5B2516A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Apiksabanas</w:t>
            </w:r>
          </w:p>
          <w:p w14:paraId="38E2F34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759B2F1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 ± 2 d.</w:t>
            </w:r>
          </w:p>
        </w:tc>
        <w:tc>
          <w:tcPr>
            <w:tcW w:w="2127" w:type="dxa"/>
          </w:tcPr>
          <w:p w14:paraId="5D69CEA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Enoksaparinas 40 mg </w:t>
            </w:r>
            <w:r>
              <w:rPr>
                <w:i/>
                <w:snapToGrid/>
                <w:szCs w:val="22"/>
                <w:lang w:val="lt-LT"/>
              </w:rPr>
              <w:t xml:space="preserve">sc </w:t>
            </w:r>
            <w:r>
              <w:rPr>
                <w:snapToGrid/>
                <w:szCs w:val="22"/>
                <w:lang w:val="lt-LT"/>
              </w:rPr>
              <w:t>vieną kartą</w:t>
            </w:r>
          </w:p>
          <w:p w14:paraId="3F29EC7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per parą 12 ± 2 d.</w:t>
            </w:r>
          </w:p>
        </w:tc>
      </w:tr>
      <w:tr w:rsidR="00890384" w14:paraId="050B0699" w14:textId="77777777">
        <w:trPr>
          <w:trHeight w:val="251"/>
        </w:trPr>
        <w:tc>
          <w:tcPr>
            <w:tcW w:w="1728" w:type="dxa"/>
          </w:tcPr>
          <w:p w14:paraId="145AA43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 tiriamieji</w:t>
            </w:r>
          </w:p>
        </w:tc>
        <w:tc>
          <w:tcPr>
            <w:tcW w:w="1534" w:type="dxa"/>
          </w:tcPr>
          <w:p w14:paraId="745AEE2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2 673</w:t>
            </w:r>
          </w:p>
        </w:tc>
        <w:tc>
          <w:tcPr>
            <w:tcW w:w="1558" w:type="dxa"/>
          </w:tcPr>
          <w:p w14:paraId="5F6E568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2 659</w:t>
            </w:r>
          </w:p>
        </w:tc>
        <w:tc>
          <w:tcPr>
            <w:tcW w:w="1985" w:type="dxa"/>
          </w:tcPr>
          <w:p w14:paraId="26F9901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1 501</w:t>
            </w:r>
          </w:p>
        </w:tc>
        <w:tc>
          <w:tcPr>
            <w:tcW w:w="2127" w:type="dxa"/>
          </w:tcPr>
          <w:p w14:paraId="4F18CA0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1 508</w:t>
            </w:r>
          </w:p>
        </w:tc>
      </w:tr>
      <w:tr w:rsidR="00890384" w14:paraId="55BF8FD1" w14:textId="77777777">
        <w:trPr>
          <w:trHeight w:val="253"/>
        </w:trPr>
        <w:tc>
          <w:tcPr>
            <w:tcW w:w="8932" w:type="dxa"/>
            <w:gridSpan w:val="5"/>
          </w:tcPr>
          <w:p w14:paraId="1308DAD3" w14:textId="77777777" w:rsidR="00890384" w:rsidRDefault="00B26795">
            <w:pPr>
              <w:widowControl w:val="0"/>
              <w:tabs>
                <w:tab w:val="clear" w:pos="567"/>
              </w:tabs>
              <w:autoSpaceDE w:val="0"/>
              <w:autoSpaceDN w:val="0"/>
              <w:spacing w:line="240" w:lineRule="auto"/>
              <w:rPr>
                <w:snapToGrid/>
                <w:szCs w:val="22"/>
                <w:lang w:val="lt-LT"/>
              </w:rPr>
            </w:pPr>
            <w:r>
              <w:rPr>
                <w:b/>
                <w:i/>
                <w:snapToGrid/>
                <w:szCs w:val="22"/>
                <w:lang w:val="lt-LT"/>
              </w:rPr>
              <w:t xml:space="preserve">Gydymo laikotarpis </w:t>
            </w:r>
            <w:r>
              <w:rPr>
                <w:i/>
                <w:iCs/>
                <w:snapToGrid/>
                <w:szCs w:val="22"/>
                <w:vertAlign w:val="superscript"/>
                <w:lang w:val="lt-LT"/>
              </w:rPr>
              <w:t>1</w:t>
            </w:r>
          </w:p>
        </w:tc>
      </w:tr>
      <w:tr w:rsidR="00890384" w14:paraId="18ABD791" w14:textId="77777777">
        <w:trPr>
          <w:trHeight w:val="506"/>
        </w:trPr>
        <w:tc>
          <w:tcPr>
            <w:tcW w:w="1728" w:type="dxa"/>
          </w:tcPr>
          <w:p w14:paraId="30FD237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kraujavimas</w:t>
            </w:r>
          </w:p>
        </w:tc>
        <w:tc>
          <w:tcPr>
            <w:tcW w:w="1534" w:type="dxa"/>
          </w:tcPr>
          <w:p w14:paraId="7A472EB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22 (0,8 %)</w:t>
            </w:r>
          </w:p>
        </w:tc>
        <w:tc>
          <w:tcPr>
            <w:tcW w:w="1558" w:type="dxa"/>
          </w:tcPr>
          <w:p w14:paraId="17D877E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18 (0,7 %)</w:t>
            </w:r>
          </w:p>
        </w:tc>
        <w:tc>
          <w:tcPr>
            <w:tcW w:w="1985" w:type="dxa"/>
          </w:tcPr>
          <w:p w14:paraId="667BB23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 (0,6 %)</w:t>
            </w:r>
          </w:p>
        </w:tc>
        <w:tc>
          <w:tcPr>
            <w:tcW w:w="2127" w:type="dxa"/>
          </w:tcPr>
          <w:p w14:paraId="327048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(0,9 %)</w:t>
            </w:r>
          </w:p>
        </w:tc>
      </w:tr>
      <w:tr w:rsidR="00890384" w14:paraId="623B54AA" w14:textId="77777777">
        <w:trPr>
          <w:trHeight w:val="251"/>
        </w:trPr>
        <w:tc>
          <w:tcPr>
            <w:tcW w:w="1728" w:type="dxa"/>
          </w:tcPr>
          <w:p w14:paraId="1379931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Mirtinas</w:t>
            </w:r>
          </w:p>
        </w:tc>
        <w:tc>
          <w:tcPr>
            <w:tcW w:w="1534" w:type="dxa"/>
          </w:tcPr>
          <w:p w14:paraId="3A0DBDA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558" w:type="dxa"/>
          </w:tcPr>
          <w:p w14:paraId="3C310AF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985" w:type="dxa"/>
          </w:tcPr>
          <w:p w14:paraId="407E0C5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2127" w:type="dxa"/>
          </w:tcPr>
          <w:p w14:paraId="3EABDC9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r>
      <w:tr w:rsidR="00890384" w14:paraId="62E19A55" w14:textId="77777777">
        <w:trPr>
          <w:trHeight w:val="253"/>
        </w:trPr>
        <w:tc>
          <w:tcPr>
            <w:tcW w:w="1728" w:type="dxa"/>
          </w:tcPr>
          <w:p w14:paraId="192BF19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534" w:type="dxa"/>
          </w:tcPr>
          <w:p w14:paraId="45E04D6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129 (4,8 %)</w:t>
            </w:r>
          </w:p>
        </w:tc>
        <w:tc>
          <w:tcPr>
            <w:tcW w:w="1558" w:type="dxa"/>
          </w:tcPr>
          <w:p w14:paraId="4905511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134 (5,0 %)</w:t>
            </w:r>
          </w:p>
        </w:tc>
        <w:tc>
          <w:tcPr>
            <w:tcW w:w="1985" w:type="dxa"/>
          </w:tcPr>
          <w:p w14:paraId="6C03AFF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53 (3,5 %)</w:t>
            </w:r>
          </w:p>
        </w:tc>
        <w:tc>
          <w:tcPr>
            <w:tcW w:w="2127" w:type="dxa"/>
          </w:tcPr>
          <w:p w14:paraId="6481CEA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72 (4,8 %)</w:t>
            </w:r>
          </w:p>
        </w:tc>
      </w:tr>
      <w:tr w:rsidR="00890384" w14:paraId="5B3740DD" w14:textId="77777777">
        <w:trPr>
          <w:trHeight w:val="251"/>
        </w:trPr>
        <w:tc>
          <w:tcPr>
            <w:tcW w:w="1728" w:type="dxa"/>
          </w:tcPr>
          <w:p w14:paraId="03EA9B8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 kraujavimai</w:t>
            </w:r>
          </w:p>
        </w:tc>
        <w:tc>
          <w:tcPr>
            <w:tcW w:w="1534" w:type="dxa"/>
          </w:tcPr>
          <w:p w14:paraId="5A5D4C0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313 (11,7 %)</w:t>
            </w:r>
          </w:p>
        </w:tc>
        <w:tc>
          <w:tcPr>
            <w:tcW w:w="1558" w:type="dxa"/>
          </w:tcPr>
          <w:p w14:paraId="483B8FE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334 (12,6 %)</w:t>
            </w:r>
          </w:p>
        </w:tc>
        <w:tc>
          <w:tcPr>
            <w:tcW w:w="1985" w:type="dxa"/>
          </w:tcPr>
          <w:p w14:paraId="300C4A1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104 (6,9 %)</w:t>
            </w:r>
          </w:p>
        </w:tc>
        <w:tc>
          <w:tcPr>
            <w:tcW w:w="2127" w:type="dxa"/>
          </w:tcPr>
          <w:p w14:paraId="62831E8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126 (8,4 %)</w:t>
            </w:r>
          </w:p>
        </w:tc>
      </w:tr>
      <w:tr w:rsidR="00890384" w14:paraId="78BCB832" w14:textId="77777777">
        <w:trPr>
          <w:trHeight w:val="253"/>
        </w:trPr>
        <w:tc>
          <w:tcPr>
            <w:tcW w:w="8932" w:type="dxa"/>
            <w:gridSpan w:val="5"/>
          </w:tcPr>
          <w:p w14:paraId="71C048FB" w14:textId="77777777" w:rsidR="00890384" w:rsidRDefault="00B26795">
            <w:pPr>
              <w:widowControl w:val="0"/>
              <w:tabs>
                <w:tab w:val="clear" w:pos="567"/>
              </w:tabs>
              <w:autoSpaceDE w:val="0"/>
              <w:autoSpaceDN w:val="0"/>
              <w:spacing w:line="240" w:lineRule="auto"/>
              <w:rPr>
                <w:snapToGrid/>
                <w:szCs w:val="22"/>
                <w:lang w:val="lt-LT"/>
              </w:rPr>
            </w:pPr>
            <w:r>
              <w:rPr>
                <w:b/>
                <w:i/>
                <w:snapToGrid/>
                <w:szCs w:val="22"/>
                <w:lang w:val="lt-LT"/>
              </w:rPr>
              <w:t xml:space="preserve">Gydymo laikotarpis po operacijos </w:t>
            </w:r>
            <w:r>
              <w:rPr>
                <w:snapToGrid/>
                <w:szCs w:val="22"/>
                <w:vertAlign w:val="superscript"/>
                <w:lang w:val="lt-LT"/>
              </w:rPr>
              <w:t>2</w:t>
            </w:r>
          </w:p>
        </w:tc>
      </w:tr>
      <w:tr w:rsidR="00890384" w14:paraId="7B210E34" w14:textId="77777777">
        <w:trPr>
          <w:trHeight w:val="506"/>
        </w:trPr>
        <w:tc>
          <w:tcPr>
            <w:tcW w:w="1728" w:type="dxa"/>
          </w:tcPr>
          <w:p w14:paraId="7AF34F7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kraujavimas</w:t>
            </w:r>
          </w:p>
        </w:tc>
        <w:tc>
          <w:tcPr>
            <w:tcW w:w="1534" w:type="dxa"/>
          </w:tcPr>
          <w:p w14:paraId="633CB1C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 (0,3 %)</w:t>
            </w:r>
          </w:p>
        </w:tc>
        <w:tc>
          <w:tcPr>
            <w:tcW w:w="1558" w:type="dxa"/>
          </w:tcPr>
          <w:p w14:paraId="2A7D94A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(0,4 %)</w:t>
            </w:r>
          </w:p>
        </w:tc>
        <w:tc>
          <w:tcPr>
            <w:tcW w:w="1985" w:type="dxa"/>
          </w:tcPr>
          <w:p w14:paraId="2EBDD28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(0,3 %)</w:t>
            </w:r>
          </w:p>
        </w:tc>
        <w:tc>
          <w:tcPr>
            <w:tcW w:w="2127" w:type="dxa"/>
          </w:tcPr>
          <w:p w14:paraId="4342F79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 (0,6 %)</w:t>
            </w:r>
          </w:p>
        </w:tc>
      </w:tr>
      <w:tr w:rsidR="00890384" w14:paraId="12180C79" w14:textId="77777777">
        <w:trPr>
          <w:trHeight w:val="251"/>
        </w:trPr>
        <w:tc>
          <w:tcPr>
            <w:tcW w:w="1728" w:type="dxa"/>
          </w:tcPr>
          <w:p w14:paraId="3E2AE37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Mirtinas</w:t>
            </w:r>
          </w:p>
        </w:tc>
        <w:tc>
          <w:tcPr>
            <w:tcW w:w="1534" w:type="dxa"/>
          </w:tcPr>
          <w:p w14:paraId="0E66235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558" w:type="dxa"/>
          </w:tcPr>
          <w:p w14:paraId="7F661D1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985" w:type="dxa"/>
          </w:tcPr>
          <w:p w14:paraId="0B76D17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2127" w:type="dxa"/>
          </w:tcPr>
          <w:p w14:paraId="684DF76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w:t>
            </w:r>
          </w:p>
        </w:tc>
      </w:tr>
      <w:tr w:rsidR="00890384" w14:paraId="0B3C3DCC" w14:textId="77777777">
        <w:trPr>
          <w:trHeight w:val="251"/>
        </w:trPr>
        <w:tc>
          <w:tcPr>
            <w:tcW w:w="1728" w:type="dxa"/>
          </w:tcPr>
          <w:p w14:paraId="3FA3355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534" w:type="dxa"/>
          </w:tcPr>
          <w:p w14:paraId="7341BA4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96 (3,6 %)</w:t>
            </w:r>
          </w:p>
        </w:tc>
        <w:tc>
          <w:tcPr>
            <w:tcW w:w="1558" w:type="dxa"/>
          </w:tcPr>
          <w:p w14:paraId="3B93D25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115 (4,3 %)</w:t>
            </w:r>
          </w:p>
        </w:tc>
        <w:tc>
          <w:tcPr>
            <w:tcW w:w="1985" w:type="dxa"/>
          </w:tcPr>
          <w:p w14:paraId="30F9356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41 (2,7 %)</w:t>
            </w:r>
          </w:p>
        </w:tc>
        <w:tc>
          <w:tcPr>
            <w:tcW w:w="2127" w:type="dxa"/>
          </w:tcPr>
          <w:p w14:paraId="6381F26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56 (3,7 %)</w:t>
            </w:r>
          </w:p>
        </w:tc>
      </w:tr>
      <w:tr w:rsidR="00890384" w14:paraId="2A31BB28" w14:textId="77777777">
        <w:trPr>
          <w:trHeight w:val="253"/>
        </w:trPr>
        <w:tc>
          <w:tcPr>
            <w:tcW w:w="1728" w:type="dxa"/>
          </w:tcPr>
          <w:p w14:paraId="211B645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 kraujavimai</w:t>
            </w:r>
          </w:p>
        </w:tc>
        <w:tc>
          <w:tcPr>
            <w:tcW w:w="1534" w:type="dxa"/>
          </w:tcPr>
          <w:p w14:paraId="32E473E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261 (9,8 %)</w:t>
            </w:r>
          </w:p>
        </w:tc>
        <w:tc>
          <w:tcPr>
            <w:tcW w:w="1558" w:type="dxa"/>
          </w:tcPr>
          <w:p w14:paraId="013E73A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293 (11,0 %)</w:t>
            </w:r>
          </w:p>
        </w:tc>
        <w:tc>
          <w:tcPr>
            <w:tcW w:w="1985" w:type="dxa"/>
          </w:tcPr>
          <w:p w14:paraId="53E6A8C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89 (5,9 %)</w:t>
            </w:r>
          </w:p>
        </w:tc>
        <w:tc>
          <w:tcPr>
            <w:tcW w:w="2127" w:type="dxa"/>
          </w:tcPr>
          <w:p w14:paraId="52E4AF9B" w14:textId="77777777" w:rsidR="00890384" w:rsidRDefault="00B26795">
            <w:pPr>
              <w:widowControl w:val="0"/>
              <w:numPr>
                <w:ilvl w:val="0"/>
                <w:numId w:val="15"/>
              </w:numPr>
              <w:tabs>
                <w:tab w:val="clear" w:pos="567"/>
              </w:tabs>
              <w:autoSpaceDE w:val="0"/>
              <w:autoSpaceDN w:val="0"/>
              <w:spacing w:line="240" w:lineRule="auto"/>
              <w:jc w:val="center"/>
              <w:rPr>
                <w:snapToGrid/>
                <w:szCs w:val="22"/>
                <w:lang w:val="lt-LT"/>
              </w:rPr>
            </w:pPr>
            <w:r>
              <w:rPr>
                <w:snapToGrid/>
                <w:szCs w:val="22"/>
                <w:lang w:val="lt-LT"/>
              </w:rPr>
              <w:t>,8 %)</w:t>
            </w:r>
          </w:p>
        </w:tc>
      </w:tr>
    </w:tbl>
    <w:p w14:paraId="50E5ABF2" w14:textId="77777777" w:rsidR="00890384" w:rsidRDefault="00B26795">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Visi kraujavimo kriterijai apėmė ir operacijos srities kraujavimą.</w:t>
      </w:r>
    </w:p>
    <w:p w14:paraId="16024885" w14:textId="77777777" w:rsidR="00890384" w:rsidRDefault="00B26795">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1</w:t>
      </w:r>
      <w:r>
        <w:rPr>
          <w:snapToGrid/>
          <w:sz w:val="20"/>
          <w:szCs w:val="22"/>
          <w:lang w:val="lt-LT"/>
        </w:rPr>
        <w:t xml:space="preserve"> Įskaitant atvejus, pasireiškusius po pirmosios enoksaparino dozės pavartojimo (prieš operaciją).</w:t>
      </w:r>
    </w:p>
    <w:p w14:paraId="70A4D57A" w14:textId="77777777" w:rsidR="00890384" w:rsidRDefault="00B26795">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2</w:t>
      </w:r>
      <w:r>
        <w:rPr>
          <w:snapToGrid/>
          <w:sz w:val="20"/>
          <w:szCs w:val="22"/>
          <w:lang w:val="lt-LT"/>
        </w:rPr>
        <w:t xml:space="preserve"> Įskaitant atvejus, pasireiškusius po pirmosios apiksabano dozės pavartojimo (po operacijos).</w:t>
      </w:r>
    </w:p>
    <w:p w14:paraId="7E9EAE3D" w14:textId="77777777" w:rsidR="00890384" w:rsidRDefault="00890384">
      <w:pPr>
        <w:widowControl w:val="0"/>
        <w:tabs>
          <w:tab w:val="clear" w:pos="567"/>
        </w:tabs>
        <w:autoSpaceDE w:val="0"/>
        <w:autoSpaceDN w:val="0"/>
        <w:spacing w:line="240" w:lineRule="auto"/>
        <w:rPr>
          <w:snapToGrid/>
          <w:szCs w:val="22"/>
          <w:lang w:val="lt-LT"/>
        </w:rPr>
      </w:pPr>
    </w:p>
    <w:p w14:paraId="288F635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II fazės ir III fazės tyrimų duomenimis, bendrasis nepageidaujamų kraujavimo, anemijos ir transaminazių aktyvumo pokyčių (pvz., padidėjusio ALT aktyvumo) pasireiškimo dažnis skaitine verte buvo mažesnis apiksabano vartojusiems pacientams, kuriems buvo atliekama planinė klubo arba kelio sąnario pakeitimo operacija, palyginti su enoksaparino vartojusiųjų grupe.</w:t>
      </w:r>
    </w:p>
    <w:p w14:paraId="1FE36404" w14:textId="77777777" w:rsidR="00890384" w:rsidRDefault="00890384">
      <w:pPr>
        <w:widowControl w:val="0"/>
        <w:tabs>
          <w:tab w:val="clear" w:pos="567"/>
        </w:tabs>
        <w:autoSpaceDE w:val="0"/>
        <w:autoSpaceDN w:val="0"/>
        <w:spacing w:line="240" w:lineRule="auto"/>
        <w:rPr>
          <w:snapToGrid/>
          <w:szCs w:val="22"/>
          <w:lang w:val="lt-LT"/>
        </w:rPr>
      </w:pPr>
    </w:p>
    <w:p w14:paraId="7180ABA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Kai tyrime dalyvavo pacientai, kuriems buvo atliekama kelio sąnario pakeitimo operacija, numatytu tiriamojo vaistinio preparato vartojimo laikotarpiu apiksabano grupėje buvo diagnozuoti 4 plaučių embolijos atvejai, kai enoksaparino vartojusiųjų grupėje šio reiškinio atvejų nebuvo. Šio didesnio plaučių embolijos atvejų skaičiaus paaiškinti negalima.</w:t>
      </w:r>
    </w:p>
    <w:p w14:paraId="7045A9A3" w14:textId="77777777" w:rsidR="00890384" w:rsidRDefault="00890384">
      <w:pPr>
        <w:widowControl w:val="0"/>
        <w:tabs>
          <w:tab w:val="clear" w:pos="567"/>
        </w:tabs>
        <w:autoSpaceDE w:val="0"/>
        <w:autoSpaceDN w:val="0"/>
        <w:spacing w:line="240" w:lineRule="auto"/>
        <w:rPr>
          <w:snapToGrid/>
          <w:szCs w:val="22"/>
          <w:lang w:val="lt-LT"/>
        </w:rPr>
      </w:pPr>
    </w:p>
    <w:p w14:paraId="3B89C42E" w14:textId="77777777"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Insulto ir sisteminės embolijos profilaktika pacientams, kuriems pasireiškė su vožtuvais nesusijęs prieširdžių virpėjimas (VNPV)</w:t>
      </w:r>
    </w:p>
    <w:p w14:paraId="2F37FD31" w14:textId="1E59465D"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Klinikinės programos (ARISTOTLE: apiksabanas, palyginti su varfarinu; AVERROES: apiksabanas, palyginti su ASR) metu į grupes atsitiktiniu būdu buvo suskirstyti iš viso 23 799 </w:t>
      </w:r>
      <w:r w:rsidR="00341D88">
        <w:rPr>
          <w:snapToGrid/>
          <w:szCs w:val="22"/>
          <w:lang w:val="lt-LT"/>
        </w:rPr>
        <w:t xml:space="preserve">suaugę </w:t>
      </w:r>
      <w:r>
        <w:rPr>
          <w:snapToGrid/>
          <w:szCs w:val="22"/>
          <w:lang w:val="lt-LT"/>
        </w:rPr>
        <w:t>pacientai, įskaitant 11 927, kuriems atsitiktiniu būdu buvo paskirta vartoti apiksabano. Programa buvo suplanuota taip, kad parodytų apiksabano, vartojamo insulto ir sisteminės embolijos profilaktikai, veiksmingumą ir saugumą pacientams, kuriems pasireiškė su vožtuvais nesusijęs prieširdžių virpėjimas (VNPV) ir buvo vienas ar daugiau papildomų rizikos veiksnių, pavyzdžiui:</w:t>
      </w:r>
    </w:p>
    <w:p w14:paraId="11F90A89"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anksčiau patirtas insultas arba praeinantysis smegenų išemijos priepuolis (PSIP);</w:t>
      </w:r>
    </w:p>
    <w:p w14:paraId="1A15D30F"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amžius ≥ 75 metų;</w:t>
      </w:r>
    </w:p>
    <w:p w14:paraId="524E9D25"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hipertenzija;</w:t>
      </w:r>
    </w:p>
    <w:p w14:paraId="2CEF8536"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cukrinis diabetas;</w:t>
      </w:r>
    </w:p>
    <w:p w14:paraId="7BD62A40"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simptomus sukeliantis širdies nepakankamumas (≥ II klasės pagal NYHA).</w:t>
      </w:r>
    </w:p>
    <w:p w14:paraId="621FDDF2" w14:textId="77777777" w:rsidR="00890384" w:rsidRDefault="00890384">
      <w:pPr>
        <w:widowControl w:val="0"/>
        <w:tabs>
          <w:tab w:val="clear" w:pos="567"/>
        </w:tabs>
        <w:autoSpaceDE w:val="0"/>
        <w:autoSpaceDN w:val="0"/>
        <w:spacing w:line="240" w:lineRule="auto"/>
        <w:rPr>
          <w:snapToGrid/>
          <w:szCs w:val="22"/>
          <w:lang w:val="lt-LT"/>
        </w:rPr>
      </w:pPr>
    </w:p>
    <w:p w14:paraId="7B928120"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lastRenderedPageBreak/>
        <w:t>ARISTOTLE tyrimas</w:t>
      </w:r>
    </w:p>
    <w:p w14:paraId="3E709E4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ARISTOTLE tyrimo metu iš viso 18 201 pacientui atsitiktiniu būdu buvo paskirtas dvigubai koduotas gydymas 5 mg apiksabano doze du kartus per parą (arba 2,5 mg doze du kartus per parą atrinktiems pacientams [4,7 %], žr. 4.2 skyrių) arba varfarinu (tikslinės TNS ribos 2,0–3,0), pacientai vartojo tiriamąją veikliąją medžiagą vidutiniškai 20 mėnesių. Vidutinis tiriamųjų amžius buvo 69,1 metų, vidutinis CHADS2 balas buvo 2,1 ir 18,9 % pacientų anksčiau buvo patyrę insultą arba PSIP.</w:t>
      </w:r>
    </w:p>
    <w:p w14:paraId="01745114" w14:textId="77777777" w:rsidR="00890384" w:rsidRDefault="00890384">
      <w:pPr>
        <w:widowControl w:val="0"/>
        <w:tabs>
          <w:tab w:val="clear" w:pos="567"/>
        </w:tabs>
        <w:autoSpaceDE w:val="0"/>
        <w:autoSpaceDN w:val="0"/>
        <w:spacing w:line="240" w:lineRule="auto"/>
        <w:rPr>
          <w:snapToGrid/>
          <w:szCs w:val="22"/>
          <w:lang w:val="lt-LT"/>
        </w:rPr>
      </w:pPr>
    </w:p>
    <w:p w14:paraId="66570C7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Tyrimo duomenimis, vartojant apiksabaną, buvo pasiektas statistiškai reikšmingas svarbiausios vertinamosios baigties apsaugos nuo insulto (hemoraginio arba išeminio) ir sisteminės embolijos pranašumas (žr. 6 lentelę), palyginti su varfarinu.</w:t>
      </w:r>
    </w:p>
    <w:p w14:paraId="3486CEEF" w14:textId="77777777" w:rsidR="00890384" w:rsidRDefault="00890384">
      <w:pPr>
        <w:widowControl w:val="0"/>
        <w:tabs>
          <w:tab w:val="clear" w:pos="567"/>
        </w:tabs>
        <w:autoSpaceDE w:val="0"/>
        <w:autoSpaceDN w:val="0"/>
        <w:spacing w:line="240" w:lineRule="auto"/>
        <w:rPr>
          <w:snapToGrid/>
          <w:szCs w:val="22"/>
          <w:lang w:val="lt-LT"/>
        </w:rPr>
      </w:pPr>
    </w:p>
    <w:p w14:paraId="32BD7C9E" w14:textId="49C8D7DE"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7 lentelė. Veiksmingumo vertinamosios baigtys pacientams, kuriems pasireiškė prieširdžių virpėjimas, ARISTOTLE</w:t>
      </w:r>
      <w:r>
        <w:rPr>
          <w:b/>
          <w:bCs/>
          <w:i/>
          <w:snapToGrid/>
          <w:szCs w:val="22"/>
          <w:lang w:val="lt-LT"/>
        </w:rPr>
        <w:t xml:space="preserve"> </w:t>
      </w:r>
      <w:r>
        <w:rPr>
          <w:b/>
          <w:bCs/>
          <w:snapToGrid/>
          <w:szCs w:val="22"/>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890384" w14:paraId="2F706332" w14:textId="77777777">
        <w:trPr>
          <w:trHeight w:val="1012"/>
        </w:trPr>
        <w:tc>
          <w:tcPr>
            <w:tcW w:w="2966" w:type="dxa"/>
          </w:tcPr>
          <w:p w14:paraId="2A62926A" w14:textId="77777777" w:rsidR="00890384" w:rsidRDefault="00890384">
            <w:pPr>
              <w:widowControl w:val="0"/>
              <w:tabs>
                <w:tab w:val="clear" w:pos="567"/>
              </w:tabs>
              <w:autoSpaceDE w:val="0"/>
              <w:autoSpaceDN w:val="0"/>
              <w:spacing w:line="240" w:lineRule="auto"/>
              <w:rPr>
                <w:snapToGrid/>
                <w:szCs w:val="22"/>
                <w:lang w:val="lt-LT"/>
              </w:rPr>
            </w:pPr>
          </w:p>
        </w:tc>
        <w:tc>
          <w:tcPr>
            <w:tcW w:w="1730" w:type="dxa"/>
          </w:tcPr>
          <w:p w14:paraId="2297BE4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p w14:paraId="326AA3F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 N=9 120</w:t>
            </w:r>
          </w:p>
          <w:p w14:paraId="4021519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0" w:type="dxa"/>
          </w:tcPr>
          <w:p w14:paraId="5942CD7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72D0308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N=9 081</w:t>
            </w:r>
          </w:p>
          <w:p w14:paraId="37E1B78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5" w:type="dxa"/>
          </w:tcPr>
          <w:p w14:paraId="6949A66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144" w:type="dxa"/>
          </w:tcPr>
          <w:p w14:paraId="4981B5C1" w14:textId="77777777" w:rsidR="00890384" w:rsidRDefault="00890384">
            <w:pPr>
              <w:widowControl w:val="0"/>
              <w:tabs>
                <w:tab w:val="clear" w:pos="567"/>
              </w:tabs>
              <w:autoSpaceDE w:val="0"/>
              <w:autoSpaceDN w:val="0"/>
              <w:spacing w:line="240" w:lineRule="auto"/>
              <w:rPr>
                <w:b/>
                <w:snapToGrid/>
                <w:szCs w:val="22"/>
                <w:lang w:val="lt-LT"/>
              </w:rPr>
            </w:pPr>
          </w:p>
          <w:p w14:paraId="10267C04"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890384" w14:paraId="4FCDECB9" w14:textId="77777777">
        <w:trPr>
          <w:trHeight w:val="182"/>
        </w:trPr>
        <w:tc>
          <w:tcPr>
            <w:tcW w:w="2966" w:type="dxa"/>
          </w:tcPr>
          <w:p w14:paraId="059A426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Insultas arba sisteminė embolija</w:t>
            </w:r>
          </w:p>
        </w:tc>
        <w:tc>
          <w:tcPr>
            <w:tcW w:w="1730" w:type="dxa"/>
          </w:tcPr>
          <w:p w14:paraId="09F2C0C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212 (1,27)</w:t>
            </w:r>
          </w:p>
        </w:tc>
        <w:tc>
          <w:tcPr>
            <w:tcW w:w="1720" w:type="dxa"/>
          </w:tcPr>
          <w:p w14:paraId="40D9D40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265 (1,60)</w:t>
            </w:r>
          </w:p>
        </w:tc>
        <w:tc>
          <w:tcPr>
            <w:tcW w:w="1725" w:type="dxa"/>
          </w:tcPr>
          <w:p w14:paraId="7FA7EC8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0,79 (0,66, 0,95)</w:t>
            </w:r>
          </w:p>
        </w:tc>
        <w:tc>
          <w:tcPr>
            <w:tcW w:w="1144" w:type="dxa"/>
          </w:tcPr>
          <w:p w14:paraId="682ADF8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0,0114</w:t>
            </w:r>
          </w:p>
        </w:tc>
      </w:tr>
      <w:tr w:rsidR="00890384" w14:paraId="7C14A458" w14:textId="77777777">
        <w:trPr>
          <w:trHeight w:val="251"/>
        </w:trPr>
        <w:tc>
          <w:tcPr>
            <w:tcW w:w="2966" w:type="dxa"/>
          </w:tcPr>
          <w:p w14:paraId="29FF554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Insultas</w:t>
            </w:r>
          </w:p>
        </w:tc>
        <w:tc>
          <w:tcPr>
            <w:tcW w:w="1730" w:type="dxa"/>
          </w:tcPr>
          <w:p w14:paraId="4376E64C"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720" w:type="dxa"/>
          </w:tcPr>
          <w:p w14:paraId="436DCE39"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725" w:type="dxa"/>
          </w:tcPr>
          <w:p w14:paraId="668D27A9"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144" w:type="dxa"/>
          </w:tcPr>
          <w:p w14:paraId="50377F1F"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697C816B" w14:textId="77777777">
        <w:trPr>
          <w:trHeight w:val="253"/>
        </w:trPr>
        <w:tc>
          <w:tcPr>
            <w:tcW w:w="2966" w:type="dxa"/>
          </w:tcPr>
          <w:p w14:paraId="3EF1CD3D" w14:textId="77777777" w:rsidR="00890384" w:rsidRDefault="00B26795">
            <w:pPr>
              <w:widowControl w:val="0"/>
              <w:tabs>
                <w:tab w:val="clear" w:pos="567"/>
              </w:tabs>
              <w:autoSpaceDE w:val="0"/>
              <w:autoSpaceDN w:val="0"/>
              <w:spacing w:line="240" w:lineRule="auto"/>
              <w:ind w:left="340"/>
              <w:rPr>
                <w:snapToGrid/>
                <w:szCs w:val="22"/>
                <w:lang w:val="lt-LT"/>
              </w:rPr>
            </w:pPr>
            <w:r>
              <w:rPr>
                <w:snapToGrid/>
                <w:szCs w:val="22"/>
                <w:lang w:val="lt-LT"/>
              </w:rPr>
              <w:t>Išeminis arba nepatikslintas</w:t>
            </w:r>
          </w:p>
        </w:tc>
        <w:tc>
          <w:tcPr>
            <w:tcW w:w="1730" w:type="dxa"/>
          </w:tcPr>
          <w:p w14:paraId="5D5B6E0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162 (0,97)</w:t>
            </w:r>
          </w:p>
        </w:tc>
        <w:tc>
          <w:tcPr>
            <w:tcW w:w="1720" w:type="dxa"/>
          </w:tcPr>
          <w:p w14:paraId="17981C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175 (1,05)</w:t>
            </w:r>
          </w:p>
        </w:tc>
        <w:tc>
          <w:tcPr>
            <w:tcW w:w="1725" w:type="dxa"/>
          </w:tcPr>
          <w:p w14:paraId="417E58F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0,92 (0,74, 1,13)</w:t>
            </w:r>
          </w:p>
        </w:tc>
        <w:tc>
          <w:tcPr>
            <w:tcW w:w="1144" w:type="dxa"/>
          </w:tcPr>
          <w:p w14:paraId="2728F645"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410A611A" w14:textId="77777777">
        <w:trPr>
          <w:trHeight w:val="251"/>
        </w:trPr>
        <w:tc>
          <w:tcPr>
            <w:tcW w:w="2966" w:type="dxa"/>
          </w:tcPr>
          <w:p w14:paraId="687DC33B" w14:textId="77777777" w:rsidR="00890384" w:rsidRDefault="00B26795">
            <w:pPr>
              <w:widowControl w:val="0"/>
              <w:tabs>
                <w:tab w:val="clear" w:pos="567"/>
              </w:tabs>
              <w:autoSpaceDE w:val="0"/>
              <w:autoSpaceDN w:val="0"/>
              <w:spacing w:line="240" w:lineRule="auto"/>
              <w:ind w:left="340"/>
              <w:rPr>
                <w:snapToGrid/>
                <w:szCs w:val="22"/>
                <w:lang w:val="lt-LT"/>
              </w:rPr>
            </w:pPr>
            <w:r>
              <w:rPr>
                <w:snapToGrid/>
                <w:szCs w:val="22"/>
                <w:lang w:val="lt-LT"/>
              </w:rPr>
              <w:t>Hemoraginis</w:t>
            </w:r>
          </w:p>
        </w:tc>
        <w:tc>
          <w:tcPr>
            <w:tcW w:w="1730" w:type="dxa"/>
          </w:tcPr>
          <w:p w14:paraId="3BB794B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40 (0,24)</w:t>
            </w:r>
          </w:p>
        </w:tc>
        <w:tc>
          <w:tcPr>
            <w:tcW w:w="1720" w:type="dxa"/>
          </w:tcPr>
          <w:p w14:paraId="0CD0E1A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78 (0,47)</w:t>
            </w:r>
          </w:p>
        </w:tc>
        <w:tc>
          <w:tcPr>
            <w:tcW w:w="1725" w:type="dxa"/>
          </w:tcPr>
          <w:p w14:paraId="446CE3A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0,51 (0,35, 0,75)</w:t>
            </w:r>
          </w:p>
        </w:tc>
        <w:tc>
          <w:tcPr>
            <w:tcW w:w="1144" w:type="dxa"/>
          </w:tcPr>
          <w:p w14:paraId="206796A1"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7392D0F0" w14:textId="77777777">
        <w:trPr>
          <w:trHeight w:val="253"/>
        </w:trPr>
        <w:tc>
          <w:tcPr>
            <w:tcW w:w="2966" w:type="dxa"/>
          </w:tcPr>
          <w:p w14:paraId="463BE84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Sisteminė embolija</w:t>
            </w:r>
          </w:p>
        </w:tc>
        <w:tc>
          <w:tcPr>
            <w:tcW w:w="1730" w:type="dxa"/>
          </w:tcPr>
          <w:p w14:paraId="034AD0B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15 (0,09)</w:t>
            </w:r>
          </w:p>
        </w:tc>
        <w:tc>
          <w:tcPr>
            <w:tcW w:w="1720" w:type="dxa"/>
          </w:tcPr>
          <w:p w14:paraId="6836166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17 (0,10)</w:t>
            </w:r>
          </w:p>
        </w:tc>
        <w:tc>
          <w:tcPr>
            <w:tcW w:w="1725" w:type="dxa"/>
          </w:tcPr>
          <w:p w14:paraId="7E058AE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0,87 (0,44, 1,75)</w:t>
            </w:r>
          </w:p>
        </w:tc>
        <w:tc>
          <w:tcPr>
            <w:tcW w:w="1144" w:type="dxa"/>
          </w:tcPr>
          <w:p w14:paraId="35AE1CC7" w14:textId="77777777" w:rsidR="00890384" w:rsidRDefault="00890384">
            <w:pPr>
              <w:widowControl w:val="0"/>
              <w:tabs>
                <w:tab w:val="clear" w:pos="567"/>
              </w:tabs>
              <w:autoSpaceDE w:val="0"/>
              <w:autoSpaceDN w:val="0"/>
              <w:spacing w:line="240" w:lineRule="auto"/>
              <w:rPr>
                <w:snapToGrid/>
                <w:szCs w:val="22"/>
                <w:lang w:val="lt-LT"/>
              </w:rPr>
            </w:pPr>
          </w:p>
        </w:tc>
      </w:tr>
    </w:tbl>
    <w:p w14:paraId="62666E70" w14:textId="77777777" w:rsidR="00890384" w:rsidRDefault="00890384">
      <w:pPr>
        <w:widowControl w:val="0"/>
        <w:tabs>
          <w:tab w:val="clear" w:pos="567"/>
        </w:tabs>
        <w:autoSpaceDE w:val="0"/>
        <w:autoSpaceDN w:val="0"/>
        <w:spacing w:line="240" w:lineRule="auto"/>
        <w:rPr>
          <w:snapToGrid/>
          <w:szCs w:val="22"/>
          <w:lang w:val="lt-LT"/>
        </w:rPr>
      </w:pPr>
    </w:p>
    <w:p w14:paraId="0EA7A43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dalies, kai buvo pasiektos protrombino laiko terapinės ribos (angl. </w:t>
      </w:r>
      <w:r>
        <w:rPr>
          <w:i/>
          <w:iCs/>
          <w:snapToGrid/>
          <w:szCs w:val="22"/>
          <w:lang w:val="lt-LT"/>
        </w:rPr>
        <w:t>time in therapeutic range</w:t>
      </w:r>
      <w:r>
        <w:rPr>
          <w:snapToGrid/>
          <w:szCs w:val="22"/>
          <w:lang w:val="lt-LT"/>
        </w:rPr>
        <w:t xml:space="preserve"> [TTR]) (TNS 2-3), procentinė mediana buvo 66 %.</w:t>
      </w:r>
    </w:p>
    <w:p w14:paraId="5053B08A" w14:textId="77777777" w:rsidR="00890384" w:rsidRDefault="00890384">
      <w:pPr>
        <w:widowControl w:val="0"/>
        <w:tabs>
          <w:tab w:val="clear" w:pos="567"/>
        </w:tabs>
        <w:autoSpaceDE w:val="0"/>
        <w:autoSpaceDN w:val="0"/>
        <w:spacing w:line="240" w:lineRule="auto"/>
        <w:rPr>
          <w:snapToGrid/>
          <w:szCs w:val="22"/>
          <w:lang w:val="lt-LT"/>
        </w:rPr>
      </w:pPr>
    </w:p>
    <w:p w14:paraId="35A880D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Nustatyta, kad apiksabanas sumažino insulto ir sisteminės embolijos atvejų skaičių, palyginti su varfarinu, esant bet kuriam nukrypimui nuo centrinio TTR. Didžiausios kvartilės nuo centrinio TTR santykinė rizika vartojant apiksabano, palyginti su varfarinu, buvo 0,73 (95 % PI, 0,38, 1,40).</w:t>
      </w:r>
    </w:p>
    <w:p w14:paraId="1C628DDF" w14:textId="77777777" w:rsidR="00890384" w:rsidRDefault="00890384">
      <w:pPr>
        <w:widowControl w:val="0"/>
        <w:tabs>
          <w:tab w:val="clear" w:pos="567"/>
        </w:tabs>
        <w:autoSpaceDE w:val="0"/>
        <w:autoSpaceDN w:val="0"/>
        <w:spacing w:line="240" w:lineRule="auto"/>
        <w:rPr>
          <w:snapToGrid/>
          <w:szCs w:val="22"/>
          <w:lang w:val="lt-LT"/>
        </w:rPr>
      </w:pPr>
    </w:p>
    <w:p w14:paraId="0BE9637B" w14:textId="390E2BA0" w:rsidR="00890384" w:rsidRDefault="00B26795">
      <w:pPr>
        <w:widowControl w:val="0"/>
        <w:tabs>
          <w:tab w:val="clear" w:pos="567"/>
        </w:tabs>
        <w:autoSpaceDE w:val="0"/>
        <w:autoSpaceDN w:val="0"/>
        <w:spacing w:line="240" w:lineRule="auto"/>
        <w:rPr>
          <w:snapToGrid/>
          <w:szCs w:val="22"/>
          <w:lang w:val="lt-LT"/>
        </w:rPr>
      </w:pPr>
      <w:r>
        <w:rPr>
          <w:snapToGrid/>
          <w:szCs w:val="22"/>
          <w:lang w:val="lt-LT"/>
        </w:rPr>
        <w:t>Buvo įvertintos pagrindinės antrinės vertinamosios baigtys – stiprus kraujavimas ir mirtis, įvykusi dėl bet kurios priežasties, pagal iš anksto nustatytą hierarchinę bandymų strategiją I tipo klaidoms kontroliuoti tyrimų metu. Buvo pasiektas taip pat ir pagrindinių antrinių vertinamųjų baigčių – stipraus kraujavimo ir mirties, įvykusios dėl bet kurios priežasties, statistiškai reikšmingas pranašumas (žr. 8 lentelę). Gerėjant TNS stebėjimui, pastebėtas apiksabano pranašumas, palyginti su varfarinu, mažinant mirties, įvykusios dėl bet kurios priežasties, dažnį.</w:t>
      </w:r>
    </w:p>
    <w:p w14:paraId="139A1365" w14:textId="77777777" w:rsidR="00890384" w:rsidRDefault="00890384">
      <w:pPr>
        <w:widowControl w:val="0"/>
        <w:tabs>
          <w:tab w:val="clear" w:pos="567"/>
        </w:tabs>
        <w:autoSpaceDE w:val="0"/>
        <w:autoSpaceDN w:val="0"/>
        <w:spacing w:line="240" w:lineRule="auto"/>
        <w:rPr>
          <w:snapToGrid/>
          <w:szCs w:val="22"/>
          <w:lang w:val="lt-LT"/>
        </w:rPr>
      </w:pPr>
    </w:p>
    <w:p w14:paraId="18E6B587" w14:textId="6FAC7A01" w:rsidR="00890384" w:rsidRDefault="00B26795">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8 lentelė. Antrinės vertinamosios baigtys pacientams, kuriems pasireiškė prieširdžių virpėjimas,</w:t>
      </w:r>
    </w:p>
    <w:p w14:paraId="65CEB97B"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ARISTOTLE</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890384" w14:paraId="76A9C533" w14:textId="77777777">
        <w:trPr>
          <w:trHeight w:val="757"/>
        </w:trPr>
        <w:tc>
          <w:tcPr>
            <w:tcW w:w="1951" w:type="dxa"/>
          </w:tcPr>
          <w:p w14:paraId="46AEA1CA" w14:textId="77777777" w:rsidR="00890384" w:rsidRDefault="00890384">
            <w:pPr>
              <w:widowControl w:val="0"/>
              <w:tabs>
                <w:tab w:val="clear" w:pos="567"/>
              </w:tabs>
              <w:autoSpaceDE w:val="0"/>
              <w:autoSpaceDN w:val="0"/>
              <w:spacing w:line="240" w:lineRule="auto"/>
              <w:rPr>
                <w:snapToGrid/>
                <w:szCs w:val="22"/>
                <w:lang w:val="lt-LT"/>
              </w:rPr>
            </w:pPr>
          </w:p>
        </w:tc>
        <w:tc>
          <w:tcPr>
            <w:tcW w:w="1937" w:type="dxa"/>
          </w:tcPr>
          <w:p w14:paraId="348190C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Apiksabanas </w:t>
            </w:r>
          </w:p>
          <w:p w14:paraId="699B3C2A"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=9 088</w:t>
            </w:r>
          </w:p>
          <w:p w14:paraId="0360015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1520E1B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297F10C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9 052</w:t>
            </w:r>
          </w:p>
          <w:p w14:paraId="0AB3751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219FC22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272" w:type="dxa"/>
          </w:tcPr>
          <w:p w14:paraId="08E93BDA"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890384" w14:paraId="003E475B" w14:textId="77777777">
        <w:trPr>
          <w:trHeight w:val="280"/>
        </w:trPr>
        <w:tc>
          <w:tcPr>
            <w:tcW w:w="9120" w:type="dxa"/>
            <w:gridSpan w:val="5"/>
          </w:tcPr>
          <w:p w14:paraId="69FF3FC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Kraujavimo baigtys</w:t>
            </w:r>
          </w:p>
        </w:tc>
      </w:tr>
      <w:tr w:rsidR="00890384" w14:paraId="4E0F4F7E" w14:textId="77777777">
        <w:trPr>
          <w:trHeight w:val="277"/>
        </w:trPr>
        <w:tc>
          <w:tcPr>
            <w:tcW w:w="1951" w:type="dxa"/>
          </w:tcPr>
          <w:p w14:paraId="704418E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37" w:type="dxa"/>
          </w:tcPr>
          <w:p w14:paraId="7F7CC55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327 (2,13)</w:t>
            </w:r>
          </w:p>
        </w:tc>
        <w:tc>
          <w:tcPr>
            <w:tcW w:w="1980" w:type="dxa"/>
          </w:tcPr>
          <w:p w14:paraId="70AA837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462 (3,09)</w:t>
            </w:r>
          </w:p>
        </w:tc>
        <w:tc>
          <w:tcPr>
            <w:tcW w:w="1980" w:type="dxa"/>
          </w:tcPr>
          <w:p w14:paraId="5882AB1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0,69 (0,60, 0,80)</w:t>
            </w:r>
          </w:p>
        </w:tc>
        <w:tc>
          <w:tcPr>
            <w:tcW w:w="1272" w:type="dxa"/>
          </w:tcPr>
          <w:p w14:paraId="27E9C3F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219979E2" w14:textId="77777777">
        <w:trPr>
          <w:trHeight w:val="270"/>
        </w:trPr>
        <w:tc>
          <w:tcPr>
            <w:tcW w:w="1951" w:type="dxa"/>
          </w:tcPr>
          <w:p w14:paraId="3C69652C" w14:textId="77777777" w:rsidR="00890384" w:rsidRDefault="00B26795">
            <w:pPr>
              <w:widowControl w:val="0"/>
              <w:tabs>
                <w:tab w:val="clear" w:pos="567"/>
              </w:tabs>
              <w:autoSpaceDE w:val="0"/>
              <w:autoSpaceDN w:val="0"/>
              <w:spacing w:line="240" w:lineRule="auto"/>
              <w:ind w:left="397"/>
              <w:rPr>
                <w:snapToGrid/>
                <w:szCs w:val="22"/>
                <w:lang w:val="lt-LT"/>
              </w:rPr>
            </w:pPr>
            <w:r>
              <w:rPr>
                <w:snapToGrid/>
                <w:szCs w:val="22"/>
                <w:lang w:val="lt-LT"/>
              </w:rPr>
              <w:t>Mirtinas</w:t>
            </w:r>
          </w:p>
        </w:tc>
        <w:tc>
          <w:tcPr>
            <w:tcW w:w="1937" w:type="dxa"/>
          </w:tcPr>
          <w:p w14:paraId="325B1F0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 (0,06)</w:t>
            </w:r>
          </w:p>
        </w:tc>
        <w:tc>
          <w:tcPr>
            <w:tcW w:w="1980" w:type="dxa"/>
          </w:tcPr>
          <w:p w14:paraId="6CC130E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37 (0,24)</w:t>
            </w:r>
          </w:p>
        </w:tc>
        <w:tc>
          <w:tcPr>
            <w:tcW w:w="1980" w:type="dxa"/>
          </w:tcPr>
          <w:p w14:paraId="4A7E931E"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72" w:type="dxa"/>
          </w:tcPr>
          <w:p w14:paraId="74DEC787"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600C00B9" w14:textId="77777777">
        <w:trPr>
          <w:trHeight w:val="251"/>
        </w:trPr>
        <w:tc>
          <w:tcPr>
            <w:tcW w:w="1951" w:type="dxa"/>
          </w:tcPr>
          <w:p w14:paraId="17E5A60D" w14:textId="77777777" w:rsidR="00890384" w:rsidRDefault="00B26795">
            <w:pPr>
              <w:widowControl w:val="0"/>
              <w:tabs>
                <w:tab w:val="clear" w:pos="567"/>
              </w:tabs>
              <w:autoSpaceDE w:val="0"/>
              <w:autoSpaceDN w:val="0"/>
              <w:spacing w:line="240" w:lineRule="auto"/>
              <w:ind w:left="397"/>
              <w:rPr>
                <w:snapToGrid/>
                <w:szCs w:val="22"/>
                <w:lang w:val="lt-LT"/>
              </w:rPr>
            </w:pPr>
            <w:r>
              <w:rPr>
                <w:snapToGrid/>
                <w:szCs w:val="22"/>
                <w:lang w:val="lt-LT"/>
              </w:rPr>
              <w:t>Intrakranijinis</w:t>
            </w:r>
          </w:p>
        </w:tc>
        <w:tc>
          <w:tcPr>
            <w:tcW w:w="1937" w:type="dxa"/>
          </w:tcPr>
          <w:p w14:paraId="601FF71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52 (0,33)</w:t>
            </w:r>
          </w:p>
        </w:tc>
        <w:tc>
          <w:tcPr>
            <w:tcW w:w="1980" w:type="dxa"/>
          </w:tcPr>
          <w:p w14:paraId="4558352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122 (0,80)</w:t>
            </w:r>
          </w:p>
        </w:tc>
        <w:tc>
          <w:tcPr>
            <w:tcW w:w="1980" w:type="dxa"/>
          </w:tcPr>
          <w:p w14:paraId="63FC11A7"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72" w:type="dxa"/>
          </w:tcPr>
          <w:p w14:paraId="583E1081"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0AA56BFF" w14:textId="77777777">
        <w:trPr>
          <w:trHeight w:val="277"/>
        </w:trPr>
        <w:tc>
          <w:tcPr>
            <w:tcW w:w="1951" w:type="dxa"/>
          </w:tcPr>
          <w:p w14:paraId="4784AD9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r>
              <w:rPr>
                <w:snapToGrid/>
                <w:szCs w:val="24"/>
                <w:vertAlign w:val="superscript"/>
                <w:lang w:val="en-US" w:eastAsia="sl-SI"/>
              </w:rPr>
              <w:t>†</w:t>
            </w:r>
          </w:p>
        </w:tc>
        <w:tc>
          <w:tcPr>
            <w:tcW w:w="1937" w:type="dxa"/>
          </w:tcPr>
          <w:p w14:paraId="4803974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613 (4,07)</w:t>
            </w:r>
          </w:p>
        </w:tc>
        <w:tc>
          <w:tcPr>
            <w:tcW w:w="1980" w:type="dxa"/>
          </w:tcPr>
          <w:p w14:paraId="4CCE4A9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877 (6,01)</w:t>
            </w:r>
          </w:p>
        </w:tc>
        <w:tc>
          <w:tcPr>
            <w:tcW w:w="1980" w:type="dxa"/>
          </w:tcPr>
          <w:p w14:paraId="2110629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0,68 (0,61, 0,75)</w:t>
            </w:r>
          </w:p>
        </w:tc>
        <w:tc>
          <w:tcPr>
            <w:tcW w:w="1272" w:type="dxa"/>
          </w:tcPr>
          <w:p w14:paraId="0CA4001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54182A66" w14:textId="77777777">
        <w:trPr>
          <w:trHeight w:val="254"/>
        </w:trPr>
        <w:tc>
          <w:tcPr>
            <w:tcW w:w="1951" w:type="dxa"/>
          </w:tcPr>
          <w:p w14:paraId="072CDB1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1937" w:type="dxa"/>
          </w:tcPr>
          <w:p w14:paraId="5EDE102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2356 (18,1)</w:t>
            </w:r>
          </w:p>
        </w:tc>
        <w:tc>
          <w:tcPr>
            <w:tcW w:w="1980" w:type="dxa"/>
          </w:tcPr>
          <w:p w14:paraId="081F23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3060 (25,8)</w:t>
            </w:r>
          </w:p>
        </w:tc>
        <w:tc>
          <w:tcPr>
            <w:tcW w:w="1980" w:type="dxa"/>
          </w:tcPr>
          <w:p w14:paraId="2D9E01D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0,71 (0,68, 0,75)</w:t>
            </w:r>
          </w:p>
        </w:tc>
        <w:tc>
          <w:tcPr>
            <w:tcW w:w="1272" w:type="dxa"/>
          </w:tcPr>
          <w:p w14:paraId="21B912E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54DEBD54" w14:textId="77777777">
        <w:trPr>
          <w:trHeight w:val="183"/>
        </w:trPr>
        <w:tc>
          <w:tcPr>
            <w:tcW w:w="9120" w:type="dxa"/>
            <w:gridSpan w:val="5"/>
          </w:tcPr>
          <w:p w14:paraId="3E1F612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Kitos vertinamosios baigtys</w:t>
            </w:r>
          </w:p>
        </w:tc>
      </w:tr>
      <w:tr w:rsidR="00890384" w14:paraId="7F25A123" w14:textId="77777777">
        <w:trPr>
          <w:trHeight w:val="425"/>
        </w:trPr>
        <w:tc>
          <w:tcPr>
            <w:tcW w:w="1951" w:type="dxa"/>
            <w:vAlign w:val="center"/>
          </w:tcPr>
          <w:p w14:paraId="0012272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937" w:type="dxa"/>
            <w:vAlign w:val="center"/>
          </w:tcPr>
          <w:p w14:paraId="537471E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603 (3,52)</w:t>
            </w:r>
          </w:p>
        </w:tc>
        <w:tc>
          <w:tcPr>
            <w:tcW w:w="1980" w:type="dxa"/>
            <w:vAlign w:val="center"/>
          </w:tcPr>
          <w:p w14:paraId="3543C03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669 (3,94)</w:t>
            </w:r>
          </w:p>
        </w:tc>
        <w:tc>
          <w:tcPr>
            <w:tcW w:w="1980" w:type="dxa"/>
            <w:vAlign w:val="center"/>
          </w:tcPr>
          <w:p w14:paraId="0331855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0,89 (0,80, 1,00)</w:t>
            </w:r>
          </w:p>
        </w:tc>
        <w:tc>
          <w:tcPr>
            <w:tcW w:w="1272" w:type="dxa"/>
            <w:vAlign w:val="center"/>
          </w:tcPr>
          <w:p w14:paraId="1DD4935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0,0465</w:t>
            </w:r>
          </w:p>
        </w:tc>
      </w:tr>
      <w:tr w:rsidR="00890384" w14:paraId="0CDA4B1B" w14:textId="77777777">
        <w:trPr>
          <w:trHeight w:val="263"/>
        </w:trPr>
        <w:tc>
          <w:tcPr>
            <w:tcW w:w="1951" w:type="dxa"/>
            <w:vAlign w:val="center"/>
          </w:tcPr>
          <w:p w14:paraId="61A3AA7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Miokardo infarktas</w:t>
            </w:r>
          </w:p>
        </w:tc>
        <w:tc>
          <w:tcPr>
            <w:tcW w:w="1937" w:type="dxa"/>
            <w:vAlign w:val="center"/>
          </w:tcPr>
          <w:p w14:paraId="5ECF365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90 (0,53)</w:t>
            </w:r>
          </w:p>
        </w:tc>
        <w:tc>
          <w:tcPr>
            <w:tcW w:w="1980" w:type="dxa"/>
            <w:vAlign w:val="center"/>
          </w:tcPr>
          <w:p w14:paraId="4E63F69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102 (0,61)</w:t>
            </w:r>
          </w:p>
        </w:tc>
        <w:tc>
          <w:tcPr>
            <w:tcW w:w="1980" w:type="dxa"/>
            <w:vAlign w:val="center"/>
          </w:tcPr>
          <w:p w14:paraId="6BF853B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0,88 (0,66, 1,17)</w:t>
            </w:r>
          </w:p>
        </w:tc>
        <w:tc>
          <w:tcPr>
            <w:tcW w:w="1272" w:type="dxa"/>
            <w:vAlign w:val="center"/>
          </w:tcPr>
          <w:p w14:paraId="30B0E1FC" w14:textId="77777777" w:rsidR="00890384" w:rsidRDefault="00890384">
            <w:pPr>
              <w:widowControl w:val="0"/>
              <w:tabs>
                <w:tab w:val="clear" w:pos="567"/>
              </w:tabs>
              <w:autoSpaceDE w:val="0"/>
              <w:autoSpaceDN w:val="0"/>
              <w:spacing w:line="240" w:lineRule="auto"/>
              <w:jc w:val="center"/>
              <w:rPr>
                <w:snapToGrid/>
                <w:szCs w:val="22"/>
                <w:lang w:val="lt-LT"/>
              </w:rPr>
            </w:pPr>
          </w:p>
        </w:tc>
      </w:tr>
    </w:tbl>
    <w:p w14:paraId="2D7FF405" w14:textId="77777777" w:rsidR="00890384" w:rsidRDefault="00B26795">
      <w:pPr>
        <w:widowControl w:val="0"/>
        <w:numPr>
          <w:ilvl w:val="0"/>
          <w:numId w:val="5"/>
        </w:numPr>
        <w:tabs>
          <w:tab w:val="clear" w:pos="567"/>
          <w:tab w:val="left" w:pos="401"/>
        </w:tabs>
        <w:autoSpaceDE w:val="0"/>
        <w:autoSpaceDN w:val="0"/>
        <w:spacing w:line="240" w:lineRule="auto"/>
        <w:ind w:left="0" w:firstLine="0"/>
        <w:rPr>
          <w:snapToGrid/>
          <w:sz w:val="20"/>
          <w:szCs w:val="22"/>
          <w:lang w:val="lt-LT"/>
        </w:rPr>
      </w:pPr>
      <w:r>
        <w:rPr>
          <w:snapToGrid/>
          <w:sz w:val="20"/>
          <w:szCs w:val="22"/>
          <w:lang w:val="lt-LT"/>
        </w:rPr>
        <w:t xml:space="preserve">Stiprus kraujavimas apibūdinamas pagal tarptautinės trombozės ir hemostazės asociacijos (angl. </w:t>
      </w:r>
      <w:r>
        <w:rPr>
          <w:i/>
          <w:snapToGrid/>
          <w:sz w:val="20"/>
          <w:szCs w:val="22"/>
          <w:lang w:val="lt-LT"/>
        </w:rPr>
        <w:t>International Society on Thrombosis and Haemostasis [ISTH]</w:t>
      </w:r>
      <w:r>
        <w:rPr>
          <w:snapToGrid/>
          <w:sz w:val="20"/>
          <w:szCs w:val="22"/>
          <w:lang w:val="lt-LT"/>
        </w:rPr>
        <w:t>) kriterijus.</w:t>
      </w:r>
    </w:p>
    <w:p w14:paraId="20C139E9" w14:textId="77777777" w:rsidR="00890384" w:rsidRPr="005261E3" w:rsidRDefault="00B26795">
      <w:pPr>
        <w:widowControl w:val="0"/>
        <w:tabs>
          <w:tab w:val="clear" w:pos="567"/>
        </w:tabs>
        <w:autoSpaceDE w:val="0"/>
        <w:autoSpaceDN w:val="0"/>
        <w:spacing w:line="240" w:lineRule="auto"/>
        <w:rPr>
          <w:sz w:val="20"/>
        </w:rPr>
      </w:pPr>
      <w:r w:rsidRPr="005261E3">
        <w:rPr>
          <w:sz w:val="20"/>
        </w:rPr>
        <w:t>† Kliniškai reikšmingas nestiprus.</w:t>
      </w:r>
    </w:p>
    <w:p w14:paraId="2FD76E2C" w14:textId="77777777" w:rsidR="00890384" w:rsidRDefault="00890384">
      <w:pPr>
        <w:widowControl w:val="0"/>
        <w:tabs>
          <w:tab w:val="clear" w:pos="567"/>
        </w:tabs>
        <w:autoSpaceDE w:val="0"/>
        <w:autoSpaceDN w:val="0"/>
        <w:spacing w:line="240" w:lineRule="auto"/>
        <w:rPr>
          <w:snapToGrid/>
          <w:szCs w:val="22"/>
          <w:lang w:val="lt-LT"/>
        </w:rPr>
      </w:pPr>
    </w:p>
    <w:p w14:paraId="76AA4F3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ARISTOTLE tyrimo metu vartojant apiksabaną buvo 1,8 %, o vartojant varfariną – 2,6 %.</w:t>
      </w:r>
    </w:p>
    <w:p w14:paraId="7EAF05BD" w14:textId="77777777" w:rsidR="00890384" w:rsidRDefault="00890384">
      <w:pPr>
        <w:widowControl w:val="0"/>
        <w:tabs>
          <w:tab w:val="clear" w:pos="567"/>
        </w:tabs>
        <w:autoSpaceDE w:val="0"/>
        <w:autoSpaceDN w:val="0"/>
        <w:spacing w:line="240" w:lineRule="auto"/>
        <w:rPr>
          <w:snapToGrid/>
          <w:szCs w:val="22"/>
          <w:lang w:val="lt-LT"/>
        </w:rPr>
      </w:pPr>
    </w:p>
    <w:p w14:paraId="1B7C2C8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Veiksmingumo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pirminius veiksmingumo rezultatus bendrojoje populiacijoje, tirtoje tyrimo metu.</w:t>
      </w:r>
    </w:p>
    <w:p w14:paraId="05C61809" w14:textId="77777777" w:rsidR="00890384" w:rsidRDefault="00890384">
      <w:pPr>
        <w:widowControl w:val="0"/>
        <w:tabs>
          <w:tab w:val="clear" w:pos="567"/>
        </w:tabs>
        <w:autoSpaceDE w:val="0"/>
        <w:autoSpaceDN w:val="0"/>
        <w:spacing w:line="240" w:lineRule="auto"/>
        <w:rPr>
          <w:snapToGrid/>
          <w:szCs w:val="22"/>
          <w:lang w:val="lt-LT"/>
        </w:rPr>
      </w:pPr>
    </w:p>
    <w:p w14:paraId="1B94B99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Stipraus kraujavimo iš virškinimo trakto (įskaitant kraujavimą iš viršutinės VT dalies, kraujavimą iš apatinės VT dalies ir kraujavimą iš tiesiosios žarnos) pagal ISTH dažnis buvo 0,76 % per metus vartojant apiksabano ir 0,86 % per metus vartojant varfarino.</w:t>
      </w:r>
    </w:p>
    <w:p w14:paraId="33A05854" w14:textId="77777777" w:rsidR="00890384" w:rsidRDefault="00890384">
      <w:pPr>
        <w:widowControl w:val="0"/>
        <w:tabs>
          <w:tab w:val="clear" w:pos="567"/>
        </w:tabs>
        <w:autoSpaceDE w:val="0"/>
        <w:autoSpaceDN w:val="0"/>
        <w:spacing w:line="240" w:lineRule="auto"/>
        <w:rPr>
          <w:snapToGrid/>
          <w:szCs w:val="22"/>
          <w:lang w:val="lt-LT"/>
        </w:rPr>
      </w:pPr>
    </w:p>
    <w:p w14:paraId="2969682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Stipraus kraujavimo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rezultatus bendrojoje populiacijoje, tirtoje tyrimo metu.</w:t>
      </w:r>
    </w:p>
    <w:p w14:paraId="4BCC9D1E" w14:textId="77777777" w:rsidR="00890384" w:rsidRDefault="00890384">
      <w:pPr>
        <w:widowControl w:val="0"/>
        <w:tabs>
          <w:tab w:val="clear" w:pos="567"/>
        </w:tabs>
        <w:autoSpaceDE w:val="0"/>
        <w:autoSpaceDN w:val="0"/>
        <w:spacing w:line="240" w:lineRule="auto"/>
        <w:rPr>
          <w:snapToGrid/>
          <w:szCs w:val="22"/>
          <w:lang w:val="lt-LT"/>
        </w:rPr>
      </w:pPr>
    </w:p>
    <w:p w14:paraId="03B46DA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AVERROES tyrimas</w:t>
      </w:r>
    </w:p>
    <w:p w14:paraId="3BDF6CC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AVERROES tyrimo metu tyrėjams nusprendus, kad iš viso 5 598 pacientai netinkami gydyti VKA, jiems atsitiktiniu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Pr>
          <w:snapToGrid/>
          <w:szCs w:val="22"/>
          <w:vertAlign w:val="subscript"/>
          <w:lang w:val="lt-LT"/>
        </w:rPr>
        <w:t>2</w:t>
      </w:r>
      <w:r>
        <w:rPr>
          <w:snapToGrid/>
          <w:szCs w:val="22"/>
          <w:lang w:val="lt-LT"/>
        </w:rPr>
        <w:t xml:space="preserve"> balas – 2,0 ir 13,6 % pacientų anksčiau buvo patyrę insultą arba PSIP.</w:t>
      </w:r>
    </w:p>
    <w:p w14:paraId="055C97E3" w14:textId="77777777" w:rsidR="00890384" w:rsidRDefault="00890384">
      <w:pPr>
        <w:widowControl w:val="0"/>
        <w:tabs>
          <w:tab w:val="clear" w:pos="567"/>
        </w:tabs>
        <w:autoSpaceDE w:val="0"/>
        <w:autoSpaceDN w:val="0"/>
        <w:spacing w:line="240" w:lineRule="auto"/>
        <w:rPr>
          <w:snapToGrid/>
          <w:szCs w:val="22"/>
          <w:lang w:val="lt-LT"/>
        </w:rPr>
      </w:pPr>
    </w:p>
    <w:p w14:paraId="4C3B9C8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Dažnos priežastys, dėl kurių netiko gydymas VKA, AVERROES tyrimo metu buvo negalėjimas/maža galimybė nustatyti TNS reikiamais laiko intervalais (42,6 %), pacientas atsisakė gydymo VKA (37,4 %), CHADS</w:t>
      </w:r>
      <w:r>
        <w:rPr>
          <w:snapToGrid/>
          <w:szCs w:val="22"/>
          <w:vertAlign w:val="subscript"/>
          <w:lang w:val="lt-LT"/>
        </w:rPr>
        <w:t>2</w:t>
      </w:r>
      <w:r>
        <w:rPr>
          <w:snapToGrid/>
          <w:szCs w:val="22"/>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25F0E8AC" w14:textId="77777777" w:rsidR="00890384" w:rsidRDefault="00890384">
      <w:pPr>
        <w:widowControl w:val="0"/>
        <w:tabs>
          <w:tab w:val="clear" w:pos="567"/>
        </w:tabs>
        <w:autoSpaceDE w:val="0"/>
        <w:autoSpaceDN w:val="0"/>
        <w:spacing w:line="240" w:lineRule="auto"/>
        <w:rPr>
          <w:snapToGrid/>
          <w:szCs w:val="22"/>
          <w:lang w:val="lt-LT"/>
        </w:rPr>
      </w:pPr>
    </w:p>
    <w:p w14:paraId="261ACB1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AVERROES tyrimas buvo nutrauktas anksčiau nei numatyta, remiantis nepriklausomo duomenų stebėjimo komiteto rekomendacija, gavus aiškius insulto ir sisteminės embolijos sumažėjimo įrodymus ir priimtinus saugumo duomenis.</w:t>
      </w:r>
    </w:p>
    <w:p w14:paraId="6CEE7C42" w14:textId="77777777" w:rsidR="00890384" w:rsidRDefault="00890384">
      <w:pPr>
        <w:widowControl w:val="0"/>
        <w:tabs>
          <w:tab w:val="clear" w:pos="567"/>
        </w:tabs>
        <w:autoSpaceDE w:val="0"/>
        <w:autoSpaceDN w:val="0"/>
        <w:spacing w:line="240" w:lineRule="auto"/>
        <w:rPr>
          <w:snapToGrid/>
          <w:szCs w:val="22"/>
          <w:lang w:val="lt-LT"/>
        </w:rPr>
      </w:pPr>
    </w:p>
    <w:p w14:paraId="1421EBB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AVERROES</w:t>
      </w:r>
      <w:r>
        <w:rPr>
          <w:i/>
          <w:snapToGrid/>
          <w:szCs w:val="22"/>
          <w:lang w:val="lt-LT"/>
        </w:rPr>
        <w:t xml:space="preserve"> </w:t>
      </w:r>
      <w:r>
        <w:rPr>
          <w:snapToGrid/>
          <w:szCs w:val="22"/>
          <w:lang w:val="lt-LT"/>
        </w:rPr>
        <w:t>tyrimo metu vartojant apiksabaną buvo 1,5 %, o vartojant ASR – 1,3 %.</w:t>
      </w:r>
    </w:p>
    <w:p w14:paraId="745B6E37" w14:textId="77777777" w:rsidR="00890384" w:rsidRDefault="00890384">
      <w:pPr>
        <w:widowControl w:val="0"/>
        <w:tabs>
          <w:tab w:val="clear" w:pos="567"/>
        </w:tabs>
        <w:autoSpaceDE w:val="0"/>
        <w:autoSpaceDN w:val="0"/>
        <w:spacing w:line="240" w:lineRule="auto"/>
        <w:rPr>
          <w:snapToGrid/>
          <w:szCs w:val="22"/>
          <w:lang w:val="lt-LT"/>
        </w:rPr>
      </w:pPr>
    </w:p>
    <w:p w14:paraId="72A0256B" w14:textId="46D1733F"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Šio tyrimo duomenimis, vartojant apiksabano, buvo pasiektas statistiškai reikšmingas svarbiausiosios vertinamosios baigties - apsaugos nuo insulto (hemoraginio, išeminio ar nepatikslinto) ar sisteminės embolijos pranašumas (žr. 9 lentelę), palyginti su ASR.</w:t>
      </w:r>
    </w:p>
    <w:p w14:paraId="04C87A61" w14:textId="77777777" w:rsidR="00890384" w:rsidRDefault="00890384">
      <w:pPr>
        <w:widowControl w:val="0"/>
        <w:tabs>
          <w:tab w:val="clear" w:pos="567"/>
        </w:tabs>
        <w:autoSpaceDE w:val="0"/>
        <w:autoSpaceDN w:val="0"/>
        <w:spacing w:line="240" w:lineRule="auto"/>
        <w:rPr>
          <w:snapToGrid/>
          <w:szCs w:val="22"/>
          <w:lang w:val="lt-LT"/>
        </w:rPr>
      </w:pPr>
    </w:p>
    <w:p w14:paraId="1A0B7C22" w14:textId="6C3F0D87" w:rsidR="00890384" w:rsidRDefault="00B26795">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9 lentelė. Svarbiausios veiksmingumo vertinamosios baigtys pacientams, kuriems pasireiškė prieširdžių virpėjimas, AVERROES</w:t>
      </w:r>
      <w:r>
        <w:rPr>
          <w:b/>
          <w:bCs/>
          <w:i/>
          <w:snapToGrid/>
          <w:szCs w:val="22"/>
          <w:lang w:val="lt-LT"/>
        </w:rPr>
        <w:t xml:space="preserve"> </w:t>
      </w:r>
      <w:r>
        <w:rPr>
          <w:b/>
          <w:bCs/>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890384" w14:paraId="26F19431" w14:textId="77777777">
        <w:trPr>
          <w:trHeight w:val="1250"/>
        </w:trPr>
        <w:tc>
          <w:tcPr>
            <w:tcW w:w="3212" w:type="dxa"/>
          </w:tcPr>
          <w:p w14:paraId="45A5F43A" w14:textId="77777777" w:rsidR="00890384" w:rsidRDefault="00890384">
            <w:pPr>
              <w:widowControl w:val="0"/>
              <w:tabs>
                <w:tab w:val="clear" w:pos="567"/>
              </w:tabs>
              <w:autoSpaceDE w:val="0"/>
              <w:autoSpaceDN w:val="0"/>
              <w:spacing w:line="240" w:lineRule="auto"/>
              <w:rPr>
                <w:snapToGrid/>
                <w:szCs w:val="22"/>
                <w:lang w:val="lt-LT"/>
              </w:rPr>
            </w:pPr>
          </w:p>
        </w:tc>
        <w:tc>
          <w:tcPr>
            <w:tcW w:w="1594" w:type="dxa"/>
          </w:tcPr>
          <w:p w14:paraId="0A9720A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Apiksabanas </w:t>
            </w:r>
          </w:p>
          <w:p w14:paraId="62CD4AE3"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2 807</w:t>
            </w:r>
          </w:p>
          <w:p w14:paraId="78BECF9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529" w:type="dxa"/>
          </w:tcPr>
          <w:p w14:paraId="4B2EA7A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57E181F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2 791</w:t>
            </w:r>
          </w:p>
          <w:p w14:paraId="0143963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834" w:type="dxa"/>
          </w:tcPr>
          <w:p w14:paraId="18E7237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001" w:type="dxa"/>
          </w:tcPr>
          <w:p w14:paraId="76473688" w14:textId="77777777" w:rsidR="00890384" w:rsidRDefault="00890384">
            <w:pPr>
              <w:widowControl w:val="0"/>
              <w:tabs>
                <w:tab w:val="clear" w:pos="567"/>
              </w:tabs>
              <w:autoSpaceDE w:val="0"/>
              <w:autoSpaceDN w:val="0"/>
              <w:spacing w:line="240" w:lineRule="auto"/>
              <w:jc w:val="center"/>
              <w:rPr>
                <w:b/>
                <w:snapToGrid/>
                <w:szCs w:val="22"/>
                <w:lang w:val="lt-LT"/>
              </w:rPr>
            </w:pPr>
          </w:p>
          <w:p w14:paraId="2504099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890384" w14:paraId="067116AC" w14:textId="77777777">
        <w:trPr>
          <w:trHeight w:val="253"/>
        </w:trPr>
        <w:tc>
          <w:tcPr>
            <w:tcW w:w="3212" w:type="dxa"/>
          </w:tcPr>
          <w:p w14:paraId="1CCEF29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Insultas ar sisteminė embolija*</w:t>
            </w:r>
          </w:p>
        </w:tc>
        <w:tc>
          <w:tcPr>
            <w:tcW w:w="1594" w:type="dxa"/>
          </w:tcPr>
          <w:p w14:paraId="4A3C8B8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51 (1,62)</w:t>
            </w:r>
          </w:p>
        </w:tc>
        <w:tc>
          <w:tcPr>
            <w:tcW w:w="1529" w:type="dxa"/>
          </w:tcPr>
          <w:p w14:paraId="0FC2892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113 (3,63)</w:t>
            </w:r>
          </w:p>
        </w:tc>
        <w:tc>
          <w:tcPr>
            <w:tcW w:w="1834" w:type="dxa"/>
          </w:tcPr>
          <w:p w14:paraId="35134F7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0,45 (0,32, 0,62)</w:t>
            </w:r>
          </w:p>
        </w:tc>
        <w:tc>
          <w:tcPr>
            <w:tcW w:w="1001" w:type="dxa"/>
          </w:tcPr>
          <w:p w14:paraId="40DD577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5AD0FA0B" w14:textId="77777777">
        <w:trPr>
          <w:trHeight w:val="254"/>
        </w:trPr>
        <w:tc>
          <w:tcPr>
            <w:tcW w:w="3212" w:type="dxa"/>
          </w:tcPr>
          <w:p w14:paraId="3B7F7EEE"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Insultas</w:t>
            </w:r>
          </w:p>
        </w:tc>
        <w:tc>
          <w:tcPr>
            <w:tcW w:w="1594" w:type="dxa"/>
          </w:tcPr>
          <w:p w14:paraId="25353E04"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529" w:type="dxa"/>
          </w:tcPr>
          <w:p w14:paraId="0698D2DC"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834" w:type="dxa"/>
          </w:tcPr>
          <w:p w14:paraId="2FDDE643"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001" w:type="dxa"/>
          </w:tcPr>
          <w:p w14:paraId="6ED775D9"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093F1952" w14:textId="77777777">
        <w:trPr>
          <w:trHeight w:val="251"/>
        </w:trPr>
        <w:tc>
          <w:tcPr>
            <w:tcW w:w="3212" w:type="dxa"/>
          </w:tcPr>
          <w:p w14:paraId="1E156DB6"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Išeminis ar nepatikslintas</w:t>
            </w:r>
          </w:p>
        </w:tc>
        <w:tc>
          <w:tcPr>
            <w:tcW w:w="1594" w:type="dxa"/>
          </w:tcPr>
          <w:p w14:paraId="371EA04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43 (1,37)</w:t>
            </w:r>
          </w:p>
        </w:tc>
        <w:tc>
          <w:tcPr>
            <w:tcW w:w="1529" w:type="dxa"/>
          </w:tcPr>
          <w:p w14:paraId="2CF8AB3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97 (3,11)</w:t>
            </w:r>
          </w:p>
        </w:tc>
        <w:tc>
          <w:tcPr>
            <w:tcW w:w="1834" w:type="dxa"/>
          </w:tcPr>
          <w:p w14:paraId="5ACD903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0,44 (0,31, 0,63)</w:t>
            </w:r>
          </w:p>
        </w:tc>
        <w:tc>
          <w:tcPr>
            <w:tcW w:w="1001" w:type="dxa"/>
          </w:tcPr>
          <w:p w14:paraId="1B222DAD"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3548534E" w14:textId="77777777">
        <w:trPr>
          <w:trHeight w:val="253"/>
        </w:trPr>
        <w:tc>
          <w:tcPr>
            <w:tcW w:w="3212" w:type="dxa"/>
          </w:tcPr>
          <w:p w14:paraId="54BB1F9A"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Hemoraginis</w:t>
            </w:r>
          </w:p>
        </w:tc>
        <w:tc>
          <w:tcPr>
            <w:tcW w:w="1594" w:type="dxa"/>
          </w:tcPr>
          <w:p w14:paraId="29B8355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(0,19)</w:t>
            </w:r>
          </w:p>
        </w:tc>
        <w:tc>
          <w:tcPr>
            <w:tcW w:w="1529" w:type="dxa"/>
          </w:tcPr>
          <w:p w14:paraId="1AE3B8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 (0,28)</w:t>
            </w:r>
          </w:p>
        </w:tc>
        <w:tc>
          <w:tcPr>
            <w:tcW w:w="1834" w:type="dxa"/>
          </w:tcPr>
          <w:p w14:paraId="2D357B0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0,67 (0,24, 1,88)</w:t>
            </w:r>
          </w:p>
        </w:tc>
        <w:tc>
          <w:tcPr>
            <w:tcW w:w="1001" w:type="dxa"/>
          </w:tcPr>
          <w:p w14:paraId="77BD53E4"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4D124DA7" w14:textId="77777777">
        <w:trPr>
          <w:trHeight w:val="251"/>
        </w:trPr>
        <w:tc>
          <w:tcPr>
            <w:tcW w:w="3212" w:type="dxa"/>
          </w:tcPr>
          <w:p w14:paraId="32B0AC61"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Sisteminė embolija</w:t>
            </w:r>
          </w:p>
        </w:tc>
        <w:tc>
          <w:tcPr>
            <w:tcW w:w="1594" w:type="dxa"/>
          </w:tcPr>
          <w:p w14:paraId="3ED1E54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 (0,06)</w:t>
            </w:r>
          </w:p>
        </w:tc>
        <w:tc>
          <w:tcPr>
            <w:tcW w:w="1529" w:type="dxa"/>
          </w:tcPr>
          <w:p w14:paraId="1556693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 (0,41)</w:t>
            </w:r>
          </w:p>
        </w:tc>
        <w:tc>
          <w:tcPr>
            <w:tcW w:w="1834" w:type="dxa"/>
          </w:tcPr>
          <w:p w14:paraId="2F0ECC8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 (0,03, 0,68)</w:t>
            </w:r>
          </w:p>
        </w:tc>
        <w:tc>
          <w:tcPr>
            <w:tcW w:w="1001" w:type="dxa"/>
          </w:tcPr>
          <w:p w14:paraId="65C837D2"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4CFDA18D" w14:textId="77777777">
        <w:trPr>
          <w:trHeight w:val="760"/>
        </w:trPr>
        <w:tc>
          <w:tcPr>
            <w:tcW w:w="3212" w:type="dxa"/>
          </w:tcPr>
          <w:p w14:paraId="5239DBC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Insultas, sisteminė embolija, MI arba mirtis, kurios priežastis – kraujagyslių sutrikimai </w:t>
            </w:r>
            <w:r>
              <w:rPr>
                <w:b/>
                <w:snapToGrid/>
                <w:szCs w:val="22"/>
                <w:lang w:val="lt-LT"/>
              </w:rPr>
              <w:t>*</w:t>
            </w:r>
            <w:r>
              <w:rPr>
                <w:snapToGrid/>
                <w:szCs w:val="22"/>
                <w:vertAlign w:val="superscript"/>
                <w:lang w:val="lt-LT"/>
              </w:rPr>
              <w:t>†</w:t>
            </w:r>
          </w:p>
        </w:tc>
        <w:tc>
          <w:tcPr>
            <w:tcW w:w="1594" w:type="dxa"/>
          </w:tcPr>
          <w:p w14:paraId="10B05E0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132 (4,21)</w:t>
            </w:r>
          </w:p>
        </w:tc>
        <w:tc>
          <w:tcPr>
            <w:tcW w:w="1529" w:type="dxa"/>
          </w:tcPr>
          <w:p w14:paraId="5913B6A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197 (6,35)</w:t>
            </w:r>
          </w:p>
        </w:tc>
        <w:tc>
          <w:tcPr>
            <w:tcW w:w="1834" w:type="dxa"/>
          </w:tcPr>
          <w:p w14:paraId="6453713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0,66 (0,53, 0,83)</w:t>
            </w:r>
          </w:p>
        </w:tc>
        <w:tc>
          <w:tcPr>
            <w:tcW w:w="1001" w:type="dxa"/>
          </w:tcPr>
          <w:p w14:paraId="702B6CE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0,003</w:t>
            </w:r>
          </w:p>
        </w:tc>
      </w:tr>
      <w:tr w:rsidR="00890384" w14:paraId="79BED0A8" w14:textId="77777777">
        <w:trPr>
          <w:trHeight w:val="251"/>
        </w:trPr>
        <w:tc>
          <w:tcPr>
            <w:tcW w:w="3212" w:type="dxa"/>
          </w:tcPr>
          <w:p w14:paraId="392B6A93"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Miokardo infarktas</w:t>
            </w:r>
          </w:p>
        </w:tc>
        <w:tc>
          <w:tcPr>
            <w:tcW w:w="1594" w:type="dxa"/>
          </w:tcPr>
          <w:p w14:paraId="51A466C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24 (0,76)</w:t>
            </w:r>
          </w:p>
        </w:tc>
        <w:tc>
          <w:tcPr>
            <w:tcW w:w="1529" w:type="dxa"/>
          </w:tcPr>
          <w:p w14:paraId="2B072D1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28 (0,89)</w:t>
            </w:r>
          </w:p>
        </w:tc>
        <w:tc>
          <w:tcPr>
            <w:tcW w:w="1834" w:type="dxa"/>
          </w:tcPr>
          <w:p w14:paraId="4D5AAF6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0,86 (0,50, 1,48)</w:t>
            </w:r>
          </w:p>
        </w:tc>
        <w:tc>
          <w:tcPr>
            <w:tcW w:w="1001" w:type="dxa"/>
          </w:tcPr>
          <w:p w14:paraId="2B085558"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5B2207EC" w14:textId="77777777">
        <w:trPr>
          <w:trHeight w:val="506"/>
        </w:trPr>
        <w:tc>
          <w:tcPr>
            <w:tcW w:w="3212" w:type="dxa"/>
          </w:tcPr>
          <w:p w14:paraId="2857A602"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Mirtis, kurios priežastis – kraujagyslių sutrikimai</w:t>
            </w:r>
          </w:p>
        </w:tc>
        <w:tc>
          <w:tcPr>
            <w:tcW w:w="1594" w:type="dxa"/>
          </w:tcPr>
          <w:p w14:paraId="458860A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84 (2,65)</w:t>
            </w:r>
          </w:p>
        </w:tc>
        <w:tc>
          <w:tcPr>
            <w:tcW w:w="1529" w:type="dxa"/>
          </w:tcPr>
          <w:p w14:paraId="1BF012C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96 (3,03)</w:t>
            </w:r>
          </w:p>
        </w:tc>
        <w:tc>
          <w:tcPr>
            <w:tcW w:w="1834" w:type="dxa"/>
          </w:tcPr>
          <w:p w14:paraId="640C18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0,87 (0,65, 1,17)</w:t>
            </w:r>
          </w:p>
        </w:tc>
        <w:tc>
          <w:tcPr>
            <w:tcW w:w="1001" w:type="dxa"/>
          </w:tcPr>
          <w:p w14:paraId="3F20747F"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09FE41AE" w14:textId="77777777">
        <w:trPr>
          <w:trHeight w:val="504"/>
        </w:trPr>
        <w:tc>
          <w:tcPr>
            <w:tcW w:w="3212" w:type="dxa"/>
          </w:tcPr>
          <w:p w14:paraId="4396D62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Mirtis, įvykusi dėl bet kurios priežasties </w:t>
            </w:r>
            <w:r>
              <w:rPr>
                <w:snapToGrid/>
                <w:szCs w:val="22"/>
                <w:vertAlign w:val="superscript"/>
                <w:lang w:val="lt-LT"/>
              </w:rPr>
              <w:t>†</w:t>
            </w:r>
          </w:p>
        </w:tc>
        <w:tc>
          <w:tcPr>
            <w:tcW w:w="1594" w:type="dxa"/>
          </w:tcPr>
          <w:p w14:paraId="0CA1915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111 (3,51)</w:t>
            </w:r>
          </w:p>
        </w:tc>
        <w:tc>
          <w:tcPr>
            <w:tcW w:w="1529" w:type="dxa"/>
          </w:tcPr>
          <w:p w14:paraId="2D50CEC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140 (4,42)</w:t>
            </w:r>
          </w:p>
        </w:tc>
        <w:tc>
          <w:tcPr>
            <w:tcW w:w="1834" w:type="dxa"/>
          </w:tcPr>
          <w:p w14:paraId="1018A56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0,79 (0,62, 1,02)</w:t>
            </w:r>
          </w:p>
        </w:tc>
        <w:tc>
          <w:tcPr>
            <w:tcW w:w="1001" w:type="dxa"/>
          </w:tcPr>
          <w:p w14:paraId="1C8DE10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0,068</w:t>
            </w:r>
          </w:p>
        </w:tc>
      </w:tr>
    </w:tbl>
    <w:p w14:paraId="7A2A60E9" w14:textId="77777777" w:rsidR="00890384" w:rsidRDefault="00B26795">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lastRenderedPageBreak/>
        <w:t>* Įvertinant pagal nuosekliąją bandymų strategiją, skirtą I tipo klaidoms kontroliuoti tyrimų metu.</w:t>
      </w:r>
    </w:p>
    <w:p w14:paraId="46D4CD65" w14:textId="77777777" w:rsidR="00890384" w:rsidRDefault="00B26795">
      <w:pPr>
        <w:widowControl w:val="0"/>
        <w:tabs>
          <w:tab w:val="clear" w:pos="567"/>
        </w:tabs>
        <w:autoSpaceDE w:val="0"/>
        <w:autoSpaceDN w:val="0"/>
        <w:spacing w:line="240" w:lineRule="auto"/>
        <w:rPr>
          <w:snapToGrid/>
          <w:sz w:val="20"/>
          <w:szCs w:val="22"/>
          <w:lang w:val="lt-LT"/>
        </w:rPr>
      </w:pPr>
      <w:r>
        <w:rPr>
          <w:snapToGrid/>
          <w:sz w:val="20"/>
          <w:szCs w:val="22"/>
          <w:lang w:val="lt-LT"/>
        </w:rPr>
        <w:t>† Antrinė vertinamoji baigtis.</w:t>
      </w:r>
    </w:p>
    <w:p w14:paraId="6CD8742E" w14:textId="77777777" w:rsidR="00890384" w:rsidRDefault="00890384">
      <w:pPr>
        <w:widowControl w:val="0"/>
        <w:tabs>
          <w:tab w:val="clear" w:pos="567"/>
        </w:tabs>
        <w:autoSpaceDE w:val="0"/>
        <w:autoSpaceDN w:val="0"/>
        <w:spacing w:line="240" w:lineRule="auto"/>
        <w:rPr>
          <w:snapToGrid/>
          <w:szCs w:val="22"/>
          <w:lang w:val="lt-LT"/>
        </w:rPr>
      </w:pPr>
    </w:p>
    <w:p w14:paraId="46EDF668" w14:textId="49F6E57C"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Statistiškai reikšmingų stipraus kraujavimo dažnio skirtumų vartojant apiksabaną ar ASR nebuvo (žr. 10 lentelę).</w:t>
      </w:r>
    </w:p>
    <w:p w14:paraId="3212CAA0" w14:textId="77777777" w:rsidR="00890384" w:rsidRDefault="00890384">
      <w:pPr>
        <w:widowControl w:val="0"/>
        <w:tabs>
          <w:tab w:val="clear" w:pos="567"/>
        </w:tabs>
        <w:autoSpaceDE w:val="0"/>
        <w:autoSpaceDN w:val="0"/>
        <w:spacing w:line="240" w:lineRule="auto"/>
        <w:rPr>
          <w:snapToGrid/>
          <w:szCs w:val="22"/>
          <w:lang w:val="lt-LT"/>
        </w:rPr>
      </w:pPr>
    </w:p>
    <w:p w14:paraId="15F4239C" w14:textId="1FCEA030" w:rsidR="00890384" w:rsidRDefault="00B26795">
      <w:pPr>
        <w:widowControl w:val="0"/>
        <w:tabs>
          <w:tab w:val="clear" w:pos="567"/>
          <w:tab w:val="left" w:pos="401"/>
        </w:tabs>
        <w:autoSpaceDE w:val="0"/>
        <w:autoSpaceDN w:val="0"/>
        <w:spacing w:line="240" w:lineRule="auto"/>
        <w:outlineLvl w:val="1"/>
        <w:rPr>
          <w:b/>
          <w:snapToGrid/>
          <w:szCs w:val="22"/>
          <w:lang w:val="lt-LT"/>
        </w:rPr>
      </w:pPr>
      <w:r>
        <w:rPr>
          <w:b/>
          <w:bCs/>
          <w:snapToGrid/>
          <w:szCs w:val="22"/>
          <w:lang w:val="lt-LT"/>
        </w:rPr>
        <w:t xml:space="preserve">10 lentelė. Kraujavimo reiškiniai pacientams, kuriems pasireiškė prieširdžių virpėjimas, </w:t>
      </w:r>
      <w:r>
        <w:rPr>
          <w:b/>
          <w:snapToGrid/>
          <w:szCs w:val="22"/>
          <w:lang w:val="lt-LT"/>
        </w:rPr>
        <w:t>AVERROES</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890384" w14:paraId="0805B6B4" w14:textId="77777777">
        <w:trPr>
          <w:trHeight w:val="860"/>
        </w:trPr>
        <w:tc>
          <w:tcPr>
            <w:tcW w:w="2127" w:type="dxa"/>
          </w:tcPr>
          <w:p w14:paraId="5206D616" w14:textId="77777777" w:rsidR="00890384" w:rsidRDefault="00890384">
            <w:pPr>
              <w:widowControl w:val="0"/>
              <w:tabs>
                <w:tab w:val="clear" w:pos="567"/>
              </w:tabs>
              <w:autoSpaceDE w:val="0"/>
              <w:autoSpaceDN w:val="0"/>
              <w:spacing w:line="240" w:lineRule="auto"/>
              <w:rPr>
                <w:snapToGrid/>
                <w:szCs w:val="22"/>
                <w:lang w:val="lt-LT"/>
              </w:rPr>
            </w:pPr>
          </w:p>
        </w:tc>
        <w:tc>
          <w:tcPr>
            <w:tcW w:w="1980" w:type="dxa"/>
            <w:vAlign w:val="center"/>
          </w:tcPr>
          <w:p w14:paraId="6B4FEF9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p w14:paraId="74A77FB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2 798</w:t>
            </w:r>
          </w:p>
          <w:p w14:paraId="58DCA10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09" w:type="dxa"/>
            <w:vAlign w:val="center"/>
          </w:tcPr>
          <w:p w14:paraId="231A268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D45614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2 780</w:t>
            </w:r>
          </w:p>
          <w:p w14:paraId="29B20F9A"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2071" w:type="dxa"/>
            <w:vAlign w:val="center"/>
          </w:tcPr>
          <w:p w14:paraId="2F0D57D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989" w:type="dxa"/>
            <w:vAlign w:val="center"/>
          </w:tcPr>
          <w:p w14:paraId="2DF0C01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890384" w14:paraId="78D068E4" w14:textId="77777777">
        <w:trPr>
          <w:trHeight w:val="280"/>
        </w:trPr>
        <w:tc>
          <w:tcPr>
            <w:tcW w:w="2127" w:type="dxa"/>
          </w:tcPr>
          <w:p w14:paraId="5E3EDF6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80" w:type="dxa"/>
          </w:tcPr>
          <w:p w14:paraId="2D0D14E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45 (1,41)</w:t>
            </w:r>
          </w:p>
        </w:tc>
        <w:tc>
          <w:tcPr>
            <w:tcW w:w="1709" w:type="dxa"/>
          </w:tcPr>
          <w:p w14:paraId="69E7113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29 (0,92)</w:t>
            </w:r>
          </w:p>
        </w:tc>
        <w:tc>
          <w:tcPr>
            <w:tcW w:w="2071" w:type="dxa"/>
          </w:tcPr>
          <w:p w14:paraId="608C797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1,54 (0,96, 2,45)</w:t>
            </w:r>
          </w:p>
        </w:tc>
        <w:tc>
          <w:tcPr>
            <w:tcW w:w="989" w:type="dxa"/>
          </w:tcPr>
          <w:p w14:paraId="081DC30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0,0716</w:t>
            </w:r>
          </w:p>
        </w:tc>
      </w:tr>
      <w:tr w:rsidR="00890384" w14:paraId="4C5D6FF1" w14:textId="77777777">
        <w:trPr>
          <w:trHeight w:val="268"/>
        </w:trPr>
        <w:tc>
          <w:tcPr>
            <w:tcW w:w="2127" w:type="dxa"/>
          </w:tcPr>
          <w:p w14:paraId="6E54E23E"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Mirtinas, n</w:t>
            </w:r>
          </w:p>
        </w:tc>
        <w:tc>
          <w:tcPr>
            <w:tcW w:w="1980" w:type="dxa"/>
          </w:tcPr>
          <w:p w14:paraId="4978689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1709" w:type="dxa"/>
          </w:tcPr>
          <w:p w14:paraId="2B527E9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2071" w:type="dxa"/>
          </w:tcPr>
          <w:p w14:paraId="16CF571A"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989" w:type="dxa"/>
          </w:tcPr>
          <w:p w14:paraId="2B4D37AB"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13A173D1" w14:textId="77777777">
        <w:trPr>
          <w:trHeight w:val="310"/>
        </w:trPr>
        <w:tc>
          <w:tcPr>
            <w:tcW w:w="2127" w:type="dxa"/>
          </w:tcPr>
          <w:p w14:paraId="379C3BB4"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Intrakranijinis,  n</w:t>
            </w:r>
          </w:p>
        </w:tc>
        <w:tc>
          <w:tcPr>
            <w:tcW w:w="1980" w:type="dxa"/>
          </w:tcPr>
          <w:p w14:paraId="7FAB495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(0,34)</w:t>
            </w:r>
          </w:p>
        </w:tc>
        <w:tc>
          <w:tcPr>
            <w:tcW w:w="1709" w:type="dxa"/>
          </w:tcPr>
          <w:p w14:paraId="6929B6D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(0,35)</w:t>
            </w:r>
          </w:p>
        </w:tc>
        <w:tc>
          <w:tcPr>
            <w:tcW w:w="2071" w:type="dxa"/>
          </w:tcPr>
          <w:p w14:paraId="005767E4"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989" w:type="dxa"/>
          </w:tcPr>
          <w:p w14:paraId="343941E3"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3AE49174" w14:textId="77777777">
        <w:trPr>
          <w:trHeight w:val="278"/>
        </w:trPr>
        <w:tc>
          <w:tcPr>
            <w:tcW w:w="2127" w:type="dxa"/>
          </w:tcPr>
          <w:p w14:paraId="33E4CC5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80" w:type="dxa"/>
          </w:tcPr>
          <w:p w14:paraId="6B7F7D3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140 (4,46)</w:t>
            </w:r>
          </w:p>
        </w:tc>
        <w:tc>
          <w:tcPr>
            <w:tcW w:w="1709" w:type="dxa"/>
          </w:tcPr>
          <w:p w14:paraId="14F3AAD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101 (3,24)</w:t>
            </w:r>
          </w:p>
        </w:tc>
        <w:tc>
          <w:tcPr>
            <w:tcW w:w="2071" w:type="dxa"/>
          </w:tcPr>
          <w:p w14:paraId="62EE61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1,38 (1,07, 1,78)</w:t>
            </w:r>
          </w:p>
        </w:tc>
        <w:tc>
          <w:tcPr>
            <w:tcW w:w="989" w:type="dxa"/>
          </w:tcPr>
          <w:p w14:paraId="6E1BC86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0,0144</w:t>
            </w:r>
          </w:p>
        </w:tc>
      </w:tr>
      <w:tr w:rsidR="00890384" w14:paraId="431E0491" w14:textId="77777777">
        <w:trPr>
          <w:trHeight w:val="96"/>
        </w:trPr>
        <w:tc>
          <w:tcPr>
            <w:tcW w:w="2127" w:type="dxa"/>
          </w:tcPr>
          <w:p w14:paraId="6DACEE3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1980" w:type="dxa"/>
          </w:tcPr>
          <w:p w14:paraId="1E3BED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325 (10,85)</w:t>
            </w:r>
          </w:p>
        </w:tc>
        <w:tc>
          <w:tcPr>
            <w:tcW w:w="1709" w:type="dxa"/>
          </w:tcPr>
          <w:p w14:paraId="7C1EBD4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250 (8,32)</w:t>
            </w:r>
          </w:p>
        </w:tc>
        <w:tc>
          <w:tcPr>
            <w:tcW w:w="2071" w:type="dxa"/>
          </w:tcPr>
          <w:p w14:paraId="4250CEB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1,30 (1,10, 1,53)</w:t>
            </w:r>
          </w:p>
        </w:tc>
        <w:tc>
          <w:tcPr>
            <w:tcW w:w="989" w:type="dxa"/>
          </w:tcPr>
          <w:p w14:paraId="3116649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0,0017</w:t>
            </w:r>
          </w:p>
        </w:tc>
      </w:tr>
    </w:tbl>
    <w:p w14:paraId="71A21759" w14:textId="77777777" w:rsidR="00890384" w:rsidRDefault="00B26795">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International Society on Thrombosis and Haemostasis [ISTH]</w:t>
      </w:r>
      <w:r>
        <w:rPr>
          <w:snapToGrid/>
          <w:sz w:val="20"/>
          <w:szCs w:val="22"/>
          <w:lang w:val="lt-LT"/>
        </w:rPr>
        <w:t>) kriterijus.</w:t>
      </w:r>
    </w:p>
    <w:p w14:paraId="7266A804" w14:textId="77777777" w:rsidR="00890384" w:rsidRDefault="00B26795">
      <w:pPr>
        <w:widowControl w:val="0"/>
        <w:tabs>
          <w:tab w:val="clear" w:pos="567"/>
        </w:tabs>
        <w:autoSpaceDE w:val="0"/>
        <w:autoSpaceDN w:val="0"/>
        <w:spacing w:line="240" w:lineRule="auto"/>
        <w:ind w:left="360" w:hanging="360"/>
        <w:rPr>
          <w:snapToGrid/>
          <w:sz w:val="20"/>
          <w:szCs w:val="22"/>
          <w:lang w:val="lt-LT"/>
        </w:rPr>
      </w:pPr>
      <w:r>
        <w:rPr>
          <w:snapToGrid/>
          <w:sz w:val="20"/>
          <w:szCs w:val="22"/>
          <w:vertAlign w:val="superscript"/>
          <w:lang w:val="lt-LT"/>
        </w:rPr>
        <w:t>†</w:t>
      </w:r>
      <w:r>
        <w:rPr>
          <w:snapToGrid/>
          <w:sz w:val="20"/>
          <w:szCs w:val="22"/>
          <w:lang w:val="lt-LT"/>
        </w:rPr>
        <w:t xml:space="preserve"> Kliniškai reikšmingas, nestiprus.</w:t>
      </w:r>
    </w:p>
    <w:p w14:paraId="674896DD" w14:textId="77777777" w:rsidR="00890384" w:rsidRDefault="00890384">
      <w:pPr>
        <w:widowControl w:val="0"/>
        <w:tabs>
          <w:tab w:val="clear" w:pos="567"/>
        </w:tabs>
        <w:autoSpaceDE w:val="0"/>
        <w:autoSpaceDN w:val="0"/>
        <w:spacing w:line="240" w:lineRule="auto"/>
        <w:rPr>
          <w:i/>
          <w:snapToGrid/>
          <w:szCs w:val="22"/>
          <w:u w:val="single"/>
          <w:lang w:val="lt-LT"/>
        </w:rPr>
      </w:pPr>
    </w:p>
    <w:p w14:paraId="66D08E66"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pasireiškė VNPV ir sirgo ŪKS, ir (arba) kuriems atlikta PVAI</w:t>
      </w:r>
    </w:p>
    <w:p w14:paraId="69F3D16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Atvirame atsitiktinių imčių, kontroliuojamame, 2 x 2 veiksnių modelio tyrime AUGUSTUS dalyvavo 4 614 VNPV patyrusių </w:t>
      </w:r>
      <w:r>
        <w:t xml:space="preserve">suaugusių </w:t>
      </w:r>
      <w:r>
        <w:rPr>
          <w:snapToGrid/>
          <w:szCs w:val="22"/>
          <w:lang w:val="lt-LT"/>
        </w:rPr>
        <w:t>pacientų, kurie sirgo ŪKS (43 %) ir (arba) kuriems atlikta PVAI (56 %). Visiems pacientams skirtas bazinis gydymas P2Y12 inhibitoriumi (klopidogreliu: 90,3 %) pagal vietos sveikatos priežiūros standartą.</w:t>
      </w:r>
    </w:p>
    <w:p w14:paraId="49B4F093" w14:textId="54E4189E" w:rsidR="00890384" w:rsidRDefault="00890384">
      <w:pPr>
        <w:widowControl w:val="0"/>
        <w:tabs>
          <w:tab w:val="clear" w:pos="567"/>
        </w:tabs>
        <w:autoSpaceDE w:val="0"/>
        <w:autoSpaceDN w:val="0"/>
        <w:spacing w:line="240" w:lineRule="auto"/>
        <w:rPr>
          <w:snapToGrid/>
          <w:szCs w:val="22"/>
          <w:lang w:val="lt-LT"/>
        </w:rPr>
      </w:pPr>
    </w:p>
    <w:p w14:paraId="3D7E0BE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Pacientai per 14 dienų po ŪKS ir (arba) PVAI laikotarpį atsitiktinių imčių būdu buvo priskirti vartoti po 5 mg apiksabano du kartus per parą (po 2,5 mg du kartus per parą, jeigu atitiko du arba daugiau dozės mažinimo kriterijų; 10 % vartojo mažesnę dozę) arba VKA, kartu skiriant ASR (81 mg vieną kartą per parą) arba placebo. Pacientų amžiaus vidurkis buvo 69,9 metų; 94 % atsitiktinėms imtims priskirtų pacientų nustatytas &gt; 2 balų vertinimas pagal CHA2DS</w:t>
      </w:r>
      <w:r>
        <w:rPr>
          <w:snapToGrid/>
          <w:szCs w:val="22"/>
          <w:vertAlign w:val="subscript"/>
          <w:lang w:val="lt-LT"/>
        </w:rPr>
        <w:t>2</w:t>
      </w:r>
      <w:r>
        <w:rPr>
          <w:snapToGrid/>
          <w:szCs w:val="22"/>
          <w:lang w:val="lt-LT"/>
        </w:rPr>
        <w:t>-VASc, o 47 % nustatytas &gt; 3 balų vertinimas pagal HAS-BLED. Pacientų, kuriems atsitiktinių imčių būdu buvo skirta vartoti VKA, laiko, kai vertės atitiko terapines ribas (TTR) (TNS 2–3), proporcinė dalis siekė 56 %; laiko, kai vertės buvo mažesnės nei TTR – 32 %, o laiko, kai vertės buvo aukštesnės už TTR –12 %.</w:t>
      </w:r>
    </w:p>
    <w:p w14:paraId="279C3261" w14:textId="77777777" w:rsidR="00890384" w:rsidRDefault="00890384">
      <w:pPr>
        <w:widowControl w:val="0"/>
        <w:tabs>
          <w:tab w:val="clear" w:pos="567"/>
        </w:tabs>
        <w:autoSpaceDE w:val="0"/>
        <w:autoSpaceDN w:val="0"/>
        <w:spacing w:line="240" w:lineRule="auto"/>
        <w:rPr>
          <w:snapToGrid/>
          <w:szCs w:val="22"/>
          <w:lang w:val="lt-LT"/>
        </w:rPr>
      </w:pPr>
    </w:p>
    <w:p w14:paraId="2E457E5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241 (10,5 %) pacientui apiksabano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kvartilės TTR. Kraujavimų dažnis apiksabano ir didžiausio kvartilio TTR pogrupiuose buvo panašus.</w:t>
      </w:r>
    </w:p>
    <w:p w14:paraId="3B0BC36A" w14:textId="77777777" w:rsidR="00890384" w:rsidRDefault="00890384">
      <w:pPr>
        <w:widowControl w:val="0"/>
        <w:tabs>
          <w:tab w:val="clear" w:pos="567"/>
        </w:tabs>
        <w:autoSpaceDE w:val="0"/>
        <w:autoSpaceDN w:val="0"/>
        <w:spacing w:line="240" w:lineRule="auto"/>
        <w:rPr>
          <w:snapToGrid/>
          <w:szCs w:val="22"/>
          <w:lang w:val="lt-LT"/>
        </w:rPr>
      </w:pPr>
    </w:p>
    <w:p w14:paraId="4D54991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Palyginus ASR su placebu, pirminė vertinamoji baigtis stiprus kraujavimas pagal ISTH</w:t>
      </w:r>
      <w:r>
        <w:rPr>
          <w:i/>
          <w:snapToGrid/>
          <w:szCs w:val="22"/>
          <w:lang w:val="lt-LT"/>
        </w:rPr>
        <w:t xml:space="preserve"> </w:t>
      </w:r>
      <w:r>
        <w:rPr>
          <w:snapToGrid/>
          <w:szCs w:val="22"/>
          <w:lang w:val="lt-LT"/>
        </w:rPr>
        <w:t>arba KRNS kraujavimas 6-ąjį mėnesį nustatyta atitinkamai 367 (16,1 %) pacientams ASR grupėje ir 204 (9,0 %) pacientams placebo grupėje (SR = 1,88; 95 % PI: 1,58; 2,23; dvipusio kriterijaus p &lt; 0,0001).</w:t>
      </w:r>
    </w:p>
    <w:p w14:paraId="4182E50C" w14:textId="77777777" w:rsidR="00890384" w:rsidRDefault="00890384">
      <w:pPr>
        <w:widowControl w:val="0"/>
        <w:tabs>
          <w:tab w:val="clear" w:pos="567"/>
        </w:tabs>
        <w:autoSpaceDE w:val="0"/>
        <w:autoSpaceDN w:val="0"/>
        <w:spacing w:line="240" w:lineRule="auto"/>
        <w:rPr>
          <w:snapToGrid/>
          <w:szCs w:val="22"/>
          <w:lang w:val="lt-LT"/>
        </w:rPr>
      </w:pPr>
    </w:p>
    <w:p w14:paraId="5599CC5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Nagrinėjant konkrečiai, apiksabanu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0840C3F5" w14:textId="77777777" w:rsidR="00890384" w:rsidRDefault="00890384">
      <w:pPr>
        <w:widowControl w:val="0"/>
        <w:tabs>
          <w:tab w:val="clear" w:pos="567"/>
        </w:tabs>
        <w:autoSpaceDE w:val="0"/>
        <w:autoSpaceDN w:val="0"/>
        <w:spacing w:line="240" w:lineRule="auto"/>
        <w:rPr>
          <w:snapToGrid/>
          <w:szCs w:val="22"/>
          <w:lang w:val="lt-LT"/>
        </w:rPr>
      </w:pPr>
    </w:p>
    <w:p w14:paraId="37AA30C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Kiti gydymo poveikiai vertinti kaip antrinis tyrimo tikslas, atsižvelgiant į sudėtines vertinamąsias baigtis.</w:t>
      </w:r>
    </w:p>
    <w:p w14:paraId="171DDA33" w14:textId="77777777" w:rsidR="00890384" w:rsidRDefault="00890384">
      <w:pPr>
        <w:widowControl w:val="0"/>
        <w:tabs>
          <w:tab w:val="clear" w:pos="567"/>
        </w:tabs>
        <w:autoSpaceDE w:val="0"/>
        <w:autoSpaceDN w:val="0"/>
        <w:spacing w:line="240" w:lineRule="auto"/>
        <w:rPr>
          <w:snapToGrid/>
          <w:szCs w:val="22"/>
          <w:lang w:val="lt-LT"/>
        </w:rPr>
      </w:pPr>
    </w:p>
    <w:p w14:paraId="6F4887D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skubi </w:t>
      </w:r>
      <w:r>
        <w:rPr>
          <w:snapToGrid/>
          <w:szCs w:val="22"/>
          <w:lang w:val="lt-LT"/>
        </w:rPr>
        <w:lastRenderedPageBreak/>
        <w:t>revaskuliarizacija) nustatyta atitinkamai 170 (7,4 %) pacientų apiksabano grupėje ir 182 (7,9 %) pacientams VKA grupėje.</w:t>
      </w:r>
    </w:p>
    <w:p w14:paraId="4C8FBDC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Palyginus ASR su placebu, sudėtinė vertinamoji baigtis „mirtis arba kartotinė hospitalizacija“ nustatyta atitinkamai 604 (26,2 %) pacientams ASR grupėje ir 569 (24,7 %) pacientams placebo grupėje.</w:t>
      </w:r>
    </w:p>
    <w:p w14:paraId="4170A5E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Sudėtinė vertinamoji baigtis „mirtis arba išeminis įvykis“ (insultas, miokardo infarktas, stento trombozė arba skubi revaskuliarizacija) nustatyta atitinkamai 163 (7,1 %) pacientams ASR grupėje ir 189 (8,2 %) pacientams placebo grupėje.</w:t>
      </w:r>
    </w:p>
    <w:p w14:paraId="19997F9D" w14:textId="77777777" w:rsidR="00890384" w:rsidRDefault="00890384">
      <w:pPr>
        <w:widowControl w:val="0"/>
        <w:tabs>
          <w:tab w:val="clear" w:pos="567"/>
        </w:tabs>
        <w:autoSpaceDE w:val="0"/>
        <w:autoSpaceDN w:val="0"/>
        <w:spacing w:line="240" w:lineRule="auto"/>
        <w:rPr>
          <w:snapToGrid/>
          <w:szCs w:val="22"/>
          <w:lang w:val="lt-LT"/>
        </w:rPr>
      </w:pPr>
    </w:p>
    <w:p w14:paraId="30C164B5" w14:textId="77777777" w:rsidR="00890384" w:rsidRDefault="00B26795">
      <w:pPr>
        <w:widowControl w:val="0"/>
        <w:tabs>
          <w:tab w:val="clear" w:pos="567"/>
        </w:tabs>
        <w:autoSpaceDE w:val="0"/>
        <w:autoSpaceDN w:val="0"/>
        <w:spacing w:line="240" w:lineRule="auto"/>
        <w:rPr>
          <w:i/>
          <w:iCs/>
          <w:snapToGrid/>
          <w:szCs w:val="22"/>
          <w:u w:val="single"/>
          <w:lang w:val="lt-LT"/>
        </w:rPr>
      </w:pPr>
      <w:r>
        <w:rPr>
          <w:i/>
          <w:iCs/>
          <w:snapToGrid/>
          <w:szCs w:val="22"/>
          <w:u w:val="single"/>
          <w:lang w:val="lt-LT"/>
        </w:rPr>
        <w:t>Pacientams, kuriems atliekama kardioversija</w:t>
      </w:r>
    </w:p>
    <w:p w14:paraId="06412FDA" w14:textId="63FBD7C9"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Atvirame daugiacentriame tyrime EMANATE dalyvavo 1500 </w:t>
      </w:r>
      <w:r w:rsidR="003F2ED0">
        <w:rPr>
          <w:snapToGrid/>
          <w:szCs w:val="22"/>
          <w:lang w:val="lt-LT"/>
        </w:rPr>
        <w:t xml:space="preserve">suaugusių </w:t>
      </w:r>
      <w:r>
        <w:rPr>
          <w:snapToGrid/>
          <w:szCs w:val="22"/>
          <w:lang w:val="lt-LT"/>
        </w:rPr>
        <w:t>pacientų, kuriems paskirta kardioversija dėl VNPV ir kurie anksčiau nesigydė per burną vartojamais antikoaguliantais arba jais buvo gydomi mažiau kaip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w:t>
      </w:r>
    </w:p>
    <w:p w14:paraId="0DD5653D" w14:textId="77777777" w:rsidR="00890384" w:rsidRDefault="00890384">
      <w:pPr>
        <w:widowControl w:val="0"/>
        <w:tabs>
          <w:tab w:val="clear" w:pos="567"/>
        </w:tabs>
        <w:autoSpaceDE w:val="0"/>
        <w:autoSpaceDN w:val="0"/>
        <w:spacing w:line="240" w:lineRule="auto"/>
        <w:rPr>
          <w:snapToGrid/>
          <w:szCs w:val="22"/>
          <w:lang w:val="lt-LT"/>
        </w:rPr>
      </w:pPr>
    </w:p>
    <w:p w14:paraId="4E997AA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grupėje insultų nebuvo (0 %) (n = 753), o heparino ir (arba) VKA grupėje įvyko 6 (0,80 %) insultai (n = 747; RS 0,00; 95 % PI 0,00; 0,64). Dėl įvairių priežasčių mirė 2 pacientai (0,27 %) apiksabano grupėje ir 1 pacientas (0,13 %) heparino ir (arba) VKA grupėje. Apie sisteminės embolijos reiškinius pranešimų negauta.</w:t>
      </w:r>
    </w:p>
    <w:p w14:paraId="71021F11" w14:textId="77777777" w:rsidR="00890384" w:rsidRDefault="00890384">
      <w:pPr>
        <w:widowControl w:val="0"/>
        <w:tabs>
          <w:tab w:val="clear" w:pos="567"/>
        </w:tabs>
        <w:autoSpaceDE w:val="0"/>
        <w:autoSpaceDN w:val="0"/>
        <w:spacing w:line="240" w:lineRule="auto"/>
        <w:rPr>
          <w:snapToGrid/>
          <w:szCs w:val="22"/>
          <w:lang w:val="lt-LT"/>
        </w:rPr>
      </w:pPr>
    </w:p>
    <w:p w14:paraId="796ED24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Stipraus kraujavimo ir KRNS kraujavimo reiškinių atitinkamai patyrė 3 (0,41 %) ir 11 (1,50 %) pacientų apiksabano grupėje, palyginti su 6 (0,83 %) ir 13 (1,80 %) pacientų heparino ir (arba) VKA grupėje.</w:t>
      </w:r>
    </w:p>
    <w:p w14:paraId="2B86A905" w14:textId="77777777" w:rsidR="00890384" w:rsidRDefault="00890384">
      <w:pPr>
        <w:widowControl w:val="0"/>
        <w:tabs>
          <w:tab w:val="clear" w:pos="567"/>
        </w:tabs>
        <w:autoSpaceDE w:val="0"/>
        <w:autoSpaceDN w:val="0"/>
        <w:spacing w:line="240" w:lineRule="auto"/>
        <w:rPr>
          <w:snapToGrid/>
          <w:szCs w:val="22"/>
          <w:lang w:val="lt-LT"/>
        </w:rPr>
      </w:pPr>
    </w:p>
    <w:p w14:paraId="680EDE9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Šis žvalgomasis tyrimas parodė, kad veiksmingumas ir saugumas apiksabano ir heparino bei (arba) VKA grupėse, vaistinių preparatų skiriant prieš kardioversiją, yra panašūs.</w:t>
      </w:r>
    </w:p>
    <w:p w14:paraId="1D7DFC0F" w14:textId="77777777" w:rsidR="00890384" w:rsidRDefault="00890384">
      <w:pPr>
        <w:widowControl w:val="0"/>
        <w:tabs>
          <w:tab w:val="clear" w:pos="567"/>
        </w:tabs>
        <w:autoSpaceDE w:val="0"/>
        <w:autoSpaceDN w:val="0"/>
        <w:spacing w:line="240" w:lineRule="auto"/>
        <w:rPr>
          <w:snapToGrid/>
          <w:szCs w:val="22"/>
          <w:lang w:val="lt-LT"/>
        </w:rPr>
      </w:pPr>
    </w:p>
    <w:p w14:paraId="053B7D95"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GVT gydymas, PE gydymas ir pasikartojančios GVT bei PE (VTEt) profilaktika</w:t>
      </w:r>
    </w:p>
    <w:p w14:paraId="564D5E19" w14:textId="4D9154AB" w:rsidR="00890384" w:rsidRDefault="00B26795">
      <w:pPr>
        <w:widowControl w:val="0"/>
        <w:tabs>
          <w:tab w:val="clear" w:pos="567"/>
        </w:tabs>
        <w:autoSpaceDE w:val="0"/>
        <w:autoSpaceDN w:val="0"/>
        <w:spacing w:line="240" w:lineRule="auto"/>
        <w:rPr>
          <w:snapToGrid/>
          <w:szCs w:val="22"/>
          <w:lang w:val="lt-LT"/>
        </w:rPr>
      </w:pPr>
      <w:r>
        <w:t xml:space="preserve">Suaugusiųjų </w:t>
      </w:r>
      <w:r>
        <w:rPr>
          <w:snapToGrid/>
          <w:szCs w:val="22"/>
          <w:lang w:val="lt-LT"/>
        </w:rPr>
        <w:t>klinikinė programa (AMPLIFY: apiksabanas, palyginti su enoksaparinu/varfarinu; AMPLIFY-EXT: apiksabanas, palyginti su placebu) buvo suplanuota taip, kad parodytų apiksabano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koduotu būdu išnagrinėjo nepriklausomas komitetas.</w:t>
      </w:r>
    </w:p>
    <w:p w14:paraId="711FBBEC" w14:textId="77777777" w:rsidR="00890384" w:rsidRDefault="00890384">
      <w:pPr>
        <w:widowControl w:val="0"/>
        <w:tabs>
          <w:tab w:val="clear" w:pos="567"/>
        </w:tabs>
        <w:autoSpaceDE w:val="0"/>
        <w:autoSpaceDN w:val="0"/>
        <w:spacing w:line="240" w:lineRule="auto"/>
        <w:rPr>
          <w:snapToGrid/>
          <w:szCs w:val="22"/>
          <w:lang w:val="lt-LT"/>
        </w:rPr>
      </w:pPr>
    </w:p>
    <w:p w14:paraId="69793A94"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AMPLIFY tyrimas</w:t>
      </w:r>
    </w:p>
    <w:p w14:paraId="6AC924B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Į AMPLIFY tyrimą atsitiktiniu būdu iš viso buvo atrinkti 5 395 </w:t>
      </w:r>
      <w:r>
        <w:t xml:space="preserve">suaugę </w:t>
      </w:r>
      <w:r>
        <w:rPr>
          <w:snapToGrid/>
          <w:szCs w:val="22"/>
          <w:lang w:val="lt-LT"/>
        </w:rPr>
        <w:t>pacientai, kurie buvo gydomi per burną vartojamu apiksabanu (7 paras du kartus per parą po 10 mg, po to 6 mėnesius du kartus per parą po 5 mg) arba po oda skiriamu enoksaparinu (bent 5 paras du kartus per parą po 1 mg/kg [tol, kol TNS pasieks ≥ 2]) ir 6 mėnesius per burną vartojamu varfarinu (tikslinis TNS: 2,0–3,0).</w:t>
      </w:r>
    </w:p>
    <w:p w14:paraId="41918DD7" w14:textId="77777777" w:rsidR="00890384" w:rsidRDefault="00890384">
      <w:pPr>
        <w:widowControl w:val="0"/>
        <w:tabs>
          <w:tab w:val="clear" w:pos="567"/>
        </w:tabs>
        <w:autoSpaceDE w:val="0"/>
        <w:autoSpaceDN w:val="0"/>
        <w:spacing w:line="240" w:lineRule="auto"/>
        <w:rPr>
          <w:snapToGrid/>
          <w:szCs w:val="22"/>
          <w:lang w:val="lt-LT"/>
        </w:rPr>
      </w:pPr>
    </w:p>
    <w:p w14:paraId="07FB4E8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Vidutinis tiriamųjų amžius buvo 56,9 m. ir 89,8 % atsitiktinėms imtims priskirtų pacientų buvo patyrę neišprovokuotų VTE reiškinių.</w:t>
      </w:r>
    </w:p>
    <w:p w14:paraId="4F00F161" w14:textId="77777777" w:rsidR="00890384" w:rsidRDefault="00890384">
      <w:pPr>
        <w:widowControl w:val="0"/>
        <w:tabs>
          <w:tab w:val="clear" w:pos="567"/>
        </w:tabs>
        <w:autoSpaceDE w:val="0"/>
        <w:autoSpaceDN w:val="0"/>
        <w:spacing w:line="240" w:lineRule="auto"/>
        <w:rPr>
          <w:snapToGrid/>
          <w:szCs w:val="22"/>
          <w:lang w:val="lt-LT"/>
        </w:rPr>
      </w:pPr>
    </w:p>
    <w:p w14:paraId="7238E9A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Pacientų, kuriems atsitiktiniu būdu buvo paskirta vartoti varfarino, vidutinis procentinis laikas terapinėse ribose (TNS 2,0–3,0)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enoksaparinu/varfarinu, buvo 0,79 (95 % PI, 0,39, 1,61).</w:t>
      </w:r>
    </w:p>
    <w:p w14:paraId="0C67CC10" w14:textId="77777777" w:rsidR="00890384" w:rsidRDefault="00890384">
      <w:pPr>
        <w:widowControl w:val="0"/>
        <w:tabs>
          <w:tab w:val="clear" w:pos="567"/>
        </w:tabs>
        <w:autoSpaceDE w:val="0"/>
        <w:autoSpaceDN w:val="0"/>
        <w:spacing w:line="240" w:lineRule="auto"/>
        <w:rPr>
          <w:snapToGrid/>
          <w:szCs w:val="22"/>
          <w:lang w:val="lt-LT"/>
        </w:rPr>
      </w:pPr>
    </w:p>
    <w:p w14:paraId="050C3DFC" w14:textId="5B69F3D8" w:rsidR="00890384" w:rsidRDefault="00B26795">
      <w:pPr>
        <w:keepNext/>
        <w:widowControl w:val="0"/>
        <w:tabs>
          <w:tab w:val="clear" w:pos="567"/>
        </w:tabs>
        <w:autoSpaceDE w:val="0"/>
        <w:autoSpaceDN w:val="0"/>
        <w:spacing w:line="240" w:lineRule="auto"/>
        <w:rPr>
          <w:snapToGrid/>
          <w:szCs w:val="22"/>
          <w:lang w:val="lt-LT"/>
        </w:rPr>
      </w:pPr>
      <w:r>
        <w:rPr>
          <w:snapToGrid/>
          <w:szCs w:val="22"/>
          <w:lang w:val="lt-LT"/>
        </w:rPr>
        <w:t xml:space="preserve">Šio tyrimo duomenys rodo, kad, vertinant pagal sudėtinę pagrindinę baigtį (t. y. pagal pripažintų pasikartojančių simptominių VTE reiškinių (nemirtinos GVT arba nemirtinos PE) arba su VTE susijusios mirties atvejų skaičių), gydymas enoksaparinu/varfarinu nebuvo blogesnis (angl. </w:t>
      </w:r>
      <w:r>
        <w:rPr>
          <w:i/>
          <w:snapToGrid/>
          <w:szCs w:val="22"/>
          <w:lang w:val="lt-LT"/>
        </w:rPr>
        <w:t>non-inferior</w:t>
      </w:r>
      <w:r>
        <w:rPr>
          <w:snapToGrid/>
          <w:szCs w:val="22"/>
          <w:lang w:val="lt-LT"/>
        </w:rPr>
        <w:t xml:space="preserve">) už gydymą </w:t>
      </w:r>
      <w:r>
        <w:rPr>
          <w:snapToGrid/>
          <w:szCs w:val="22"/>
          <w:lang w:val="lt-LT"/>
        </w:rPr>
        <w:lastRenderedPageBreak/>
        <w:t>apiksabanu (žr. 11 lentelę).</w:t>
      </w:r>
    </w:p>
    <w:p w14:paraId="41B29A8E" w14:textId="77777777" w:rsidR="00890384" w:rsidRDefault="00890384">
      <w:pPr>
        <w:keepNext/>
        <w:widowControl w:val="0"/>
        <w:tabs>
          <w:tab w:val="clear" w:pos="567"/>
        </w:tabs>
        <w:autoSpaceDE w:val="0"/>
        <w:autoSpaceDN w:val="0"/>
        <w:spacing w:line="240" w:lineRule="auto"/>
        <w:rPr>
          <w:snapToGrid/>
          <w:szCs w:val="22"/>
          <w:lang w:val="lt-LT"/>
        </w:rPr>
      </w:pPr>
    </w:p>
    <w:p w14:paraId="7BE0014A" w14:textId="0ABC8980" w:rsidR="00890384" w:rsidRDefault="00B26795">
      <w:pPr>
        <w:keepNext/>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 xml:space="preserve">11 lentelė. </w:t>
      </w:r>
      <w:r>
        <w:rPr>
          <w:b/>
          <w:bCs/>
          <w:iCs/>
          <w:snapToGrid/>
          <w:szCs w:val="22"/>
          <w:lang w:val="lt-LT"/>
        </w:rPr>
        <w:t>AMPLIFY</w:t>
      </w:r>
      <w:r>
        <w:rPr>
          <w:b/>
          <w:bCs/>
          <w:snapToGrid/>
          <w:szCs w:val="22"/>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890384" w14:paraId="2D6238F8" w14:textId="77777777">
        <w:trPr>
          <w:trHeight w:val="841"/>
        </w:trPr>
        <w:tc>
          <w:tcPr>
            <w:tcW w:w="3070" w:type="dxa"/>
          </w:tcPr>
          <w:p w14:paraId="5B9E6D91" w14:textId="77777777" w:rsidR="00890384" w:rsidRDefault="00890384">
            <w:pPr>
              <w:keepNext/>
              <w:widowControl w:val="0"/>
              <w:tabs>
                <w:tab w:val="clear" w:pos="567"/>
              </w:tabs>
              <w:autoSpaceDE w:val="0"/>
              <w:autoSpaceDN w:val="0"/>
              <w:spacing w:line="240" w:lineRule="auto"/>
              <w:rPr>
                <w:snapToGrid/>
                <w:szCs w:val="22"/>
                <w:lang w:val="lt-LT"/>
              </w:rPr>
            </w:pPr>
          </w:p>
        </w:tc>
        <w:tc>
          <w:tcPr>
            <w:tcW w:w="1560" w:type="dxa"/>
          </w:tcPr>
          <w:p w14:paraId="67DE2CEA"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Apiksabanas </w:t>
            </w:r>
          </w:p>
          <w:p w14:paraId="516DF3A9"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N = 2 609</w:t>
            </w:r>
          </w:p>
          <w:p w14:paraId="02296E65"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1985" w:type="dxa"/>
          </w:tcPr>
          <w:p w14:paraId="0A7CBD8F"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Enoksaparinas / varfarinas</w:t>
            </w:r>
          </w:p>
          <w:p w14:paraId="6E80D883"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N = 2 635 </w:t>
            </w:r>
          </w:p>
          <w:p w14:paraId="5FFF07F3"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981" w:type="dxa"/>
          </w:tcPr>
          <w:p w14:paraId="55E0D542"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890384" w14:paraId="264B2ED8" w14:textId="77777777">
        <w:trPr>
          <w:trHeight w:val="385"/>
        </w:trPr>
        <w:tc>
          <w:tcPr>
            <w:tcW w:w="3070" w:type="dxa"/>
          </w:tcPr>
          <w:p w14:paraId="2C303C77" w14:textId="77777777" w:rsidR="00890384" w:rsidRDefault="00B26795">
            <w:pPr>
              <w:keepNext/>
              <w:widowControl w:val="0"/>
              <w:tabs>
                <w:tab w:val="clear" w:pos="567"/>
              </w:tabs>
              <w:autoSpaceDE w:val="0"/>
              <w:autoSpaceDN w:val="0"/>
              <w:spacing w:line="240" w:lineRule="auto"/>
              <w:rPr>
                <w:snapToGrid/>
                <w:szCs w:val="22"/>
                <w:lang w:val="lt-LT"/>
              </w:rPr>
            </w:pPr>
            <w:r>
              <w:rPr>
                <w:snapToGrid/>
                <w:szCs w:val="22"/>
                <w:lang w:val="lt-LT"/>
              </w:rPr>
              <w:t>VTE arba su VTE susijusi mirtis</w:t>
            </w:r>
          </w:p>
        </w:tc>
        <w:tc>
          <w:tcPr>
            <w:tcW w:w="1560" w:type="dxa"/>
          </w:tcPr>
          <w:p w14:paraId="518C67D0"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59 (2,3)</w:t>
            </w:r>
          </w:p>
        </w:tc>
        <w:tc>
          <w:tcPr>
            <w:tcW w:w="1985" w:type="dxa"/>
          </w:tcPr>
          <w:p w14:paraId="12777473"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71 (2,7)</w:t>
            </w:r>
          </w:p>
        </w:tc>
        <w:tc>
          <w:tcPr>
            <w:tcW w:w="2981" w:type="dxa"/>
          </w:tcPr>
          <w:p w14:paraId="0BBB2A1C"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0,84 (0,60, 1,18)*</w:t>
            </w:r>
          </w:p>
        </w:tc>
      </w:tr>
      <w:tr w:rsidR="00890384" w14:paraId="413AA8C7" w14:textId="77777777">
        <w:trPr>
          <w:trHeight w:val="371"/>
        </w:trPr>
        <w:tc>
          <w:tcPr>
            <w:tcW w:w="3070" w:type="dxa"/>
          </w:tcPr>
          <w:p w14:paraId="2D50D090" w14:textId="77777777" w:rsidR="00890384" w:rsidRDefault="00B26795">
            <w:pPr>
              <w:keepNext/>
              <w:widowControl w:val="0"/>
              <w:tabs>
                <w:tab w:val="clear" w:pos="567"/>
              </w:tabs>
              <w:autoSpaceDE w:val="0"/>
              <w:autoSpaceDN w:val="0"/>
              <w:spacing w:line="240" w:lineRule="auto"/>
              <w:ind w:left="340"/>
              <w:rPr>
                <w:snapToGrid/>
                <w:szCs w:val="22"/>
                <w:lang w:val="lt-LT"/>
              </w:rPr>
            </w:pPr>
            <w:r>
              <w:rPr>
                <w:snapToGrid/>
                <w:szCs w:val="22"/>
                <w:lang w:val="lt-LT"/>
              </w:rPr>
              <w:t>GVT</w:t>
            </w:r>
          </w:p>
        </w:tc>
        <w:tc>
          <w:tcPr>
            <w:tcW w:w="1560" w:type="dxa"/>
          </w:tcPr>
          <w:p w14:paraId="105DF1B7"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20 (0,7)</w:t>
            </w:r>
          </w:p>
        </w:tc>
        <w:tc>
          <w:tcPr>
            <w:tcW w:w="1985" w:type="dxa"/>
          </w:tcPr>
          <w:p w14:paraId="7F0EC54E"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33 (1,2)</w:t>
            </w:r>
          </w:p>
        </w:tc>
        <w:tc>
          <w:tcPr>
            <w:tcW w:w="2981" w:type="dxa"/>
          </w:tcPr>
          <w:p w14:paraId="74B43AA4" w14:textId="77777777" w:rsidR="00890384" w:rsidRDefault="00890384">
            <w:pPr>
              <w:keepNext/>
              <w:widowControl w:val="0"/>
              <w:tabs>
                <w:tab w:val="clear" w:pos="567"/>
              </w:tabs>
              <w:autoSpaceDE w:val="0"/>
              <w:autoSpaceDN w:val="0"/>
              <w:spacing w:line="240" w:lineRule="auto"/>
              <w:jc w:val="center"/>
              <w:rPr>
                <w:snapToGrid/>
                <w:szCs w:val="22"/>
                <w:lang w:val="lt-LT"/>
              </w:rPr>
            </w:pPr>
          </w:p>
        </w:tc>
      </w:tr>
      <w:tr w:rsidR="00890384" w14:paraId="22641316" w14:textId="77777777">
        <w:trPr>
          <w:trHeight w:val="374"/>
        </w:trPr>
        <w:tc>
          <w:tcPr>
            <w:tcW w:w="3070" w:type="dxa"/>
          </w:tcPr>
          <w:p w14:paraId="0269B63C" w14:textId="77777777" w:rsidR="00890384" w:rsidRDefault="00B26795">
            <w:pPr>
              <w:keepNext/>
              <w:widowControl w:val="0"/>
              <w:tabs>
                <w:tab w:val="clear" w:pos="567"/>
              </w:tabs>
              <w:autoSpaceDE w:val="0"/>
              <w:autoSpaceDN w:val="0"/>
              <w:spacing w:line="240" w:lineRule="auto"/>
              <w:ind w:left="340"/>
              <w:rPr>
                <w:snapToGrid/>
                <w:szCs w:val="22"/>
                <w:lang w:val="lt-LT"/>
              </w:rPr>
            </w:pPr>
            <w:r>
              <w:rPr>
                <w:snapToGrid/>
                <w:szCs w:val="22"/>
                <w:lang w:val="lt-LT"/>
              </w:rPr>
              <w:t>PE</w:t>
            </w:r>
          </w:p>
        </w:tc>
        <w:tc>
          <w:tcPr>
            <w:tcW w:w="1560" w:type="dxa"/>
          </w:tcPr>
          <w:p w14:paraId="2C80CA67"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27 (1,0)</w:t>
            </w:r>
          </w:p>
        </w:tc>
        <w:tc>
          <w:tcPr>
            <w:tcW w:w="1985" w:type="dxa"/>
          </w:tcPr>
          <w:p w14:paraId="63E1AA82"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23 (0,9)</w:t>
            </w:r>
          </w:p>
        </w:tc>
        <w:tc>
          <w:tcPr>
            <w:tcW w:w="2981" w:type="dxa"/>
          </w:tcPr>
          <w:p w14:paraId="63572CF1" w14:textId="77777777" w:rsidR="00890384" w:rsidRDefault="00890384">
            <w:pPr>
              <w:keepNext/>
              <w:widowControl w:val="0"/>
              <w:tabs>
                <w:tab w:val="clear" w:pos="567"/>
              </w:tabs>
              <w:autoSpaceDE w:val="0"/>
              <w:autoSpaceDN w:val="0"/>
              <w:spacing w:line="240" w:lineRule="auto"/>
              <w:jc w:val="center"/>
              <w:rPr>
                <w:snapToGrid/>
                <w:szCs w:val="22"/>
                <w:lang w:val="lt-LT"/>
              </w:rPr>
            </w:pPr>
          </w:p>
        </w:tc>
      </w:tr>
      <w:tr w:rsidR="00890384" w14:paraId="0D924603" w14:textId="77777777">
        <w:trPr>
          <w:trHeight w:val="373"/>
        </w:trPr>
        <w:tc>
          <w:tcPr>
            <w:tcW w:w="3070" w:type="dxa"/>
          </w:tcPr>
          <w:p w14:paraId="743CFE4B" w14:textId="77777777" w:rsidR="00890384" w:rsidRDefault="00B26795">
            <w:pPr>
              <w:keepNext/>
              <w:widowControl w:val="0"/>
              <w:tabs>
                <w:tab w:val="clear" w:pos="567"/>
              </w:tabs>
              <w:autoSpaceDE w:val="0"/>
              <w:autoSpaceDN w:val="0"/>
              <w:spacing w:line="240" w:lineRule="auto"/>
              <w:ind w:left="340"/>
              <w:rPr>
                <w:snapToGrid/>
                <w:szCs w:val="22"/>
                <w:lang w:val="lt-LT"/>
              </w:rPr>
            </w:pPr>
            <w:r>
              <w:rPr>
                <w:snapToGrid/>
                <w:szCs w:val="22"/>
                <w:lang w:val="lt-LT"/>
              </w:rPr>
              <w:t>Su VTE susijusi mirtis</w:t>
            </w:r>
          </w:p>
        </w:tc>
        <w:tc>
          <w:tcPr>
            <w:tcW w:w="1560" w:type="dxa"/>
          </w:tcPr>
          <w:p w14:paraId="62F47223"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12 (0,4)</w:t>
            </w:r>
          </w:p>
        </w:tc>
        <w:tc>
          <w:tcPr>
            <w:tcW w:w="1985" w:type="dxa"/>
          </w:tcPr>
          <w:p w14:paraId="56CBA253"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981" w:type="dxa"/>
          </w:tcPr>
          <w:p w14:paraId="5D1F1C6C" w14:textId="77777777" w:rsidR="00890384" w:rsidRDefault="00890384">
            <w:pPr>
              <w:keepNext/>
              <w:widowControl w:val="0"/>
              <w:tabs>
                <w:tab w:val="clear" w:pos="567"/>
              </w:tabs>
              <w:autoSpaceDE w:val="0"/>
              <w:autoSpaceDN w:val="0"/>
              <w:spacing w:line="240" w:lineRule="auto"/>
              <w:jc w:val="center"/>
              <w:rPr>
                <w:snapToGrid/>
                <w:szCs w:val="22"/>
                <w:lang w:val="lt-LT"/>
              </w:rPr>
            </w:pPr>
          </w:p>
        </w:tc>
      </w:tr>
      <w:tr w:rsidR="00890384" w14:paraId="1CE21C74"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3F948E5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4125BB15"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5F86EACB"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55EA699A"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0,82 (0,61, 1,08)</w:t>
            </w:r>
          </w:p>
        </w:tc>
      </w:tr>
      <w:tr w:rsidR="00890384" w14:paraId="699B8BE3"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96A4A0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6DA60D95"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16640BB0"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17210A79"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0,80 (0,57, 1,11)</w:t>
            </w:r>
          </w:p>
        </w:tc>
      </w:tr>
      <w:tr w:rsidR="00890384" w14:paraId="5F7E6439"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0F526BB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67FA322D"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463D021"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0434250F"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0,62 (0,47, 0,83)</w:t>
            </w:r>
          </w:p>
        </w:tc>
      </w:tr>
    </w:tbl>
    <w:p w14:paraId="0ED7CC41" w14:textId="77777777" w:rsidR="00890384" w:rsidRDefault="00B26795">
      <w:pPr>
        <w:keepNext/>
        <w:widowControl w:val="0"/>
        <w:tabs>
          <w:tab w:val="clear" w:pos="567"/>
          <w:tab w:val="left" w:pos="368"/>
        </w:tabs>
        <w:autoSpaceDE w:val="0"/>
        <w:autoSpaceDN w:val="0"/>
        <w:spacing w:line="240" w:lineRule="auto"/>
        <w:rPr>
          <w:snapToGrid/>
          <w:szCs w:val="22"/>
          <w:lang w:val="lt-LT"/>
        </w:rPr>
      </w:pPr>
      <w:r>
        <w:rPr>
          <w:snapToGrid/>
          <w:sz w:val="20"/>
          <w:szCs w:val="22"/>
          <w:lang w:val="lt-LT"/>
        </w:rPr>
        <w:t>* Rezultatai nebuvo blogesni nei enoksaparino/varfarino (p rodmuo &lt; 0,0001)</w:t>
      </w:r>
    </w:p>
    <w:p w14:paraId="07C3A286" w14:textId="77777777" w:rsidR="00890384" w:rsidRDefault="00890384">
      <w:pPr>
        <w:keepNext/>
        <w:widowControl w:val="0"/>
        <w:tabs>
          <w:tab w:val="clear" w:pos="567"/>
        </w:tabs>
        <w:autoSpaceDE w:val="0"/>
        <w:autoSpaceDN w:val="0"/>
        <w:spacing w:line="240" w:lineRule="auto"/>
        <w:rPr>
          <w:snapToGrid/>
          <w:szCs w:val="22"/>
          <w:lang w:val="lt-LT"/>
        </w:rPr>
      </w:pPr>
    </w:p>
    <w:p w14:paraId="773E980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gydymo pradžioje apiksabanas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375B9BAA" w14:textId="77777777" w:rsidR="00890384" w:rsidRDefault="00890384">
      <w:pPr>
        <w:widowControl w:val="0"/>
        <w:tabs>
          <w:tab w:val="clear" w:pos="567"/>
        </w:tabs>
        <w:autoSpaceDE w:val="0"/>
        <w:autoSpaceDN w:val="0"/>
        <w:spacing w:line="240" w:lineRule="auto"/>
        <w:rPr>
          <w:snapToGrid/>
          <w:szCs w:val="22"/>
          <w:lang w:val="lt-LT"/>
        </w:rPr>
      </w:pPr>
    </w:p>
    <w:p w14:paraId="506F8F1D" w14:textId="7DF3B9C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Svarbiausioji saugumo vertinamoji baigtis buvo stiprus kraujavimas. Šio tyrimo duomenys rodo, kad svarbiausiosios vertinamosios baigties požiūriu apiksabanas buvo statistiškai reikšmingai geresnis (angl. </w:t>
      </w:r>
      <w:r>
        <w:rPr>
          <w:i/>
          <w:snapToGrid/>
          <w:szCs w:val="22"/>
          <w:lang w:val="lt-LT"/>
        </w:rPr>
        <w:t>superior</w:t>
      </w:r>
      <w:r>
        <w:rPr>
          <w:snapToGrid/>
          <w:szCs w:val="22"/>
          <w:lang w:val="lt-LT"/>
        </w:rPr>
        <w:t>) už enoksapariną/varfariną [santykinė rizika 0,31, 95 % pasikliautinasis intervalas (0,17, 0,55), p rodmuo &lt; 0,0001] (žr. 12 lentelę).</w:t>
      </w:r>
    </w:p>
    <w:p w14:paraId="62D23AE0" w14:textId="77777777" w:rsidR="00890384" w:rsidRDefault="00890384">
      <w:pPr>
        <w:widowControl w:val="0"/>
        <w:tabs>
          <w:tab w:val="clear" w:pos="567"/>
        </w:tabs>
        <w:autoSpaceDE w:val="0"/>
        <w:autoSpaceDN w:val="0"/>
        <w:spacing w:line="240" w:lineRule="auto"/>
        <w:rPr>
          <w:snapToGrid/>
          <w:szCs w:val="22"/>
          <w:lang w:val="lt-LT"/>
        </w:rPr>
      </w:pPr>
    </w:p>
    <w:p w14:paraId="3629A06E" w14:textId="0A2B1609" w:rsidR="00890384" w:rsidRDefault="00B26795">
      <w:pPr>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12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890384" w14:paraId="655A8B08" w14:textId="77777777">
        <w:trPr>
          <w:trHeight w:val="1066"/>
        </w:trPr>
        <w:tc>
          <w:tcPr>
            <w:tcW w:w="2317" w:type="dxa"/>
          </w:tcPr>
          <w:p w14:paraId="75FC7BDE" w14:textId="77777777" w:rsidR="00890384" w:rsidRDefault="00890384">
            <w:pPr>
              <w:widowControl w:val="0"/>
              <w:tabs>
                <w:tab w:val="clear" w:pos="567"/>
              </w:tabs>
              <w:autoSpaceDE w:val="0"/>
              <w:autoSpaceDN w:val="0"/>
              <w:spacing w:line="240" w:lineRule="auto"/>
              <w:rPr>
                <w:snapToGrid/>
                <w:szCs w:val="22"/>
                <w:lang w:val="lt-LT"/>
              </w:rPr>
            </w:pPr>
          </w:p>
        </w:tc>
        <w:tc>
          <w:tcPr>
            <w:tcW w:w="2189" w:type="dxa"/>
          </w:tcPr>
          <w:p w14:paraId="7228E0A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 n = 2 676</w:t>
            </w:r>
          </w:p>
          <w:p w14:paraId="253FE50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1F42F0FA"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Enoksaparinas / varfarinas</w:t>
            </w:r>
          </w:p>
          <w:p w14:paraId="662364B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2 689</w:t>
            </w:r>
          </w:p>
          <w:p w14:paraId="76DB754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5C300D5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Santykinė rizika </w:t>
            </w:r>
          </w:p>
          <w:p w14:paraId="3A7CEB4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(95 % PI)</w:t>
            </w:r>
          </w:p>
        </w:tc>
      </w:tr>
      <w:tr w:rsidR="00890384" w14:paraId="099A91DF" w14:textId="77777777">
        <w:trPr>
          <w:trHeight w:val="371"/>
        </w:trPr>
        <w:tc>
          <w:tcPr>
            <w:tcW w:w="2317" w:type="dxa"/>
          </w:tcPr>
          <w:p w14:paraId="5D94B15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2189" w:type="dxa"/>
          </w:tcPr>
          <w:p w14:paraId="2C64EF2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189" w:type="dxa"/>
          </w:tcPr>
          <w:p w14:paraId="3736EDF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49 (1,8)</w:t>
            </w:r>
          </w:p>
        </w:tc>
        <w:tc>
          <w:tcPr>
            <w:tcW w:w="2189" w:type="dxa"/>
          </w:tcPr>
          <w:p w14:paraId="5153741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0,31 (0,17, 0,55)</w:t>
            </w:r>
          </w:p>
        </w:tc>
      </w:tr>
      <w:tr w:rsidR="00890384" w14:paraId="3B17EF98" w14:textId="77777777">
        <w:trPr>
          <w:trHeight w:val="373"/>
        </w:trPr>
        <w:tc>
          <w:tcPr>
            <w:tcW w:w="2317" w:type="dxa"/>
          </w:tcPr>
          <w:p w14:paraId="09DACBD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2189" w:type="dxa"/>
          </w:tcPr>
          <w:p w14:paraId="29CBAB7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115 (4,3)</w:t>
            </w:r>
          </w:p>
        </w:tc>
        <w:tc>
          <w:tcPr>
            <w:tcW w:w="2189" w:type="dxa"/>
          </w:tcPr>
          <w:p w14:paraId="057CAC7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261 (9,7)</w:t>
            </w:r>
          </w:p>
        </w:tc>
        <w:tc>
          <w:tcPr>
            <w:tcW w:w="2189" w:type="dxa"/>
          </w:tcPr>
          <w:p w14:paraId="1AF16E0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0,44 (0,36, 0,55)</w:t>
            </w:r>
          </w:p>
        </w:tc>
      </w:tr>
      <w:tr w:rsidR="00890384" w14:paraId="4B2FE716" w14:textId="77777777">
        <w:trPr>
          <w:trHeight w:val="371"/>
        </w:trPr>
        <w:tc>
          <w:tcPr>
            <w:tcW w:w="2317" w:type="dxa"/>
          </w:tcPr>
          <w:p w14:paraId="204F724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2189" w:type="dxa"/>
          </w:tcPr>
          <w:p w14:paraId="22DF383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313 (11,7)</w:t>
            </w:r>
          </w:p>
        </w:tc>
        <w:tc>
          <w:tcPr>
            <w:tcW w:w="2189" w:type="dxa"/>
          </w:tcPr>
          <w:p w14:paraId="687CD24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505 (18,8)</w:t>
            </w:r>
          </w:p>
        </w:tc>
        <w:tc>
          <w:tcPr>
            <w:tcW w:w="2189" w:type="dxa"/>
          </w:tcPr>
          <w:p w14:paraId="179BB30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0,62 (0,54, 0,70)</w:t>
            </w:r>
          </w:p>
        </w:tc>
      </w:tr>
      <w:tr w:rsidR="00890384" w14:paraId="241CBC98" w14:textId="77777777">
        <w:trPr>
          <w:trHeight w:val="373"/>
        </w:trPr>
        <w:tc>
          <w:tcPr>
            <w:tcW w:w="2317" w:type="dxa"/>
          </w:tcPr>
          <w:p w14:paraId="07C1252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2189" w:type="dxa"/>
          </w:tcPr>
          <w:p w14:paraId="17BA8A0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402 (15,0)</w:t>
            </w:r>
          </w:p>
        </w:tc>
        <w:tc>
          <w:tcPr>
            <w:tcW w:w="2189" w:type="dxa"/>
          </w:tcPr>
          <w:p w14:paraId="6A4D1D7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676 (25,1)</w:t>
            </w:r>
          </w:p>
        </w:tc>
        <w:tc>
          <w:tcPr>
            <w:tcW w:w="2189" w:type="dxa"/>
          </w:tcPr>
          <w:p w14:paraId="2B70DEB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0,59 (0,53, 0,66)</w:t>
            </w:r>
          </w:p>
        </w:tc>
      </w:tr>
    </w:tbl>
    <w:p w14:paraId="7D7BC9D7" w14:textId="77777777" w:rsidR="00890384" w:rsidRDefault="00890384">
      <w:pPr>
        <w:widowControl w:val="0"/>
        <w:tabs>
          <w:tab w:val="clear" w:pos="567"/>
        </w:tabs>
        <w:autoSpaceDE w:val="0"/>
        <w:autoSpaceDN w:val="0"/>
        <w:spacing w:line="240" w:lineRule="auto"/>
        <w:rPr>
          <w:b/>
          <w:snapToGrid/>
          <w:szCs w:val="22"/>
          <w:lang w:val="lt-LT"/>
        </w:rPr>
      </w:pPr>
    </w:p>
    <w:p w14:paraId="10FB26E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Palyginti su enoksaparino/varfarino grupe, pripažinto stipraus kraujavimo ir KRNS kraujavimo iš bet kurios anatominės vietos atvejų skaičius apiksabano grupėje įprastai buvo mažesnis. Pripažintas stiprus kraujavimas iš virškinimo trakto pagal ISTH pasireiškė 6 (0,2 %) apiksabanu gydytiems pacientams ir 17 (0,6 %) enoksaparinu/varfarinu gydytų pacientų.</w:t>
      </w:r>
    </w:p>
    <w:p w14:paraId="0E10580B" w14:textId="77777777" w:rsidR="00890384" w:rsidRDefault="00890384">
      <w:pPr>
        <w:widowControl w:val="0"/>
        <w:tabs>
          <w:tab w:val="clear" w:pos="567"/>
        </w:tabs>
        <w:autoSpaceDE w:val="0"/>
        <w:autoSpaceDN w:val="0"/>
        <w:spacing w:line="240" w:lineRule="auto"/>
        <w:rPr>
          <w:snapToGrid/>
          <w:szCs w:val="22"/>
          <w:lang w:val="lt-LT"/>
        </w:rPr>
      </w:pPr>
    </w:p>
    <w:p w14:paraId="240E559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AMPLIFY-EXT tyrimas</w:t>
      </w:r>
    </w:p>
    <w:p w14:paraId="54F6798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AMPLIFY-EXT tyrime atsitiktinėms imtims iš viso buvo priskirti 2 482 </w:t>
      </w:r>
      <w:r>
        <w:t xml:space="preserve">suaugę </w:t>
      </w:r>
      <w:r>
        <w:rPr>
          <w:snapToGrid/>
          <w:szCs w:val="22"/>
          <w:lang w:val="lt-LT"/>
        </w:rPr>
        <w:t>pacientai, kurie 12 mėnesių buvo gydomi per burną vartojamu apiksabanu (du kartus per parą po 2,5 mg arba du kartus per parą po 5 mg) arba placebu po to, kai buvo baigtas 6–12 mėnesių trukmės pirminis gydymas antikoaguliantais. Prieš pradėdami dalyvauti AMPLIFY-EXT tyrime 836 iš šių pacientų (33,7 %) dalyvavo AMPLIFY tyrime.</w:t>
      </w:r>
    </w:p>
    <w:p w14:paraId="0EA099DE" w14:textId="77777777" w:rsidR="00890384" w:rsidRDefault="00890384">
      <w:pPr>
        <w:widowControl w:val="0"/>
        <w:tabs>
          <w:tab w:val="clear" w:pos="567"/>
        </w:tabs>
        <w:autoSpaceDE w:val="0"/>
        <w:autoSpaceDN w:val="0"/>
        <w:spacing w:line="240" w:lineRule="auto"/>
        <w:rPr>
          <w:snapToGrid/>
          <w:szCs w:val="22"/>
          <w:lang w:val="lt-LT"/>
        </w:rPr>
      </w:pPr>
    </w:p>
    <w:p w14:paraId="423B961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Vidutinis tiriamųjų amžius buvo 56,7 m. ir 91,7 % pacientų buvo patyrę neišprovokuotų VTE reiškinių.</w:t>
      </w:r>
    </w:p>
    <w:p w14:paraId="02FAC6C8" w14:textId="77777777" w:rsidR="00890384" w:rsidRDefault="00890384">
      <w:pPr>
        <w:widowControl w:val="0"/>
        <w:tabs>
          <w:tab w:val="clear" w:pos="567"/>
        </w:tabs>
        <w:autoSpaceDE w:val="0"/>
        <w:autoSpaceDN w:val="0"/>
        <w:spacing w:line="240" w:lineRule="auto"/>
        <w:rPr>
          <w:snapToGrid/>
          <w:szCs w:val="22"/>
          <w:lang w:val="lt-LT"/>
        </w:rPr>
      </w:pPr>
    </w:p>
    <w:p w14:paraId="69A89DE0" w14:textId="31F90BCC"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Šio tyrimo duomenimis, vertinant pagal svarbiausiąją vertinamąją baigtį (simptominiai, pasikartojantys VTE reiškiniai (nemirtina GVT arba nemirtina PE) arba mirtis, įvykusi dėl bet kurios priežasties), abi apiksabano dozės buvo statistiškai geresnės už placebo (žr. 1</w:t>
      </w:r>
      <w:r w:rsidR="00E86117">
        <w:rPr>
          <w:snapToGrid/>
          <w:szCs w:val="22"/>
          <w:lang w:val="lt-LT"/>
        </w:rPr>
        <w:t>3</w:t>
      </w:r>
      <w:r>
        <w:rPr>
          <w:snapToGrid/>
          <w:szCs w:val="22"/>
          <w:lang w:val="lt-LT"/>
        </w:rPr>
        <w:t> lentelę).</w:t>
      </w:r>
    </w:p>
    <w:p w14:paraId="04BD9590" w14:textId="77777777" w:rsidR="00890384" w:rsidRDefault="00890384">
      <w:pPr>
        <w:widowControl w:val="0"/>
        <w:tabs>
          <w:tab w:val="clear" w:pos="567"/>
        </w:tabs>
        <w:autoSpaceDE w:val="0"/>
        <w:autoSpaceDN w:val="0"/>
        <w:spacing w:line="240" w:lineRule="auto"/>
        <w:rPr>
          <w:snapToGrid/>
          <w:szCs w:val="22"/>
          <w:lang w:val="lt-LT"/>
        </w:rPr>
      </w:pPr>
    </w:p>
    <w:p w14:paraId="781F711A" w14:textId="3A465140" w:rsidR="00890384" w:rsidRDefault="00B26795">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13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890384" w14:paraId="399D6C5B" w14:textId="77777777">
        <w:trPr>
          <w:trHeight w:val="625"/>
        </w:trPr>
        <w:tc>
          <w:tcPr>
            <w:tcW w:w="1938" w:type="dxa"/>
          </w:tcPr>
          <w:p w14:paraId="6942F0B3" w14:textId="77777777" w:rsidR="00890384" w:rsidRDefault="00890384">
            <w:pPr>
              <w:widowControl w:val="0"/>
              <w:tabs>
                <w:tab w:val="clear" w:pos="567"/>
              </w:tabs>
              <w:autoSpaceDE w:val="0"/>
              <w:autoSpaceDN w:val="0"/>
              <w:spacing w:line="240" w:lineRule="auto"/>
              <w:rPr>
                <w:snapToGrid/>
                <w:szCs w:val="22"/>
                <w:lang w:val="lt-LT"/>
              </w:rPr>
            </w:pPr>
          </w:p>
        </w:tc>
        <w:tc>
          <w:tcPr>
            <w:tcW w:w="1275" w:type="dxa"/>
          </w:tcPr>
          <w:p w14:paraId="4818DF6A"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Apiksaba nas</w:t>
            </w:r>
          </w:p>
        </w:tc>
        <w:tc>
          <w:tcPr>
            <w:tcW w:w="1561" w:type="dxa"/>
          </w:tcPr>
          <w:p w14:paraId="7D3FBDE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tc>
        <w:tc>
          <w:tcPr>
            <w:tcW w:w="1278" w:type="dxa"/>
          </w:tcPr>
          <w:p w14:paraId="1165ED7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3402" w:type="dxa"/>
            <w:gridSpan w:val="2"/>
          </w:tcPr>
          <w:p w14:paraId="0E53A2E9"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Santykinė rizika (95 % PI)</w:t>
            </w:r>
          </w:p>
        </w:tc>
      </w:tr>
      <w:tr w:rsidR="00890384" w14:paraId="50DE2A28" w14:textId="77777777">
        <w:trPr>
          <w:trHeight w:val="746"/>
        </w:trPr>
        <w:tc>
          <w:tcPr>
            <w:tcW w:w="1938" w:type="dxa"/>
          </w:tcPr>
          <w:p w14:paraId="6752C33C" w14:textId="77777777" w:rsidR="00890384" w:rsidRDefault="00890384">
            <w:pPr>
              <w:widowControl w:val="0"/>
              <w:tabs>
                <w:tab w:val="clear" w:pos="567"/>
              </w:tabs>
              <w:autoSpaceDE w:val="0"/>
              <w:autoSpaceDN w:val="0"/>
              <w:spacing w:line="240" w:lineRule="auto"/>
              <w:rPr>
                <w:snapToGrid/>
                <w:szCs w:val="22"/>
                <w:lang w:val="lt-LT"/>
              </w:rPr>
            </w:pPr>
          </w:p>
        </w:tc>
        <w:tc>
          <w:tcPr>
            <w:tcW w:w="1275" w:type="dxa"/>
          </w:tcPr>
          <w:p w14:paraId="6D18CF6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6BD89C5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840</w:t>
            </w:r>
          </w:p>
        </w:tc>
        <w:tc>
          <w:tcPr>
            <w:tcW w:w="1561" w:type="dxa"/>
          </w:tcPr>
          <w:p w14:paraId="6FF3C42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75B8C55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813</w:t>
            </w:r>
          </w:p>
        </w:tc>
        <w:tc>
          <w:tcPr>
            <w:tcW w:w="1278" w:type="dxa"/>
          </w:tcPr>
          <w:p w14:paraId="4C7764DC" w14:textId="77777777" w:rsidR="00890384" w:rsidRDefault="00890384">
            <w:pPr>
              <w:widowControl w:val="0"/>
              <w:tabs>
                <w:tab w:val="clear" w:pos="567"/>
              </w:tabs>
              <w:autoSpaceDE w:val="0"/>
              <w:autoSpaceDN w:val="0"/>
              <w:spacing w:line="240" w:lineRule="auto"/>
              <w:jc w:val="center"/>
              <w:rPr>
                <w:b/>
                <w:snapToGrid/>
                <w:szCs w:val="22"/>
                <w:lang w:val="lt-LT"/>
              </w:rPr>
            </w:pPr>
          </w:p>
          <w:p w14:paraId="1B65261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829</w:t>
            </w:r>
          </w:p>
        </w:tc>
        <w:tc>
          <w:tcPr>
            <w:tcW w:w="1700" w:type="dxa"/>
          </w:tcPr>
          <w:p w14:paraId="1271FAF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 apiks.</w:t>
            </w:r>
          </w:p>
          <w:p w14:paraId="39B6D18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1702" w:type="dxa"/>
          </w:tcPr>
          <w:p w14:paraId="3591913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 apiks.</w:t>
            </w:r>
          </w:p>
          <w:p w14:paraId="2C7CF56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890384" w14:paraId="098D44D8" w14:textId="77777777">
        <w:trPr>
          <w:trHeight w:val="373"/>
        </w:trPr>
        <w:tc>
          <w:tcPr>
            <w:tcW w:w="1938" w:type="dxa"/>
          </w:tcPr>
          <w:p w14:paraId="760428E7" w14:textId="77777777" w:rsidR="00890384" w:rsidRDefault="00890384">
            <w:pPr>
              <w:widowControl w:val="0"/>
              <w:tabs>
                <w:tab w:val="clear" w:pos="567"/>
              </w:tabs>
              <w:autoSpaceDE w:val="0"/>
              <w:autoSpaceDN w:val="0"/>
              <w:spacing w:line="240" w:lineRule="auto"/>
              <w:rPr>
                <w:snapToGrid/>
                <w:szCs w:val="22"/>
                <w:lang w:val="lt-LT"/>
              </w:rPr>
            </w:pPr>
          </w:p>
        </w:tc>
        <w:tc>
          <w:tcPr>
            <w:tcW w:w="4114" w:type="dxa"/>
            <w:gridSpan w:val="3"/>
          </w:tcPr>
          <w:p w14:paraId="18A2271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700" w:type="dxa"/>
          </w:tcPr>
          <w:p w14:paraId="1FC2A341"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702" w:type="dxa"/>
          </w:tcPr>
          <w:p w14:paraId="08FDBECC"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65F2B3E4" w14:textId="77777777">
        <w:trPr>
          <w:trHeight w:val="957"/>
        </w:trPr>
        <w:tc>
          <w:tcPr>
            <w:tcW w:w="1938" w:type="dxa"/>
          </w:tcPr>
          <w:p w14:paraId="0B96D6C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Pasikartojantys VTE reiškiniai arba mirtis, įvykusi dėl bet kurios priežasties</w:t>
            </w:r>
          </w:p>
        </w:tc>
        <w:tc>
          <w:tcPr>
            <w:tcW w:w="1275" w:type="dxa"/>
          </w:tcPr>
          <w:p w14:paraId="34BB697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19 (2,3)</w:t>
            </w:r>
          </w:p>
        </w:tc>
        <w:tc>
          <w:tcPr>
            <w:tcW w:w="1561" w:type="dxa"/>
          </w:tcPr>
          <w:p w14:paraId="14CAB34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3F4CA6F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77 (9,3)</w:t>
            </w:r>
          </w:p>
        </w:tc>
        <w:tc>
          <w:tcPr>
            <w:tcW w:w="1700" w:type="dxa"/>
          </w:tcPr>
          <w:p w14:paraId="7AAD914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0,24</w:t>
            </w:r>
          </w:p>
          <w:p w14:paraId="6FABBBF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(0,15, 0,40)</w:t>
            </w:r>
            <w:r>
              <w:rPr>
                <w:snapToGrid/>
                <w:szCs w:val="22"/>
                <w:vertAlign w:val="superscript"/>
                <w:lang w:val="lt-LT"/>
              </w:rPr>
              <w:t>¥</w:t>
            </w:r>
          </w:p>
        </w:tc>
        <w:tc>
          <w:tcPr>
            <w:tcW w:w="1702" w:type="dxa"/>
          </w:tcPr>
          <w:p w14:paraId="2A57DFB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082DF3E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(0,11, 0,33)</w:t>
            </w:r>
            <w:r>
              <w:rPr>
                <w:snapToGrid/>
                <w:szCs w:val="22"/>
                <w:vertAlign w:val="superscript"/>
                <w:lang w:val="lt-LT"/>
              </w:rPr>
              <w:t>¥</w:t>
            </w:r>
          </w:p>
        </w:tc>
      </w:tr>
      <w:tr w:rsidR="00890384" w14:paraId="6B639366" w14:textId="77777777">
        <w:trPr>
          <w:trHeight w:val="371"/>
        </w:trPr>
        <w:tc>
          <w:tcPr>
            <w:tcW w:w="1938" w:type="dxa"/>
          </w:tcPr>
          <w:p w14:paraId="2AEC1CE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GVT*</w:t>
            </w:r>
          </w:p>
        </w:tc>
        <w:tc>
          <w:tcPr>
            <w:tcW w:w="1275" w:type="dxa"/>
          </w:tcPr>
          <w:p w14:paraId="3F1D930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6C9F17F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 (0,9)</w:t>
            </w:r>
          </w:p>
        </w:tc>
        <w:tc>
          <w:tcPr>
            <w:tcW w:w="1278" w:type="dxa"/>
          </w:tcPr>
          <w:p w14:paraId="2E681C9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6B1D2152" w14:textId="77777777" w:rsidR="00890384" w:rsidRDefault="00890384">
            <w:pPr>
              <w:widowControl w:val="0"/>
              <w:tabs>
                <w:tab w:val="clear" w:pos="567"/>
              </w:tabs>
              <w:autoSpaceDE w:val="0"/>
              <w:autoSpaceDN w:val="0"/>
              <w:spacing w:line="240" w:lineRule="auto"/>
              <w:rPr>
                <w:snapToGrid/>
                <w:szCs w:val="22"/>
                <w:lang w:val="lt-LT"/>
              </w:rPr>
            </w:pPr>
          </w:p>
        </w:tc>
        <w:tc>
          <w:tcPr>
            <w:tcW w:w="1702" w:type="dxa"/>
          </w:tcPr>
          <w:p w14:paraId="57943289"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28A0F4E9" w14:textId="77777777">
        <w:trPr>
          <w:trHeight w:val="373"/>
        </w:trPr>
        <w:tc>
          <w:tcPr>
            <w:tcW w:w="1938" w:type="dxa"/>
          </w:tcPr>
          <w:p w14:paraId="661AA3E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PE*</w:t>
            </w:r>
          </w:p>
        </w:tc>
        <w:tc>
          <w:tcPr>
            <w:tcW w:w="1275" w:type="dxa"/>
          </w:tcPr>
          <w:p w14:paraId="270E5B2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561" w:type="dxa"/>
          </w:tcPr>
          <w:p w14:paraId="6CCB2A7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49295F3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 (1,6)</w:t>
            </w:r>
          </w:p>
        </w:tc>
        <w:tc>
          <w:tcPr>
            <w:tcW w:w="1700" w:type="dxa"/>
          </w:tcPr>
          <w:p w14:paraId="5336932D" w14:textId="77777777" w:rsidR="00890384" w:rsidRDefault="00890384">
            <w:pPr>
              <w:widowControl w:val="0"/>
              <w:tabs>
                <w:tab w:val="clear" w:pos="567"/>
              </w:tabs>
              <w:autoSpaceDE w:val="0"/>
              <w:autoSpaceDN w:val="0"/>
              <w:spacing w:line="240" w:lineRule="auto"/>
              <w:rPr>
                <w:snapToGrid/>
                <w:szCs w:val="22"/>
                <w:lang w:val="lt-LT"/>
              </w:rPr>
            </w:pPr>
          </w:p>
        </w:tc>
        <w:tc>
          <w:tcPr>
            <w:tcW w:w="1702" w:type="dxa"/>
          </w:tcPr>
          <w:p w14:paraId="6FB90926"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73BBE4E0" w14:textId="77777777">
        <w:trPr>
          <w:trHeight w:val="878"/>
        </w:trPr>
        <w:tc>
          <w:tcPr>
            <w:tcW w:w="1938" w:type="dxa"/>
          </w:tcPr>
          <w:p w14:paraId="41E05D1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275" w:type="dxa"/>
          </w:tcPr>
          <w:p w14:paraId="5760426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22DF42D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6A14873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(1,3)</w:t>
            </w:r>
          </w:p>
        </w:tc>
        <w:tc>
          <w:tcPr>
            <w:tcW w:w="1700" w:type="dxa"/>
          </w:tcPr>
          <w:p w14:paraId="30939FD9" w14:textId="77777777" w:rsidR="00890384" w:rsidRDefault="00890384">
            <w:pPr>
              <w:widowControl w:val="0"/>
              <w:tabs>
                <w:tab w:val="clear" w:pos="567"/>
              </w:tabs>
              <w:autoSpaceDE w:val="0"/>
              <w:autoSpaceDN w:val="0"/>
              <w:spacing w:line="240" w:lineRule="auto"/>
              <w:rPr>
                <w:snapToGrid/>
                <w:szCs w:val="22"/>
                <w:lang w:val="lt-LT"/>
              </w:rPr>
            </w:pPr>
          </w:p>
        </w:tc>
        <w:tc>
          <w:tcPr>
            <w:tcW w:w="1702" w:type="dxa"/>
          </w:tcPr>
          <w:p w14:paraId="2A680606"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0A6C131F" w14:textId="77777777">
        <w:trPr>
          <w:trHeight w:val="1132"/>
        </w:trPr>
        <w:tc>
          <w:tcPr>
            <w:tcW w:w="1938" w:type="dxa"/>
          </w:tcPr>
          <w:p w14:paraId="0A48574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Pasikartojantys VTE įvykiai arba su VTE susijusi mirtis</w:t>
            </w:r>
          </w:p>
        </w:tc>
        <w:tc>
          <w:tcPr>
            <w:tcW w:w="1275" w:type="dxa"/>
          </w:tcPr>
          <w:p w14:paraId="1448A92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428D90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4BFF00C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73 (8,8)</w:t>
            </w:r>
          </w:p>
        </w:tc>
        <w:tc>
          <w:tcPr>
            <w:tcW w:w="1700" w:type="dxa"/>
          </w:tcPr>
          <w:p w14:paraId="10CD190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2746C3E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(0,11, 0,33)</w:t>
            </w:r>
          </w:p>
        </w:tc>
        <w:tc>
          <w:tcPr>
            <w:tcW w:w="1702" w:type="dxa"/>
          </w:tcPr>
          <w:p w14:paraId="60D5D6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0,20</w:t>
            </w:r>
          </w:p>
          <w:p w14:paraId="06872A3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(0,11, 0,34)</w:t>
            </w:r>
          </w:p>
        </w:tc>
      </w:tr>
      <w:tr w:rsidR="00890384" w14:paraId="59DA8415" w14:textId="77777777">
        <w:trPr>
          <w:trHeight w:val="1252"/>
        </w:trPr>
        <w:tc>
          <w:tcPr>
            <w:tcW w:w="1938" w:type="dxa"/>
          </w:tcPr>
          <w:p w14:paraId="6F263F2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Pasikartojantys VTE įvykiai arba su širdies ir kraujagyslių ligomis susijusi mirtis</w:t>
            </w:r>
          </w:p>
        </w:tc>
        <w:tc>
          <w:tcPr>
            <w:tcW w:w="1275" w:type="dxa"/>
          </w:tcPr>
          <w:p w14:paraId="2951085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24BAD24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2E22606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76 (9,2)</w:t>
            </w:r>
          </w:p>
        </w:tc>
        <w:tc>
          <w:tcPr>
            <w:tcW w:w="1700" w:type="dxa"/>
          </w:tcPr>
          <w:p w14:paraId="77D97BD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0,18</w:t>
            </w:r>
          </w:p>
          <w:p w14:paraId="6D704C2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(0,10, 0,32)</w:t>
            </w:r>
          </w:p>
        </w:tc>
        <w:tc>
          <w:tcPr>
            <w:tcW w:w="1702" w:type="dxa"/>
          </w:tcPr>
          <w:p w14:paraId="08257F3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218DD96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(0,11, 0,33)</w:t>
            </w:r>
          </w:p>
        </w:tc>
      </w:tr>
      <w:tr w:rsidR="00890384" w14:paraId="1BBEC4FD" w14:textId="77777777">
        <w:trPr>
          <w:trHeight w:val="746"/>
        </w:trPr>
        <w:tc>
          <w:tcPr>
            <w:tcW w:w="1938" w:type="dxa"/>
          </w:tcPr>
          <w:p w14:paraId="2F0A0BE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Nemirtina GVT</w:t>
            </w:r>
            <w:r>
              <w:rPr>
                <w:snapToGrid/>
                <w:szCs w:val="22"/>
                <w:vertAlign w:val="superscript"/>
                <w:lang w:val="lt-LT"/>
              </w:rPr>
              <w:t>†</w:t>
            </w:r>
          </w:p>
        </w:tc>
        <w:tc>
          <w:tcPr>
            <w:tcW w:w="1275" w:type="dxa"/>
          </w:tcPr>
          <w:p w14:paraId="2F772A1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0997267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278" w:type="dxa"/>
          </w:tcPr>
          <w:p w14:paraId="06AADF0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643B9DF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w:t>
            </w:r>
          </w:p>
          <w:p w14:paraId="5E27AE9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(0,05, 0,26)</w:t>
            </w:r>
          </w:p>
        </w:tc>
        <w:tc>
          <w:tcPr>
            <w:tcW w:w="1702" w:type="dxa"/>
          </w:tcPr>
          <w:p w14:paraId="3362015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w:t>
            </w:r>
          </w:p>
          <w:p w14:paraId="51D9632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(0,07, 0,32)</w:t>
            </w:r>
          </w:p>
        </w:tc>
      </w:tr>
      <w:tr w:rsidR="00890384" w14:paraId="71D71903" w14:textId="77777777">
        <w:trPr>
          <w:trHeight w:val="745"/>
        </w:trPr>
        <w:tc>
          <w:tcPr>
            <w:tcW w:w="1938" w:type="dxa"/>
          </w:tcPr>
          <w:p w14:paraId="0097D94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Nemirtina PE</w:t>
            </w:r>
            <w:r>
              <w:rPr>
                <w:snapToGrid/>
                <w:szCs w:val="22"/>
                <w:vertAlign w:val="superscript"/>
                <w:lang w:val="lt-LT"/>
              </w:rPr>
              <w:t>†</w:t>
            </w:r>
          </w:p>
        </w:tc>
        <w:tc>
          <w:tcPr>
            <w:tcW w:w="1275" w:type="dxa"/>
          </w:tcPr>
          <w:p w14:paraId="5C76670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561" w:type="dxa"/>
          </w:tcPr>
          <w:p w14:paraId="455C792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079F9B4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 (1,8)</w:t>
            </w:r>
          </w:p>
        </w:tc>
        <w:tc>
          <w:tcPr>
            <w:tcW w:w="1700" w:type="dxa"/>
          </w:tcPr>
          <w:p w14:paraId="1115377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0,51</w:t>
            </w:r>
          </w:p>
          <w:p w14:paraId="75FE3C1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(0,22, 1,21)</w:t>
            </w:r>
          </w:p>
        </w:tc>
        <w:tc>
          <w:tcPr>
            <w:tcW w:w="1702" w:type="dxa"/>
          </w:tcPr>
          <w:p w14:paraId="3554AA2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0,27</w:t>
            </w:r>
          </w:p>
          <w:p w14:paraId="0C108BF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(0,09, 0,80)</w:t>
            </w:r>
          </w:p>
        </w:tc>
      </w:tr>
      <w:tr w:rsidR="00890384" w14:paraId="76361E6F" w14:textId="77777777">
        <w:trPr>
          <w:trHeight w:val="746"/>
        </w:trPr>
        <w:tc>
          <w:tcPr>
            <w:tcW w:w="1938" w:type="dxa"/>
          </w:tcPr>
          <w:p w14:paraId="63E7797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 VTE susijusi mirtis</w:t>
            </w:r>
          </w:p>
        </w:tc>
        <w:tc>
          <w:tcPr>
            <w:tcW w:w="1275" w:type="dxa"/>
          </w:tcPr>
          <w:p w14:paraId="422B509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561" w:type="dxa"/>
          </w:tcPr>
          <w:p w14:paraId="12BFE84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673EDE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700" w:type="dxa"/>
          </w:tcPr>
          <w:p w14:paraId="71F67E1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0,28</w:t>
            </w:r>
          </w:p>
          <w:p w14:paraId="184F4E5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(0,06, 1,37)</w:t>
            </w:r>
          </w:p>
        </w:tc>
        <w:tc>
          <w:tcPr>
            <w:tcW w:w="1702" w:type="dxa"/>
          </w:tcPr>
          <w:p w14:paraId="357CEBF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0,45</w:t>
            </w:r>
          </w:p>
          <w:p w14:paraId="147561D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(0,12, 1,71)</w:t>
            </w:r>
          </w:p>
        </w:tc>
      </w:tr>
    </w:tbl>
    <w:p w14:paraId="153A792B" w14:textId="77777777" w:rsidR="00890384" w:rsidRDefault="00B26795">
      <w:pPr>
        <w:widowControl w:val="0"/>
        <w:tabs>
          <w:tab w:val="clear" w:pos="567"/>
        </w:tabs>
        <w:autoSpaceDE w:val="0"/>
        <w:autoSpaceDN w:val="0"/>
        <w:spacing w:line="240" w:lineRule="auto"/>
        <w:rPr>
          <w:snapToGrid/>
          <w:szCs w:val="22"/>
          <w:lang w:val="lt-LT"/>
        </w:rPr>
      </w:pPr>
      <w:r>
        <w:rPr>
          <w:snapToGrid/>
          <w:position w:val="6"/>
          <w:sz w:val="20"/>
          <w:szCs w:val="22"/>
          <w:lang w:val="lt-LT"/>
        </w:rPr>
        <w:t xml:space="preserve">¥ </w:t>
      </w:r>
      <w:r>
        <w:rPr>
          <w:snapToGrid/>
          <w:sz w:val="20"/>
          <w:szCs w:val="22"/>
          <w:lang w:val="lt-LT"/>
        </w:rPr>
        <w:t>p rodmuo &lt; </w:t>
      </w:r>
      <w:r>
        <w:rPr>
          <w:snapToGrid/>
          <w:szCs w:val="22"/>
          <w:lang w:val="lt-LT"/>
        </w:rPr>
        <w:t>0,0001</w:t>
      </w:r>
    </w:p>
    <w:p w14:paraId="7F472F5F" w14:textId="77777777" w:rsidR="00890384" w:rsidRDefault="00B26795">
      <w:pPr>
        <w:widowControl w:val="0"/>
        <w:tabs>
          <w:tab w:val="clear" w:pos="567"/>
          <w:tab w:val="left" w:pos="371"/>
        </w:tabs>
        <w:autoSpaceDE w:val="0"/>
        <w:autoSpaceDN w:val="0"/>
        <w:spacing w:line="240" w:lineRule="auto"/>
        <w:rPr>
          <w:snapToGrid/>
          <w:sz w:val="20"/>
          <w:lang w:val="lt-LT"/>
        </w:rPr>
      </w:pPr>
      <w:r>
        <w:rPr>
          <w:snapToGrid/>
          <w:sz w:val="20"/>
          <w:lang w:val="lt-LT"/>
        </w:rPr>
        <w:t>* Jei pacientui pasireiškė daugiau nei vienas sudėtinei vertinamajai baigčiai priskiriamas įvykis, pranešama tik apie pirmąjį įvykį (pvz., jei tiriamasis iš pradžių patyrė GVT, o vėliau – PE, pranešama tik apie GVT).</w:t>
      </w:r>
    </w:p>
    <w:p w14:paraId="68F15E06" w14:textId="77777777" w:rsidR="00890384" w:rsidRDefault="00B26795">
      <w:pPr>
        <w:widowControl w:val="0"/>
        <w:tabs>
          <w:tab w:val="clear" w:pos="567"/>
        </w:tabs>
        <w:autoSpaceDE w:val="0"/>
        <w:autoSpaceDN w:val="0"/>
        <w:spacing w:line="240" w:lineRule="auto"/>
        <w:rPr>
          <w:snapToGrid/>
          <w:sz w:val="20"/>
          <w:szCs w:val="22"/>
          <w:lang w:val="lt-LT"/>
        </w:rPr>
      </w:pPr>
      <w:r>
        <w:rPr>
          <w:snapToGrid/>
          <w:sz w:val="20"/>
          <w:vertAlign w:val="superscript"/>
          <w:lang w:val="lt-LT"/>
        </w:rPr>
        <w:t>†</w:t>
      </w:r>
      <w:r>
        <w:rPr>
          <w:snapToGrid/>
          <w:sz w:val="20"/>
          <w:lang w:val="lt-LT"/>
        </w:rPr>
        <w:t xml:space="preserve"> Kai kuriems tiriamiesiems gali pasireikšti daugiau nei vienas įvykis ir jie gali </w:t>
      </w:r>
      <w:r>
        <w:rPr>
          <w:snapToGrid/>
          <w:sz w:val="20"/>
          <w:szCs w:val="22"/>
          <w:lang w:val="lt-LT"/>
        </w:rPr>
        <w:t>būti pateikti abiejose klasifikacijose.</w:t>
      </w:r>
    </w:p>
    <w:p w14:paraId="0EB0F89B" w14:textId="77777777" w:rsidR="00890384" w:rsidRDefault="00890384">
      <w:pPr>
        <w:widowControl w:val="0"/>
        <w:tabs>
          <w:tab w:val="clear" w:pos="567"/>
        </w:tabs>
        <w:autoSpaceDE w:val="0"/>
        <w:autoSpaceDN w:val="0"/>
        <w:spacing w:line="240" w:lineRule="auto"/>
        <w:rPr>
          <w:snapToGrid/>
          <w:szCs w:val="22"/>
          <w:lang w:val="lt-LT"/>
        </w:rPr>
      </w:pPr>
    </w:p>
    <w:p w14:paraId="363DFF6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veiksmingumas VTE pasikartojimo profilaktikai išliko panašus visuose pogrupiuose, įskaitant pagal amžių, lytį, KMI ir inkstų funkciją sudarytus pogrupius.</w:t>
      </w:r>
    </w:p>
    <w:p w14:paraId="037C6CB0" w14:textId="77777777" w:rsidR="00890384" w:rsidRDefault="00890384">
      <w:pPr>
        <w:widowControl w:val="0"/>
        <w:tabs>
          <w:tab w:val="clear" w:pos="567"/>
        </w:tabs>
        <w:autoSpaceDE w:val="0"/>
        <w:autoSpaceDN w:val="0"/>
        <w:spacing w:line="240" w:lineRule="auto"/>
        <w:rPr>
          <w:snapToGrid/>
          <w:szCs w:val="22"/>
          <w:lang w:val="lt-LT"/>
        </w:rPr>
      </w:pPr>
    </w:p>
    <w:p w14:paraId="576253FC" w14:textId="36A7CA4F" w:rsidR="00890384" w:rsidRDefault="00B26795">
      <w:pPr>
        <w:widowControl w:val="0"/>
        <w:tabs>
          <w:tab w:val="clear" w:pos="567"/>
        </w:tabs>
        <w:autoSpaceDE w:val="0"/>
        <w:autoSpaceDN w:val="0"/>
        <w:spacing w:line="240" w:lineRule="auto"/>
        <w:rPr>
          <w:snapToGrid/>
          <w:szCs w:val="22"/>
          <w:lang w:val="lt-LT"/>
        </w:rPr>
      </w:pPr>
      <w:r>
        <w:rPr>
          <w:snapToGrid/>
          <w:szCs w:val="22"/>
          <w:lang w:val="lt-LT"/>
        </w:rPr>
        <w:t>Svarbiausioji vertinamoji baigtis buvo stiprus kraujavimas gydymo laikotarpiu. Šio tyrimo duomenys rodo, kad stipraus kraujavimo dažnis abiejų apiksabano dozių grupėse statistiškai reikšmingai nesiskyrė nuo to, kuris pasireiškė placebo grupėje. Tarp tų, kurie du kartus per parą vartojo po 2,5 mg apiksabano, ir placebo grupės nebuvo pastebėta statistiškai reikšmingų stipraus kraujavimo + KRNS, nestipraus kraujavimo ir visų kraujavimų dažnio skirtumų (žr. 14 lentelę).</w:t>
      </w:r>
    </w:p>
    <w:p w14:paraId="723CBF4A" w14:textId="77777777" w:rsidR="00890384" w:rsidRDefault="00890384">
      <w:pPr>
        <w:widowControl w:val="0"/>
        <w:tabs>
          <w:tab w:val="clear" w:pos="567"/>
        </w:tabs>
        <w:autoSpaceDE w:val="0"/>
        <w:autoSpaceDN w:val="0"/>
        <w:spacing w:line="240" w:lineRule="auto"/>
        <w:rPr>
          <w:snapToGrid/>
          <w:szCs w:val="22"/>
          <w:lang w:val="lt-LT"/>
        </w:rPr>
      </w:pPr>
    </w:p>
    <w:p w14:paraId="1F83646F" w14:textId="5E090C2B" w:rsidR="00890384" w:rsidRDefault="00B26795">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14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890384" w14:paraId="26A96D92" w14:textId="77777777">
        <w:trPr>
          <w:trHeight w:val="396"/>
        </w:trPr>
        <w:tc>
          <w:tcPr>
            <w:tcW w:w="1496" w:type="dxa"/>
          </w:tcPr>
          <w:p w14:paraId="0EB0B531" w14:textId="77777777" w:rsidR="00890384" w:rsidRDefault="00890384">
            <w:pPr>
              <w:widowControl w:val="0"/>
              <w:tabs>
                <w:tab w:val="clear" w:pos="567"/>
              </w:tabs>
              <w:autoSpaceDE w:val="0"/>
              <w:autoSpaceDN w:val="0"/>
              <w:spacing w:line="240" w:lineRule="auto"/>
              <w:rPr>
                <w:snapToGrid/>
                <w:szCs w:val="22"/>
                <w:lang w:val="lt-LT"/>
              </w:rPr>
            </w:pPr>
          </w:p>
        </w:tc>
        <w:tc>
          <w:tcPr>
            <w:tcW w:w="1368" w:type="dxa"/>
          </w:tcPr>
          <w:p w14:paraId="2C23DB7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tc>
        <w:tc>
          <w:tcPr>
            <w:tcW w:w="1368" w:type="dxa"/>
          </w:tcPr>
          <w:p w14:paraId="76A8173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tc>
        <w:tc>
          <w:tcPr>
            <w:tcW w:w="1368" w:type="dxa"/>
          </w:tcPr>
          <w:p w14:paraId="298F536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4087" w:type="dxa"/>
            <w:gridSpan w:val="2"/>
          </w:tcPr>
          <w:p w14:paraId="7A804A2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890384" w14:paraId="1ECC0E6B" w14:textId="77777777">
        <w:trPr>
          <w:trHeight w:val="745"/>
        </w:trPr>
        <w:tc>
          <w:tcPr>
            <w:tcW w:w="1496" w:type="dxa"/>
          </w:tcPr>
          <w:p w14:paraId="4CDD44E4" w14:textId="77777777" w:rsidR="00890384" w:rsidRDefault="00890384">
            <w:pPr>
              <w:widowControl w:val="0"/>
              <w:tabs>
                <w:tab w:val="clear" w:pos="567"/>
              </w:tabs>
              <w:autoSpaceDE w:val="0"/>
              <w:autoSpaceDN w:val="0"/>
              <w:spacing w:line="240" w:lineRule="auto"/>
              <w:rPr>
                <w:snapToGrid/>
                <w:szCs w:val="22"/>
                <w:lang w:val="lt-LT"/>
              </w:rPr>
            </w:pPr>
          </w:p>
        </w:tc>
        <w:tc>
          <w:tcPr>
            <w:tcW w:w="1368" w:type="dxa"/>
          </w:tcPr>
          <w:p w14:paraId="5FA8CA4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6964CB6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840</w:t>
            </w:r>
          </w:p>
        </w:tc>
        <w:tc>
          <w:tcPr>
            <w:tcW w:w="1368" w:type="dxa"/>
          </w:tcPr>
          <w:p w14:paraId="5ADBFE7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44BD0E9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811</w:t>
            </w:r>
          </w:p>
        </w:tc>
        <w:tc>
          <w:tcPr>
            <w:tcW w:w="1368" w:type="dxa"/>
          </w:tcPr>
          <w:p w14:paraId="23E59305" w14:textId="77777777" w:rsidR="00890384" w:rsidRDefault="00890384">
            <w:pPr>
              <w:widowControl w:val="0"/>
              <w:tabs>
                <w:tab w:val="clear" w:pos="567"/>
              </w:tabs>
              <w:autoSpaceDE w:val="0"/>
              <w:autoSpaceDN w:val="0"/>
              <w:spacing w:line="240" w:lineRule="auto"/>
              <w:jc w:val="center"/>
              <w:rPr>
                <w:b/>
                <w:snapToGrid/>
                <w:szCs w:val="22"/>
                <w:lang w:val="lt-LT"/>
              </w:rPr>
            </w:pPr>
          </w:p>
          <w:p w14:paraId="3945EA5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826</w:t>
            </w:r>
          </w:p>
        </w:tc>
        <w:tc>
          <w:tcPr>
            <w:tcW w:w="1927" w:type="dxa"/>
          </w:tcPr>
          <w:p w14:paraId="4A3B653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 apiks.</w:t>
            </w:r>
          </w:p>
          <w:p w14:paraId="63A7D55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2160" w:type="dxa"/>
          </w:tcPr>
          <w:p w14:paraId="38B1227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 apiks.</w:t>
            </w:r>
          </w:p>
          <w:p w14:paraId="7E83BBE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890384" w14:paraId="74AA1169" w14:textId="77777777">
        <w:trPr>
          <w:trHeight w:val="371"/>
        </w:trPr>
        <w:tc>
          <w:tcPr>
            <w:tcW w:w="1496" w:type="dxa"/>
          </w:tcPr>
          <w:p w14:paraId="1551EAA0" w14:textId="77777777" w:rsidR="00890384" w:rsidRDefault="00890384">
            <w:pPr>
              <w:widowControl w:val="0"/>
              <w:tabs>
                <w:tab w:val="clear" w:pos="567"/>
              </w:tabs>
              <w:autoSpaceDE w:val="0"/>
              <w:autoSpaceDN w:val="0"/>
              <w:spacing w:line="240" w:lineRule="auto"/>
              <w:rPr>
                <w:snapToGrid/>
                <w:szCs w:val="22"/>
                <w:lang w:val="lt-LT"/>
              </w:rPr>
            </w:pPr>
          </w:p>
        </w:tc>
        <w:tc>
          <w:tcPr>
            <w:tcW w:w="1368" w:type="dxa"/>
          </w:tcPr>
          <w:p w14:paraId="02A2C81B"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68" w:type="dxa"/>
          </w:tcPr>
          <w:p w14:paraId="39E36E5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368" w:type="dxa"/>
          </w:tcPr>
          <w:p w14:paraId="650C6109"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927" w:type="dxa"/>
          </w:tcPr>
          <w:p w14:paraId="26F382EB"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2160" w:type="dxa"/>
          </w:tcPr>
          <w:p w14:paraId="66F23362"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78ACAA86" w14:textId="77777777">
        <w:trPr>
          <w:trHeight w:val="745"/>
        </w:trPr>
        <w:tc>
          <w:tcPr>
            <w:tcW w:w="1496" w:type="dxa"/>
          </w:tcPr>
          <w:p w14:paraId="3B6AEF0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1368" w:type="dxa"/>
          </w:tcPr>
          <w:p w14:paraId="1061434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368" w:type="dxa"/>
          </w:tcPr>
          <w:p w14:paraId="7E5DC84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 (0,1)</w:t>
            </w:r>
          </w:p>
        </w:tc>
        <w:tc>
          <w:tcPr>
            <w:tcW w:w="1368" w:type="dxa"/>
          </w:tcPr>
          <w:p w14:paraId="6EDA8BA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927" w:type="dxa"/>
          </w:tcPr>
          <w:p w14:paraId="512BDFA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0,49</w:t>
            </w:r>
          </w:p>
          <w:p w14:paraId="1B30EC9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(0,09, 2,64)</w:t>
            </w:r>
          </w:p>
        </w:tc>
        <w:tc>
          <w:tcPr>
            <w:tcW w:w="2160" w:type="dxa"/>
          </w:tcPr>
          <w:p w14:paraId="3EF1BA5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0,25</w:t>
            </w:r>
          </w:p>
          <w:p w14:paraId="5A86991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(0,03, 2,24)</w:t>
            </w:r>
          </w:p>
        </w:tc>
      </w:tr>
      <w:tr w:rsidR="00890384" w14:paraId="75C44254" w14:textId="77777777">
        <w:trPr>
          <w:trHeight w:val="746"/>
        </w:trPr>
        <w:tc>
          <w:tcPr>
            <w:tcW w:w="1496" w:type="dxa"/>
          </w:tcPr>
          <w:p w14:paraId="1316D15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368" w:type="dxa"/>
          </w:tcPr>
          <w:p w14:paraId="6D69B76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27 (3,2)</w:t>
            </w:r>
          </w:p>
        </w:tc>
        <w:tc>
          <w:tcPr>
            <w:tcW w:w="1368" w:type="dxa"/>
          </w:tcPr>
          <w:p w14:paraId="0BAE624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35 (4,3)</w:t>
            </w:r>
          </w:p>
        </w:tc>
        <w:tc>
          <w:tcPr>
            <w:tcW w:w="1368" w:type="dxa"/>
          </w:tcPr>
          <w:p w14:paraId="3BFD38E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22 (2,7)</w:t>
            </w:r>
          </w:p>
        </w:tc>
        <w:tc>
          <w:tcPr>
            <w:tcW w:w="1927" w:type="dxa"/>
          </w:tcPr>
          <w:p w14:paraId="7C7CBA1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1,20</w:t>
            </w:r>
          </w:p>
          <w:p w14:paraId="57FC5C8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(0,69, 2,10)</w:t>
            </w:r>
          </w:p>
        </w:tc>
        <w:tc>
          <w:tcPr>
            <w:tcW w:w="2160" w:type="dxa"/>
          </w:tcPr>
          <w:p w14:paraId="07765BD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1,62</w:t>
            </w:r>
          </w:p>
          <w:p w14:paraId="62AF2FA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(0,96, 2,73)</w:t>
            </w:r>
          </w:p>
        </w:tc>
      </w:tr>
      <w:tr w:rsidR="00890384" w14:paraId="02D30922" w14:textId="77777777">
        <w:trPr>
          <w:trHeight w:val="745"/>
        </w:trPr>
        <w:tc>
          <w:tcPr>
            <w:tcW w:w="1496" w:type="dxa"/>
          </w:tcPr>
          <w:p w14:paraId="05318BD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1368" w:type="dxa"/>
          </w:tcPr>
          <w:p w14:paraId="58CEDD1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75 (8,9)</w:t>
            </w:r>
          </w:p>
        </w:tc>
        <w:tc>
          <w:tcPr>
            <w:tcW w:w="1368" w:type="dxa"/>
          </w:tcPr>
          <w:p w14:paraId="1303E2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98 (12,1)</w:t>
            </w:r>
          </w:p>
        </w:tc>
        <w:tc>
          <w:tcPr>
            <w:tcW w:w="1368" w:type="dxa"/>
          </w:tcPr>
          <w:p w14:paraId="170945C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58 (7,0)</w:t>
            </w:r>
          </w:p>
        </w:tc>
        <w:tc>
          <w:tcPr>
            <w:tcW w:w="1927" w:type="dxa"/>
          </w:tcPr>
          <w:p w14:paraId="59C76E5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1,26</w:t>
            </w:r>
          </w:p>
          <w:p w14:paraId="52E0C12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(0,91, 1,75)</w:t>
            </w:r>
          </w:p>
        </w:tc>
        <w:tc>
          <w:tcPr>
            <w:tcW w:w="2160" w:type="dxa"/>
          </w:tcPr>
          <w:p w14:paraId="135F65F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1,70</w:t>
            </w:r>
          </w:p>
          <w:p w14:paraId="4DD86C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(1,25, 2,31)</w:t>
            </w:r>
          </w:p>
        </w:tc>
      </w:tr>
      <w:tr w:rsidR="00890384" w14:paraId="3063DECB" w14:textId="77777777">
        <w:trPr>
          <w:trHeight w:val="748"/>
        </w:trPr>
        <w:tc>
          <w:tcPr>
            <w:tcW w:w="1496" w:type="dxa"/>
          </w:tcPr>
          <w:p w14:paraId="75121F3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1368" w:type="dxa"/>
          </w:tcPr>
          <w:p w14:paraId="53444DD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94 (11,2)</w:t>
            </w:r>
          </w:p>
        </w:tc>
        <w:tc>
          <w:tcPr>
            <w:tcW w:w="1368" w:type="dxa"/>
          </w:tcPr>
          <w:p w14:paraId="7E6BC96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121 (14,9)</w:t>
            </w:r>
          </w:p>
        </w:tc>
        <w:tc>
          <w:tcPr>
            <w:tcW w:w="1368" w:type="dxa"/>
          </w:tcPr>
          <w:p w14:paraId="081AAED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74 (9,0)</w:t>
            </w:r>
          </w:p>
        </w:tc>
        <w:tc>
          <w:tcPr>
            <w:tcW w:w="1927" w:type="dxa"/>
          </w:tcPr>
          <w:p w14:paraId="02B244F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1,24</w:t>
            </w:r>
          </w:p>
          <w:p w14:paraId="0C0BE5C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(0,93, 1,65)</w:t>
            </w:r>
          </w:p>
        </w:tc>
        <w:tc>
          <w:tcPr>
            <w:tcW w:w="2160" w:type="dxa"/>
          </w:tcPr>
          <w:p w14:paraId="3F7A284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1,65</w:t>
            </w:r>
          </w:p>
          <w:p w14:paraId="4C67423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(1,26, 2,16)</w:t>
            </w:r>
          </w:p>
        </w:tc>
      </w:tr>
    </w:tbl>
    <w:p w14:paraId="0266EF09" w14:textId="77777777" w:rsidR="00890384" w:rsidRDefault="00890384">
      <w:pPr>
        <w:widowControl w:val="0"/>
        <w:tabs>
          <w:tab w:val="clear" w:pos="567"/>
        </w:tabs>
        <w:autoSpaceDE w:val="0"/>
        <w:autoSpaceDN w:val="0"/>
        <w:spacing w:line="240" w:lineRule="auto"/>
        <w:rPr>
          <w:b/>
          <w:snapToGrid/>
          <w:szCs w:val="22"/>
          <w:lang w:val="lt-LT"/>
        </w:rPr>
      </w:pPr>
    </w:p>
    <w:p w14:paraId="41ECE53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38224A9F" w14:textId="77777777" w:rsidR="00890384" w:rsidRDefault="00890384">
      <w:pPr>
        <w:widowControl w:val="0"/>
        <w:tabs>
          <w:tab w:val="clear" w:pos="567"/>
        </w:tabs>
        <w:autoSpaceDE w:val="0"/>
        <w:autoSpaceDN w:val="0"/>
        <w:spacing w:line="240" w:lineRule="auto"/>
        <w:rPr>
          <w:snapToGrid/>
          <w:szCs w:val="22"/>
          <w:lang w:val="lt-LT"/>
        </w:rPr>
      </w:pPr>
    </w:p>
    <w:p w14:paraId="169585DD"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Vaikų populiacija</w:t>
      </w:r>
    </w:p>
    <w:p w14:paraId="013D296F" w14:textId="77777777" w:rsidR="00890384" w:rsidRDefault="00890384">
      <w:pPr>
        <w:widowControl w:val="0"/>
        <w:tabs>
          <w:tab w:val="clear" w:pos="567"/>
        </w:tabs>
        <w:autoSpaceDE w:val="0"/>
        <w:autoSpaceDN w:val="0"/>
        <w:spacing w:line="240" w:lineRule="auto"/>
      </w:pPr>
    </w:p>
    <w:p w14:paraId="226B3901" w14:textId="6A3DC70F" w:rsidR="00890384" w:rsidRPr="005261E3" w:rsidRDefault="00B26795">
      <w:pPr>
        <w:widowControl w:val="0"/>
        <w:tabs>
          <w:tab w:val="clear" w:pos="567"/>
        </w:tabs>
        <w:autoSpaceDE w:val="0"/>
        <w:autoSpaceDN w:val="0"/>
        <w:spacing w:line="240" w:lineRule="auto"/>
        <w:rPr>
          <w:i/>
          <w:iCs/>
        </w:rPr>
      </w:pPr>
      <w:r w:rsidRPr="005261E3">
        <w:rPr>
          <w:i/>
          <w:iCs/>
        </w:rPr>
        <w:t>Venų tromboembolijos (VTE) gydymas ir VTE pasikartojimo profilaktika pacientams vaikams nuo 28 dienų iki 18</w:t>
      </w:r>
      <w:r>
        <w:rPr>
          <w:i/>
          <w:iCs/>
        </w:rPr>
        <w:t> </w:t>
      </w:r>
      <w:r w:rsidRPr="005261E3">
        <w:rPr>
          <w:i/>
          <w:iCs/>
        </w:rPr>
        <w:t xml:space="preserve">metų </w:t>
      </w:r>
    </w:p>
    <w:p w14:paraId="06769F41" w14:textId="5C98BEE5" w:rsidR="00890384" w:rsidRDefault="00B26795">
      <w:pPr>
        <w:widowControl w:val="0"/>
        <w:tabs>
          <w:tab w:val="clear" w:pos="567"/>
        </w:tabs>
        <w:autoSpaceDE w:val="0"/>
        <w:autoSpaceDN w:val="0"/>
        <w:spacing w:line="240" w:lineRule="auto"/>
      </w:pPr>
      <w:r>
        <w:t>Tyrimas CV185325 buvo atsitiktinių imčių, aktyviai kontroliuojamas, atviras, daugiacentris tyrimas, skirtas įvertinti apiksabano vartojimą pacientų vaikų VTE gydymui. Šiame aprašomajame veiksmingumo ir saugumo tyrime dalyvavo 217 vaikų, kuriems reikėjo antikoaguliacinio gydymo dėl VTE ir dėl VTE pasikartojimo profilaktikos; 137 pacientai pateko į 1-ąją amžiaus grupę (nuo 12 iki 18 metų), 44 pacientai – į 2-ąją amžiaus grupę (nuo 2 iki 12 metų), 32 pacientai – į 3- iąją amžiaus grupę (nuo 28 dienų iki 2 metų) ir 4 pacientai – į 4-ąją amžiaus grupę (nuo gimimo iki 28 dienų). Pradinė VTE buvo patvirtinta vaizdiniu tyrimu ir nepriklausomai įvertinta. Prieš randomizaciją pacientai gavo standartinį antikoaguliacinį gydymą iki 14 dienų (vidutinė standartinio antikoaguliacinio gydymo trukmė (SN) prieš tiriamojo vaistinio preparato vartojimo pradžią buvo 4,8 (2,5) dienos, o 92,3 % pacientų tyrimą pradėjo po ≤</w:t>
      </w:r>
      <w:r w:rsidR="001D3AE3">
        <w:t> </w:t>
      </w:r>
      <w:r>
        <w:t>7 dienų). Pacientai buvo santykiu 2:1 randomizuoti vartoti pagal amžių pritaikytą apiksabano formą (dozės koreguotos pagal svorį, kad atitiktų dozavimą suaugusiesiems, kai iš pradžių skiriama įsotinamoji 10 mg dozė du kartus per parą 7 paras, o paskui po 5 mg du kartus per parą) arba gauti standartinį gydymą (SG). Pacientams nuo 2 iki 18 metų SG sudarė mažos molekulinės masės heparinai (MMMH), nefrakcionuoti heparinai (NFH) arba vitamino K antagonistai (VKA). Pacientams, kurių amžius nuo 28 dienų iki 2 metų, SG apsiribo</w:t>
      </w:r>
      <w:r w:rsidR="00AD71B0">
        <w:t>jo</w:t>
      </w:r>
      <w:r>
        <w:t xml:space="preserve"> heparinais (NFH arba MMMH). Pagrindinis gydymo etapas truko nuo 42 iki 84 dienų &lt;</w:t>
      </w:r>
      <w:r w:rsidR="00AD71B0">
        <w:t> </w:t>
      </w:r>
      <w:r>
        <w:t>2 metų amžiaus pacientams ir 84 dienas &gt;</w:t>
      </w:r>
      <w:r w:rsidR="00AD71B0">
        <w:t> </w:t>
      </w:r>
      <w:r>
        <w:t>2 metų amžiaus pacientams. Nuo 28 dienų iki 18 metų pacientai, kurie buvo randomizuoti vartoti apiksaban</w:t>
      </w:r>
      <w:r w:rsidR="00734850">
        <w:t>o</w:t>
      </w:r>
      <w:r>
        <w:t>, turėjo galimybę tęsti apiksabano vartojimą dar nuo 6 iki 12 savaičių tęstiniame etape.</w:t>
      </w:r>
    </w:p>
    <w:p w14:paraId="0FC82EF6" w14:textId="77777777" w:rsidR="00890384" w:rsidRDefault="00890384">
      <w:pPr>
        <w:widowControl w:val="0"/>
        <w:tabs>
          <w:tab w:val="clear" w:pos="567"/>
        </w:tabs>
        <w:autoSpaceDE w:val="0"/>
        <w:autoSpaceDN w:val="0"/>
        <w:spacing w:line="240" w:lineRule="auto"/>
      </w:pPr>
    </w:p>
    <w:p w14:paraId="0DBE40E4" w14:textId="77777777" w:rsidR="00890384" w:rsidRDefault="00B26795">
      <w:pPr>
        <w:widowControl w:val="0"/>
        <w:tabs>
          <w:tab w:val="clear" w:pos="567"/>
        </w:tabs>
        <w:autoSpaceDE w:val="0"/>
        <w:autoSpaceDN w:val="0"/>
        <w:spacing w:line="240" w:lineRule="auto"/>
      </w:pPr>
      <w:r>
        <w:t>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apiksabano grupėje ir 2 (2,8 %) pacientai SG grupėje patyrė bent 1 nepriklausomų vertintojų patvirtintą simptominį arba nesimptominį VTE pasikartojimo reiškinį.</w:t>
      </w:r>
    </w:p>
    <w:p w14:paraId="56CC186C" w14:textId="77777777" w:rsidR="00890384" w:rsidRDefault="00890384">
      <w:pPr>
        <w:widowControl w:val="0"/>
        <w:tabs>
          <w:tab w:val="clear" w:pos="567"/>
        </w:tabs>
        <w:autoSpaceDE w:val="0"/>
        <w:autoSpaceDN w:val="0"/>
        <w:spacing w:line="240" w:lineRule="auto"/>
      </w:pPr>
    </w:p>
    <w:p w14:paraId="001275AA" w14:textId="6AE02F61" w:rsidR="00890384" w:rsidRDefault="00B26795">
      <w:pPr>
        <w:widowControl w:val="0"/>
        <w:tabs>
          <w:tab w:val="clear" w:pos="567"/>
        </w:tabs>
        <w:autoSpaceDE w:val="0"/>
        <w:autoSpaceDN w:val="0"/>
        <w:spacing w:line="240" w:lineRule="auto"/>
      </w:pPr>
      <w:r>
        <w:t>Ekspozicijos trukmės mediana 143 gydytiems pacientams apiksabano grupėje buvo 84,0 dienos. Ekspozicija buvo ilgesnė nei 84 dienos 67 pacientams (46,9 %). Pagrindinė (pirminė) saugumo vertinamoji baigtis, kurią sudarė sudėtinis stipraus ir KRNS kraujavimo rodiklis, buvo fiksuota 2 (1,4 %) pacientams apiksabano grupėje, plg. su 1 (1,4 %) pacientu SG grupėje, o RS buvo 0,99 (95 % PI 0,1;10,8).</w:t>
      </w:r>
    </w:p>
    <w:p w14:paraId="5F38BB6B" w14:textId="77777777" w:rsidR="00890384" w:rsidRDefault="00B26795">
      <w:pPr>
        <w:widowControl w:val="0"/>
        <w:tabs>
          <w:tab w:val="clear" w:pos="567"/>
        </w:tabs>
        <w:autoSpaceDE w:val="0"/>
        <w:autoSpaceDN w:val="0"/>
        <w:spacing w:line="240" w:lineRule="auto"/>
      </w:pPr>
      <w:r>
        <w:t>Visais atvejais tai buvo susiję su KRNS kraujavimu. Mažas kraujavimas pasireiškė 51 (35,7 %) pacientui apiksabano grupėje ir 21 (29,6 %) pacientui SG grupėje, o RS buvo 1,19 (95 % PI 0,8; 1,8).</w:t>
      </w:r>
    </w:p>
    <w:p w14:paraId="46D006C4" w14:textId="77777777" w:rsidR="003D31B6" w:rsidRDefault="003D31B6">
      <w:pPr>
        <w:widowControl w:val="0"/>
        <w:tabs>
          <w:tab w:val="clear" w:pos="567"/>
        </w:tabs>
        <w:autoSpaceDE w:val="0"/>
        <w:autoSpaceDN w:val="0"/>
        <w:spacing w:line="240" w:lineRule="auto"/>
        <w:rPr>
          <w:snapToGrid/>
          <w:szCs w:val="22"/>
          <w:lang w:val="lt-LT"/>
        </w:rPr>
      </w:pPr>
    </w:p>
    <w:p w14:paraId="1E7AEEB6" w14:textId="68440C1C" w:rsidR="00890384" w:rsidRDefault="00B26795">
      <w:pPr>
        <w:widowControl w:val="0"/>
        <w:tabs>
          <w:tab w:val="clear" w:pos="567"/>
        </w:tabs>
        <w:autoSpaceDE w:val="0"/>
        <w:autoSpaceDN w:val="0"/>
        <w:spacing w:line="240" w:lineRule="auto"/>
      </w:pPr>
      <w:r>
        <w:t xml:space="preserve">Dideliu kraujavimu buvo apibūdinamas kraujavimas, atitinkantis vieną ar daugiau iš šių kriterijų: </w:t>
      </w:r>
      <w:r w:rsidR="009A6B6B">
        <w:t>I</w:t>
      </w:r>
      <w:r>
        <w:t xml:space="preserve">) mirtinas kraujavimas; </w:t>
      </w:r>
      <w:r w:rsidR="009A6B6B">
        <w:t>II</w:t>
      </w:r>
      <w:r>
        <w:t xml:space="preserve">) kliniškai ryškus kraujavimas, susijęs su hemoglobino (HB) koncentracijos sumažėjimu bent </w:t>
      </w:r>
      <w:r>
        <w:lastRenderedPageBreak/>
        <w:t xml:space="preserve">20 g/l (2 g/dl) per 24 valandas; </w:t>
      </w:r>
      <w:r w:rsidR="009A6B6B">
        <w:t>III</w:t>
      </w:r>
      <w:r>
        <w:t xml:space="preserve">) kraujavimas, kuris yra retroperitoninis, plaučių, intrakranijinis ar kitaip susijęs su centrine nervų sistema; </w:t>
      </w:r>
      <w:r w:rsidR="002A5B0B">
        <w:t>IV</w:t>
      </w:r>
      <w:r>
        <w:t>) kraujavimas, dėl kurio reikia chirurginės intervencijos operacinėje (įskaitant intervencinę radiologiją).</w:t>
      </w:r>
    </w:p>
    <w:p w14:paraId="6D248060" w14:textId="77777777" w:rsidR="00890384" w:rsidRDefault="00890384">
      <w:pPr>
        <w:widowControl w:val="0"/>
        <w:tabs>
          <w:tab w:val="clear" w:pos="567"/>
        </w:tabs>
        <w:autoSpaceDE w:val="0"/>
        <w:autoSpaceDN w:val="0"/>
        <w:spacing w:line="240" w:lineRule="auto"/>
      </w:pPr>
    </w:p>
    <w:p w14:paraId="2C5DCEEC" w14:textId="261CCEC1" w:rsidR="00890384" w:rsidRDefault="00B26795">
      <w:pPr>
        <w:widowControl w:val="0"/>
        <w:tabs>
          <w:tab w:val="clear" w:pos="567"/>
        </w:tabs>
        <w:autoSpaceDE w:val="0"/>
        <w:autoSpaceDN w:val="0"/>
        <w:spacing w:line="240" w:lineRule="auto"/>
      </w:pPr>
      <w:r>
        <w:t xml:space="preserve">KRNS </w:t>
      </w:r>
      <w:r w:rsidR="00D855B9">
        <w:t xml:space="preserve">kraujavimas </w:t>
      </w:r>
      <w:r>
        <w:t>buvo apibrėžiamas kaip kraujavimas, kuris atitinka vieną arba abu toliau nurodytų požymių: (</w:t>
      </w:r>
      <w:r w:rsidR="00E536AE">
        <w:t>I</w:t>
      </w:r>
      <w:r>
        <w:t>) akivaizdus kraujavimas, dėl kurio skiriamas kraujo preparatas ir kuris nėra tiesiogiai susijęs su tiriamojo sveikatos būkle, ir (</w:t>
      </w:r>
      <w:r w:rsidR="00E536AE">
        <w:t>II</w:t>
      </w:r>
      <w:r>
        <w:t>) kraujavimas, kuriam reikia medicininės ar chirurginės intervencijos, kad būtų atkurta hemostazė, išskyrus operacinę.</w:t>
      </w:r>
    </w:p>
    <w:p w14:paraId="25D80AE1" w14:textId="77777777" w:rsidR="00890384" w:rsidRDefault="00890384">
      <w:pPr>
        <w:widowControl w:val="0"/>
        <w:tabs>
          <w:tab w:val="clear" w:pos="567"/>
        </w:tabs>
        <w:autoSpaceDE w:val="0"/>
        <w:autoSpaceDN w:val="0"/>
        <w:spacing w:line="240" w:lineRule="auto"/>
      </w:pPr>
    </w:p>
    <w:p w14:paraId="6C2616BA" w14:textId="77777777" w:rsidR="00890384" w:rsidRDefault="00B26795">
      <w:pPr>
        <w:widowControl w:val="0"/>
        <w:tabs>
          <w:tab w:val="clear" w:pos="567"/>
        </w:tabs>
        <w:autoSpaceDE w:val="0"/>
        <w:autoSpaceDN w:val="0"/>
        <w:spacing w:line="240" w:lineRule="auto"/>
      </w:pPr>
      <w:r>
        <w:t>Mažas kraujavimas buvo apibrėžiamas kaip bet koks akivaizdus ar makroskopinis kraujavimas, neatitinkantis pirmiau nurodytų didelio kraujavimo arba kliniškai reikšmingo nedidelio kraujavimo kriterijų. Mėnesinių kraujavimas buvo priskiriamas prie mažų kraujavimų, o ne prie kliniškai reikšmingų nedidelių kraujavimų.</w:t>
      </w:r>
    </w:p>
    <w:p w14:paraId="0C42D83B" w14:textId="77777777" w:rsidR="00890384" w:rsidRDefault="00890384">
      <w:pPr>
        <w:widowControl w:val="0"/>
        <w:tabs>
          <w:tab w:val="clear" w:pos="567"/>
        </w:tabs>
        <w:autoSpaceDE w:val="0"/>
        <w:autoSpaceDN w:val="0"/>
        <w:spacing w:line="240" w:lineRule="auto"/>
      </w:pPr>
    </w:p>
    <w:p w14:paraId="7B6E103E" w14:textId="0F277320" w:rsidR="00890384" w:rsidRDefault="00B26795">
      <w:pPr>
        <w:widowControl w:val="0"/>
        <w:tabs>
          <w:tab w:val="clear" w:pos="567"/>
        </w:tabs>
        <w:autoSpaceDE w:val="0"/>
        <w:autoSpaceDN w:val="0"/>
        <w:spacing w:line="240" w:lineRule="auto"/>
      </w:pPr>
      <w:r>
        <w:t>Tarp 53 pacientų, kurie perėjo į tęstinį etapą ir vartojo apiksaban</w:t>
      </w:r>
      <w:r w:rsidR="00820B9E">
        <w:t>o</w:t>
      </w:r>
      <w:r>
        <w:t>, simptominės ir nesimptominės pasikartojančios VTE ar su VTE susijusios mirties atvejų neužfiksuota. Tęstinio etapo metu nė vienas pacientas nepatyrė nepriklausomų vertintojų patvirtinto stipraus ar KRNS kraujavimo reiškinio. Aštuoni (8/53; 15,1</w:t>
      </w:r>
      <w:r w:rsidR="0061303D">
        <w:t> </w:t>
      </w:r>
      <w:r>
        <w:t>%) pacientai tęstinio etapo metu patyrė mažo kraujavimo reiškinius.</w:t>
      </w:r>
    </w:p>
    <w:p w14:paraId="48721F4C" w14:textId="77777777" w:rsidR="00890384" w:rsidRDefault="00890384">
      <w:pPr>
        <w:widowControl w:val="0"/>
        <w:tabs>
          <w:tab w:val="clear" w:pos="567"/>
        </w:tabs>
        <w:autoSpaceDE w:val="0"/>
        <w:autoSpaceDN w:val="0"/>
        <w:spacing w:line="240" w:lineRule="auto"/>
      </w:pPr>
    </w:p>
    <w:p w14:paraId="62A486B4" w14:textId="77777777" w:rsidR="00BE5E4D" w:rsidRDefault="00B26795">
      <w:pPr>
        <w:widowControl w:val="0"/>
        <w:tabs>
          <w:tab w:val="clear" w:pos="567"/>
        </w:tabs>
        <w:autoSpaceDE w:val="0"/>
        <w:autoSpaceDN w:val="0"/>
        <w:spacing w:line="240" w:lineRule="auto"/>
      </w:pPr>
      <w:r>
        <w:t xml:space="preserve">Apiksabano grupėje įvyko 3 mirtys, o SG grupėje – 1 mirtis; visi šie atvejai buvo tyrėjo įvertinti kaip su gydymu nesusiję. Remiantis nepriklausomo reiškinių vertinimo komiteto išvada, nė viena iš tų mirčių neįvyko dėl VTE arba kraujavimo reiškinio. </w:t>
      </w:r>
    </w:p>
    <w:p w14:paraId="5D277B5A" w14:textId="4F96AE2B" w:rsidR="00890384" w:rsidRDefault="00B26795">
      <w:pPr>
        <w:widowControl w:val="0"/>
        <w:tabs>
          <w:tab w:val="clear" w:pos="567"/>
        </w:tabs>
        <w:autoSpaceDE w:val="0"/>
        <w:autoSpaceDN w:val="0"/>
        <w:spacing w:line="240" w:lineRule="auto"/>
      </w:pPr>
      <w:r>
        <w:t>Apiksabano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apiksabanu.</w:t>
      </w:r>
    </w:p>
    <w:p w14:paraId="4EB4163E" w14:textId="77777777" w:rsidR="00890384" w:rsidRDefault="00890384">
      <w:pPr>
        <w:widowControl w:val="0"/>
        <w:tabs>
          <w:tab w:val="clear" w:pos="567"/>
        </w:tabs>
        <w:autoSpaceDE w:val="0"/>
        <w:autoSpaceDN w:val="0"/>
        <w:spacing w:line="240" w:lineRule="auto"/>
      </w:pPr>
    </w:p>
    <w:p w14:paraId="6DC62D99" w14:textId="77777777" w:rsidR="00890384" w:rsidRDefault="00B26795">
      <w:pPr>
        <w:widowControl w:val="0"/>
        <w:tabs>
          <w:tab w:val="clear" w:pos="567"/>
        </w:tabs>
        <w:autoSpaceDE w:val="0"/>
        <w:autoSpaceDN w:val="0"/>
        <w:spacing w:line="240" w:lineRule="auto"/>
      </w:pPr>
      <w:r>
        <w:t>Patvirtintos pediatrinės indikacijos pirminei VTE profilaktikai nėra.</w:t>
      </w:r>
    </w:p>
    <w:p w14:paraId="66D0480E" w14:textId="77777777" w:rsidR="00890384" w:rsidRDefault="00890384">
      <w:pPr>
        <w:widowControl w:val="0"/>
        <w:tabs>
          <w:tab w:val="clear" w:pos="567"/>
        </w:tabs>
        <w:autoSpaceDE w:val="0"/>
        <w:autoSpaceDN w:val="0"/>
        <w:spacing w:line="240" w:lineRule="auto"/>
      </w:pPr>
    </w:p>
    <w:p w14:paraId="5F693C7E" w14:textId="77777777" w:rsidR="00890384" w:rsidRPr="005261E3" w:rsidRDefault="00B26795">
      <w:pPr>
        <w:widowControl w:val="0"/>
        <w:tabs>
          <w:tab w:val="clear" w:pos="567"/>
        </w:tabs>
        <w:autoSpaceDE w:val="0"/>
        <w:autoSpaceDN w:val="0"/>
        <w:spacing w:line="240" w:lineRule="auto"/>
        <w:rPr>
          <w:i/>
          <w:iCs/>
          <w:u w:val="single"/>
        </w:rPr>
      </w:pPr>
      <w:r w:rsidRPr="005261E3">
        <w:rPr>
          <w:i/>
          <w:iCs/>
          <w:u w:val="single"/>
        </w:rPr>
        <w:t>VTE profilaktika pacientams vaikams, sergantiems ūmine limfoblastine leukemija arba limfoblastine limfoma (ŪLL, LL)</w:t>
      </w:r>
    </w:p>
    <w:p w14:paraId="63428DD4" w14:textId="5EFA8487" w:rsidR="00890384" w:rsidRDefault="00B26795">
      <w:pPr>
        <w:widowControl w:val="0"/>
        <w:tabs>
          <w:tab w:val="clear" w:pos="567"/>
        </w:tabs>
        <w:autoSpaceDE w:val="0"/>
        <w:autoSpaceDN w:val="0"/>
        <w:spacing w:line="240" w:lineRule="auto"/>
        <w:rPr>
          <w:snapToGrid/>
          <w:szCs w:val="22"/>
          <w:lang w:val="lt-LT"/>
        </w:rPr>
      </w:pPr>
      <w:r>
        <w:t>Atliekant tyrimą PREVAPIX-ALL, iš viso 512 naujai diagnozuota ŪLL arba LL sergančių pacientų, kurių amžius nuo 1 iki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15 lentelę). Apiksabano skirta 2,5 mg tablečių, 0,5 mg tablečių arba 0,4 mg/ml geriamojo tirpalo forma. Ekspozicijos trukmės mediana apiksabano grupėje buvo 25 paros.</w:t>
      </w:r>
    </w:p>
    <w:p w14:paraId="0B47F8FA" w14:textId="77777777" w:rsidR="00890384" w:rsidRDefault="00890384">
      <w:pPr>
        <w:widowControl w:val="0"/>
        <w:tabs>
          <w:tab w:val="clear" w:pos="567"/>
        </w:tabs>
        <w:autoSpaceDE w:val="0"/>
        <w:autoSpaceDN w:val="0"/>
        <w:spacing w:line="240" w:lineRule="auto"/>
        <w:rPr>
          <w:snapToGrid/>
          <w:szCs w:val="22"/>
          <w:lang w:val="lt-LT"/>
        </w:rPr>
      </w:pPr>
    </w:p>
    <w:p w14:paraId="63274511" w14:textId="77777777" w:rsidR="00890384" w:rsidRDefault="00B26795">
      <w:pPr>
        <w:widowControl w:val="0"/>
        <w:tabs>
          <w:tab w:val="clear" w:pos="567"/>
        </w:tabs>
        <w:spacing w:line="240" w:lineRule="auto"/>
        <w:rPr>
          <w:b/>
          <w:bCs/>
          <w:noProof/>
          <w:snapToGrid/>
          <w:szCs w:val="22"/>
          <w:lang w:val="en-US" w:eastAsia="sl-SI"/>
        </w:rPr>
      </w:pPr>
      <w:r w:rsidRPr="005261E3">
        <w:rPr>
          <w:b/>
          <w:bCs/>
        </w:rPr>
        <w:t>15 lentelė. Apiksabano dozavimas PREVAPIX-ALL tyrimo metu</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8"/>
        <w:gridCol w:w="3333"/>
      </w:tblGrid>
      <w:tr w:rsidR="00890384" w14:paraId="20687EBD" w14:textId="77777777">
        <w:trPr>
          <w:trHeight w:val="339"/>
        </w:trPr>
        <w:tc>
          <w:tcPr>
            <w:tcW w:w="3148" w:type="dxa"/>
          </w:tcPr>
          <w:p w14:paraId="74918A7E" w14:textId="77777777" w:rsidR="00890384" w:rsidRDefault="00B26795">
            <w:pPr>
              <w:widowControl w:val="0"/>
              <w:tabs>
                <w:tab w:val="clear" w:pos="567"/>
              </w:tabs>
              <w:spacing w:line="240" w:lineRule="auto"/>
              <w:jc w:val="center"/>
              <w:rPr>
                <w:b/>
                <w:bCs/>
                <w:noProof/>
                <w:snapToGrid/>
                <w:szCs w:val="22"/>
                <w:lang w:val="en-US" w:eastAsia="sl-SI"/>
              </w:rPr>
            </w:pPr>
            <w:r w:rsidRPr="005261E3">
              <w:rPr>
                <w:b/>
                <w:bCs/>
              </w:rPr>
              <w:t>Kūno masės diapazonas</w:t>
            </w:r>
          </w:p>
        </w:tc>
        <w:tc>
          <w:tcPr>
            <w:tcW w:w="3333" w:type="dxa"/>
          </w:tcPr>
          <w:p w14:paraId="0E7B0481" w14:textId="77777777" w:rsidR="00890384" w:rsidRDefault="00B26795">
            <w:pPr>
              <w:widowControl w:val="0"/>
              <w:tabs>
                <w:tab w:val="clear" w:pos="567"/>
              </w:tabs>
              <w:spacing w:line="240" w:lineRule="auto"/>
              <w:jc w:val="center"/>
              <w:rPr>
                <w:b/>
                <w:bCs/>
                <w:noProof/>
                <w:snapToGrid/>
                <w:szCs w:val="22"/>
                <w:lang w:val="en-US" w:eastAsia="sl-SI"/>
              </w:rPr>
            </w:pPr>
            <w:r w:rsidRPr="005261E3">
              <w:rPr>
                <w:b/>
                <w:bCs/>
              </w:rPr>
              <w:t>Dozavimo planas</w:t>
            </w:r>
          </w:p>
        </w:tc>
      </w:tr>
      <w:tr w:rsidR="00890384" w14:paraId="129AA7CA" w14:textId="77777777">
        <w:trPr>
          <w:trHeight w:val="339"/>
        </w:trPr>
        <w:tc>
          <w:tcPr>
            <w:tcW w:w="3148" w:type="dxa"/>
          </w:tcPr>
          <w:p w14:paraId="63D2E323" w14:textId="4BBB05E2"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6 iki &lt;</w:t>
            </w:r>
            <w:r w:rsidR="00ED6823">
              <w:rPr>
                <w:noProof/>
                <w:snapToGrid/>
                <w:szCs w:val="22"/>
                <w:lang w:val="en-US" w:eastAsia="sl-SI"/>
              </w:rPr>
              <w:t> </w:t>
            </w:r>
            <w:r>
              <w:rPr>
                <w:noProof/>
                <w:snapToGrid/>
                <w:szCs w:val="22"/>
                <w:lang w:val="en-US" w:eastAsia="sl-SI"/>
              </w:rPr>
              <w:t>10,5 kg</w:t>
            </w:r>
          </w:p>
        </w:tc>
        <w:tc>
          <w:tcPr>
            <w:tcW w:w="3333" w:type="dxa"/>
          </w:tcPr>
          <w:p w14:paraId="2C60A4AF"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0,5 mg du kartus per parą</w:t>
            </w:r>
          </w:p>
        </w:tc>
      </w:tr>
      <w:tr w:rsidR="00890384" w14:paraId="0AD8E1B0" w14:textId="77777777">
        <w:trPr>
          <w:trHeight w:val="339"/>
        </w:trPr>
        <w:tc>
          <w:tcPr>
            <w:tcW w:w="3148" w:type="dxa"/>
          </w:tcPr>
          <w:p w14:paraId="5223BE88" w14:textId="60DD9CF2"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10,5 iki &lt;</w:t>
            </w:r>
            <w:r w:rsidR="00ED6823">
              <w:rPr>
                <w:noProof/>
                <w:snapToGrid/>
                <w:szCs w:val="22"/>
                <w:lang w:val="en-US" w:eastAsia="sl-SI"/>
              </w:rPr>
              <w:t> </w:t>
            </w:r>
            <w:r>
              <w:rPr>
                <w:noProof/>
                <w:snapToGrid/>
                <w:szCs w:val="22"/>
                <w:lang w:val="en-US" w:eastAsia="sl-SI"/>
              </w:rPr>
              <w:t>18 kg</w:t>
            </w:r>
          </w:p>
        </w:tc>
        <w:tc>
          <w:tcPr>
            <w:tcW w:w="3333" w:type="dxa"/>
          </w:tcPr>
          <w:p w14:paraId="4051528E"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1 mg du kartus per parą</w:t>
            </w:r>
          </w:p>
        </w:tc>
      </w:tr>
      <w:tr w:rsidR="00890384" w14:paraId="7E6D425E" w14:textId="77777777">
        <w:trPr>
          <w:trHeight w:val="339"/>
        </w:trPr>
        <w:tc>
          <w:tcPr>
            <w:tcW w:w="3148" w:type="dxa"/>
          </w:tcPr>
          <w:p w14:paraId="3D56D715" w14:textId="30DAD4B2"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18 iki &lt;</w:t>
            </w:r>
            <w:r w:rsidR="00ED6823">
              <w:rPr>
                <w:noProof/>
                <w:snapToGrid/>
                <w:szCs w:val="22"/>
                <w:lang w:val="en-US" w:eastAsia="sl-SI"/>
              </w:rPr>
              <w:t> </w:t>
            </w:r>
            <w:r>
              <w:rPr>
                <w:noProof/>
                <w:snapToGrid/>
                <w:szCs w:val="22"/>
                <w:lang w:val="en-US" w:eastAsia="sl-SI"/>
              </w:rPr>
              <w:t>25 kg</w:t>
            </w:r>
          </w:p>
        </w:tc>
        <w:tc>
          <w:tcPr>
            <w:tcW w:w="3333" w:type="dxa"/>
          </w:tcPr>
          <w:p w14:paraId="478618AB"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1,5 mg du kartus per parą</w:t>
            </w:r>
          </w:p>
        </w:tc>
      </w:tr>
      <w:tr w:rsidR="00890384" w14:paraId="2564E1AF" w14:textId="77777777">
        <w:trPr>
          <w:trHeight w:val="339"/>
        </w:trPr>
        <w:tc>
          <w:tcPr>
            <w:tcW w:w="3148" w:type="dxa"/>
          </w:tcPr>
          <w:p w14:paraId="4097FFB8" w14:textId="561E6FE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25 iki &lt;</w:t>
            </w:r>
            <w:r w:rsidR="00ED6823">
              <w:rPr>
                <w:noProof/>
                <w:snapToGrid/>
                <w:szCs w:val="22"/>
                <w:lang w:val="en-US" w:eastAsia="sl-SI"/>
              </w:rPr>
              <w:t> </w:t>
            </w:r>
            <w:r>
              <w:rPr>
                <w:noProof/>
                <w:snapToGrid/>
                <w:szCs w:val="22"/>
                <w:lang w:val="en-US" w:eastAsia="sl-SI"/>
              </w:rPr>
              <w:t>35 kg</w:t>
            </w:r>
          </w:p>
        </w:tc>
        <w:tc>
          <w:tcPr>
            <w:tcW w:w="3333" w:type="dxa"/>
          </w:tcPr>
          <w:p w14:paraId="2239FB28"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2 mg du kartus per parą</w:t>
            </w:r>
          </w:p>
        </w:tc>
      </w:tr>
      <w:tr w:rsidR="00890384" w14:paraId="0B440278" w14:textId="77777777">
        <w:trPr>
          <w:trHeight w:val="339"/>
        </w:trPr>
        <w:tc>
          <w:tcPr>
            <w:tcW w:w="3148" w:type="dxa"/>
          </w:tcPr>
          <w:p w14:paraId="2A32BA3C" w14:textId="68B7D672"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w:t>
            </w:r>
            <w:r w:rsidR="00ED6823">
              <w:rPr>
                <w:noProof/>
                <w:snapToGrid/>
                <w:szCs w:val="22"/>
                <w:lang w:val="en-US" w:eastAsia="sl-SI"/>
              </w:rPr>
              <w:t> </w:t>
            </w:r>
            <w:r>
              <w:rPr>
                <w:noProof/>
                <w:snapToGrid/>
                <w:szCs w:val="22"/>
                <w:lang w:val="en-US" w:eastAsia="sl-SI"/>
              </w:rPr>
              <w:t>35 kg</w:t>
            </w:r>
          </w:p>
        </w:tc>
        <w:tc>
          <w:tcPr>
            <w:tcW w:w="3333" w:type="dxa"/>
          </w:tcPr>
          <w:p w14:paraId="771F6A75"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2,5 mg du kartus per parą</w:t>
            </w:r>
          </w:p>
        </w:tc>
      </w:tr>
    </w:tbl>
    <w:p w14:paraId="4B1F61BA" w14:textId="77777777" w:rsidR="00890384" w:rsidRDefault="00890384">
      <w:pPr>
        <w:widowControl w:val="0"/>
        <w:tabs>
          <w:tab w:val="clear" w:pos="567"/>
        </w:tabs>
        <w:spacing w:line="240" w:lineRule="auto"/>
        <w:jc w:val="both"/>
        <w:rPr>
          <w:noProof/>
          <w:snapToGrid/>
          <w:szCs w:val="22"/>
          <w:lang w:val="en-US" w:eastAsia="sl-SI"/>
        </w:rPr>
      </w:pPr>
    </w:p>
    <w:p w14:paraId="0DF4F5E3" w14:textId="77777777" w:rsidR="00890384" w:rsidRDefault="00B26795">
      <w:pPr>
        <w:widowControl w:val="0"/>
        <w:tabs>
          <w:tab w:val="clear" w:pos="567"/>
        </w:tabs>
        <w:autoSpaceDE w:val="0"/>
        <w:autoSpaceDN w:val="0"/>
        <w:spacing w:line="240" w:lineRule="auto"/>
      </w:pPr>
      <w:r>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Pirminės veiksmingumo vertinamosios baigties dažnis apiksabano grupėje buvo 31 (12,1 %), palyginti su 45 (17,6 %) standartinės priežiūros grupėje. Santykinis rizikos sumažėjimas nebuvo reikšmingas.</w:t>
      </w:r>
    </w:p>
    <w:p w14:paraId="0989CCBA" w14:textId="77777777" w:rsidR="00890384" w:rsidRDefault="00890384">
      <w:pPr>
        <w:widowControl w:val="0"/>
        <w:tabs>
          <w:tab w:val="clear" w:pos="567"/>
        </w:tabs>
        <w:autoSpaceDE w:val="0"/>
        <w:autoSpaceDN w:val="0"/>
        <w:spacing w:line="240" w:lineRule="auto"/>
      </w:pPr>
    </w:p>
    <w:p w14:paraId="067FA516" w14:textId="77777777" w:rsidR="00890384" w:rsidRDefault="00B26795">
      <w:pPr>
        <w:widowControl w:val="0"/>
        <w:tabs>
          <w:tab w:val="clear" w:pos="567"/>
        </w:tabs>
        <w:autoSpaceDE w:val="0"/>
        <w:autoSpaceDN w:val="0"/>
        <w:spacing w:line="240" w:lineRule="auto"/>
      </w:pPr>
      <w:r>
        <w:t xml:space="preserve">Saugumo vertinamosios baigtys vertintos pagal ISTH kriterijus. Pagrindinė saugumo vertinamoji baigtis – stiprus kraujavimas, pasireiškė po 0,8 % pacientų kiekvienoje gydymo grupėje. KRNS kraujavimas nustatytas 11 pacientų (4,3 %) apiksabano grupėje ir 3 pacientams (1,2 %) standartinės priežiūros grupėje. Dažniausias </w:t>
      </w:r>
      <w:r>
        <w:lastRenderedPageBreak/>
        <w:t>KRNS kraujavimas, prisidėjęs prie gydymo grupių skirtumo, buvo lengvas ar vidutinio intensyvumo kraujavimas iš nosies. Nestipraus kraujavimo atvejų pasireiškė 37 pacientams (14,5 %) apiksabano grupėje ir 20 pacientų (7,8 %) standartinės priežiūros grupėje.</w:t>
      </w:r>
    </w:p>
    <w:p w14:paraId="69ECE23B" w14:textId="77777777" w:rsidR="00890384" w:rsidRDefault="00890384">
      <w:pPr>
        <w:widowControl w:val="0"/>
        <w:tabs>
          <w:tab w:val="clear" w:pos="567"/>
        </w:tabs>
        <w:autoSpaceDE w:val="0"/>
        <w:autoSpaceDN w:val="0"/>
        <w:spacing w:line="240" w:lineRule="auto"/>
      </w:pPr>
    </w:p>
    <w:p w14:paraId="3FAFD5D6" w14:textId="3092A119" w:rsidR="00890384" w:rsidRDefault="00B26795">
      <w:pPr>
        <w:widowControl w:val="0"/>
        <w:tabs>
          <w:tab w:val="clear" w:pos="567"/>
        </w:tabs>
        <w:autoSpaceDE w:val="0"/>
        <w:autoSpaceDN w:val="0"/>
        <w:spacing w:line="240" w:lineRule="auto"/>
        <w:rPr>
          <w:snapToGrid/>
          <w:szCs w:val="22"/>
          <w:lang w:val="lt-LT"/>
        </w:rPr>
      </w:pPr>
      <w:r w:rsidRPr="005261E3">
        <w:rPr>
          <w:i/>
          <w:iCs/>
          <w:u w:val="single"/>
        </w:rPr>
        <w:t>Trombozės ir embolijos (TE) profilaktika pacientams vaikams, turintiems įgimtą arba įgytą širdies ligą</w:t>
      </w:r>
      <w:r>
        <w:t xml:space="preserve"> SAXOPHONE buvo atsitiktinių imčių, 2:1 santykio, atvirasis daugiacentris palyginamasis tyrimas su pacientaisnuo 28 dienų iki 18 metų ir kurie sirgo įgimta arba įgyta širdies liga, kai reikia taikyti antikoaguliacinį gydymą. Pacientai vartojo apiksaban</w:t>
      </w:r>
      <w:r w:rsidR="0009007C">
        <w:t>o</w:t>
      </w:r>
      <w:r>
        <w:t xml:space="preserve">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57AB5BDE" w14:textId="77777777" w:rsidR="00890384" w:rsidRDefault="00890384">
      <w:pPr>
        <w:widowControl w:val="0"/>
        <w:tabs>
          <w:tab w:val="clear" w:pos="567"/>
        </w:tabs>
        <w:autoSpaceDE w:val="0"/>
        <w:autoSpaceDN w:val="0"/>
        <w:spacing w:line="240" w:lineRule="auto"/>
        <w:rPr>
          <w:snapToGrid/>
          <w:szCs w:val="22"/>
          <w:lang w:val="lt-LT"/>
        </w:rPr>
      </w:pPr>
    </w:p>
    <w:p w14:paraId="63F0276B" w14:textId="77777777" w:rsidR="00890384" w:rsidRDefault="00B26795">
      <w:pPr>
        <w:widowControl w:val="0"/>
        <w:tabs>
          <w:tab w:val="clear" w:pos="567"/>
        </w:tabs>
        <w:spacing w:line="240" w:lineRule="auto"/>
        <w:rPr>
          <w:b/>
          <w:bCs/>
          <w:noProof/>
          <w:snapToGrid/>
          <w:szCs w:val="22"/>
          <w:lang w:val="en-US" w:eastAsia="sl-SI"/>
        </w:rPr>
      </w:pPr>
      <w:r>
        <w:rPr>
          <w:b/>
          <w:bCs/>
          <w:noProof/>
          <w:snapToGrid/>
          <w:szCs w:val="22"/>
          <w:lang w:val="en-US" w:eastAsia="sl-SI"/>
        </w:rPr>
        <w:t xml:space="preserve">16 lentelė: </w:t>
      </w:r>
      <w:r w:rsidRPr="005261E3">
        <w:rPr>
          <w:b/>
          <w:bCs/>
        </w:rPr>
        <w:t>Apiksabano dozavimas SAXOPHONE tyrimo metu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2"/>
        <w:gridCol w:w="3334"/>
      </w:tblGrid>
      <w:tr w:rsidR="00890384" w14:paraId="3C49669E" w14:textId="77777777">
        <w:trPr>
          <w:trHeight w:val="309"/>
        </w:trPr>
        <w:tc>
          <w:tcPr>
            <w:tcW w:w="3362" w:type="dxa"/>
          </w:tcPr>
          <w:p w14:paraId="0F251090" w14:textId="043B0285" w:rsidR="00890384" w:rsidRDefault="00B26795">
            <w:pPr>
              <w:widowControl w:val="0"/>
              <w:tabs>
                <w:tab w:val="clear" w:pos="567"/>
              </w:tabs>
              <w:spacing w:line="240" w:lineRule="auto"/>
              <w:jc w:val="center"/>
              <w:rPr>
                <w:b/>
                <w:bCs/>
                <w:noProof/>
                <w:snapToGrid/>
                <w:szCs w:val="22"/>
                <w:lang w:val="en-US" w:eastAsia="sl-SI"/>
              </w:rPr>
            </w:pPr>
            <w:r w:rsidRPr="005261E3">
              <w:rPr>
                <w:b/>
                <w:bCs/>
              </w:rPr>
              <w:t xml:space="preserve">Kūno masės diapazonas </w:t>
            </w:r>
          </w:p>
        </w:tc>
        <w:tc>
          <w:tcPr>
            <w:tcW w:w="3334" w:type="dxa"/>
          </w:tcPr>
          <w:p w14:paraId="1BF90BE1" w14:textId="77777777" w:rsidR="00890384" w:rsidRDefault="00B26795">
            <w:pPr>
              <w:widowControl w:val="0"/>
              <w:tabs>
                <w:tab w:val="clear" w:pos="567"/>
              </w:tabs>
              <w:spacing w:line="240" w:lineRule="auto"/>
              <w:jc w:val="center"/>
              <w:rPr>
                <w:b/>
                <w:bCs/>
                <w:noProof/>
                <w:snapToGrid/>
                <w:szCs w:val="22"/>
                <w:lang w:val="en-US" w:eastAsia="sl-SI"/>
              </w:rPr>
            </w:pPr>
            <w:r w:rsidRPr="005261E3">
              <w:rPr>
                <w:b/>
                <w:bCs/>
              </w:rPr>
              <w:t xml:space="preserve">Kūno masės diapazonas Dozavimo planas </w:t>
            </w:r>
          </w:p>
        </w:tc>
      </w:tr>
      <w:tr w:rsidR="00890384" w14:paraId="5F9D3CF1" w14:textId="77777777">
        <w:trPr>
          <w:trHeight w:val="307"/>
        </w:trPr>
        <w:tc>
          <w:tcPr>
            <w:tcW w:w="3362" w:type="dxa"/>
          </w:tcPr>
          <w:p w14:paraId="66F297DC" w14:textId="66DC68E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6 iki &lt;</w:t>
            </w:r>
            <w:r w:rsidR="008D0226">
              <w:rPr>
                <w:noProof/>
                <w:snapToGrid/>
                <w:szCs w:val="22"/>
                <w:lang w:val="en-US" w:eastAsia="sl-SI"/>
              </w:rPr>
              <w:t> </w:t>
            </w:r>
            <w:r>
              <w:rPr>
                <w:noProof/>
                <w:snapToGrid/>
                <w:szCs w:val="22"/>
                <w:lang w:val="en-US" w:eastAsia="sl-SI"/>
              </w:rPr>
              <w:t>9 kg</w:t>
            </w:r>
          </w:p>
        </w:tc>
        <w:tc>
          <w:tcPr>
            <w:tcW w:w="3334" w:type="dxa"/>
          </w:tcPr>
          <w:p w14:paraId="03B8B24F"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1 mg du kartus per parą</w:t>
            </w:r>
          </w:p>
        </w:tc>
      </w:tr>
      <w:tr w:rsidR="00890384" w14:paraId="23FA1034" w14:textId="77777777">
        <w:trPr>
          <w:trHeight w:val="309"/>
        </w:trPr>
        <w:tc>
          <w:tcPr>
            <w:tcW w:w="3362" w:type="dxa"/>
          </w:tcPr>
          <w:p w14:paraId="2E37C4E4" w14:textId="30B155CA"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9 iki &lt;</w:t>
            </w:r>
            <w:r w:rsidR="008D0226">
              <w:rPr>
                <w:noProof/>
                <w:snapToGrid/>
                <w:szCs w:val="22"/>
                <w:lang w:val="en-US" w:eastAsia="sl-SI"/>
              </w:rPr>
              <w:t> </w:t>
            </w:r>
            <w:r>
              <w:rPr>
                <w:noProof/>
                <w:snapToGrid/>
                <w:szCs w:val="22"/>
                <w:lang w:val="en-US" w:eastAsia="sl-SI"/>
              </w:rPr>
              <w:t>12 kg</w:t>
            </w:r>
          </w:p>
        </w:tc>
        <w:tc>
          <w:tcPr>
            <w:tcW w:w="3334" w:type="dxa"/>
          </w:tcPr>
          <w:p w14:paraId="2C89226A"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1,5 mg du kartus per parą</w:t>
            </w:r>
          </w:p>
        </w:tc>
      </w:tr>
      <w:tr w:rsidR="00890384" w14:paraId="746E82B5" w14:textId="77777777">
        <w:trPr>
          <w:trHeight w:val="309"/>
        </w:trPr>
        <w:tc>
          <w:tcPr>
            <w:tcW w:w="3362" w:type="dxa"/>
          </w:tcPr>
          <w:p w14:paraId="4B4C709C" w14:textId="1E34E121"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12 iki &lt;</w:t>
            </w:r>
            <w:r w:rsidR="008D0226">
              <w:rPr>
                <w:noProof/>
                <w:snapToGrid/>
                <w:szCs w:val="22"/>
                <w:lang w:val="en-US" w:eastAsia="sl-SI"/>
              </w:rPr>
              <w:t> </w:t>
            </w:r>
            <w:r>
              <w:rPr>
                <w:noProof/>
                <w:snapToGrid/>
                <w:szCs w:val="22"/>
                <w:lang w:val="en-US" w:eastAsia="sl-SI"/>
              </w:rPr>
              <w:t>18 kg</w:t>
            </w:r>
          </w:p>
        </w:tc>
        <w:tc>
          <w:tcPr>
            <w:tcW w:w="3334" w:type="dxa"/>
          </w:tcPr>
          <w:p w14:paraId="4E88E2B8"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2 mg du kartus per parą</w:t>
            </w:r>
          </w:p>
        </w:tc>
      </w:tr>
      <w:tr w:rsidR="00890384" w14:paraId="7D01DA24" w14:textId="77777777">
        <w:trPr>
          <w:trHeight w:val="309"/>
        </w:trPr>
        <w:tc>
          <w:tcPr>
            <w:tcW w:w="3362" w:type="dxa"/>
          </w:tcPr>
          <w:p w14:paraId="4E99601A" w14:textId="6DAD720C"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18 iki &lt;</w:t>
            </w:r>
            <w:r w:rsidR="008D0226">
              <w:rPr>
                <w:noProof/>
                <w:snapToGrid/>
                <w:szCs w:val="22"/>
                <w:lang w:val="en-US" w:eastAsia="sl-SI"/>
              </w:rPr>
              <w:t> </w:t>
            </w:r>
            <w:r>
              <w:rPr>
                <w:noProof/>
                <w:snapToGrid/>
                <w:szCs w:val="22"/>
                <w:lang w:val="en-US" w:eastAsia="sl-SI"/>
              </w:rPr>
              <w:t>25 kg</w:t>
            </w:r>
          </w:p>
        </w:tc>
        <w:tc>
          <w:tcPr>
            <w:tcW w:w="3334" w:type="dxa"/>
          </w:tcPr>
          <w:p w14:paraId="6D089325"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3 mg du kartus per parą</w:t>
            </w:r>
          </w:p>
        </w:tc>
      </w:tr>
      <w:tr w:rsidR="00890384" w14:paraId="504F4E63" w14:textId="77777777">
        <w:trPr>
          <w:trHeight w:val="309"/>
        </w:trPr>
        <w:tc>
          <w:tcPr>
            <w:tcW w:w="3362" w:type="dxa"/>
          </w:tcPr>
          <w:p w14:paraId="4B1A7FE7" w14:textId="31FD2601"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25 iki &lt;</w:t>
            </w:r>
            <w:r w:rsidR="008D0226">
              <w:rPr>
                <w:noProof/>
                <w:snapToGrid/>
                <w:szCs w:val="22"/>
                <w:lang w:val="en-US" w:eastAsia="sl-SI"/>
              </w:rPr>
              <w:t> </w:t>
            </w:r>
            <w:r>
              <w:rPr>
                <w:noProof/>
                <w:snapToGrid/>
                <w:szCs w:val="22"/>
                <w:lang w:val="en-US" w:eastAsia="sl-SI"/>
              </w:rPr>
              <w:t>35 kg</w:t>
            </w:r>
          </w:p>
        </w:tc>
        <w:tc>
          <w:tcPr>
            <w:tcW w:w="3334" w:type="dxa"/>
          </w:tcPr>
          <w:p w14:paraId="52A99F40"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4 mg du kartus per parą</w:t>
            </w:r>
          </w:p>
        </w:tc>
      </w:tr>
      <w:tr w:rsidR="00890384" w14:paraId="51022F38" w14:textId="77777777">
        <w:trPr>
          <w:trHeight w:val="309"/>
        </w:trPr>
        <w:tc>
          <w:tcPr>
            <w:tcW w:w="3362" w:type="dxa"/>
          </w:tcPr>
          <w:p w14:paraId="0D7F1AA3" w14:textId="57A7C0B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w:t>
            </w:r>
            <w:r w:rsidR="008D0226">
              <w:rPr>
                <w:noProof/>
                <w:snapToGrid/>
                <w:szCs w:val="22"/>
                <w:lang w:val="en-US" w:eastAsia="sl-SI"/>
              </w:rPr>
              <w:t> </w:t>
            </w:r>
            <w:r>
              <w:rPr>
                <w:noProof/>
                <w:snapToGrid/>
                <w:szCs w:val="22"/>
                <w:lang w:val="en-US" w:eastAsia="sl-SI"/>
              </w:rPr>
              <w:t>35 kg</w:t>
            </w:r>
          </w:p>
        </w:tc>
        <w:tc>
          <w:tcPr>
            <w:tcW w:w="3334" w:type="dxa"/>
          </w:tcPr>
          <w:p w14:paraId="602D9D8E"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5 mg du kartus per parą</w:t>
            </w:r>
          </w:p>
        </w:tc>
      </w:tr>
    </w:tbl>
    <w:p w14:paraId="5BDA60FE" w14:textId="77777777" w:rsidR="00890384" w:rsidRDefault="00890384">
      <w:pPr>
        <w:widowControl w:val="0"/>
        <w:tabs>
          <w:tab w:val="clear" w:pos="567"/>
        </w:tabs>
        <w:spacing w:line="240" w:lineRule="auto"/>
        <w:jc w:val="both"/>
        <w:rPr>
          <w:b/>
          <w:noProof/>
          <w:snapToGrid/>
          <w:szCs w:val="22"/>
          <w:lang w:val="en-US" w:eastAsia="sl-SI"/>
        </w:rPr>
      </w:pPr>
    </w:p>
    <w:p w14:paraId="63C7CE75" w14:textId="599909D7" w:rsidR="00890384" w:rsidRDefault="00B26795">
      <w:pPr>
        <w:widowControl w:val="0"/>
        <w:tabs>
          <w:tab w:val="clear" w:pos="567"/>
        </w:tabs>
        <w:autoSpaceDE w:val="0"/>
        <w:autoSpaceDN w:val="0"/>
        <w:spacing w:line="240" w:lineRule="auto"/>
      </w:pPr>
      <w:r>
        <w:t>Pagrindinė saugumo vertinamoji baigtis – sudėtinis įvertintas ir pagal ISTH apibrėžtas stipraus bei KRNS kraujavimo rodiklis – nustatyta 1 iš 126 pacientų (0,8 %) apiksabano grupėje ir 3 iš 62 pacientų (4,8 %) standartinės priežiūros grupėje. Antrinių saugumo vertinamųjų baigčių – įvertintų stipraus, KRNS ir visų kraujavimo atvejų – dažnis abiejose gydymo grupėse buvo panašus. Antrinė saugumo vertinamoji baigtis – vaist</w:t>
      </w:r>
      <w:r w:rsidR="00E63C8C">
        <w:t>inio preparato</w:t>
      </w:r>
      <w:r>
        <w:t xml:space="preserve"> vartojimo nutraukimas dėl nepageidaujamo reiškinio, netoleravimo arba kraujavimo, registruota 7 pacientams (5,6 %) apiksabano grupėje ir 1 pacientui (1,6 %) standartinės priežiūros grupėje. Nė vienas pacientas jokioje gydymo grupėje nepatyrė tromboembolijos reiškinio. Nė vienoje gydymo grupėje neregistruota mirties atvejų.</w:t>
      </w:r>
    </w:p>
    <w:p w14:paraId="034844B6" w14:textId="77777777" w:rsidR="00890384" w:rsidRDefault="00890384">
      <w:pPr>
        <w:widowControl w:val="0"/>
        <w:tabs>
          <w:tab w:val="clear" w:pos="567"/>
        </w:tabs>
        <w:autoSpaceDE w:val="0"/>
        <w:autoSpaceDN w:val="0"/>
        <w:spacing w:line="240" w:lineRule="auto"/>
      </w:pPr>
    </w:p>
    <w:p w14:paraId="0680A44E" w14:textId="77777777" w:rsidR="00890384" w:rsidRDefault="00B26795">
      <w:pPr>
        <w:widowControl w:val="0"/>
        <w:tabs>
          <w:tab w:val="clear" w:pos="567"/>
        </w:tabs>
        <w:autoSpaceDE w:val="0"/>
        <w:autoSpaceDN w:val="0"/>
        <w:spacing w:line="240" w:lineRule="auto"/>
        <w:rPr>
          <w:snapToGrid/>
          <w:szCs w:val="22"/>
          <w:lang w:val="lt-LT"/>
        </w:rPr>
      </w:pPr>
      <w: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102C01EF" w14:textId="77777777" w:rsidR="00890384" w:rsidRDefault="00890384">
      <w:pPr>
        <w:widowControl w:val="0"/>
        <w:tabs>
          <w:tab w:val="clear" w:pos="567"/>
        </w:tabs>
        <w:autoSpaceDE w:val="0"/>
        <w:autoSpaceDN w:val="0"/>
        <w:spacing w:line="240" w:lineRule="auto"/>
        <w:rPr>
          <w:snapToGrid/>
          <w:szCs w:val="22"/>
          <w:lang w:val="lt-LT"/>
        </w:rPr>
      </w:pPr>
    </w:p>
    <w:p w14:paraId="0352DDC6" w14:textId="38C07E1E"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Europos vaistų agentūra atidėjo įsipareigojimą pateikti referentinio vaistinio preparato, kurio sudėtyje yra apiksabano, tyrimų rezultatus su viena ar daugiau vaikų populiacijos pogrupių </w:t>
      </w:r>
      <w:r>
        <w:t>duomenis venų tromboembolijos gydymo indikacijai</w:t>
      </w:r>
      <w:r>
        <w:rPr>
          <w:snapToGrid/>
          <w:szCs w:val="22"/>
          <w:lang w:val="lt-LT"/>
        </w:rPr>
        <w:t xml:space="preserve"> (žr. 4.2 skyriuje informaciją apie vartojimą vaikams).</w:t>
      </w:r>
    </w:p>
    <w:p w14:paraId="1D12A2C0" w14:textId="77777777" w:rsidR="00890384" w:rsidRDefault="00890384">
      <w:pPr>
        <w:widowControl w:val="0"/>
        <w:tabs>
          <w:tab w:val="clear" w:pos="567"/>
        </w:tabs>
        <w:autoSpaceDE w:val="0"/>
        <w:autoSpaceDN w:val="0"/>
        <w:spacing w:line="240" w:lineRule="auto"/>
        <w:rPr>
          <w:snapToGrid/>
          <w:szCs w:val="22"/>
          <w:lang w:val="lt-LT"/>
        </w:rPr>
      </w:pPr>
    </w:p>
    <w:p w14:paraId="6EFA6938" w14:textId="77777777" w:rsidR="00890384" w:rsidRDefault="00B26795">
      <w:pPr>
        <w:widowControl w:val="0"/>
        <w:numPr>
          <w:ilvl w:val="1"/>
          <w:numId w:val="18"/>
        </w:numPr>
        <w:autoSpaceDE w:val="0"/>
        <w:autoSpaceDN w:val="0"/>
        <w:spacing w:line="240" w:lineRule="auto"/>
        <w:ind w:left="567" w:hanging="567"/>
        <w:outlineLvl w:val="1"/>
        <w:rPr>
          <w:b/>
          <w:bCs/>
          <w:snapToGrid/>
          <w:szCs w:val="22"/>
          <w:lang w:val="lt-LT"/>
        </w:rPr>
      </w:pPr>
      <w:r>
        <w:rPr>
          <w:b/>
          <w:bCs/>
          <w:snapToGrid/>
          <w:szCs w:val="22"/>
          <w:lang w:val="lt-LT"/>
        </w:rPr>
        <w:t>Farmakokinetinės savybės</w:t>
      </w:r>
    </w:p>
    <w:p w14:paraId="17A36ACA" w14:textId="77777777" w:rsidR="00890384" w:rsidRDefault="00890384">
      <w:pPr>
        <w:widowControl w:val="0"/>
        <w:tabs>
          <w:tab w:val="clear" w:pos="567"/>
        </w:tabs>
        <w:autoSpaceDE w:val="0"/>
        <w:autoSpaceDN w:val="0"/>
        <w:spacing w:line="240" w:lineRule="auto"/>
        <w:rPr>
          <w:b/>
          <w:snapToGrid/>
          <w:szCs w:val="22"/>
          <w:lang w:val="lt-LT"/>
        </w:rPr>
      </w:pPr>
    </w:p>
    <w:p w14:paraId="734496BB"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Absorbcija</w:t>
      </w:r>
    </w:p>
    <w:p w14:paraId="29576B7C" w14:textId="4BB324BB"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iki 10 mg apiksabano dozių absoliutus biologinis prieinamumas yra maždaug 50 %. Apiksabanas greitai absorbuojamas, o didžiausia jo koncentracija (C</w:t>
      </w:r>
      <w:r>
        <w:rPr>
          <w:snapToGrid/>
          <w:szCs w:val="22"/>
          <w:vertAlign w:val="subscript"/>
          <w:lang w:val="lt-LT"/>
        </w:rPr>
        <w:t>max</w:t>
      </w:r>
      <w:r>
        <w:rPr>
          <w:snapToGrid/>
          <w:szCs w:val="22"/>
          <w:lang w:val="lt-LT"/>
        </w:rPr>
        <w:t>) susidaro praėjus 3–4 valandoms po tabletės suvartojimo. Vartojant 10 mg apiksabano dozę su maistu, vaistinio preparato AUC ir C</w:t>
      </w:r>
      <w:r>
        <w:rPr>
          <w:snapToGrid/>
          <w:szCs w:val="22"/>
          <w:vertAlign w:val="subscript"/>
          <w:lang w:val="lt-LT"/>
        </w:rPr>
        <w:t>max</w:t>
      </w:r>
      <w:r>
        <w:rPr>
          <w:snapToGrid/>
          <w:szCs w:val="22"/>
          <w:lang w:val="lt-LT"/>
        </w:rPr>
        <w:t xml:space="preserve"> nekinta. Apiksabano galima vartoti valgant arba be maisto.</w:t>
      </w:r>
    </w:p>
    <w:p w14:paraId="19C34F16" w14:textId="77777777" w:rsidR="00890384" w:rsidRDefault="00890384">
      <w:pPr>
        <w:widowControl w:val="0"/>
        <w:tabs>
          <w:tab w:val="clear" w:pos="567"/>
        </w:tabs>
        <w:autoSpaceDE w:val="0"/>
        <w:autoSpaceDN w:val="0"/>
        <w:spacing w:line="240" w:lineRule="auto"/>
        <w:rPr>
          <w:snapToGrid/>
          <w:szCs w:val="22"/>
          <w:lang w:val="lt-LT"/>
        </w:rPr>
      </w:pPr>
    </w:p>
    <w:p w14:paraId="74BDCD1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Per burną vartojant iki 10 mg apiksabano dozes, vaistinio preparato farmakokinetika yra tiesinė, ir didinant dozę, proporcingai didėja ekspozicija. Vartojant 25 mg ir didesnes apiksabano dozes, dėl tirpumo ribojama absorbcija ir sumažėja biologinis prieinamumas. Apiksabano ekspozicijos rodmenų kintamumas yra nedidelis ar vidutinis, t. y., variacijos koeficientas (angl. </w:t>
      </w:r>
      <w:r>
        <w:rPr>
          <w:i/>
          <w:snapToGrid/>
          <w:szCs w:val="22"/>
          <w:lang w:val="lt-LT"/>
        </w:rPr>
        <w:t>coefficient of variation, CV</w:t>
      </w:r>
      <w:r>
        <w:rPr>
          <w:snapToGrid/>
          <w:szCs w:val="22"/>
          <w:lang w:val="lt-LT"/>
        </w:rPr>
        <w:t>) tam pačiam pacientui ir tarp pacientų yra atitinkamai maždaug 20 % ir 30 %.</w:t>
      </w:r>
    </w:p>
    <w:p w14:paraId="3070E95B" w14:textId="77777777" w:rsidR="00890384" w:rsidRDefault="00890384">
      <w:pPr>
        <w:widowControl w:val="0"/>
        <w:tabs>
          <w:tab w:val="clear" w:pos="567"/>
        </w:tabs>
        <w:autoSpaceDE w:val="0"/>
        <w:autoSpaceDN w:val="0"/>
        <w:spacing w:line="240" w:lineRule="auto"/>
        <w:rPr>
          <w:snapToGrid/>
          <w:szCs w:val="22"/>
          <w:lang w:val="lt-LT"/>
        </w:rPr>
      </w:pPr>
    </w:p>
    <w:p w14:paraId="76B51C5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Vartojant per burną 10 mg apiksabano dozę sutrinant 2 tabletes po 5 mg ir ištirpinant 30 ml vandens, ekspozicija buvo panaši, kaip ir per burną vartojant 2 nesmulkintas tabletes po 5 mg. Per burną vartojant 10 mg </w:t>
      </w:r>
      <w:r>
        <w:rPr>
          <w:snapToGrid/>
          <w:szCs w:val="22"/>
          <w:lang w:val="lt-LT"/>
        </w:rPr>
        <w:lastRenderedPageBreak/>
        <w:t>apiksabano dozę, sutrynus 2 tabletes po 5 mg ir sumaišius su 30 g obuolių tyrės, C</w:t>
      </w:r>
      <w:r>
        <w:rPr>
          <w:snapToGrid/>
          <w:szCs w:val="22"/>
          <w:vertAlign w:val="subscript"/>
          <w:lang w:val="lt-LT"/>
        </w:rPr>
        <w:t>max</w:t>
      </w:r>
      <w:r>
        <w:rPr>
          <w:snapToGrid/>
          <w:szCs w:val="22"/>
          <w:lang w:val="lt-LT"/>
        </w:rPr>
        <w:t xml:space="preserve"> ir AUC buvo atitinkamai 21 % ir 16 % mažesni nei vartojant 2 nesmulkintas tabletes po 5 mg. Ekspozicijos sumažėjimas nebuvo laikomas kliniškai reikšmingu.</w:t>
      </w:r>
    </w:p>
    <w:p w14:paraId="1D0D8FCD" w14:textId="77777777" w:rsidR="00890384" w:rsidRDefault="00890384">
      <w:pPr>
        <w:widowControl w:val="0"/>
        <w:tabs>
          <w:tab w:val="clear" w:pos="567"/>
        </w:tabs>
        <w:autoSpaceDE w:val="0"/>
        <w:autoSpaceDN w:val="0"/>
        <w:spacing w:line="240" w:lineRule="auto"/>
        <w:rPr>
          <w:snapToGrid/>
          <w:szCs w:val="22"/>
          <w:lang w:val="lt-LT"/>
        </w:rPr>
      </w:pPr>
    </w:p>
    <w:p w14:paraId="2C525C8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Vartojant sutrintą 5 mg apiksabano tabletę, ištirpintą 60 ml G5W, pro nazogastrinį zondą, ekspozicija buvo panaši, kaip ir kituose klinikiniuose tyrimuose, kuriuose dalyvavo sveiki tiriamieji, kurie per burną vartojo vienkartinę dozę – 5 mg apiksabano tabletę.</w:t>
      </w:r>
    </w:p>
    <w:p w14:paraId="6EB56616" w14:textId="77777777" w:rsidR="00890384" w:rsidRDefault="00890384">
      <w:pPr>
        <w:widowControl w:val="0"/>
        <w:tabs>
          <w:tab w:val="clear" w:pos="567"/>
        </w:tabs>
        <w:autoSpaceDE w:val="0"/>
        <w:autoSpaceDN w:val="0"/>
        <w:spacing w:line="240" w:lineRule="auto"/>
        <w:rPr>
          <w:snapToGrid/>
          <w:szCs w:val="22"/>
          <w:lang w:val="lt-LT"/>
        </w:rPr>
      </w:pPr>
    </w:p>
    <w:p w14:paraId="401A442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Atsižvelgiant į prognozuojamas dozei proporcingas apiksabano farmakokinetines savybes, atliktų tyrimų biologinio prieinamumo rezultatai taikomi mažesnėms apiksabano dozėms.</w:t>
      </w:r>
    </w:p>
    <w:p w14:paraId="4AB5E7EF" w14:textId="77777777" w:rsidR="00890384" w:rsidRDefault="00890384">
      <w:pPr>
        <w:widowControl w:val="0"/>
        <w:tabs>
          <w:tab w:val="clear" w:pos="567"/>
        </w:tabs>
        <w:autoSpaceDE w:val="0"/>
        <w:autoSpaceDN w:val="0"/>
        <w:spacing w:line="240" w:lineRule="auto"/>
      </w:pPr>
    </w:p>
    <w:p w14:paraId="3F8F8C26" w14:textId="77777777" w:rsidR="00890384" w:rsidRPr="005261E3" w:rsidRDefault="00B26795">
      <w:pPr>
        <w:widowControl w:val="0"/>
        <w:tabs>
          <w:tab w:val="clear" w:pos="567"/>
        </w:tabs>
        <w:autoSpaceDE w:val="0"/>
        <w:autoSpaceDN w:val="0"/>
        <w:spacing w:line="240" w:lineRule="auto"/>
        <w:rPr>
          <w:u w:val="single"/>
        </w:rPr>
      </w:pPr>
      <w:r w:rsidRPr="005261E3">
        <w:rPr>
          <w:u w:val="single"/>
        </w:rPr>
        <w:t>Vaikų populiacija</w:t>
      </w:r>
    </w:p>
    <w:p w14:paraId="01005CDC" w14:textId="77777777" w:rsidR="00890384" w:rsidRDefault="00B26795">
      <w:pPr>
        <w:widowControl w:val="0"/>
        <w:tabs>
          <w:tab w:val="clear" w:pos="567"/>
        </w:tabs>
        <w:autoSpaceDE w:val="0"/>
        <w:autoSpaceDN w:val="0"/>
        <w:spacing w:line="240" w:lineRule="auto"/>
      </w:pPr>
      <w:r>
        <w:t>Apiksabanas greitai absorbuojamas, o didžiausia jo koncentracija (C</w:t>
      </w:r>
      <w:r w:rsidRPr="005261E3">
        <w:rPr>
          <w:vertAlign w:val="subscript"/>
        </w:rPr>
        <w:t>max</w:t>
      </w:r>
      <w:r>
        <w:t>) susidaro praėjus maždaug 2 valandoms po vienos dozės suvartojimo.</w:t>
      </w:r>
    </w:p>
    <w:p w14:paraId="05F7093D" w14:textId="77777777" w:rsidR="00890384" w:rsidRDefault="00890384">
      <w:pPr>
        <w:widowControl w:val="0"/>
        <w:tabs>
          <w:tab w:val="clear" w:pos="567"/>
        </w:tabs>
        <w:autoSpaceDE w:val="0"/>
        <w:autoSpaceDN w:val="0"/>
        <w:spacing w:line="240" w:lineRule="auto"/>
        <w:rPr>
          <w:snapToGrid/>
          <w:szCs w:val="22"/>
          <w:lang w:val="lt-LT"/>
        </w:rPr>
      </w:pPr>
    </w:p>
    <w:p w14:paraId="712A2E2B"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Pasiskirstymas</w:t>
      </w:r>
    </w:p>
    <w:p w14:paraId="7A3A181E" w14:textId="192D4F86"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prie kraujo plazmos baltymų jungiasi apytiksliai 87 % vaistinio preparato. Pasiskirstymo tūris (Vss) yra maždaug 21 litras.</w:t>
      </w:r>
    </w:p>
    <w:p w14:paraId="21BC3874" w14:textId="77777777" w:rsidR="00890384" w:rsidRDefault="00890384">
      <w:pPr>
        <w:widowControl w:val="0"/>
        <w:tabs>
          <w:tab w:val="clear" w:pos="567"/>
        </w:tabs>
        <w:autoSpaceDE w:val="0"/>
        <w:autoSpaceDN w:val="0"/>
        <w:spacing w:line="240" w:lineRule="auto"/>
        <w:rPr>
          <w:snapToGrid/>
          <w:szCs w:val="22"/>
          <w:lang w:val="lt-LT"/>
        </w:rPr>
      </w:pPr>
    </w:p>
    <w:p w14:paraId="4CCE6FDD"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Biotransformacija ir eliminacija</w:t>
      </w:r>
    </w:p>
    <w:p w14:paraId="26A65431" w14:textId="7F51BF84"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Apiksabanas šalinamas daugeliu būdų. Maždaug 25 % </w:t>
      </w:r>
      <w:r>
        <w:t>suaugusiųjų</w:t>
      </w:r>
      <w:r>
        <w:rPr>
          <w:snapToGrid/>
          <w:szCs w:val="22"/>
          <w:lang w:val="lt-LT"/>
        </w:rPr>
        <w:t xml:space="preserve"> suvartotos apiksabano dozės šalinama metabolitų pavidalu, o daugelis jų nustatomi išmatose. </w:t>
      </w:r>
      <w:r>
        <w:t xml:space="preserve">Suaugusiesiems </w:t>
      </w:r>
      <w:r>
        <w:rPr>
          <w:snapToGrid/>
          <w:szCs w:val="22"/>
          <w:lang w:val="lt-LT"/>
        </w:rPr>
        <w:t>apiksabano ekskrecija per inkstus sudaro maždaug 27 % bendrojo klirenso. Klinikinių ir ikiklinikinių tyrimų metu nustatyta, kad vaistinis preparatas papildomai šalinamas atitinkamai su tulžimi ir tiesioginės ekskrecijos žarnyne būdu.</w:t>
      </w:r>
    </w:p>
    <w:p w14:paraId="55F8ACA6" w14:textId="77777777" w:rsidR="00890384" w:rsidRDefault="00890384">
      <w:pPr>
        <w:widowControl w:val="0"/>
        <w:tabs>
          <w:tab w:val="clear" w:pos="567"/>
        </w:tabs>
        <w:autoSpaceDE w:val="0"/>
        <w:autoSpaceDN w:val="0"/>
        <w:spacing w:line="240" w:lineRule="auto"/>
        <w:rPr>
          <w:snapToGrid/>
          <w:szCs w:val="22"/>
          <w:lang w:val="lt-LT"/>
        </w:rPr>
      </w:pPr>
    </w:p>
    <w:p w14:paraId="400435C5" w14:textId="7E2D1E90"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bendrasis apiksabano klirensas yra apie 3,3 l/val., o jo pusinės eliminacijos laikas – maždaug 12 valandų.</w:t>
      </w:r>
    </w:p>
    <w:p w14:paraId="7C8F9BC2" w14:textId="77777777" w:rsidR="00890384" w:rsidRDefault="00890384">
      <w:pPr>
        <w:widowControl w:val="0"/>
        <w:tabs>
          <w:tab w:val="clear" w:pos="567"/>
        </w:tabs>
        <w:autoSpaceDE w:val="0"/>
        <w:autoSpaceDN w:val="0"/>
        <w:spacing w:line="240" w:lineRule="auto"/>
      </w:pPr>
    </w:p>
    <w:p w14:paraId="2C574F79" w14:textId="77777777" w:rsidR="00890384" w:rsidRDefault="00B26795">
      <w:pPr>
        <w:widowControl w:val="0"/>
        <w:tabs>
          <w:tab w:val="clear" w:pos="567"/>
        </w:tabs>
        <w:autoSpaceDE w:val="0"/>
        <w:autoSpaceDN w:val="0"/>
        <w:spacing w:line="240" w:lineRule="auto"/>
      </w:pPr>
      <w:r>
        <w:t>Vaikams bendrasis tariamasis apiksabano klirensas yra maždaug 3,0 l/val.</w:t>
      </w:r>
    </w:p>
    <w:p w14:paraId="2C90A14F" w14:textId="77777777" w:rsidR="00890384" w:rsidRDefault="00890384">
      <w:pPr>
        <w:widowControl w:val="0"/>
        <w:tabs>
          <w:tab w:val="clear" w:pos="567"/>
        </w:tabs>
        <w:autoSpaceDE w:val="0"/>
        <w:autoSpaceDN w:val="0"/>
        <w:spacing w:line="240" w:lineRule="auto"/>
        <w:rPr>
          <w:snapToGrid/>
          <w:szCs w:val="22"/>
          <w:lang w:val="lt-LT"/>
        </w:rPr>
      </w:pPr>
    </w:p>
    <w:p w14:paraId="4389310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012BF2BB" w14:textId="77777777" w:rsidR="00890384" w:rsidRDefault="00890384">
      <w:pPr>
        <w:widowControl w:val="0"/>
        <w:tabs>
          <w:tab w:val="clear" w:pos="567"/>
        </w:tabs>
        <w:autoSpaceDE w:val="0"/>
        <w:autoSpaceDN w:val="0"/>
        <w:spacing w:line="240" w:lineRule="auto"/>
      </w:pPr>
    </w:p>
    <w:p w14:paraId="6F2FA8D3" w14:textId="23FA8502" w:rsidR="00890384" w:rsidRDefault="00B26795">
      <w:pPr>
        <w:widowControl w:val="0"/>
        <w:tabs>
          <w:tab w:val="clear" w:pos="567"/>
        </w:tabs>
        <w:autoSpaceDE w:val="0"/>
        <w:autoSpaceDN w:val="0"/>
        <w:spacing w:line="240" w:lineRule="auto"/>
        <w:rPr>
          <w:snapToGrid/>
          <w:szCs w:val="22"/>
          <w:lang w:val="lt-LT"/>
        </w:rPr>
      </w:pPr>
      <w:r>
        <w:t>Vaikų populiacijos duomenų apie apiksabano jungimąsi prie plazmos baltymų nėra.</w:t>
      </w:r>
    </w:p>
    <w:p w14:paraId="126C983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6B17FA8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Senyviems pacientams (vyresniems kaip 65 metų) nustatytos didesnės vaistinio preparato koncentracijos kraujo plazmoje, palyginti su jaunesniais asmenimis, vidutiniai AUC yra maždaug 32 % didesni, o C</w:t>
      </w:r>
      <w:r>
        <w:rPr>
          <w:snapToGrid/>
          <w:szCs w:val="22"/>
          <w:vertAlign w:val="subscript"/>
          <w:lang w:val="lt-LT"/>
        </w:rPr>
        <w:t>max</w:t>
      </w:r>
      <w:r>
        <w:rPr>
          <w:snapToGrid/>
          <w:szCs w:val="22"/>
          <w:lang w:val="lt-LT"/>
        </w:rPr>
        <w:t xml:space="preserve"> nesiskiria.</w:t>
      </w:r>
    </w:p>
    <w:p w14:paraId="11F3D023" w14:textId="77777777" w:rsidR="00890384" w:rsidRDefault="00890384">
      <w:pPr>
        <w:widowControl w:val="0"/>
        <w:tabs>
          <w:tab w:val="clear" w:pos="567"/>
        </w:tabs>
        <w:autoSpaceDE w:val="0"/>
        <w:autoSpaceDN w:val="0"/>
        <w:spacing w:line="240" w:lineRule="auto"/>
        <w:rPr>
          <w:snapToGrid/>
          <w:szCs w:val="22"/>
          <w:lang w:val="lt-LT"/>
        </w:rPr>
      </w:pPr>
    </w:p>
    <w:p w14:paraId="51848B2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Sutrikusi inkstų funkcija</w:t>
      </w:r>
    </w:p>
    <w:p w14:paraId="64DC53F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Sutrikusi inkstų funkcija nedaro įtakos didžiausiai apiksabano koncentracijai. Vertinant kreatinino klirenso rodmenį, nustatyta su sumažėjusia inkstų funkcija susijusi padidėjusi apiksabano ekspozicija. Pacientams, kuriems buvo lengvas (kreatinino klirensas 51–80 ml/min.), vidutinio sunkumo (kreatinino klirensas 30–50 ml/min.) ir sunkus (kreatinino klirensas 15–29 ml/min.) inkstų funkcijos sutrikimas, apiksabano koncentracijos kraujo plazmoje (AUC</w:t>
      </w:r>
      <w:r>
        <w:rPr>
          <w:i/>
          <w:snapToGrid/>
          <w:szCs w:val="22"/>
          <w:lang w:val="lt-LT"/>
        </w:rPr>
        <w:t xml:space="preserve"> </w:t>
      </w:r>
      <w:r>
        <w:rPr>
          <w:snapToGrid/>
          <w:szCs w:val="22"/>
          <w:lang w:val="lt-LT"/>
        </w:rPr>
        <w:t>rodmenys) padidėjo, atitinkamai, 16 %, 29 % ir 44 %, lyginant su asmenimis, kuriems kreatinino klirensas buvo normalus. Inkstų funkcijos sutrikimas nedarė akivaizdaus poveikio apiksabano koncentracijos kraujo plazmoje ir Xa faktoriaus slopinimo ryšiui.</w:t>
      </w:r>
    </w:p>
    <w:p w14:paraId="738D9539" w14:textId="77777777" w:rsidR="00890384" w:rsidRDefault="00890384">
      <w:pPr>
        <w:widowControl w:val="0"/>
        <w:tabs>
          <w:tab w:val="clear" w:pos="567"/>
        </w:tabs>
        <w:autoSpaceDE w:val="0"/>
        <w:autoSpaceDN w:val="0"/>
        <w:spacing w:line="240" w:lineRule="auto"/>
        <w:rPr>
          <w:snapToGrid/>
          <w:szCs w:val="22"/>
          <w:lang w:val="lt-LT"/>
        </w:rPr>
      </w:pPr>
    </w:p>
    <w:p w14:paraId="19A2A6E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sergantiems galutinės stadijos inkstų liga (GSIL), apiksabano AUC</w:t>
      </w:r>
      <w:r>
        <w:rPr>
          <w:i/>
          <w:snapToGrid/>
          <w:szCs w:val="22"/>
          <w:lang w:val="lt-LT"/>
        </w:rPr>
        <w:t xml:space="preserve"> </w:t>
      </w:r>
      <w:r>
        <w:rPr>
          <w:snapToGrid/>
          <w:szCs w:val="22"/>
          <w:lang w:val="lt-LT"/>
        </w:rPr>
        <w:t>padidėjo 36 %, kai vienkartinė 5 mg apiksabano dozė buvo skiriama iš karto po hemodializės, palyginus su pacientais, kurių inkstų funkcija normali. Hemodializę pradėjus praėjus dviem valandoms po vienkartinės 5 mg apiksabano dozės, šiems GSIL sergantiems pacientams apiksabano AUC</w:t>
      </w:r>
      <w:r>
        <w:rPr>
          <w:i/>
          <w:snapToGrid/>
          <w:szCs w:val="22"/>
          <w:lang w:val="lt-LT"/>
        </w:rPr>
        <w:t xml:space="preserve"> </w:t>
      </w:r>
      <w:r>
        <w:rPr>
          <w:snapToGrid/>
          <w:szCs w:val="22"/>
          <w:lang w:val="lt-LT"/>
        </w:rPr>
        <w:t>sumažėjo 14 %, atitinkamai apiksabano dializės klirensas buvo 18 ml/min. Todėl hemodializė nėra veiksminga priemonė perdozavus apiksabano.</w:t>
      </w:r>
    </w:p>
    <w:p w14:paraId="6978FB35" w14:textId="77777777" w:rsidR="000B201E" w:rsidRDefault="000B201E">
      <w:pPr>
        <w:widowControl w:val="0"/>
        <w:tabs>
          <w:tab w:val="clear" w:pos="567"/>
        </w:tabs>
        <w:autoSpaceDE w:val="0"/>
        <w:autoSpaceDN w:val="0"/>
        <w:spacing w:line="240" w:lineRule="auto"/>
        <w:rPr>
          <w:snapToGrid/>
          <w:szCs w:val="22"/>
          <w:lang w:val="lt-LT"/>
        </w:rPr>
      </w:pPr>
    </w:p>
    <w:p w14:paraId="0FE943FC" w14:textId="067DBF7B" w:rsidR="00890384" w:rsidRDefault="003C59F8">
      <w:pPr>
        <w:widowControl w:val="0"/>
        <w:tabs>
          <w:tab w:val="clear" w:pos="567"/>
        </w:tabs>
        <w:autoSpaceDE w:val="0"/>
        <w:autoSpaceDN w:val="0"/>
        <w:spacing w:line="240" w:lineRule="auto"/>
      </w:pPr>
      <w:r>
        <w:t>2 metų ir vyresniems p</w:t>
      </w:r>
      <w:r w:rsidR="00B26795">
        <w:t xml:space="preserve">acientams vaikams sunkus inkstų funkcijos sutrikimas </w:t>
      </w:r>
      <w:r w:rsidR="005274C6">
        <w:t>diagnozuojamas</w:t>
      </w:r>
      <w:r w:rsidR="00B26795">
        <w:t xml:space="preserve"> tada, kai </w:t>
      </w:r>
      <w:r w:rsidR="00B26795">
        <w:lastRenderedPageBreak/>
        <w:t>apskaičiuotasis glomerulų filtracijos greitis (aGFG) tampa mažesnis kaip 30 ml/min/1,73 m</w:t>
      </w:r>
      <w:r w:rsidR="00B26795" w:rsidRPr="005261E3">
        <w:rPr>
          <w:vertAlign w:val="superscript"/>
        </w:rPr>
        <w:t>2</w:t>
      </w:r>
      <w:r w:rsidR="00B26795">
        <w:t xml:space="preserve"> kūno paviršiaus ploto (KPP). Tyrimo CV185325 metu jaunesniems kaip 2 metų pacientams sunkų inkstų funkcijos sutrikimą apibrėžiančios ribos pagal lytį ir postnatalinį amžių apibendrintos toliau pateiktoje 17 lentelėje; kiekviena iš jų atitinka aGFG</w:t>
      </w:r>
      <w:r w:rsidR="005274C6">
        <w:t> </w:t>
      </w:r>
      <w:r w:rsidR="00B26795">
        <w:t>&lt;</w:t>
      </w:r>
      <w:r w:rsidR="005274C6">
        <w:t> </w:t>
      </w:r>
      <w:r w:rsidR="00B26795">
        <w:t>30 ml/min/1,73 m</w:t>
      </w:r>
      <w:r w:rsidR="00B26795" w:rsidRPr="005261E3">
        <w:rPr>
          <w:vertAlign w:val="superscript"/>
        </w:rPr>
        <w:t>2</w:t>
      </w:r>
      <w:r w:rsidR="00B26795">
        <w:t xml:space="preserve"> KPP 2 metų ir vyresniems pacientams.</w:t>
      </w:r>
    </w:p>
    <w:p w14:paraId="02E1D525" w14:textId="77777777" w:rsidR="00890384" w:rsidRDefault="00890384">
      <w:pPr>
        <w:widowControl w:val="0"/>
        <w:tabs>
          <w:tab w:val="clear" w:pos="567"/>
        </w:tabs>
        <w:autoSpaceDE w:val="0"/>
        <w:autoSpaceDN w:val="0"/>
        <w:spacing w:line="240" w:lineRule="auto"/>
        <w:rPr>
          <w:snapToGrid/>
          <w:szCs w:val="22"/>
          <w:lang w:val="lt-LT"/>
        </w:rPr>
      </w:pPr>
    </w:p>
    <w:p w14:paraId="2CBAA191" w14:textId="77777777" w:rsidR="00890384" w:rsidRDefault="00B26795">
      <w:pPr>
        <w:widowControl w:val="0"/>
        <w:numPr>
          <w:ilvl w:val="12"/>
          <w:numId w:val="0"/>
        </w:numPr>
        <w:spacing w:line="240" w:lineRule="auto"/>
        <w:ind w:right="-2"/>
        <w:rPr>
          <w:b/>
          <w:bCs/>
          <w:iCs/>
          <w:snapToGrid/>
          <w:szCs w:val="22"/>
          <w:lang w:val="en-US" w:eastAsia="sl-SI"/>
        </w:rPr>
      </w:pPr>
      <w:r w:rsidRPr="005261E3">
        <w:rPr>
          <w:b/>
          <w:bCs/>
        </w:rPr>
        <w:t>17 lentelė. aGFG tinkamumo ribos tyrimui CV185325</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890384" w14:paraId="062BE91C" w14:textId="77777777">
        <w:trPr>
          <w:trHeight w:val="561"/>
        </w:trPr>
        <w:tc>
          <w:tcPr>
            <w:tcW w:w="3766" w:type="dxa"/>
          </w:tcPr>
          <w:p w14:paraId="0ED50934" w14:textId="77777777" w:rsidR="00890384" w:rsidRDefault="00B26795">
            <w:pPr>
              <w:widowControl w:val="0"/>
              <w:numPr>
                <w:ilvl w:val="12"/>
                <w:numId w:val="0"/>
              </w:numPr>
              <w:spacing w:line="240" w:lineRule="auto"/>
              <w:ind w:right="-2"/>
              <w:jc w:val="both"/>
              <w:rPr>
                <w:b/>
                <w:iCs/>
                <w:snapToGrid/>
                <w:szCs w:val="22"/>
                <w:lang w:val="en-US" w:eastAsia="sl-SI"/>
              </w:rPr>
            </w:pPr>
            <w:r>
              <w:t>Postnatalinis amžius (lytis)</w:t>
            </w:r>
          </w:p>
        </w:tc>
        <w:tc>
          <w:tcPr>
            <w:tcW w:w="2285" w:type="dxa"/>
          </w:tcPr>
          <w:p w14:paraId="1DCECBFC" w14:textId="77777777" w:rsidR="00890384" w:rsidRDefault="00B26795">
            <w:pPr>
              <w:widowControl w:val="0"/>
              <w:numPr>
                <w:ilvl w:val="12"/>
                <w:numId w:val="0"/>
              </w:numPr>
              <w:spacing w:line="240" w:lineRule="auto"/>
              <w:ind w:right="-2"/>
              <w:jc w:val="center"/>
              <w:rPr>
                <w:b/>
                <w:iCs/>
                <w:snapToGrid/>
                <w:szCs w:val="22"/>
                <w:lang w:val="en-US" w:eastAsia="sl-SI"/>
              </w:rPr>
            </w:pPr>
            <w:r>
              <w:t>GFG referencinis diapazonas (ml/min/1,73 m</w:t>
            </w:r>
            <w:r w:rsidRPr="005261E3">
              <w:rPr>
                <w:vertAlign w:val="superscript"/>
              </w:rPr>
              <w:t>2</w:t>
            </w:r>
            <w:r>
              <w:t>)</w:t>
            </w:r>
          </w:p>
        </w:tc>
        <w:tc>
          <w:tcPr>
            <w:tcW w:w="3025" w:type="dxa"/>
          </w:tcPr>
          <w:p w14:paraId="21744FF3" w14:textId="77777777" w:rsidR="00890384" w:rsidRDefault="00B26795">
            <w:pPr>
              <w:widowControl w:val="0"/>
              <w:numPr>
                <w:ilvl w:val="12"/>
                <w:numId w:val="0"/>
              </w:numPr>
              <w:spacing w:line="240" w:lineRule="auto"/>
              <w:ind w:right="-2"/>
              <w:jc w:val="center"/>
              <w:rPr>
                <w:b/>
                <w:iCs/>
                <w:snapToGrid/>
                <w:szCs w:val="22"/>
                <w:lang w:val="en-US" w:eastAsia="sl-SI"/>
              </w:rPr>
            </w:pPr>
            <w:r>
              <w:t>aGFG tinkamumo ribos*</w:t>
            </w:r>
          </w:p>
        </w:tc>
      </w:tr>
      <w:tr w:rsidR="00890384" w14:paraId="45E8CE30" w14:textId="77777777">
        <w:trPr>
          <w:trHeight w:val="309"/>
        </w:trPr>
        <w:tc>
          <w:tcPr>
            <w:tcW w:w="3766" w:type="dxa"/>
          </w:tcPr>
          <w:p w14:paraId="5D9A83C1" w14:textId="77777777" w:rsidR="00890384" w:rsidRDefault="00B26795">
            <w:pPr>
              <w:widowControl w:val="0"/>
              <w:numPr>
                <w:ilvl w:val="12"/>
                <w:numId w:val="0"/>
              </w:numPr>
              <w:spacing w:line="240" w:lineRule="auto"/>
              <w:ind w:right="-2"/>
              <w:jc w:val="both"/>
              <w:rPr>
                <w:iCs/>
                <w:snapToGrid/>
                <w:szCs w:val="22"/>
                <w:lang w:val="en-US" w:eastAsia="sl-SI"/>
              </w:rPr>
            </w:pPr>
            <w:r>
              <w:t>1 savaitė (vyriška ir moteriška)</w:t>
            </w:r>
          </w:p>
        </w:tc>
        <w:tc>
          <w:tcPr>
            <w:tcW w:w="2285" w:type="dxa"/>
          </w:tcPr>
          <w:p w14:paraId="0BBD5FE1"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41 ± 15</w:t>
            </w:r>
          </w:p>
        </w:tc>
        <w:tc>
          <w:tcPr>
            <w:tcW w:w="3025" w:type="dxa"/>
          </w:tcPr>
          <w:p w14:paraId="7B13E944"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8</w:t>
            </w:r>
          </w:p>
        </w:tc>
      </w:tr>
      <w:tr w:rsidR="00890384" w14:paraId="27C4A219" w14:textId="77777777">
        <w:trPr>
          <w:trHeight w:val="309"/>
        </w:trPr>
        <w:tc>
          <w:tcPr>
            <w:tcW w:w="3766" w:type="dxa"/>
          </w:tcPr>
          <w:p w14:paraId="0F3AE447" w14:textId="77777777" w:rsidR="00890384" w:rsidRDefault="00B26795">
            <w:pPr>
              <w:widowControl w:val="0"/>
              <w:numPr>
                <w:ilvl w:val="12"/>
                <w:numId w:val="0"/>
              </w:numPr>
              <w:spacing w:line="240" w:lineRule="auto"/>
              <w:ind w:right="-2"/>
              <w:jc w:val="both"/>
              <w:rPr>
                <w:iCs/>
                <w:snapToGrid/>
                <w:szCs w:val="22"/>
                <w:lang w:val="en-US" w:eastAsia="sl-SI"/>
              </w:rPr>
            </w:pPr>
            <w:r>
              <w:t>2–8 savaitės (vyriška ir moteriška)</w:t>
            </w:r>
          </w:p>
        </w:tc>
        <w:tc>
          <w:tcPr>
            <w:tcW w:w="2285" w:type="dxa"/>
          </w:tcPr>
          <w:p w14:paraId="61542D4A"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66 ± 25</w:t>
            </w:r>
          </w:p>
        </w:tc>
        <w:tc>
          <w:tcPr>
            <w:tcW w:w="3025" w:type="dxa"/>
          </w:tcPr>
          <w:p w14:paraId="755A643E"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12</w:t>
            </w:r>
          </w:p>
        </w:tc>
      </w:tr>
      <w:tr w:rsidR="00890384" w14:paraId="023C9629" w14:textId="77777777">
        <w:trPr>
          <w:trHeight w:val="562"/>
        </w:trPr>
        <w:tc>
          <w:tcPr>
            <w:tcW w:w="3766" w:type="dxa"/>
          </w:tcPr>
          <w:p w14:paraId="3D8B716C" w14:textId="06F247A0" w:rsidR="00890384" w:rsidRDefault="00B26795">
            <w:pPr>
              <w:widowControl w:val="0"/>
              <w:numPr>
                <w:ilvl w:val="12"/>
                <w:numId w:val="0"/>
              </w:numPr>
              <w:spacing w:line="240" w:lineRule="auto"/>
              <w:ind w:right="-2"/>
              <w:jc w:val="both"/>
              <w:rPr>
                <w:iCs/>
                <w:snapToGrid/>
                <w:szCs w:val="22"/>
                <w:lang w:val="en-US" w:eastAsia="sl-SI"/>
              </w:rPr>
            </w:pPr>
            <w:r>
              <w:t>Nuo 8 savaičių iki 2 metų (vyriška ir moteriška)</w:t>
            </w:r>
          </w:p>
        </w:tc>
        <w:tc>
          <w:tcPr>
            <w:tcW w:w="2285" w:type="dxa"/>
          </w:tcPr>
          <w:p w14:paraId="298B1BFF"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96 ± 22</w:t>
            </w:r>
          </w:p>
        </w:tc>
        <w:tc>
          <w:tcPr>
            <w:tcW w:w="3025" w:type="dxa"/>
          </w:tcPr>
          <w:p w14:paraId="58BDBE5B"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22</w:t>
            </w:r>
          </w:p>
        </w:tc>
      </w:tr>
      <w:tr w:rsidR="00890384" w14:paraId="57106499" w14:textId="77777777">
        <w:trPr>
          <w:trHeight w:val="307"/>
        </w:trPr>
        <w:tc>
          <w:tcPr>
            <w:tcW w:w="3766" w:type="dxa"/>
          </w:tcPr>
          <w:p w14:paraId="695941FD" w14:textId="77777777" w:rsidR="00890384" w:rsidRDefault="00B26795">
            <w:pPr>
              <w:widowControl w:val="0"/>
              <w:numPr>
                <w:ilvl w:val="12"/>
                <w:numId w:val="0"/>
              </w:numPr>
              <w:spacing w:line="240" w:lineRule="auto"/>
              <w:ind w:right="-2"/>
              <w:jc w:val="both"/>
              <w:rPr>
                <w:iCs/>
                <w:snapToGrid/>
                <w:szCs w:val="22"/>
                <w:lang w:val="en-US" w:eastAsia="sl-SI"/>
              </w:rPr>
            </w:pPr>
            <w:r>
              <w:t>2–12 metų (vyriška ir moteriška)</w:t>
            </w:r>
          </w:p>
        </w:tc>
        <w:tc>
          <w:tcPr>
            <w:tcW w:w="2285" w:type="dxa"/>
          </w:tcPr>
          <w:p w14:paraId="20456F5D"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133 ± 27</w:t>
            </w:r>
          </w:p>
        </w:tc>
        <w:tc>
          <w:tcPr>
            <w:tcW w:w="3025" w:type="dxa"/>
          </w:tcPr>
          <w:p w14:paraId="22CE1535"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890384" w14:paraId="08661565" w14:textId="77777777">
        <w:trPr>
          <w:trHeight w:val="309"/>
        </w:trPr>
        <w:tc>
          <w:tcPr>
            <w:tcW w:w="3766" w:type="dxa"/>
          </w:tcPr>
          <w:p w14:paraId="2AF03353" w14:textId="77777777" w:rsidR="00890384" w:rsidRDefault="00B26795">
            <w:pPr>
              <w:widowControl w:val="0"/>
              <w:numPr>
                <w:ilvl w:val="12"/>
                <w:numId w:val="0"/>
              </w:numPr>
              <w:spacing w:line="240" w:lineRule="auto"/>
              <w:ind w:right="-2"/>
              <w:jc w:val="both"/>
              <w:rPr>
                <w:iCs/>
                <w:snapToGrid/>
                <w:szCs w:val="22"/>
                <w:lang w:val="en-US" w:eastAsia="sl-SI"/>
              </w:rPr>
            </w:pPr>
            <w:r>
              <w:t>13–17 metų (vyriška)</w:t>
            </w:r>
          </w:p>
        </w:tc>
        <w:tc>
          <w:tcPr>
            <w:tcW w:w="2285" w:type="dxa"/>
          </w:tcPr>
          <w:p w14:paraId="5BEDC6A6"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140 ± 30</w:t>
            </w:r>
          </w:p>
        </w:tc>
        <w:tc>
          <w:tcPr>
            <w:tcW w:w="3025" w:type="dxa"/>
          </w:tcPr>
          <w:p w14:paraId="4BEAC3CB"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890384" w14:paraId="02A13BBD" w14:textId="77777777">
        <w:trPr>
          <w:trHeight w:val="309"/>
        </w:trPr>
        <w:tc>
          <w:tcPr>
            <w:tcW w:w="3766" w:type="dxa"/>
          </w:tcPr>
          <w:p w14:paraId="4F4F8494" w14:textId="77777777" w:rsidR="00890384" w:rsidRDefault="00B26795">
            <w:pPr>
              <w:widowControl w:val="0"/>
              <w:numPr>
                <w:ilvl w:val="12"/>
                <w:numId w:val="0"/>
              </w:numPr>
              <w:spacing w:line="240" w:lineRule="auto"/>
              <w:ind w:right="-2"/>
              <w:jc w:val="both"/>
              <w:rPr>
                <w:iCs/>
                <w:snapToGrid/>
                <w:szCs w:val="22"/>
                <w:lang w:val="en-US" w:eastAsia="sl-SI"/>
              </w:rPr>
            </w:pPr>
            <w:r>
              <w:t>13–17 metų (moteriška)</w:t>
            </w:r>
          </w:p>
        </w:tc>
        <w:tc>
          <w:tcPr>
            <w:tcW w:w="2285" w:type="dxa"/>
          </w:tcPr>
          <w:p w14:paraId="389E0725"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126 ± 22</w:t>
            </w:r>
          </w:p>
        </w:tc>
        <w:tc>
          <w:tcPr>
            <w:tcW w:w="3025" w:type="dxa"/>
          </w:tcPr>
          <w:p w14:paraId="2184E711"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bl>
    <w:p w14:paraId="7E7D7CDA" w14:textId="37673F7C" w:rsidR="00890384" w:rsidRPr="005261E3" w:rsidRDefault="00B26795">
      <w:pPr>
        <w:widowControl w:val="0"/>
        <w:tabs>
          <w:tab w:val="clear" w:pos="567"/>
        </w:tabs>
        <w:autoSpaceDE w:val="0"/>
        <w:autoSpaceDN w:val="0"/>
        <w:spacing w:line="240" w:lineRule="auto"/>
        <w:rPr>
          <w:snapToGrid/>
          <w:sz w:val="20"/>
          <w:lang w:val="lt-LT"/>
        </w:rPr>
      </w:pPr>
      <w:r w:rsidRPr="005261E3">
        <w:rPr>
          <w:sz w:val="20"/>
        </w:rPr>
        <w:t>*Tinkamumo riba dalyvauti tyrime CV185325, kur apskaičiuotasis glomerulų filtracijos greitis (aGFG) buvo apskaičiuotas pagal atnaujintą hospitalinę Schwartz lygtį (Schwartz, GJ et al., CJASN 2009). Ši pagal protokolą nustatyta riba atitiko aGFG, kurio nepasiekus potencialus pacientas buvo laikomas turinčiu „nepakankamą inkstų funkciją“ ir dėl to negalėjo dalyvauti tyrime CV185325. Kiekviena riba buvo nustatyta taip: aGFG, kuris sudaro &lt;</w:t>
      </w:r>
      <w:r w:rsidR="001E4940">
        <w:rPr>
          <w:sz w:val="20"/>
        </w:rPr>
        <w:t> </w:t>
      </w:r>
      <w:r w:rsidRPr="005261E3">
        <w:rPr>
          <w:sz w:val="20"/>
        </w:rPr>
        <w:t>30 % dydžio, gaunamo iš GFG referencinio diapazono (pagal amžių ir lytį) atėmus 1 standartinį nuokrypį (SN). Jaunesnių kaip 2 metų pacientų ribinės vertės atitinka aGFG, kuris yra &lt;</w:t>
      </w:r>
      <w:r w:rsidR="001E4940">
        <w:rPr>
          <w:sz w:val="20"/>
        </w:rPr>
        <w:t> </w:t>
      </w:r>
      <w:r w:rsidRPr="005261E3">
        <w:rPr>
          <w:sz w:val="20"/>
        </w:rPr>
        <w:t>30 ml/min/1,73 m</w:t>
      </w:r>
      <w:r w:rsidRPr="005261E3">
        <w:rPr>
          <w:sz w:val="20"/>
          <w:vertAlign w:val="superscript"/>
        </w:rPr>
        <w:t>2</w:t>
      </w:r>
      <w:r w:rsidRPr="005261E3">
        <w:rPr>
          <w:sz w:val="20"/>
        </w:rPr>
        <w:t xml:space="preserve"> , o tai yra standartinis sunkaus inkstų nepakankamumo apibrėžimas vyresniems kaip 2 metų pacientams.</w:t>
      </w:r>
    </w:p>
    <w:p w14:paraId="38420E19" w14:textId="2032BF67" w:rsidR="00890384" w:rsidRDefault="00B26795">
      <w:pPr>
        <w:widowControl w:val="0"/>
        <w:tabs>
          <w:tab w:val="clear" w:pos="567"/>
        </w:tabs>
        <w:autoSpaceDE w:val="0"/>
        <w:autoSpaceDN w:val="0"/>
        <w:spacing w:line="240" w:lineRule="auto"/>
        <w:rPr>
          <w:snapToGrid/>
          <w:szCs w:val="22"/>
          <w:lang w:val="lt-LT"/>
        </w:rPr>
      </w:pPr>
      <w:r>
        <w:t>Vaikai, kurių glomerulų filtracijos greitis ≤</w:t>
      </w:r>
      <w:r w:rsidR="001E4940">
        <w:t> </w:t>
      </w:r>
      <w:r>
        <w:t>55 ml/min/1,73 m</w:t>
      </w:r>
      <w:r w:rsidRPr="005261E3">
        <w:rPr>
          <w:vertAlign w:val="superscript"/>
        </w:rPr>
        <w:t>2</w:t>
      </w:r>
      <w:r>
        <w:t xml:space="preserve"> , tyrime CV185325 nedalyvavo, nors tie, kurių inkstų funkcijos sutrikimas yra lengvas arba vidutinio sunkumo (aGFG nuo ≥</w:t>
      </w:r>
      <w:r w:rsidR="001E4940">
        <w:t> </w:t>
      </w:r>
      <w:r>
        <w:t>30 iki &lt;</w:t>
      </w:r>
      <w:r w:rsidR="001E4940">
        <w:t> </w:t>
      </w:r>
      <w:r>
        <w:t>60 ml/min/1,73 m</w:t>
      </w:r>
      <w:r w:rsidRPr="005261E3">
        <w:rPr>
          <w:vertAlign w:val="superscript"/>
        </w:rPr>
        <w:t>2</w:t>
      </w:r>
      <w:r>
        <w:t xml:space="preserve"> KPP), buvo tinkami dalyvauti. Remiantis duomenimis apie suaugusiuosius ir ribotais duomenimis apie visus apiksabanu gydytus vaikus, dozės nereikia koreguoti vaikams, kurių inkstų funkcijos sutrikimas yra lengvas arba vidutinio sunkumo. Apiksabano nerekomenduojama vartoti pacientams vaikams, kuriems yra sunkus inkstų funkcijos sutrikimas (žr. 4.2 ir 4.4 skyrius).</w:t>
      </w:r>
    </w:p>
    <w:p w14:paraId="59239A77" w14:textId="77777777" w:rsidR="00890384" w:rsidRDefault="00890384">
      <w:pPr>
        <w:widowControl w:val="0"/>
        <w:tabs>
          <w:tab w:val="clear" w:pos="567"/>
        </w:tabs>
        <w:autoSpaceDE w:val="0"/>
        <w:autoSpaceDN w:val="0"/>
        <w:spacing w:line="240" w:lineRule="auto"/>
        <w:rPr>
          <w:snapToGrid/>
          <w:szCs w:val="22"/>
          <w:lang w:val="lt-LT"/>
        </w:rPr>
      </w:pPr>
    </w:p>
    <w:p w14:paraId="45E9A8B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Sutrikusi kepenų funkcija</w:t>
      </w:r>
    </w:p>
    <w:p w14:paraId="2FFA340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Tyrimo metu lyginant vaistinio preparato poveikį 8 asmenims, kuriems buvo lengvas kepenų funkcijos sutrikimas, A klasės pagal </w:t>
      </w:r>
      <w:r>
        <w:rPr>
          <w:i/>
          <w:snapToGrid/>
          <w:szCs w:val="22"/>
          <w:lang w:val="lt-LT"/>
        </w:rPr>
        <w:t xml:space="preserve">Child-Pugh </w:t>
      </w:r>
      <w:r>
        <w:rPr>
          <w:snapToGrid/>
          <w:szCs w:val="22"/>
          <w:lang w:val="lt-LT"/>
        </w:rPr>
        <w:t xml:space="preserve">klasifikaciją, įvertintas 5 balais (n = 6) ir 6 balais (n = 2), 8 asmenims, kuriems buvo vidutinio sunkumo kepenų funkcijos sutrikimas, B klasės pagal </w:t>
      </w:r>
      <w:r>
        <w:rPr>
          <w:i/>
          <w:snapToGrid/>
          <w:szCs w:val="22"/>
          <w:lang w:val="lt-LT"/>
        </w:rPr>
        <w:t xml:space="preserve">Child-Pugh </w:t>
      </w:r>
      <w:r>
        <w:rPr>
          <w:snapToGrid/>
          <w:szCs w:val="22"/>
          <w:lang w:val="lt-LT"/>
        </w:rPr>
        <w:t>klasifikaciją, įvertintas 7 balais (n = 6) ir 8 balais (n = 2), bei 16 sveikų kontrolinių asmenų, nustatyta, kad vienkartinės 5 mg apiksabano dozės farmakokinetikos ir farmakodinamikos rodmenys asmenims, kuriems buvo kepenų funkcijos sutrikimas, nepakito. Asmenims, kuriems buvo lengvas ar vidutinio sunkumo kepenų funkcijos sutrikimas, ir sveikiems asmenims nustatyti Xa faktoriaus aktyvumo ir TNS rodmenų pokyčiai buvo panašūs.</w:t>
      </w:r>
    </w:p>
    <w:p w14:paraId="2CAA7EDB" w14:textId="77777777" w:rsidR="00890384" w:rsidRDefault="00890384">
      <w:pPr>
        <w:widowControl w:val="0"/>
        <w:tabs>
          <w:tab w:val="clear" w:pos="567"/>
        </w:tabs>
        <w:autoSpaceDE w:val="0"/>
        <w:autoSpaceDN w:val="0"/>
        <w:spacing w:line="240" w:lineRule="auto"/>
      </w:pPr>
    </w:p>
    <w:p w14:paraId="23D165A3" w14:textId="77777777" w:rsidR="00890384" w:rsidRDefault="00B26795">
      <w:pPr>
        <w:widowControl w:val="0"/>
        <w:tabs>
          <w:tab w:val="clear" w:pos="567"/>
        </w:tabs>
        <w:autoSpaceDE w:val="0"/>
        <w:autoSpaceDN w:val="0"/>
        <w:spacing w:line="240" w:lineRule="auto"/>
      </w:pPr>
      <w:r>
        <w:t>Apiksabanas netirtas su pacientais vaikais, kurių kepenų funkcija sutrikusi.</w:t>
      </w:r>
    </w:p>
    <w:p w14:paraId="3334DC08" w14:textId="77777777" w:rsidR="00890384" w:rsidRDefault="00890384">
      <w:pPr>
        <w:widowControl w:val="0"/>
        <w:tabs>
          <w:tab w:val="clear" w:pos="567"/>
        </w:tabs>
        <w:autoSpaceDE w:val="0"/>
        <w:autoSpaceDN w:val="0"/>
        <w:spacing w:line="240" w:lineRule="auto"/>
        <w:rPr>
          <w:snapToGrid/>
          <w:szCs w:val="22"/>
          <w:lang w:val="lt-LT"/>
        </w:rPr>
      </w:pPr>
    </w:p>
    <w:p w14:paraId="0DE9F32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Lytis</w:t>
      </w:r>
    </w:p>
    <w:p w14:paraId="6320F2C2" w14:textId="55E598C6"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ekspozicija yra maždaug 18 % didesnė moterims nei vyrams.</w:t>
      </w:r>
    </w:p>
    <w:p w14:paraId="020DD80B" w14:textId="77777777" w:rsidR="00890384" w:rsidRDefault="00890384">
      <w:pPr>
        <w:widowControl w:val="0"/>
        <w:tabs>
          <w:tab w:val="clear" w:pos="567"/>
        </w:tabs>
        <w:autoSpaceDE w:val="0"/>
        <w:autoSpaceDN w:val="0"/>
        <w:spacing w:line="240" w:lineRule="auto"/>
      </w:pPr>
    </w:p>
    <w:p w14:paraId="0DAE22F6" w14:textId="6422D345" w:rsidR="00890384" w:rsidRDefault="00B26795">
      <w:pPr>
        <w:widowControl w:val="0"/>
        <w:tabs>
          <w:tab w:val="clear" w:pos="567"/>
        </w:tabs>
        <w:autoSpaceDE w:val="0"/>
        <w:autoSpaceDN w:val="0"/>
        <w:spacing w:line="240" w:lineRule="auto"/>
        <w:rPr>
          <w:snapToGrid/>
          <w:szCs w:val="22"/>
          <w:lang w:val="lt-LT"/>
        </w:rPr>
      </w:pPr>
      <w:r>
        <w:t>Farmakokinetinių savybių skirtumai tarp lyčių pacientams vaikams netirti.</w:t>
      </w:r>
    </w:p>
    <w:p w14:paraId="6C7FFED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Etninės grupės ir rasė</w:t>
      </w:r>
    </w:p>
    <w:p w14:paraId="0560AF9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 fazės tyrimų rezultatai neparodė apiksabano farmakokinetikos rodmenų skirtumo baltaodžiams, azijiečiams ir juodaodžiams tiriamiesiems asmenims. Populiacijos farmakokinetikos rodmenų pacientams, kuriems buvo skiriama apiksabano, analizės duomenys įprastai buvo panašūs į I fazės tyrimų rezultatus.</w:t>
      </w:r>
    </w:p>
    <w:p w14:paraId="693DD959" w14:textId="77777777" w:rsidR="00890384" w:rsidRDefault="00890384">
      <w:pPr>
        <w:widowControl w:val="0"/>
        <w:tabs>
          <w:tab w:val="clear" w:pos="567"/>
        </w:tabs>
        <w:autoSpaceDE w:val="0"/>
        <w:autoSpaceDN w:val="0"/>
        <w:spacing w:line="240" w:lineRule="auto"/>
      </w:pPr>
    </w:p>
    <w:p w14:paraId="04C817D5" w14:textId="77777777" w:rsidR="00890384" w:rsidRDefault="00B26795">
      <w:pPr>
        <w:widowControl w:val="0"/>
        <w:tabs>
          <w:tab w:val="clear" w:pos="567"/>
        </w:tabs>
        <w:autoSpaceDE w:val="0"/>
        <w:autoSpaceDN w:val="0"/>
        <w:spacing w:line="240" w:lineRule="auto"/>
      </w:pPr>
      <w:r>
        <w:t>Farmakokinetinių savybių skirtumai tarp etninių grupių ir rasių pacientams vaikams netirti.</w:t>
      </w:r>
    </w:p>
    <w:p w14:paraId="0B46FA75" w14:textId="77777777" w:rsidR="00890384" w:rsidRDefault="00890384">
      <w:pPr>
        <w:widowControl w:val="0"/>
        <w:tabs>
          <w:tab w:val="clear" w:pos="567"/>
        </w:tabs>
        <w:autoSpaceDE w:val="0"/>
        <w:autoSpaceDN w:val="0"/>
        <w:spacing w:line="240" w:lineRule="auto"/>
        <w:rPr>
          <w:snapToGrid/>
          <w:szCs w:val="22"/>
          <w:lang w:val="lt-LT"/>
        </w:rPr>
      </w:pPr>
    </w:p>
    <w:p w14:paraId="3D031732"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3A9DB7F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kurių kūno svoris &gt; 120 kg, nustatyta maždaug 30 % mažesnė apiksabano ekspozicija, o pacientams, kurių kūno svoris &lt; 50 kg – maždaug 30 % didesnė ekspozicija, lyginant su vaistinio preparato ekspozicija asmenims, kurių kūno svoris buvo 65–85 kg.</w:t>
      </w:r>
    </w:p>
    <w:p w14:paraId="4FA6B680" w14:textId="77777777" w:rsidR="00890384" w:rsidRDefault="00890384">
      <w:pPr>
        <w:widowControl w:val="0"/>
        <w:tabs>
          <w:tab w:val="clear" w:pos="567"/>
        </w:tabs>
        <w:autoSpaceDE w:val="0"/>
        <w:autoSpaceDN w:val="0"/>
        <w:spacing w:line="240" w:lineRule="auto"/>
        <w:rPr>
          <w:snapToGrid/>
          <w:szCs w:val="22"/>
          <w:lang w:val="lt-LT"/>
        </w:rPr>
      </w:pPr>
    </w:p>
    <w:p w14:paraId="49B42271" w14:textId="77777777" w:rsidR="00890384" w:rsidRDefault="00B26795">
      <w:pPr>
        <w:widowControl w:val="0"/>
        <w:tabs>
          <w:tab w:val="clear" w:pos="567"/>
        </w:tabs>
        <w:autoSpaceDE w:val="0"/>
        <w:autoSpaceDN w:val="0"/>
        <w:spacing w:line="240" w:lineRule="auto"/>
      </w:pPr>
      <w:r>
        <w:lastRenderedPageBreak/>
        <w:t>Apiksabano skyrimas pacientams vaikams yra pagrįstas fiksuotos dozės pagal kūno masės kategoriją režimu.</w:t>
      </w:r>
    </w:p>
    <w:p w14:paraId="1E9A3001" w14:textId="77777777" w:rsidR="00890384" w:rsidRDefault="00890384">
      <w:pPr>
        <w:widowControl w:val="0"/>
        <w:tabs>
          <w:tab w:val="clear" w:pos="567"/>
        </w:tabs>
        <w:autoSpaceDE w:val="0"/>
        <w:autoSpaceDN w:val="0"/>
        <w:spacing w:line="240" w:lineRule="auto"/>
        <w:rPr>
          <w:snapToGrid/>
          <w:szCs w:val="22"/>
          <w:lang w:val="lt-LT"/>
        </w:rPr>
      </w:pPr>
    </w:p>
    <w:p w14:paraId="1C305FD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Santykis tarp farmakokinetikos ir farmakodinamikos</w:t>
      </w:r>
    </w:p>
    <w:p w14:paraId="06DAA8C2" w14:textId="270FFB20"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farmakokinetikos ir farmakodinamikos (FK/FD) ryšys tarp apiksabano koncentracijos kraujo plazmoje ir keleto FD vertinamųjų baigčių (Xa faktoriaus slopinimo</w:t>
      </w:r>
      <w:r>
        <w:t xml:space="preserve"> [AXA]</w:t>
      </w:r>
      <w:r>
        <w:rPr>
          <w:snapToGrid/>
          <w:szCs w:val="22"/>
          <w:lang w:val="lt-LT"/>
        </w:rPr>
        <w:t>, TNS, PL, aDTL) buvo vertinamas skiriant įvairias vaistinio preparato dozes (0,5–50 mg). Ryšys tarp apiksabano koncentracijos kraujo plazmoje ir Xa faktoriaus slopinimo buvo geriausiai apibūdintas tiesiniu modeliu. Pacientams nustatytas FK/FD ryšys buvo panašus į sveikiems asmenims nustatytą FK/FD ryšį.</w:t>
      </w:r>
    </w:p>
    <w:p w14:paraId="0D88DD8A" w14:textId="77777777" w:rsidR="00890384" w:rsidRDefault="00890384">
      <w:pPr>
        <w:widowControl w:val="0"/>
        <w:tabs>
          <w:tab w:val="clear" w:pos="567"/>
        </w:tabs>
        <w:autoSpaceDE w:val="0"/>
        <w:autoSpaceDN w:val="0"/>
        <w:spacing w:line="240" w:lineRule="auto"/>
      </w:pPr>
    </w:p>
    <w:p w14:paraId="56A7C069" w14:textId="77777777" w:rsidR="00890384" w:rsidRDefault="00B26795">
      <w:pPr>
        <w:widowControl w:val="0"/>
        <w:tabs>
          <w:tab w:val="clear" w:pos="567"/>
        </w:tabs>
        <w:autoSpaceDE w:val="0"/>
        <w:autoSpaceDN w:val="0"/>
        <w:spacing w:line="240" w:lineRule="auto"/>
      </w:pPr>
      <w:r>
        <w:t>Panašiai apiksabano FK / FD vertinimo vaikams rezultatai rodo, kad tarp apiksabano koncentracijos ir AXA yra tiesinis ryšys. Tai atitinka pirmiau nustatytą ryšį suaugusiesiems.</w:t>
      </w:r>
    </w:p>
    <w:p w14:paraId="7C8D6EB5" w14:textId="77777777" w:rsidR="00890384" w:rsidRDefault="00890384">
      <w:pPr>
        <w:widowControl w:val="0"/>
        <w:tabs>
          <w:tab w:val="clear" w:pos="567"/>
        </w:tabs>
        <w:autoSpaceDE w:val="0"/>
        <w:autoSpaceDN w:val="0"/>
        <w:spacing w:line="240" w:lineRule="auto"/>
        <w:rPr>
          <w:snapToGrid/>
          <w:szCs w:val="22"/>
          <w:lang w:val="lt-LT"/>
        </w:rPr>
      </w:pPr>
    </w:p>
    <w:p w14:paraId="58DD0B8A"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5.3</w:t>
      </w:r>
      <w:r>
        <w:rPr>
          <w:b/>
          <w:bCs/>
          <w:snapToGrid/>
          <w:szCs w:val="22"/>
          <w:lang w:val="lt-LT"/>
        </w:rPr>
        <w:tab/>
        <w:t>Ikiklinikinių saugumo tyrimų duomenys</w:t>
      </w:r>
    </w:p>
    <w:p w14:paraId="33109BA7" w14:textId="77777777" w:rsidR="00890384" w:rsidRDefault="00890384">
      <w:pPr>
        <w:widowControl w:val="0"/>
        <w:tabs>
          <w:tab w:val="clear" w:pos="567"/>
        </w:tabs>
        <w:autoSpaceDE w:val="0"/>
        <w:autoSpaceDN w:val="0"/>
        <w:spacing w:line="240" w:lineRule="auto"/>
        <w:rPr>
          <w:b/>
          <w:snapToGrid/>
          <w:szCs w:val="22"/>
          <w:lang w:val="lt-LT"/>
        </w:rPr>
      </w:pPr>
    </w:p>
    <w:p w14:paraId="1F302C7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16258534" w14:textId="77777777" w:rsidR="00890384" w:rsidRDefault="00890384">
      <w:pPr>
        <w:widowControl w:val="0"/>
        <w:tabs>
          <w:tab w:val="clear" w:pos="567"/>
        </w:tabs>
        <w:autoSpaceDE w:val="0"/>
        <w:autoSpaceDN w:val="0"/>
        <w:spacing w:line="240" w:lineRule="auto"/>
        <w:rPr>
          <w:snapToGrid/>
          <w:szCs w:val="22"/>
          <w:lang w:val="lt-LT"/>
        </w:rPr>
      </w:pPr>
    </w:p>
    <w:p w14:paraId="3873DE6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Kartotinių dozių toksiškumo tyrimų duomenimis, svarbiausi stebėti reiškiniai buvo susiję su farmakodinaminiu apiksabano poveikiu kraujo krešėjimo rodmenims.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5028E0D3" w14:textId="77777777" w:rsidR="00890384" w:rsidRDefault="00890384">
      <w:pPr>
        <w:widowControl w:val="0"/>
        <w:tabs>
          <w:tab w:val="clear" w:pos="567"/>
        </w:tabs>
        <w:autoSpaceDE w:val="0"/>
        <w:autoSpaceDN w:val="0"/>
        <w:spacing w:line="240" w:lineRule="auto"/>
        <w:rPr>
          <w:snapToGrid/>
          <w:szCs w:val="22"/>
          <w:lang w:val="lt-LT"/>
        </w:rPr>
      </w:pPr>
    </w:p>
    <w:p w14:paraId="4B45E7B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Tyrimų su žiurkėmis metu nustatytas didelis apiksabano koncentracijos piene ir koncentracijos patelės plazmoje santykis (C</w:t>
      </w:r>
      <w:r>
        <w:rPr>
          <w:snapToGrid/>
          <w:szCs w:val="22"/>
          <w:vertAlign w:val="subscript"/>
          <w:lang w:val="lt-LT"/>
        </w:rPr>
        <w:t>max</w:t>
      </w:r>
      <w:r>
        <w:rPr>
          <w:snapToGrid/>
          <w:szCs w:val="22"/>
          <w:lang w:val="lt-LT"/>
        </w:rPr>
        <w:t xml:space="preserve"> rodmuo maždaug 8, AUC rodmuo maždaug 30), galimai susijęs su aktyviu vaistinio preparato išskyrimu į žiurkių pieną.</w:t>
      </w:r>
    </w:p>
    <w:p w14:paraId="53D6B131" w14:textId="77777777" w:rsidR="00890384" w:rsidRDefault="00890384">
      <w:pPr>
        <w:widowControl w:val="0"/>
        <w:tabs>
          <w:tab w:val="clear" w:pos="567"/>
        </w:tabs>
        <w:autoSpaceDE w:val="0"/>
        <w:autoSpaceDN w:val="0"/>
        <w:spacing w:line="240" w:lineRule="auto"/>
        <w:rPr>
          <w:snapToGrid/>
          <w:szCs w:val="22"/>
          <w:lang w:val="lt-LT"/>
        </w:rPr>
      </w:pPr>
    </w:p>
    <w:p w14:paraId="6E58859B" w14:textId="77777777" w:rsidR="00890384" w:rsidRDefault="00890384">
      <w:pPr>
        <w:widowControl w:val="0"/>
        <w:tabs>
          <w:tab w:val="clear" w:pos="567"/>
        </w:tabs>
        <w:autoSpaceDE w:val="0"/>
        <w:autoSpaceDN w:val="0"/>
        <w:spacing w:line="240" w:lineRule="auto"/>
        <w:rPr>
          <w:snapToGrid/>
          <w:szCs w:val="22"/>
          <w:lang w:val="lt-LT"/>
        </w:rPr>
      </w:pPr>
    </w:p>
    <w:p w14:paraId="550A7F39" w14:textId="77777777" w:rsidR="00890384" w:rsidRDefault="00B26795">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6.</w:t>
      </w:r>
      <w:r>
        <w:rPr>
          <w:b/>
          <w:bCs/>
          <w:snapToGrid/>
          <w:szCs w:val="22"/>
          <w:lang w:val="lt-LT"/>
        </w:rPr>
        <w:tab/>
        <w:t>FARMACINĖ INFORMACIJA</w:t>
      </w:r>
    </w:p>
    <w:p w14:paraId="0EBF878D" w14:textId="77777777" w:rsidR="00890384" w:rsidRDefault="00890384">
      <w:pPr>
        <w:widowControl w:val="0"/>
        <w:tabs>
          <w:tab w:val="clear" w:pos="567"/>
        </w:tabs>
        <w:autoSpaceDE w:val="0"/>
        <w:autoSpaceDN w:val="0"/>
        <w:spacing w:line="240" w:lineRule="auto"/>
        <w:ind w:left="540" w:hanging="540"/>
        <w:rPr>
          <w:b/>
          <w:snapToGrid/>
          <w:szCs w:val="22"/>
          <w:lang w:val="lt-LT"/>
        </w:rPr>
      </w:pPr>
    </w:p>
    <w:p w14:paraId="64BFD788" w14:textId="77777777" w:rsidR="00890384" w:rsidRDefault="00B26795">
      <w:pPr>
        <w:widowControl w:val="0"/>
        <w:numPr>
          <w:ilvl w:val="1"/>
          <w:numId w:val="19"/>
        </w:numPr>
        <w:autoSpaceDE w:val="0"/>
        <w:autoSpaceDN w:val="0"/>
        <w:spacing w:line="240" w:lineRule="auto"/>
        <w:outlineLvl w:val="1"/>
        <w:rPr>
          <w:b/>
          <w:bCs/>
          <w:snapToGrid/>
          <w:szCs w:val="22"/>
          <w:lang w:val="lt-LT"/>
        </w:rPr>
      </w:pPr>
      <w:r>
        <w:rPr>
          <w:b/>
          <w:bCs/>
          <w:snapToGrid/>
          <w:szCs w:val="22"/>
          <w:lang w:val="lt-LT"/>
        </w:rPr>
        <w:t>Pagalbinių medžiagų sąrašas</w:t>
      </w:r>
    </w:p>
    <w:p w14:paraId="2EBC55CC" w14:textId="77777777" w:rsidR="00890384" w:rsidRDefault="00890384">
      <w:pPr>
        <w:widowControl w:val="0"/>
        <w:tabs>
          <w:tab w:val="clear" w:pos="567"/>
        </w:tabs>
        <w:autoSpaceDE w:val="0"/>
        <w:autoSpaceDN w:val="0"/>
        <w:spacing w:line="240" w:lineRule="auto"/>
        <w:rPr>
          <w:b/>
          <w:snapToGrid/>
          <w:szCs w:val="22"/>
          <w:lang w:val="lt-LT"/>
        </w:rPr>
      </w:pPr>
    </w:p>
    <w:p w14:paraId="0A344157" w14:textId="77777777" w:rsidR="00890384" w:rsidRDefault="00B26795">
      <w:pPr>
        <w:widowControl w:val="0"/>
        <w:tabs>
          <w:tab w:val="clear" w:pos="567"/>
        </w:tabs>
        <w:autoSpaceDE w:val="0"/>
        <w:autoSpaceDN w:val="0"/>
        <w:spacing w:line="240" w:lineRule="auto"/>
        <w:rPr>
          <w:i/>
          <w:iCs/>
          <w:snapToGrid/>
          <w:szCs w:val="22"/>
          <w:lang w:val="lt-LT"/>
        </w:rPr>
      </w:pPr>
      <w:r>
        <w:rPr>
          <w:i/>
          <w:iCs/>
          <w:snapToGrid/>
          <w:szCs w:val="22"/>
          <w:u w:val="single"/>
          <w:lang w:val="lt-LT"/>
        </w:rPr>
        <w:t>Tabletės šerdis</w:t>
      </w:r>
    </w:p>
    <w:p w14:paraId="11BB4BFF" w14:textId="77777777" w:rsidR="00890384" w:rsidRDefault="00B26795">
      <w:pPr>
        <w:widowControl w:val="0"/>
        <w:tabs>
          <w:tab w:val="clear" w:pos="567"/>
        </w:tabs>
        <w:autoSpaceDE w:val="0"/>
        <w:autoSpaceDN w:val="0"/>
        <w:spacing w:line="240" w:lineRule="auto"/>
        <w:rPr>
          <w:snapToGrid/>
          <w:szCs w:val="22"/>
          <w:lang w:val="lt-LT"/>
        </w:rPr>
      </w:pPr>
      <w:bookmarkStart w:id="2" w:name="_Hlk82605867"/>
      <w:r>
        <w:rPr>
          <w:snapToGrid/>
          <w:szCs w:val="22"/>
          <w:lang w:val="lt-LT"/>
        </w:rPr>
        <w:t>Mikrokristalinė celiuliozė (E460)</w:t>
      </w:r>
    </w:p>
    <w:p w14:paraId="595F419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Laktozė monohidratas</w:t>
      </w:r>
    </w:p>
    <w:p w14:paraId="366504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Kroskarmeliozės natrio druska (E468)</w:t>
      </w:r>
    </w:p>
    <w:p w14:paraId="5C7A7FE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Natrio laurilsulfatas</w:t>
      </w:r>
    </w:p>
    <w:p w14:paraId="6289237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Hidroksietilceliuliozė</w:t>
      </w:r>
    </w:p>
    <w:p w14:paraId="4222A40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Magnio stearatas (E470b)</w:t>
      </w:r>
    </w:p>
    <w:p w14:paraId="45FBC742" w14:textId="77777777" w:rsidR="00890384" w:rsidRDefault="00890384">
      <w:pPr>
        <w:widowControl w:val="0"/>
        <w:tabs>
          <w:tab w:val="clear" w:pos="567"/>
        </w:tabs>
        <w:autoSpaceDE w:val="0"/>
        <w:autoSpaceDN w:val="0"/>
        <w:spacing w:line="240" w:lineRule="auto"/>
        <w:rPr>
          <w:snapToGrid/>
          <w:szCs w:val="22"/>
          <w:u w:val="single"/>
          <w:lang w:val="lt-LT"/>
        </w:rPr>
      </w:pPr>
    </w:p>
    <w:p w14:paraId="67180E95" w14:textId="77777777" w:rsidR="00890384" w:rsidRDefault="00B26795">
      <w:pPr>
        <w:widowControl w:val="0"/>
        <w:tabs>
          <w:tab w:val="clear" w:pos="567"/>
        </w:tabs>
        <w:autoSpaceDE w:val="0"/>
        <w:autoSpaceDN w:val="0"/>
        <w:spacing w:line="240" w:lineRule="auto"/>
        <w:rPr>
          <w:i/>
          <w:iCs/>
          <w:snapToGrid/>
          <w:szCs w:val="22"/>
          <w:lang w:val="lt-LT"/>
        </w:rPr>
      </w:pPr>
      <w:r>
        <w:rPr>
          <w:i/>
          <w:iCs/>
          <w:snapToGrid/>
          <w:szCs w:val="22"/>
          <w:u w:val="single"/>
          <w:lang w:val="lt-LT"/>
        </w:rPr>
        <w:t>Plėvelė</w:t>
      </w:r>
    </w:p>
    <w:p w14:paraId="20F461A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Hipromeliozė (E464) </w:t>
      </w:r>
    </w:p>
    <w:p w14:paraId="5A529F8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Propilenglikolis (E1520)</w:t>
      </w:r>
    </w:p>
    <w:p w14:paraId="2EBFCF4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Titano dioksidas (E171) </w:t>
      </w:r>
    </w:p>
    <w:p w14:paraId="0F805FB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Talkas (E553b)</w:t>
      </w:r>
    </w:p>
    <w:bookmarkEnd w:id="2"/>
    <w:p w14:paraId="4AE5BA4A" w14:textId="77777777" w:rsidR="00890384" w:rsidRDefault="00890384">
      <w:pPr>
        <w:widowControl w:val="0"/>
        <w:tabs>
          <w:tab w:val="clear" w:pos="567"/>
        </w:tabs>
        <w:autoSpaceDE w:val="0"/>
        <w:autoSpaceDN w:val="0"/>
        <w:spacing w:line="240" w:lineRule="auto"/>
        <w:rPr>
          <w:snapToGrid/>
          <w:szCs w:val="22"/>
          <w:lang w:val="lt-LT"/>
        </w:rPr>
      </w:pPr>
    </w:p>
    <w:p w14:paraId="6A28808C"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6.2</w:t>
      </w:r>
      <w:r>
        <w:rPr>
          <w:b/>
          <w:bCs/>
          <w:snapToGrid/>
          <w:szCs w:val="22"/>
          <w:lang w:val="lt-LT"/>
        </w:rPr>
        <w:tab/>
        <w:t>Nesuderinamumas</w:t>
      </w:r>
    </w:p>
    <w:p w14:paraId="2ED868A1" w14:textId="77777777" w:rsidR="00890384" w:rsidRDefault="00890384">
      <w:pPr>
        <w:widowControl w:val="0"/>
        <w:tabs>
          <w:tab w:val="clear" w:pos="567"/>
        </w:tabs>
        <w:autoSpaceDE w:val="0"/>
        <w:autoSpaceDN w:val="0"/>
        <w:spacing w:line="240" w:lineRule="auto"/>
        <w:rPr>
          <w:b/>
          <w:snapToGrid/>
          <w:szCs w:val="22"/>
          <w:lang w:val="lt-LT"/>
        </w:rPr>
      </w:pPr>
    </w:p>
    <w:p w14:paraId="3F32C64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Duomenys nebūtini</w:t>
      </w:r>
    </w:p>
    <w:p w14:paraId="19EE3B56" w14:textId="77777777" w:rsidR="00890384" w:rsidRDefault="00890384">
      <w:pPr>
        <w:widowControl w:val="0"/>
        <w:tabs>
          <w:tab w:val="clear" w:pos="567"/>
        </w:tabs>
        <w:autoSpaceDE w:val="0"/>
        <w:autoSpaceDN w:val="0"/>
        <w:spacing w:line="240" w:lineRule="auto"/>
        <w:rPr>
          <w:snapToGrid/>
          <w:szCs w:val="22"/>
          <w:lang w:val="lt-LT"/>
        </w:rPr>
      </w:pPr>
    </w:p>
    <w:p w14:paraId="63671108"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6.3</w:t>
      </w:r>
      <w:r>
        <w:rPr>
          <w:b/>
          <w:bCs/>
          <w:snapToGrid/>
          <w:szCs w:val="22"/>
          <w:lang w:val="lt-LT"/>
        </w:rPr>
        <w:tab/>
        <w:t>Tinkamumo laikas</w:t>
      </w:r>
    </w:p>
    <w:p w14:paraId="040541FE" w14:textId="77777777" w:rsidR="00890384" w:rsidRDefault="00890384">
      <w:pPr>
        <w:widowControl w:val="0"/>
        <w:tabs>
          <w:tab w:val="clear" w:pos="567"/>
        </w:tabs>
        <w:autoSpaceDE w:val="0"/>
        <w:autoSpaceDN w:val="0"/>
        <w:spacing w:line="240" w:lineRule="auto"/>
        <w:rPr>
          <w:b/>
          <w:snapToGrid/>
          <w:szCs w:val="22"/>
          <w:lang w:val="lt-LT"/>
        </w:rPr>
      </w:pPr>
    </w:p>
    <w:p w14:paraId="58C157D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 metai</w:t>
      </w:r>
    </w:p>
    <w:p w14:paraId="0C5366D1" w14:textId="77777777" w:rsidR="00890384" w:rsidRDefault="00890384">
      <w:pPr>
        <w:widowControl w:val="0"/>
        <w:tabs>
          <w:tab w:val="clear" w:pos="567"/>
        </w:tabs>
        <w:autoSpaceDE w:val="0"/>
        <w:autoSpaceDN w:val="0"/>
        <w:spacing w:line="240" w:lineRule="auto"/>
        <w:rPr>
          <w:snapToGrid/>
          <w:szCs w:val="22"/>
          <w:lang w:val="lt-LT"/>
        </w:rPr>
      </w:pPr>
    </w:p>
    <w:p w14:paraId="769C0AA2"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6.4</w:t>
      </w:r>
      <w:r>
        <w:rPr>
          <w:b/>
          <w:bCs/>
          <w:snapToGrid/>
          <w:szCs w:val="22"/>
          <w:lang w:val="lt-LT"/>
        </w:rPr>
        <w:tab/>
        <w:t>Specialios laikymo sąlygos</w:t>
      </w:r>
    </w:p>
    <w:p w14:paraId="5B50D738" w14:textId="77777777" w:rsidR="00890384" w:rsidRDefault="00890384">
      <w:pPr>
        <w:widowControl w:val="0"/>
        <w:tabs>
          <w:tab w:val="clear" w:pos="567"/>
        </w:tabs>
        <w:autoSpaceDE w:val="0"/>
        <w:autoSpaceDN w:val="0"/>
        <w:spacing w:line="240" w:lineRule="auto"/>
        <w:rPr>
          <w:b/>
          <w:snapToGrid/>
          <w:szCs w:val="22"/>
          <w:lang w:val="lt-LT"/>
        </w:rPr>
      </w:pPr>
    </w:p>
    <w:p w14:paraId="475D6E9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Šiam vaistiniam preparatui specialių laikymo sąlygų nereikia.</w:t>
      </w:r>
    </w:p>
    <w:p w14:paraId="66694CC2" w14:textId="77777777" w:rsidR="00890384" w:rsidRDefault="00890384">
      <w:pPr>
        <w:widowControl w:val="0"/>
        <w:tabs>
          <w:tab w:val="clear" w:pos="567"/>
        </w:tabs>
        <w:autoSpaceDE w:val="0"/>
        <w:autoSpaceDN w:val="0"/>
        <w:spacing w:line="240" w:lineRule="auto"/>
        <w:rPr>
          <w:snapToGrid/>
          <w:szCs w:val="22"/>
          <w:lang w:val="lt-LT"/>
        </w:rPr>
      </w:pPr>
    </w:p>
    <w:p w14:paraId="70B29281"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6.5</w:t>
      </w:r>
      <w:r>
        <w:rPr>
          <w:b/>
          <w:bCs/>
          <w:snapToGrid/>
          <w:szCs w:val="22"/>
          <w:lang w:val="lt-LT"/>
        </w:rPr>
        <w:tab/>
        <w:t>Talpyklės pobūdis ir jos turinys</w:t>
      </w:r>
    </w:p>
    <w:p w14:paraId="0DAB4B83" w14:textId="77777777" w:rsidR="00890384" w:rsidRDefault="00890384">
      <w:pPr>
        <w:widowControl w:val="0"/>
        <w:tabs>
          <w:tab w:val="clear" w:pos="567"/>
        </w:tabs>
        <w:autoSpaceDE w:val="0"/>
        <w:autoSpaceDN w:val="0"/>
        <w:spacing w:line="240" w:lineRule="auto"/>
        <w:rPr>
          <w:b/>
          <w:snapToGrid/>
          <w:szCs w:val="22"/>
          <w:lang w:val="lt-LT"/>
        </w:rPr>
      </w:pPr>
    </w:p>
    <w:p w14:paraId="7F7CA2BF" w14:textId="77777777" w:rsidR="00890384" w:rsidRDefault="00B26795">
      <w:pPr>
        <w:widowControl w:val="0"/>
        <w:spacing w:line="240" w:lineRule="auto"/>
        <w:rPr>
          <w:snapToGrid/>
          <w:szCs w:val="22"/>
          <w:lang w:val="lt-LT"/>
        </w:rPr>
      </w:pPr>
      <w:r>
        <w:rPr>
          <w:snapToGrid/>
          <w:szCs w:val="22"/>
          <w:lang w:val="lt-LT"/>
        </w:rPr>
        <w:t>Lizdinė plokštelė (PVC/PVDC/PVC permatomos folijos//aliuminio folijos): 10, 14, 20, 28, 56, 60, 100, 168 arba 200 plėvele dengtų tablečių dėžutėje.</w:t>
      </w:r>
    </w:p>
    <w:p w14:paraId="6B7C887F" w14:textId="2B21B42C" w:rsidR="00890384" w:rsidRDefault="00B26795">
      <w:pPr>
        <w:widowControl w:val="0"/>
        <w:spacing w:line="240" w:lineRule="auto"/>
        <w:rPr>
          <w:snapToGrid/>
          <w:szCs w:val="22"/>
          <w:lang w:val="lt-LT"/>
        </w:rPr>
      </w:pPr>
      <w:r>
        <w:rPr>
          <w:snapToGrid/>
          <w:szCs w:val="22"/>
          <w:lang w:val="lt-LT"/>
        </w:rPr>
        <w:t>Kiekvienoje vaistinio preparato pakuotėje yra paciento kortelė.</w:t>
      </w:r>
    </w:p>
    <w:p w14:paraId="238D6DF2" w14:textId="77777777" w:rsidR="00890384" w:rsidRDefault="00890384">
      <w:pPr>
        <w:widowControl w:val="0"/>
        <w:tabs>
          <w:tab w:val="clear" w:pos="567"/>
        </w:tabs>
        <w:autoSpaceDE w:val="0"/>
        <w:autoSpaceDN w:val="0"/>
        <w:spacing w:line="240" w:lineRule="auto"/>
        <w:rPr>
          <w:snapToGrid/>
          <w:szCs w:val="22"/>
          <w:lang w:val="lt-LT"/>
        </w:rPr>
      </w:pPr>
    </w:p>
    <w:p w14:paraId="03BF8F7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66F09F8D" w14:textId="77777777" w:rsidR="00890384" w:rsidRDefault="00890384">
      <w:pPr>
        <w:widowControl w:val="0"/>
        <w:tabs>
          <w:tab w:val="clear" w:pos="567"/>
        </w:tabs>
        <w:autoSpaceDE w:val="0"/>
        <w:autoSpaceDN w:val="0"/>
        <w:spacing w:line="240" w:lineRule="auto"/>
        <w:rPr>
          <w:snapToGrid/>
          <w:szCs w:val="22"/>
          <w:lang w:val="lt-LT"/>
        </w:rPr>
      </w:pPr>
    </w:p>
    <w:p w14:paraId="3825C8B4" w14:textId="77777777" w:rsidR="00890384" w:rsidRDefault="00B26795">
      <w:pPr>
        <w:widowControl w:val="0"/>
        <w:tabs>
          <w:tab w:val="clear" w:pos="567"/>
          <w:tab w:val="left" w:pos="802"/>
          <w:tab w:val="left" w:pos="803"/>
        </w:tabs>
        <w:autoSpaceDE w:val="0"/>
        <w:autoSpaceDN w:val="0"/>
        <w:spacing w:line="240" w:lineRule="auto"/>
        <w:ind w:left="567" w:hanging="567"/>
        <w:outlineLvl w:val="1"/>
        <w:rPr>
          <w:b/>
          <w:bCs/>
          <w:snapToGrid/>
          <w:szCs w:val="22"/>
          <w:lang w:val="lt-LT"/>
        </w:rPr>
      </w:pPr>
      <w:r>
        <w:rPr>
          <w:b/>
          <w:bCs/>
          <w:snapToGrid/>
          <w:szCs w:val="22"/>
          <w:lang w:val="lt-LT"/>
        </w:rPr>
        <w:t>6.6</w:t>
      </w:r>
      <w:r>
        <w:rPr>
          <w:b/>
          <w:bCs/>
          <w:snapToGrid/>
          <w:szCs w:val="22"/>
          <w:lang w:val="lt-LT"/>
        </w:rPr>
        <w:tab/>
        <w:t>Specialūs reikalavimai atliekoms tvarkyti</w:t>
      </w:r>
    </w:p>
    <w:p w14:paraId="1C916B1F" w14:textId="77777777" w:rsidR="00890384" w:rsidRDefault="00890384">
      <w:pPr>
        <w:widowControl w:val="0"/>
        <w:tabs>
          <w:tab w:val="clear" w:pos="567"/>
        </w:tabs>
        <w:autoSpaceDE w:val="0"/>
        <w:autoSpaceDN w:val="0"/>
        <w:spacing w:line="240" w:lineRule="auto"/>
        <w:rPr>
          <w:b/>
          <w:snapToGrid/>
          <w:szCs w:val="22"/>
          <w:lang w:val="lt-LT"/>
        </w:rPr>
      </w:pPr>
    </w:p>
    <w:p w14:paraId="11C753E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Specialių reikalavimų </w:t>
      </w:r>
      <w:r>
        <w:rPr>
          <w:szCs w:val="24"/>
          <w:lang w:val="lt-LT"/>
        </w:rPr>
        <w:t>atliekoms tvarkyti</w:t>
      </w:r>
      <w:r>
        <w:rPr>
          <w:snapToGrid/>
          <w:szCs w:val="22"/>
          <w:lang w:val="lt-LT"/>
        </w:rPr>
        <w:t xml:space="preserve"> nėra.</w:t>
      </w:r>
    </w:p>
    <w:p w14:paraId="26EAEEB5" w14:textId="77777777" w:rsidR="00890384" w:rsidRDefault="00890384">
      <w:pPr>
        <w:widowControl w:val="0"/>
        <w:tabs>
          <w:tab w:val="clear" w:pos="567"/>
        </w:tabs>
        <w:autoSpaceDE w:val="0"/>
        <w:autoSpaceDN w:val="0"/>
        <w:spacing w:line="240" w:lineRule="auto"/>
        <w:rPr>
          <w:snapToGrid/>
          <w:szCs w:val="22"/>
          <w:lang w:val="lt-LT"/>
        </w:rPr>
      </w:pPr>
    </w:p>
    <w:p w14:paraId="1DD4602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Nesuvartotą vaistinį preparatą ar atliekas reikia tvarkyti laikantis vietinių reikalavimų.</w:t>
      </w:r>
    </w:p>
    <w:p w14:paraId="7779C687" w14:textId="77777777" w:rsidR="00890384" w:rsidRDefault="00890384">
      <w:pPr>
        <w:widowControl w:val="0"/>
        <w:tabs>
          <w:tab w:val="clear" w:pos="567"/>
        </w:tabs>
        <w:autoSpaceDE w:val="0"/>
        <w:autoSpaceDN w:val="0"/>
        <w:spacing w:line="240" w:lineRule="auto"/>
        <w:rPr>
          <w:snapToGrid/>
          <w:szCs w:val="22"/>
          <w:lang w:val="lt-LT"/>
        </w:rPr>
      </w:pPr>
    </w:p>
    <w:p w14:paraId="15C22DBE" w14:textId="77777777" w:rsidR="00890384" w:rsidRDefault="00890384">
      <w:pPr>
        <w:widowControl w:val="0"/>
        <w:tabs>
          <w:tab w:val="clear" w:pos="567"/>
        </w:tabs>
        <w:autoSpaceDE w:val="0"/>
        <w:autoSpaceDN w:val="0"/>
        <w:spacing w:line="240" w:lineRule="auto"/>
        <w:rPr>
          <w:snapToGrid/>
          <w:szCs w:val="22"/>
          <w:lang w:val="lt-LT"/>
        </w:rPr>
      </w:pPr>
    </w:p>
    <w:p w14:paraId="55619FDF" w14:textId="77777777" w:rsidR="00890384" w:rsidRDefault="00B26795">
      <w:pPr>
        <w:widowControl w:val="0"/>
        <w:autoSpaceDE w:val="0"/>
        <w:autoSpaceDN w:val="0"/>
        <w:spacing w:line="240" w:lineRule="auto"/>
        <w:ind w:left="709" w:hanging="709"/>
        <w:outlineLvl w:val="0"/>
        <w:rPr>
          <w:b/>
          <w:bCs/>
          <w:snapToGrid/>
          <w:szCs w:val="22"/>
          <w:lang w:val="lt-LT"/>
        </w:rPr>
      </w:pPr>
      <w:r>
        <w:rPr>
          <w:b/>
          <w:bCs/>
          <w:snapToGrid/>
          <w:szCs w:val="22"/>
          <w:lang w:val="lt-LT"/>
        </w:rPr>
        <w:t>7</w:t>
      </w:r>
      <w:r>
        <w:rPr>
          <w:b/>
          <w:bCs/>
          <w:snapToGrid/>
          <w:szCs w:val="22"/>
          <w:lang w:val="lt-LT"/>
        </w:rPr>
        <w:tab/>
        <w:t>REGISTRUOTOJAS</w:t>
      </w:r>
    </w:p>
    <w:p w14:paraId="1D3F23A7" w14:textId="77777777" w:rsidR="00890384" w:rsidRDefault="00890384">
      <w:pPr>
        <w:widowControl w:val="0"/>
        <w:tabs>
          <w:tab w:val="clear" w:pos="567"/>
        </w:tabs>
        <w:autoSpaceDE w:val="0"/>
        <w:autoSpaceDN w:val="0"/>
        <w:spacing w:line="240" w:lineRule="auto"/>
        <w:rPr>
          <w:snapToGrid/>
          <w:szCs w:val="22"/>
          <w:lang w:val="lt-LT"/>
        </w:rPr>
      </w:pPr>
    </w:p>
    <w:p w14:paraId="1A4777E4" w14:textId="77777777" w:rsidR="00890384" w:rsidRDefault="00B26795">
      <w:pPr>
        <w:rPr>
          <w:snapToGrid/>
          <w:szCs w:val="22"/>
          <w:lang w:val="lt-LT"/>
        </w:rPr>
      </w:pPr>
      <w:r>
        <w:rPr>
          <w:snapToGrid/>
          <w:szCs w:val="22"/>
          <w:lang w:val="lt-LT"/>
        </w:rPr>
        <w:t>KRKA, d.d., Novo mesto, Šmarješka cesta 6, 8501 Novo mesto, Slovėnija</w:t>
      </w:r>
    </w:p>
    <w:p w14:paraId="42CF1E79" w14:textId="77777777" w:rsidR="00890384" w:rsidRDefault="00890384">
      <w:pPr>
        <w:widowControl w:val="0"/>
        <w:tabs>
          <w:tab w:val="clear" w:pos="567"/>
        </w:tabs>
        <w:autoSpaceDE w:val="0"/>
        <w:autoSpaceDN w:val="0"/>
        <w:spacing w:line="240" w:lineRule="auto"/>
        <w:rPr>
          <w:snapToGrid/>
          <w:szCs w:val="22"/>
          <w:lang w:val="lt-LT"/>
        </w:rPr>
      </w:pPr>
    </w:p>
    <w:p w14:paraId="1ED0EE16" w14:textId="77777777" w:rsidR="00890384" w:rsidRDefault="00890384">
      <w:pPr>
        <w:widowControl w:val="0"/>
        <w:tabs>
          <w:tab w:val="clear" w:pos="567"/>
        </w:tabs>
        <w:autoSpaceDE w:val="0"/>
        <w:autoSpaceDN w:val="0"/>
        <w:spacing w:line="240" w:lineRule="auto"/>
        <w:rPr>
          <w:snapToGrid/>
          <w:szCs w:val="22"/>
          <w:lang w:val="lt-LT"/>
        </w:rPr>
      </w:pPr>
    </w:p>
    <w:p w14:paraId="504A8B92" w14:textId="77777777" w:rsidR="00890384" w:rsidRDefault="00B26795">
      <w:pPr>
        <w:widowControl w:val="0"/>
        <w:autoSpaceDE w:val="0"/>
        <w:autoSpaceDN w:val="0"/>
        <w:spacing w:line="240" w:lineRule="auto"/>
        <w:ind w:left="709" w:hanging="709"/>
        <w:outlineLvl w:val="0"/>
        <w:rPr>
          <w:b/>
          <w:bCs/>
          <w:snapToGrid/>
          <w:szCs w:val="22"/>
          <w:lang w:val="lt-LT"/>
        </w:rPr>
      </w:pPr>
      <w:r>
        <w:rPr>
          <w:b/>
          <w:bCs/>
          <w:snapToGrid/>
          <w:szCs w:val="22"/>
          <w:lang w:val="lt-LT"/>
        </w:rPr>
        <w:t>8.</w:t>
      </w:r>
      <w:r>
        <w:rPr>
          <w:b/>
          <w:bCs/>
          <w:snapToGrid/>
          <w:szCs w:val="22"/>
          <w:lang w:val="lt-LT"/>
        </w:rPr>
        <w:tab/>
        <w:t>REGISTRACIJOS PAŽYMĖJIMO NUMERIS (-IAI)</w:t>
      </w:r>
    </w:p>
    <w:p w14:paraId="56D9481D" w14:textId="77777777" w:rsidR="00890384" w:rsidRDefault="00890384">
      <w:pPr>
        <w:widowControl w:val="0"/>
        <w:tabs>
          <w:tab w:val="clear" w:pos="567"/>
        </w:tabs>
        <w:autoSpaceDE w:val="0"/>
        <w:autoSpaceDN w:val="0"/>
        <w:spacing w:line="240" w:lineRule="auto"/>
        <w:rPr>
          <w:b/>
          <w:snapToGrid/>
          <w:szCs w:val="22"/>
          <w:lang w:val="lt-LT"/>
        </w:rPr>
      </w:pPr>
    </w:p>
    <w:p w14:paraId="68B065D6" w14:textId="77777777" w:rsidR="00890384" w:rsidRDefault="00B26795">
      <w:pPr>
        <w:pStyle w:val="Betarp1"/>
        <w:rPr>
          <w:rFonts w:ascii="Times New Roman" w:hAnsi="Times New Roman"/>
          <w:kern w:val="28"/>
        </w:rPr>
      </w:pPr>
      <w:r>
        <w:rPr>
          <w:rFonts w:ascii="Times New Roman" w:hAnsi="Times New Roman"/>
          <w:kern w:val="28"/>
        </w:rPr>
        <w:t>LT/1/21/4842/001 – N10</w:t>
      </w:r>
    </w:p>
    <w:p w14:paraId="523FB2C2" w14:textId="77777777" w:rsidR="00890384" w:rsidRDefault="00B26795">
      <w:pPr>
        <w:pStyle w:val="Betarp1"/>
        <w:rPr>
          <w:rFonts w:ascii="Times New Roman" w:hAnsi="Times New Roman"/>
          <w:kern w:val="28"/>
        </w:rPr>
      </w:pPr>
      <w:r>
        <w:rPr>
          <w:rFonts w:ascii="Times New Roman" w:hAnsi="Times New Roman"/>
          <w:kern w:val="28"/>
        </w:rPr>
        <w:t>LT/1/21/4842/002 – N14</w:t>
      </w:r>
    </w:p>
    <w:p w14:paraId="70B9AB85" w14:textId="77777777" w:rsidR="00890384" w:rsidRDefault="00B26795">
      <w:pPr>
        <w:pStyle w:val="Betarp1"/>
        <w:rPr>
          <w:rFonts w:ascii="Times New Roman" w:hAnsi="Times New Roman"/>
          <w:kern w:val="28"/>
        </w:rPr>
      </w:pPr>
      <w:r>
        <w:rPr>
          <w:rFonts w:ascii="Times New Roman" w:hAnsi="Times New Roman"/>
          <w:kern w:val="28"/>
        </w:rPr>
        <w:t>LT/1/21/4842/003 – N20</w:t>
      </w:r>
    </w:p>
    <w:p w14:paraId="1DF5EE80" w14:textId="77777777" w:rsidR="00890384" w:rsidRDefault="00B26795">
      <w:pPr>
        <w:pStyle w:val="Betarp1"/>
        <w:rPr>
          <w:rFonts w:ascii="Times New Roman" w:hAnsi="Times New Roman"/>
          <w:kern w:val="28"/>
        </w:rPr>
      </w:pPr>
      <w:r>
        <w:rPr>
          <w:rFonts w:ascii="Times New Roman" w:hAnsi="Times New Roman"/>
          <w:kern w:val="28"/>
        </w:rPr>
        <w:t>LT/1/21/4842/004 – N28</w:t>
      </w:r>
    </w:p>
    <w:p w14:paraId="7ECB6E9A" w14:textId="77777777" w:rsidR="00890384" w:rsidRDefault="00B26795">
      <w:pPr>
        <w:pStyle w:val="Betarp1"/>
        <w:rPr>
          <w:rFonts w:ascii="Times New Roman" w:hAnsi="Times New Roman"/>
          <w:kern w:val="28"/>
        </w:rPr>
      </w:pPr>
      <w:r>
        <w:rPr>
          <w:rFonts w:ascii="Times New Roman" w:hAnsi="Times New Roman"/>
          <w:kern w:val="28"/>
        </w:rPr>
        <w:t>LT/1/21/4842/005 – N56</w:t>
      </w:r>
    </w:p>
    <w:p w14:paraId="5D5EFC6F" w14:textId="77777777" w:rsidR="00890384" w:rsidRDefault="00B26795">
      <w:pPr>
        <w:pStyle w:val="Betarp1"/>
        <w:rPr>
          <w:rFonts w:ascii="Times New Roman" w:hAnsi="Times New Roman"/>
          <w:kern w:val="28"/>
        </w:rPr>
      </w:pPr>
      <w:r>
        <w:rPr>
          <w:rFonts w:ascii="Times New Roman" w:hAnsi="Times New Roman"/>
          <w:kern w:val="28"/>
        </w:rPr>
        <w:t>LT/1/21/4842/006 – N60</w:t>
      </w:r>
    </w:p>
    <w:p w14:paraId="20071D25" w14:textId="77777777" w:rsidR="00890384" w:rsidRDefault="00B26795">
      <w:pPr>
        <w:pStyle w:val="Betarp1"/>
        <w:rPr>
          <w:rFonts w:ascii="Times New Roman" w:hAnsi="Times New Roman"/>
          <w:kern w:val="28"/>
        </w:rPr>
      </w:pPr>
      <w:r>
        <w:rPr>
          <w:rFonts w:ascii="Times New Roman" w:hAnsi="Times New Roman"/>
          <w:kern w:val="28"/>
        </w:rPr>
        <w:t>LT/1/21/4842/007 – N100</w:t>
      </w:r>
    </w:p>
    <w:p w14:paraId="4BF5E0B8" w14:textId="77777777" w:rsidR="00890384" w:rsidRDefault="00B26795">
      <w:pPr>
        <w:pStyle w:val="Betarp1"/>
        <w:rPr>
          <w:rFonts w:ascii="Times New Roman" w:hAnsi="Times New Roman"/>
          <w:kern w:val="28"/>
        </w:rPr>
      </w:pPr>
      <w:r>
        <w:rPr>
          <w:rFonts w:ascii="Times New Roman" w:hAnsi="Times New Roman"/>
          <w:kern w:val="28"/>
        </w:rPr>
        <w:t>LT/1/21/4842/008 – N168</w:t>
      </w:r>
    </w:p>
    <w:p w14:paraId="32BAC93D" w14:textId="77777777" w:rsidR="00890384" w:rsidRDefault="00B26795">
      <w:pPr>
        <w:widowControl w:val="0"/>
        <w:tabs>
          <w:tab w:val="clear" w:pos="567"/>
        </w:tabs>
        <w:autoSpaceDE w:val="0"/>
        <w:autoSpaceDN w:val="0"/>
        <w:spacing w:line="240" w:lineRule="auto"/>
        <w:rPr>
          <w:b/>
          <w:snapToGrid/>
          <w:szCs w:val="22"/>
          <w:lang w:val="lt-LT"/>
        </w:rPr>
      </w:pPr>
      <w:r>
        <w:rPr>
          <w:kern w:val="28"/>
          <w:szCs w:val="22"/>
        </w:rPr>
        <w:t>LT/1/21/4842/009 – N200</w:t>
      </w:r>
    </w:p>
    <w:p w14:paraId="42C6ED32" w14:textId="77777777" w:rsidR="00890384" w:rsidRDefault="00890384">
      <w:pPr>
        <w:widowControl w:val="0"/>
        <w:tabs>
          <w:tab w:val="clear" w:pos="567"/>
        </w:tabs>
        <w:autoSpaceDE w:val="0"/>
        <w:autoSpaceDN w:val="0"/>
        <w:spacing w:line="240" w:lineRule="auto"/>
        <w:rPr>
          <w:b/>
          <w:snapToGrid/>
          <w:szCs w:val="22"/>
          <w:lang w:val="lt-LT"/>
        </w:rPr>
      </w:pPr>
    </w:p>
    <w:p w14:paraId="64866E4E" w14:textId="77777777" w:rsidR="00890384" w:rsidRDefault="00890384">
      <w:pPr>
        <w:widowControl w:val="0"/>
        <w:tabs>
          <w:tab w:val="clear" w:pos="567"/>
        </w:tabs>
        <w:autoSpaceDE w:val="0"/>
        <w:autoSpaceDN w:val="0"/>
        <w:spacing w:line="240" w:lineRule="auto"/>
        <w:rPr>
          <w:b/>
          <w:snapToGrid/>
          <w:szCs w:val="22"/>
          <w:lang w:val="lt-LT"/>
        </w:rPr>
      </w:pPr>
    </w:p>
    <w:p w14:paraId="144289B2" w14:textId="77777777" w:rsidR="00890384" w:rsidRDefault="00B26795">
      <w:pPr>
        <w:widowControl w:val="0"/>
        <w:autoSpaceDE w:val="0"/>
        <w:autoSpaceDN w:val="0"/>
        <w:spacing w:line="240" w:lineRule="auto"/>
        <w:ind w:left="567" w:hanging="567"/>
        <w:outlineLvl w:val="0"/>
        <w:rPr>
          <w:b/>
          <w:bCs/>
          <w:snapToGrid/>
          <w:szCs w:val="22"/>
          <w:lang w:val="lt-LT"/>
        </w:rPr>
      </w:pPr>
      <w:r>
        <w:rPr>
          <w:b/>
          <w:bCs/>
          <w:snapToGrid/>
          <w:szCs w:val="22"/>
          <w:lang w:val="lt-LT"/>
        </w:rPr>
        <w:t>9.</w:t>
      </w:r>
      <w:r>
        <w:rPr>
          <w:b/>
          <w:bCs/>
          <w:snapToGrid/>
          <w:szCs w:val="22"/>
          <w:lang w:val="lt-LT"/>
        </w:rPr>
        <w:tab/>
        <w:t>REGISTRAVIMO / PERREGISTRAVIMO DATA</w:t>
      </w:r>
    </w:p>
    <w:p w14:paraId="57A91F98" w14:textId="77777777" w:rsidR="00890384" w:rsidRDefault="00890384">
      <w:pPr>
        <w:widowControl w:val="0"/>
        <w:tabs>
          <w:tab w:val="clear" w:pos="567"/>
        </w:tabs>
        <w:autoSpaceDE w:val="0"/>
        <w:autoSpaceDN w:val="0"/>
        <w:spacing w:line="240" w:lineRule="auto"/>
        <w:rPr>
          <w:b/>
          <w:snapToGrid/>
          <w:szCs w:val="22"/>
          <w:lang w:val="lt-LT"/>
        </w:rPr>
      </w:pPr>
    </w:p>
    <w:p w14:paraId="0E2DF153" w14:textId="77777777" w:rsidR="00890384" w:rsidRDefault="00B26795">
      <w:pPr>
        <w:widowControl w:val="0"/>
        <w:tabs>
          <w:tab w:val="clear" w:pos="567"/>
        </w:tabs>
        <w:autoSpaceDE w:val="0"/>
        <w:autoSpaceDN w:val="0"/>
        <w:spacing w:line="240" w:lineRule="auto"/>
        <w:rPr>
          <w:szCs w:val="24"/>
          <w:lang w:val="lt-LT"/>
        </w:rPr>
      </w:pPr>
      <w:r>
        <w:rPr>
          <w:snapToGrid/>
          <w:szCs w:val="22"/>
          <w:lang w:val="lt-LT"/>
        </w:rPr>
        <w:t>Registravimo data 2021 m. spalio 26 d.</w:t>
      </w:r>
    </w:p>
    <w:p w14:paraId="138FAE3C" w14:textId="77777777" w:rsidR="00890384" w:rsidRDefault="00890384">
      <w:pPr>
        <w:widowControl w:val="0"/>
        <w:tabs>
          <w:tab w:val="clear" w:pos="567"/>
        </w:tabs>
        <w:autoSpaceDE w:val="0"/>
        <w:autoSpaceDN w:val="0"/>
        <w:spacing w:line="240" w:lineRule="auto"/>
        <w:rPr>
          <w:snapToGrid/>
          <w:szCs w:val="22"/>
          <w:lang w:val="lt-LT"/>
        </w:rPr>
      </w:pPr>
    </w:p>
    <w:p w14:paraId="0A1BE64D" w14:textId="77777777" w:rsidR="00890384" w:rsidRDefault="00890384">
      <w:pPr>
        <w:widowControl w:val="0"/>
        <w:tabs>
          <w:tab w:val="clear" w:pos="567"/>
        </w:tabs>
        <w:autoSpaceDE w:val="0"/>
        <w:autoSpaceDN w:val="0"/>
        <w:spacing w:line="240" w:lineRule="auto"/>
        <w:rPr>
          <w:snapToGrid/>
          <w:szCs w:val="22"/>
          <w:lang w:val="lt-LT"/>
        </w:rPr>
      </w:pPr>
    </w:p>
    <w:p w14:paraId="6B5EDBC8" w14:textId="77777777" w:rsidR="00890384" w:rsidRDefault="00B26795">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10.</w:t>
      </w:r>
      <w:r>
        <w:rPr>
          <w:b/>
          <w:bCs/>
          <w:snapToGrid/>
          <w:szCs w:val="22"/>
          <w:lang w:val="lt-LT"/>
        </w:rPr>
        <w:tab/>
        <w:t>TEKSTO PERŽIŪROS DATA</w:t>
      </w:r>
    </w:p>
    <w:p w14:paraId="31227042" w14:textId="77777777" w:rsidR="00890384" w:rsidRDefault="00890384">
      <w:pPr>
        <w:widowControl w:val="0"/>
        <w:tabs>
          <w:tab w:val="clear" w:pos="567"/>
        </w:tabs>
        <w:autoSpaceDE w:val="0"/>
        <w:autoSpaceDN w:val="0"/>
        <w:spacing w:line="240" w:lineRule="auto"/>
        <w:rPr>
          <w:b/>
          <w:snapToGrid/>
          <w:szCs w:val="22"/>
          <w:lang w:val="lt-LT"/>
        </w:rPr>
      </w:pPr>
    </w:p>
    <w:p w14:paraId="60BE590C" w14:textId="0FFF556B" w:rsidR="00890384" w:rsidRDefault="00B26795">
      <w:pPr>
        <w:widowControl w:val="0"/>
        <w:tabs>
          <w:tab w:val="clear" w:pos="567"/>
        </w:tabs>
        <w:autoSpaceDE w:val="0"/>
        <w:autoSpaceDN w:val="0"/>
        <w:spacing w:line="240" w:lineRule="auto"/>
        <w:rPr>
          <w:snapToGrid/>
          <w:szCs w:val="22"/>
          <w:lang w:val="lt-LT"/>
        </w:rPr>
      </w:pPr>
      <w:r>
        <w:rPr>
          <w:snapToGrid/>
          <w:szCs w:val="22"/>
          <w:lang w:val="lt-LT"/>
        </w:rPr>
        <w:t>2025 m.</w:t>
      </w:r>
      <w:r w:rsidR="005261E3">
        <w:rPr>
          <w:snapToGrid/>
          <w:szCs w:val="22"/>
          <w:lang w:val="lt-LT"/>
        </w:rPr>
        <w:t xml:space="preserve"> </w:t>
      </w:r>
      <w:r>
        <w:rPr>
          <w:snapToGrid/>
          <w:szCs w:val="22"/>
          <w:lang w:val="lt-LT"/>
        </w:rPr>
        <w:t>balandžio 3 d.</w:t>
      </w:r>
    </w:p>
    <w:p w14:paraId="3EB360D3" w14:textId="77777777" w:rsidR="005261E3" w:rsidRDefault="005261E3">
      <w:pPr>
        <w:widowControl w:val="0"/>
        <w:tabs>
          <w:tab w:val="clear" w:pos="567"/>
        </w:tabs>
        <w:autoSpaceDE w:val="0"/>
        <w:autoSpaceDN w:val="0"/>
        <w:spacing w:line="240" w:lineRule="auto"/>
        <w:rPr>
          <w:b/>
          <w:snapToGrid/>
          <w:szCs w:val="22"/>
          <w:lang w:val="lt-LT"/>
        </w:rPr>
      </w:pPr>
    </w:p>
    <w:p w14:paraId="016B1308" w14:textId="406D5288" w:rsidR="00890384" w:rsidRDefault="00B26795">
      <w:pPr>
        <w:widowControl w:val="0"/>
        <w:tabs>
          <w:tab w:val="clear" w:pos="567"/>
        </w:tabs>
        <w:autoSpaceDE w:val="0"/>
        <w:autoSpaceDN w:val="0"/>
        <w:spacing w:line="240" w:lineRule="auto"/>
        <w:rPr>
          <w:snapToGrid/>
          <w:szCs w:val="22"/>
          <w:lang w:val="lt-LT"/>
        </w:rPr>
      </w:pPr>
      <w:r>
        <w:rPr>
          <w:snapToGrid/>
          <w:szCs w:val="22"/>
          <w:lang w:val="lt-LT"/>
        </w:rPr>
        <w:t>Išsami informacija apie šį vaistinį preparatą pateikiama Valstybinės vaistų kontrolės tarnybos prie Lietuvos Respublikos sveikatos apsaugos ministerijos tinklalapyje</w:t>
      </w:r>
      <w:r>
        <w:rPr>
          <w:i/>
          <w:snapToGrid/>
          <w:szCs w:val="22"/>
          <w:lang w:val="lt-LT"/>
        </w:rPr>
        <w:t xml:space="preserve"> </w:t>
      </w:r>
      <w:r>
        <w:rPr>
          <w:snapToGrid/>
          <w:color w:val="0000EE"/>
          <w:szCs w:val="22"/>
          <w:u w:val="single"/>
          <w:lang w:val="lt-LT" w:eastAsia="lt-LT"/>
        </w:rPr>
        <w:t>https://vvkt.lrv.lt/lt/</w:t>
      </w:r>
    </w:p>
    <w:p w14:paraId="03C5BC14" w14:textId="77777777" w:rsidR="00890384" w:rsidRDefault="00890384">
      <w:pPr>
        <w:widowControl w:val="0"/>
        <w:tabs>
          <w:tab w:val="clear" w:pos="567"/>
        </w:tabs>
        <w:autoSpaceDE w:val="0"/>
        <w:autoSpaceDN w:val="0"/>
        <w:spacing w:line="240" w:lineRule="auto"/>
        <w:rPr>
          <w:snapToGrid/>
          <w:szCs w:val="22"/>
          <w:lang w:val="lt-LT"/>
        </w:rPr>
      </w:pPr>
    </w:p>
    <w:p w14:paraId="53CCF826" w14:textId="77777777" w:rsidR="00890384" w:rsidRDefault="00890384">
      <w:pPr>
        <w:widowControl w:val="0"/>
        <w:tabs>
          <w:tab w:val="clear" w:pos="567"/>
        </w:tabs>
        <w:autoSpaceDE w:val="0"/>
        <w:autoSpaceDN w:val="0"/>
        <w:spacing w:line="240" w:lineRule="auto"/>
        <w:rPr>
          <w:snapToGrid/>
          <w:szCs w:val="22"/>
          <w:lang w:val="lt-LT"/>
        </w:rPr>
        <w:sectPr w:rsidR="00890384">
          <w:headerReference w:type="even" r:id="rId8"/>
          <w:headerReference w:type="default" r:id="rId9"/>
          <w:footerReference w:type="even" r:id="rId10"/>
          <w:footerReference w:type="default" r:id="rId11"/>
          <w:headerReference w:type="first" r:id="rId12"/>
          <w:footerReference w:type="first" r:id="rId13"/>
          <w:pgSz w:w="11910" w:h="16840"/>
          <w:pgMar w:top="1040" w:right="920" w:bottom="900" w:left="1180" w:header="0" w:footer="634" w:gutter="0"/>
          <w:cols w:space="720"/>
        </w:sectPr>
      </w:pPr>
    </w:p>
    <w:p w14:paraId="7958A792" w14:textId="77777777" w:rsidR="00890384" w:rsidRDefault="00B26795">
      <w:pPr>
        <w:widowControl w:val="0"/>
        <w:autoSpaceDE w:val="0"/>
        <w:autoSpaceDN w:val="0"/>
        <w:spacing w:line="240" w:lineRule="auto"/>
        <w:outlineLvl w:val="0"/>
        <w:rPr>
          <w:b/>
          <w:bCs/>
          <w:snapToGrid/>
          <w:szCs w:val="22"/>
          <w:lang w:val="lt-LT"/>
        </w:rPr>
      </w:pPr>
      <w:r>
        <w:rPr>
          <w:b/>
          <w:bCs/>
          <w:snapToGrid/>
          <w:szCs w:val="22"/>
          <w:lang w:val="lt-LT"/>
        </w:rPr>
        <w:lastRenderedPageBreak/>
        <w:t>1.</w:t>
      </w:r>
      <w:r>
        <w:rPr>
          <w:b/>
          <w:bCs/>
          <w:snapToGrid/>
          <w:szCs w:val="22"/>
          <w:lang w:val="lt-LT"/>
        </w:rPr>
        <w:tab/>
        <w:t>VAISTINIO PREPARATO PAVADINIMAS</w:t>
      </w:r>
    </w:p>
    <w:p w14:paraId="59217DDB" w14:textId="77777777" w:rsidR="00890384" w:rsidRDefault="00890384">
      <w:pPr>
        <w:widowControl w:val="0"/>
        <w:tabs>
          <w:tab w:val="clear" w:pos="567"/>
        </w:tabs>
        <w:autoSpaceDE w:val="0"/>
        <w:autoSpaceDN w:val="0"/>
        <w:spacing w:line="240" w:lineRule="auto"/>
        <w:rPr>
          <w:b/>
          <w:snapToGrid/>
          <w:szCs w:val="22"/>
          <w:lang w:val="lt-LT"/>
        </w:rPr>
      </w:pPr>
    </w:p>
    <w:p w14:paraId="74E61119"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5 mg plėvele dengtos tabletės</w:t>
      </w:r>
    </w:p>
    <w:p w14:paraId="392AE46B" w14:textId="77777777" w:rsidR="00890384" w:rsidRDefault="00890384">
      <w:pPr>
        <w:widowControl w:val="0"/>
        <w:tabs>
          <w:tab w:val="clear" w:pos="567"/>
        </w:tabs>
        <w:autoSpaceDE w:val="0"/>
        <w:autoSpaceDN w:val="0"/>
        <w:spacing w:line="240" w:lineRule="auto"/>
        <w:rPr>
          <w:snapToGrid/>
          <w:szCs w:val="22"/>
          <w:lang w:val="lt-LT"/>
        </w:rPr>
      </w:pPr>
    </w:p>
    <w:p w14:paraId="3D89ABEC" w14:textId="77777777" w:rsidR="00890384" w:rsidRDefault="00890384">
      <w:pPr>
        <w:widowControl w:val="0"/>
        <w:tabs>
          <w:tab w:val="clear" w:pos="567"/>
        </w:tabs>
        <w:autoSpaceDE w:val="0"/>
        <w:autoSpaceDN w:val="0"/>
        <w:spacing w:line="240" w:lineRule="auto"/>
        <w:rPr>
          <w:snapToGrid/>
          <w:szCs w:val="22"/>
          <w:lang w:val="lt-LT"/>
        </w:rPr>
      </w:pPr>
    </w:p>
    <w:p w14:paraId="65954869" w14:textId="77777777" w:rsidR="00890384" w:rsidRDefault="00B26795">
      <w:pPr>
        <w:widowControl w:val="0"/>
        <w:autoSpaceDE w:val="0"/>
        <w:autoSpaceDN w:val="0"/>
        <w:spacing w:line="240" w:lineRule="auto"/>
        <w:outlineLvl w:val="0"/>
        <w:rPr>
          <w:b/>
          <w:bCs/>
          <w:snapToGrid/>
          <w:szCs w:val="22"/>
          <w:lang w:val="lt-LT"/>
        </w:rPr>
      </w:pPr>
      <w:r>
        <w:rPr>
          <w:b/>
          <w:bCs/>
          <w:snapToGrid/>
          <w:szCs w:val="22"/>
          <w:lang w:val="lt-LT"/>
        </w:rPr>
        <w:t>2.</w:t>
      </w:r>
      <w:r>
        <w:rPr>
          <w:b/>
          <w:bCs/>
          <w:snapToGrid/>
          <w:szCs w:val="22"/>
          <w:lang w:val="lt-LT"/>
        </w:rPr>
        <w:tab/>
        <w:t xml:space="preserve">KOKYBINĖ IR KIEKYBINĖ SUDĖTIS </w:t>
      </w:r>
    </w:p>
    <w:p w14:paraId="2B07CF85" w14:textId="77777777" w:rsidR="00890384" w:rsidRDefault="00890384">
      <w:pPr>
        <w:widowControl w:val="0"/>
        <w:tabs>
          <w:tab w:val="clear" w:pos="567"/>
          <w:tab w:val="left" w:pos="802"/>
          <w:tab w:val="left" w:pos="803"/>
        </w:tabs>
        <w:autoSpaceDE w:val="0"/>
        <w:autoSpaceDN w:val="0"/>
        <w:spacing w:line="240" w:lineRule="auto"/>
        <w:rPr>
          <w:snapToGrid/>
          <w:szCs w:val="22"/>
          <w:lang w:val="lt-LT"/>
        </w:rPr>
      </w:pPr>
    </w:p>
    <w:p w14:paraId="65B0DFF4" w14:textId="77777777" w:rsidR="00890384" w:rsidRDefault="00B26795">
      <w:pPr>
        <w:widowControl w:val="0"/>
        <w:tabs>
          <w:tab w:val="clear" w:pos="567"/>
          <w:tab w:val="left" w:pos="802"/>
          <w:tab w:val="left" w:pos="803"/>
        </w:tabs>
        <w:autoSpaceDE w:val="0"/>
        <w:autoSpaceDN w:val="0"/>
        <w:spacing w:line="240" w:lineRule="auto"/>
        <w:rPr>
          <w:snapToGrid/>
          <w:szCs w:val="22"/>
          <w:lang w:val="lt-LT"/>
        </w:rPr>
      </w:pPr>
      <w:r>
        <w:rPr>
          <w:snapToGrid/>
          <w:szCs w:val="22"/>
          <w:lang w:val="lt-LT"/>
        </w:rPr>
        <w:t xml:space="preserve">Kiekvienoje plėvele dengtoje tabletėje yra 5 mg apiksabano. </w:t>
      </w:r>
    </w:p>
    <w:p w14:paraId="4D8C8E26" w14:textId="77777777" w:rsidR="00890384" w:rsidRDefault="00890384">
      <w:pPr>
        <w:widowControl w:val="0"/>
        <w:tabs>
          <w:tab w:val="clear" w:pos="567"/>
          <w:tab w:val="left" w:pos="802"/>
          <w:tab w:val="left" w:pos="803"/>
        </w:tabs>
        <w:autoSpaceDE w:val="0"/>
        <w:autoSpaceDN w:val="0"/>
        <w:spacing w:line="240" w:lineRule="auto"/>
        <w:rPr>
          <w:snapToGrid/>
          <w:szCs w:val="22"/>
          <w:lang w:val="lt-LT"/>
        </w:rPr>
      </w:pPr>
    </w:p>
    <w:p w14:paraId="243620F9" w14:textId="77777777" w:rsidR="00890384" w:rsidRDefault="00B26795">
      <w:pPr>
        <w:widowControl w:val="0"/>
        <w:tabs>
          <w:tab w:val="clear" w:pos="567"/>
          <w:tab w:val="left" w:pos="802"/>
          <w:tab w:val="left" w:pos="803"/>
        </w:tabs>
        <w:autoSpaceDE w:val="0"/>
        <w:autoSpaceDN w:val="0"/>
        <w:spacing w:line="240" w:lineRule="auto"/>
        <w:rPr>
          <w:snapToGrid/>
          <w:szCs w:val="22"/>
          <w:lang w:val="lt-LT"/>
        </w:rPr>
      </w:pPr>
      <w:r>
        <w:rPr>
          <w:snapToGrid/>
          <w:szCs w:val="22"/>
          <w:u w:val="single"/>
          <w:lang w:val="lt-LT"/>
        </w:rPr>
        <w:t>Pagalbinė medžiaga, kurios poveikis žinomas</w:t>
      </w:r>
    </w:p>
    <w:p w14:paraId="4B9BA9C7" w14:textId="77777777" w:rsidR="00890384" w:rsidRDefault="00890384">
      <w:pPr>
        <w:widowControl w:val="0"/>
        <w:tabs>
          <w:tab w:val="clear" w:pos="567"/>
        </w:tabs>
        <w:autoSpaceDE w:val="0"/>
        <w:autoSpaceDN w:val="0"/>
        <w:spacing w:line="240" w:lineRule="auto"/>
        <w:rPr>
          <w:snapToGrid/>
          <w:szCs w:val="22"/>
          <w:lang w:val="lt-LT"/>
        </w:rPr>
      </w:pPr>
    </w:p>
    <w:p w14:paraId="2DCD0F6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Kiekvienoje plėvele dengtoje tabletėje yra 91 mg laktozės.</w:t>
      </w:r>
    </w:p>
    <w:p w14:paraId="2ED4FA00" w14:textId="77777777" w:rsidR="00890384" w:rsidRDefault="00890384">
      <w:pPr>
        <w:widowControl w:val="0"/>
        <w:tabs>
          <w:tab w:val="clear" w:pos="567"/>
        </w:tabs>
        <w:autoSpaceDE w:val="0"/>
        <w:autoSpaceDN w:val="0"/>
        <w:spacing w:line="240" w:lineRule="auto"/>
        <w:rPr>
          <w:snapToGrid/>
          <w:szCs w:val="22"/>
          <w:lang w:val="lt-LT"/>
        </w:rPr>
      </w:pPr>
    </w:p>
    <w:p w14:paraId="3B87971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Visos pagalbinės medžiagos išvardytos 6.1 skyriuje.</w:t>
      </w:r>
    </w:p>
    <w:p w14:paraId="5BBBEC99" w14:textId="77777777" w:rsidR="00890384" w:rsidRDefault="00890384">
      <w:pPr>
        <w:widowControl w:val="0"/>
        <w:tabs>
          <w:tab w:val="clear" w:pos="567"/>
        </w:tabs>
        <w:autoSpaceDE w:val="0"/>
        <w:autoSpaceDN w:val="0"/>
        <w:spacing w:line="240" w:lineRule="auto"/>
        <w:rPr>
          <w:snapToGrid/>
          <w:szCs w:val="22"/>
          <w:lang w:val="lt-LT"/>
        </w:rPr>
      </w:pPr>
    </w:p>
    <w:p w14:paraId="53709FF8" w14:textId="77777777" w:rsidR="00890384" w:rsidRDefault="00890384">
      <w:pPr>
        <w:widowControl w:val="0"/>
        <w:tabs>
          <w:tab w:val="clear" w:pos="567"/>
        </w:tabs>
        <w:autoSpaceDE w:val="0"/>
        <w:autoSpaceDN w:val="0"/>
        <w:spacing w:line="240" w:lineRule="auto"/>
        <w:rPr>
          <w:snapToGrid/>
          <w:szCs w:val="22"/>
          <w:lang w:val="lt-LT"/>
        </w:rPr>
      </w:pPr>
    </w:p>
    <w:p w14:paraId="22B5C6A3" w14:textId="77777777" w:rsidR="00890384" w:rsidRDefault="00B26795">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32921104" w14:textId="77777777" w:rsidR="00890384" w:rsidRDefault="00890384">
      <w:pPr>
        <w:widowControl w:val="0"/>
        <w:tabs>
          <w:tab w:val="clear" w:pos="567"/>
        </w:tabs>
        <w:spacing w:line="240" w:lineRule="auto"/>
        <w:rPr>
          <w:snapToGrid/>
          <w:szCs w:val="22"/>
          <w:highlight w:val="yellow"/>
          <w:lang w:val="lt-LT"/>
        </w:rPr>
      </w:pPr>
    </w:p>
    <w:p w14:paraId="28A389F7" w14:textId="77777777" w:rsidR="00890384" w:rsidRDefault="00B26795">
      <w:pPr>
        <w:widowControl w:val="0"/>
        <w:tabs>
          <w:tab w:val="clear" w:pos="567"/>
        </w:tabs>
        <w:spacing w:line="240" w:lineRule="auto"/>
        <w:rPr>
          <w:snapToGrid/>
          <w:szCs w:val="22"/>
          <w:lang w:val="lt-LT"/>
        </w:rPr>
      </w:pPr>
      <w:r>
        <w:rPr>
          <w:snapToGrid/>
          <w:szCs w:val="22"/>
          <w:lang w:val="lt-LT"/>
        </w:rPr>
        <w:t>Plėvele dengta tabletė (tabletė)</w:t>
      </w:r>
    </w:p>
    <w:p w14:paraId="24F09576" w14:textId="77777777" w:rsidR="00890384" w:rsidRDefault="00890384">
      <w:pPr>
        <w:widowControl w:val="0"/>
        <w:tabs>
          <w:tab w:val="clear" w:pos="567"/>
        </w:tabs>
        <w:spacing w:line="240" w:lineRule="auto"/>
        <w:rPr>
          <w:snapToGrid/>
          <w:szCs w:val="22"/>
          <w:lang w:val="lt-LT"/>
        </w:rPr>
      </w:pPr>
    </w:p>
    <w:p w14:paraId="3CA28358" w14:textId="77777777" w:rsidR="00890384" w:rsidRDefault="00B26795">
      <w:pPr>
        <w:widowControl w:val="0"/>
        <w:tabs>
          <w:tab w:val="clear" w:pos="567"/>
        </w:tabs>
        <w:spacing w:line="240" w:lineRule="auto"/>
        <w:rPr>
          <w:snapToGrid/>
          <w:szCs w:val="22"/>
          <w:lang w:val="lt-LT"/>
        </w:rPr>
      </w:pPr>
      <w:r>
        <w:rPr>
          <w:snapToGrid/>
          <w:szCs w:val="22"/>
          <w:lang w:val="lt-LT"/>
        </w:rPr>
        <w:t>Rusvai geltonos, ovalios abipus išgaubtos plėvele dengtos tabletės, vienoje pusėje yra žyma „5“.</w:t>
      </w:r>
    </w:p>
    <w:p w14:paraId="419598A4" w14:textId="77777777" w:rsidR="00890384" w:rsidRDefault="00B26795">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230DA4F8" w14:textId="77777777" w:rsidR="00890384" w:rsidRDefault="00890384">
      <w:pPr>
        <w:widowControl w:val="0"/>
        <w:tabs>
          <w:tab w:val="clear" w:pos="567"/>
        </w:tabs>
        <w:autoSpaceDE w:val="0"/>
        <w:autoSpaceDN w:val="0"/>
        <w:spacing w:line="240" w:lineRule="auto"/>
        <w:rPr>
          <w:snapToGrid/>
          <w:szCs w:val="22"/>
          <w:lang w:val="lt-LT"/>
        </w:rPr>
      </w:pPr>
    </w:p>
    <w:p w14:paraId="5D7E8C51" w14:textId="77777777" w:rsidR="00890384" w:rsidRDefault="00890384">
      <w:pPr>
        <w:widowControl w:val="0"/>
        <w:tabs>
          <w:tab w:val="clear" w:pos="567"/>
        </w:tabs>
        <w:autoSpaceDE w:val="0"/>
        <w:autoSpaceDN w:val="0"/>
        <w:spacing w:line="240" w:lineRule="auto"/>
        <w:rPr>
          <w:snapToGrid/>
          <w:szCs w:val="22"/>
          <w:lang w:val="lt-LT"/>
        </w:rPr>
      </w:pPr>
    </w:p>
    <w:p w14:paraId="5AD9F18A" w14:textId="77777777" w:rsidR="00890384" w:rsidRDefault="00B26795">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76142D78" w14:textId="77777777" w:rsidR="00890384" w:rsidRDefault="00890384">
      <w:pPr>
        <w:tabs>
          <w:tab w:val="left" w:pos="9214"/>
        </w:tabs>
        <w:spacing w:line="240" w:lineRule="auto"/>
        <w:ind w:right="282"/>
        <w:rPr>
          <w:szCs w:val="24"/>
          <w:lang w:val="lt-LT"/>
        </w:rPr>
      </w:pPr>
    </w:p>
    <w:p w14:paraId="7F215BD6" w14:textId="77777777" w:rsidR="00890384" w:rsidRDefault="00B26795">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3DCD1BB3" w14:textId="77777777" w:rsidR="00890384" w:rsidRDefault="00890384">
      <w:pPr>
        <w:widowControl w:val="0"/>
        <w:tabs>
          <w:tab w:val="clear" w:pos="567"/>
        </w:tabs>
        <w:autoSpaceDE w:val="0"/>
        <w:autoSpaceDN w:val="0"/>
        <w:spacing w:line="240" w:lineRule="auto"/>
        <w:rPr>
          <w:u w:val="single"/>
        </w:rPr>
      </w:pPr>
    </w:p>
    <w:p w14:paraId="00AC7EB8" w14:textId="77777777" w:rsidR="00890384" w:rsidRDefault="00B26795">
      <w:pPr>
        <w:widowControl w:val="0"/>
        <w:tabs>
          <w:tab w:val="clear" w:pos="567"/>
        </w:tabs>
        <w:autoSpaceDE w:val="0"/>
        <w:autoSpaceDN w:val="0"/>
        <w:spacing w:line="240" w:lineRule="auto"/>
        <w:rPr>
          <w:u w:val="single"/>
        </w:rPr>
      </w:pPr>
      <w:r>
        <w:rPr>
          <w:u w:val="single"/>
        </w:rPr>
        <w:t>Suaugusieji</w:t>
      </w:r>
    </w:p>
    <w:p w14:paraId="74860067" w14:textId="77777777" w:rsidR="00890384" w:rsidRDefault="00890384">
      <w:pPr>
        <w:widowControl w:val="0"/>
        <w:tabs>
          <w:tab w:val="clear" w:pos="567"/>
        </w:tabs>
        <w:autoSpaceDE w:val="0"/>
        <w:autoSpaceDN w:val="0"/>
        <w:spacing w:line="240" w:lineRule="auto"/>
        <w:rPr>
          <w:snapToGrid/>
          <w:szCs w:val="22"/>
          <w:lang w:val="lt-LT"/>
        </w:rPr>
      </w:pPr>
    </w:p>
    <w:p w14:paraId="53CA6C0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179F0A42" w14:textId="77777777" w:rsidR="00890384" w:rsidRDefault="00890384">
      <w:pPr>
        <w:widowControl w:val="0"/>
        <w:tabs>
          <w:tab w:val="clear" w:pos="567"/>
        </w:tabs>
        <w:autoSpaceDE w:val="0"/>
        <w:autoSpaceDN w:val="0"/>
        <w:spacing w:line="240" w:lineRule="auto"/>
        <w:rPr>
          <w:snapToGrid/>
          <w:szCs w:val="22"/>
          <w:lang w:val="lt-LT"/>
        </w:rPr>
      </w:pPr>
    </w:p>
    <w:p w14:paraId="4B5944E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Giliųjų venų trombozės (GVT) bei plaučių embolijos (PE) gydymas ir pasikartojančios GVT ir PE profilaktika suaugusiems pacientams (apie PE sergančius pacientus, kurių nestabili hemodinamika, žr. 4.4 skyriuje.)</w:t>
      </w:r>
    </w:p>
    <w:p w14:paraId="3AB5B507" w14:textId="77777777" w:rsidR="00890384" w:rsidRDefault="00890384">
      <w:pPr>
        <w:widowControl w:val="0"/>
        <w:tabs>
          <w:tab w:val="clear" w:pos="567"/>
        </w:tabs>
        <w:autoSpaceDE w:val="0"/>
        <w:autoSpaceDN w:val="0"/>
        <w:spacing w:line="240" w:lineRule="auto"/>
        <w:rPr>
          <w:u w:val="single"/>
        </w:rPr>
      </w:pPr>
    </w:p>
    <w:p w14:paraId="67EE9639" w14:textId="77777777" w:rsidR="00890384" w:rsidRDefault="00B26795">
      <w:pPr>
        <w:widowControl w:val="0"/>
        <w:tabs>
          <w:tab w:val="clear" w:pos="567"/>
        </w:tabs>
        <w:autoSpaceDE w:val="0"/>
        <w:autoSpaceDN w:val="0"/>
        <w:spacing w:line="240" w:lineRule="auto"/>
        <w:rPr>
          <w:u w:val="single"/>
        </w:rPr>
      </w:pPr>
      <w:r>
        <w:rPr>
          <w:u w:val="single"/>
        </w:rPr>
        <w:t>Vaikų populiacija</w:t>
      </w:r>
    </w:p>
    <w:p w14:paraId="4705E9E4" w14:textId="77777777" w:rsidR="00890384" w:rsidRDefault="00890384">
      <w:pPr>
        <w:widowControl w:val="0"/>
        <w:tabs>
          <w:tab w:val="clear" w:pos="567"/>
        </w:tabs>
        <w:autoSpaceDE w:val="0"/>
        <w:autoSpaceDN w:val="0"/>
        <w:spacing w:line="240" w:lineRule="auto"/>
      </w:pPr>
    </w:p>
    <w:p w14:paraId="48EA99DB" w14:textId="5F6C667F" w:rsidR="00890384" w:rsidRDefault="00B26795">
      <w:pPr>
        <w:widowControl w:val="0"/>
        <w:tabs>
          <w:tab w:val="clear" w:pos="567"/>
        </w:tabs>
        <w:autoSpaceDE w:val="0"/>
        <w:autoSpaceDN w:val="0"/>
        <w:spacing w:line="240" w:lineRule="auto"/>
      </w:pPr>
      <w:r>
        <w:t>Venų tromboembolijos (VTE) gydymas ir VTE pasikartojimo profilaktika pacientams vaikams nuo 28 dienų iki 18 metų.</w:t>
      </w:r>
    </w:p>
    <w:p w14:paraId="6B1D5214" w14:textId="77777777" w:rsidR="00890384" w:rsidRDefault="00890384">
      <w:pPr>
        <w:widowControl w:val="0"/>
        <w:tabs>
          <w:tab w:val="clear" w:pos="567"/>
        </w:tabs>
        <w:autoSpaceDE w:val="0"/>
        <w:autoSpaceDN w:val="0"/>
        <w:spacing w:line="240" w:lineRule="auto"/>
        <w:rPr>
          <w:snapToGrid/>
          <w:szCs w:val="22"/>
          <w:lang w:val="lt-LT"/>
        </w:rPr>
      </w:pPr>
    </w:p>
    <w:p w14:paraId="5EE2BC34" w14:textId="77777777" w:rsidR="00890384" w:rsidRDefault="00B26795">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3B5B094F" w14:textId="77777777" w:rsidR="00890384" w:rsidRDefault="00890384">
      <w:pPr>
        <w:widowControl w:val="0"/>
        <w:tabs>
          <w:tab w:val="clear" w:pos="567"/>
        </w:tabs>
        <w:autoSpaceDE w:val="0"/>
        <w:autoSpaceDN w:val="0"/>
        <w:spacing w:line="240" w:lineRule="auto"/>
        <w:rPr>
          <w:b/>
          <w:snapToGrid/>
          <w:szCs w:val="22"/>
          <w:lang w:val="lt-LT"/>
        </w:rPr>
      </w:pPr>
    </w:p>
    <w:p w14:paraId="2E80DD30"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Dozavimas</w:t>
      </w:r>
    </w:p>
    <w:p w14:paraId="20B24AD6" w14:textId="77777777" w:rsidR="00890384" w:rsidRDefault="00890384">
      <w:pPr>
        <w:widowControl w:val="0"/>
        <w:tabs>
          <w:tab w:val="clear" w:pos="567"/>
        </w:tabs>
        <w:autoSpaceDE w:val="0"/>
        <w:autoSpaceDN w:val="0"/>
        <w:spacing w:line="240" w:lineRule="auto"/>
        <w:rPr>
          <w:i/>
          <w:snapToGrid/>
          <w:szCs w:val="22"/>
          <w:u w:val="single"/>
          <w:lang w:val="lt-LT"/>
        </w:rPr>
      </w:pPr>
    </w:p>
    <w:p w14:paraId="72EDC9C2"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Insulto ir sisteminės embolijos profilaktika suaugusiems pacientams, kuriems pasireiškia su vožtuvais nesusijęs</w:t>
      </w:r>
      <w:r>
        <w:rPr>
          <w:i/>
          <w:snapToGrid/>
          <w:szCs w:val="22"/>
          <w:lang w:val="lt-LT"/>
        </w:rPr>
        <w:t xml:space="preserve"> </w:t>
      </w:r>
      <w:r>
        <w:rPr>
          <w:i/>
          <w:snapToGrid/>
          <w:szCs w:val="22"/>
          <w:u w:val="single"/>
          <w:lang w:val="lt-LT"/>
        </w:rPr>
        <w:t>prieširdžių virpėjimas (VNPV)</w:t>
      </w:r>
    </w:p>
    <w:p w14:paraId="2762056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apiksabano dozė yra 5 mg, vartojama per burną du kartus per parą.</w:t>
      </w:r>
    </w:p>
    <w:p w14:paraId="7675DF83" w14:textId="77777777" w:rsidR="00890384" w:rsidRDefault="00890384">
      <w:pPr>
        <w:widowControl w:val="0"/>
        <w:tabs>
          <w:tab w:val="clear" w:pos="567"/>
        </w:tabs>
        <w:autoSpaceDE w:val="0"/>
        <w:autoSpaceDN w:val="0"/>
        <w:spacing w:line="240" w:lineRule="auto"/>
        <w:rPr>
          <w:snapToGrid/>
          <w:szCs w:val="22"/>
          <w:lang w:val="lt-LT"/>
        </w:rPr>
      </w:pPr>
    </w:p>
    <w:p w14:paraId="230C8D0B"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Dozės mažinimas</w:t>
      </w:r>
    </w:p>
    <w:p w14:paraId="338B9A9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apiksabano dozė yra 2,5 mg, vartojama per burną du kartus per parą pacientams, kuriems yra VNPV ir bent dvi iš toliau išvardytų savybių: amžius ≥ 80 metų, kūno svoris ≤ 60 kg arba kreatinino koncentracija kraujo serume ≥ 1,5 mg/dl (133 mikromoliai/l).</w:t>
      </w:r>
    </w:p>
    <w:p w14:paraId="0DB56FAA" w14:textId="77777777" w:rsidR="00890384" w:rsidRDefault="00890384">
      <w:pPr>
        <w:widowControl w:val="0"/>
        <w:tabs>
          <w:tab w:val="clear" w:pos="567"/>
        </w:tabs>
        <w:autoSpaceDE w:val="0"/>
        <w:autoSpaceDN w:val="0"/>
        <w:spacing w:line="240" w:lineRule="auto"/>
        <w:rPr>
          <w:snapToGrid/>
          <w:szCs w:val="22"/>
          <w:lang w:val="lt-LT"/>
        </w:rPr>
      </w:pPr>
    </w:p>
    <w:p w14:paraId="04898F1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Gydymas turi būti tęsiamas ilgą laiką.</w:t>
      </w:r>
    </w:p>
    <w:p w14:paraId="2C4275DD" w14:textId="77777777" w:rsidR="00890384" w:rsidRDefault="00890384">
      <w:pPr>
        <w:widowControl w:val="0"/>
        <w:tabs>
          <w:tab w:val="clear" w:pos="567"/>
        </w:tabs>
        <w:autoSpaceDE w:val="0"/>
        <w:autoSpaceDN w:val="0"/>
        <w:spacing w:line="240" w:lineRule="auto"/>
        <w:rPr>
          <w:snapToGrid/>
          <w:szCs w:val="22"/>
          <w:lang w:val="lt-LT"/>
        </w:rPr>
      </w:pPr>
    </w:p>
    <w:p w14:paraId="0CB06E57" w14:textId="1E676F55"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lastRenderedPageBreak/>
        <w:t>GVT gydymas, PE gydymas ir pasikartojančios GVT bei PE profilaktika (VTEt) suaugusie</w:t>
      </w:r>
      <w:r w:rsidR="00A33953">
        <w:rPr>
          <w:i/>
          <w:snapToGrid/>
          <w:szCs w:val="22"/>
          <w:u w:val="single"/>
          <w:lang w:val="lt-LT"/>
        </w:rPr>
        <w:t>sie</w:t>
      </w:r>
      <w:r>
        <w:rPr>
          <w:i/>
          <w:snapToGrid/>
          <w:szCs w:val="22"/>
          <w:u w:val="single"/>
          <w:lang w:val="lt-LT"/>
        </w:rPr>
        <w:t>ms</w:t>
      </w:r>
    </w:p>
    <w:p w14:paraId="6785A4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Gydant ūminę GVT ir gydant PE, pirmąsias 7 paras rekomenduojama apiksabano dozė yra 10 mg, vartojama per burną du kartus per parą, po to skiriama 5 mg dozė, vartojama per burną du kartus per parą. Pagal esamas medicinines rekomendacijas, trumpalaikis gydymas (mažiausiai 3 mėn. trukmės) turi būti skiriamas atsižvelgiant į esamus laikinus rizikos veiksnius (pvz., po neseniai atliktos operacijos, patirtos traumos, imobilizacijos).</w:t>
      </w:r>
    </w:p>
    <w:p w14:paraId="0D14B6BF" w14:textId="77777777" w:rsidR="00890384" w:rsidRDefault="00890384">
      <w:pPr>
        <w:widowControl w:val="0"/>
        <w:tabs>
          <w:tab w:val="clear" w:pos="567"/>
        </w:tabs>
        <w:autoSpaceDE w:val="0"/>
        <w:autoSpaceDN w:val="0"/>
        <w:spacing w:line="240" w:lineRule="auto"/>
        <w:rPr>
          <w:snapToGrid/>
          <w:szCs w:val="22"/>
          <w:lang w:val="lt-LT"/>
        </w:rPr>
      </w:pPr>
    </w:p>
    <w:p w14:paraId="6EB37C0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76A9ECAF" w14:textId="77777777" w:rsidR="00890384" w:rsidRDefault="00890384">
      <w:pPr>
        <w:widowControl w:val="0"/>
        <w:tabs>
          <w:tab w:val="clear" w:pos="567"/>
        </w:tabs>
        <w:autoSpaceDE w:val="0"/>
        <w:autoSpaceDN w:val="0"/>
        <w:spacing w:line="240" w:lineRule="auto"/>
        <w:rPr>
          <w:snapToGrid/>
          <w:szCs w:val="22"/>
          <w:lang w:val="lt-LT"/>
        </w:rPr>
      </w:pPr>
    </w:p>
    <w:p w14:paraId="6FE9F52D" w14:textId="77777777" w:rsidR="00890384" w:rsidRDefault="00B26795">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890384" w14:paraId="2127E62D" w14:textId="77777777">
        <w:trPr>
          <w:trHeight w:val="412"/>
        </w:trPr>
        <w:tc>
          <w:tcPr>
            <w:tcW w:w="3312" w:type="dxa"/>
          </w:tcPr>
          <w:p w14:paraId="7D6FA612" w14:textId="77777777" w:rsidR="00890384" w:rsidRDefault="00890384">
            <w:pPr>
              <w:widowControl w:val="0"/>
              <w:tabs>
                <w:tab w:val="clear" w:pos="567"/>
              </w:tabs>
              <w:autoSpaceDE w:val="0"/>
              <w:autoSpaceDN w:val="0"/>
              <w:spacing w:line="240" w:lineRule="auto"/>
              <w:rPr>
                <w:snapToGrid/>
                <w:szCs w:val="22"/>
                <w:lang w:val="lt-LT"/>
              </w:rPr>
            </w:pPr>
          </w:p>
        </w:tc>
        <w:tc>
          <w:tcPr>
            <w:tcW w:w="3600" w:type="dxa"/>
          </w:tcPr>
          <w:p w14:paraId="3F4301F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Dozavimo planas</w:t>
            </w:r>
          </w:p>
        </w:tc>
        <w:tc>
          <w:tcPr>
            <w:tcW w:w="2376" w:type="dxa"/>
          </w:tcPr>
          <w:p w14:paraId="08AE48B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Didžiausia paros dozė</w:t>
            </w:r>
          </w:p>
        </w:tc>
      </w:tr>
      <w:tr w:rsidR="00890384" w14:paraId="0E60C042" w14:textId="77777777">
        <w:trPr>
          <w:trHeight w:val="506"/>
        </w:trPr>
        <w:tc>
          <w:tcPr>
            <w:tcW w:w="3312" w:type="dxa"/>
            <w:vMerge w:val="restart"/>
          </w:tcPr>
          <w:p w14:paraId="12B61C7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GVT arba PE gydymas</w:t>
            </w:r>
          </w:p>
        </w:tc>
        <w:tc>
          <w:tcPr>
            <w:tcW w:w="3600" w:type="dxa"/>
          </w:tcPr>
          <w:p w14:paraId="6F6E21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pirmąsias 7 paras – po 10 mg du kartus per parą</w:t>
            </w:r>
          </w:p>
        </w:tc>
        <w:tc>
          <w:tcPr>
            <w:tcW w:w="2376" w:type="dxa"/>
          </w:tcPr>
          <w:p w14:paraId="6F1832C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20 mg</w:t>
            </w:r>
          </w:p>
        </w:tc>
      </w:tr>
      <w:tr w:rsidR="00890384" w14:paraId="4CA176E9" w14:textId="77777777">
        <w:trPr>
          <w:trHeight w:val="429"/>
        </w:trPr>
        <w:tc>
          <w:tcPr>
            <w:tcW w:w="3312" w:type="dxa"/>
            <w:vMerge/>
            <w:tcBorders>
              <w:top w:val="nil"/>
            </w:tcBorders>
          </w:tcPr>
          <w:p w14:paraId="30BC4DDD" w14:textId="77777777" w:rsidR="00890384" w:rsidRDefault="00890384">
            <w:pPr>
              <w:widowControl w:val="0"/>
              <w:tabs>
                <w:tab w:val="clear" w:pos="567"/>
              </w:tabs>
              <w:autoSpaceDE w:val="0"/>
              <w:autoSpaceDN w:val="0"/>
              <w:spacing w:line="240" w:lineRule="auto"/>
              <w:rPr>
                <w:snapToGrid/>
                <w:szCs w:val="22"/>
                <w:lang w:val="lt-LT"/>
              </w:rPr>
            </w:pPr>
          </w:p>
        </w:tc>
        <w:tc>
          <w:tcPr>
            <w:tcW w:w="3600" w:type="dxa"/>
          </w:tcPr>
          <w:p w14:paraId="4303DF5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vėliau – po 5 mg du kartus per parą</w:t>
            </w:r>
          </w:p>
        </w:tc>
        <w:tc>
          <w:tcPr>
            <w:tcW w:w="2376" w:type="dxa"/>
          </w:tcPr>
          <w:p w14:paraId="069CE8F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10 mg</w:t>
            </w:r>
          </w:p>
        </w:tc>
      </w:tr>
      <w:tr w:rsidR="00890384" w14:paraId="3E89AFD7" w14:textId="77777777">
        <w:trPr>
          <w:trHeight w:val="757"/>
        </w:trPr>
        <w:tc>
          <w:tcPr>
            <w:tcW w:w="3312" w:type="dxa"/>
          </w:tcPr>
          <w:p w14:paraId="695BB12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Pasikartojančios GVT ir (arba) PE profilaktika po 6 mėn. trukmės GVT ar PE gydymo kurso</w:t>
            </w:r>
          </w:p>
        </w:tc>
        <w:tc>
          <w:tcPr>
            <w:tcW w:w="3600" w:type="dxa"/>
          </w:tcPr>
          <w:p w14:paraId="7DA8A75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po 2,5 mg du kartus per parą</w:t>
            </w:r>
          </w:p>
        </w:tc>
        <w:tc>
          <w:tcPr>
            <w:tcW w:w="2376" w:type="dxa"/>
          </w:tcPr>
          <w:p w14:paraId="4A29BEC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5 mg</w:t>
            </w:r>
          </w:p>
        </w:tc>
      </w:tr>
    </w:tbl>
    <w:p w14:paraId="432B9E20" w14:textId="77777777" w:rsidR="00890384" w:rsidRDefault="00890384">
      <w:pPr>
        <w:widowControl w:val="0"/>
        <w:tabs>
          <w:tab w:val="clear" w:pos="567"/>
        </w:tabs>
        <w:autoSpaceDE w:val="0"/>
        <w:autoSpaceDN w:val="0"/>
        <w:spacing w:line="240" w:lineRule="auto"/>
        <w:rPr>
          <w:b/>
          <w:snapToGrid/>
          <w:szCs w:val="22"/>
          <w:lang w:val="lt-LT"/>
        </w:rPr>
      </w:pPr>
    </w:p>
    <w:p w14:paraId="7B5E155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Viso gydymo trukmė turi būti parenkama individualiai, atidžiai įvertinus gydymo naudos ir kraujavimo rizikos santykį (žr. 4.4 skyrių).</w:t>
      </w:r>
    </w:p>
    <w:p w14:paraId="636614D4" w14:textId="77777777" w:rsidR="00890384" w:rsidRDefault="00890384">
      <w:pPr>
        <w:widowControl w:val="0"/>
        <w:tabs>
          <w:tab w:val="clear" w:pos="567"/>
        </w:tabs>
        <w:autoSpaceDE w:val="0"/>
        <w:autoSpaceDN w:val="0"/>
        <w:spacing w:line="240" w:lineRule="auto"/>
        <w:rPr>
          <w:i/>
          <w:iCs/>
        </w:rPr>
      </w:pPr>
    </w:p>
    <w:p w14:paraId="5E3A0206" w14:textId="77777777" w:rsidR="00890384" w:rsidRDefault="00B26795">
      <w:pPr>
        <w:widowControl w:val="0"/>
        <w:tabs>
          <w:tab w:val="clear" w:pos="567"/>
        </w:tabs>
        <w:autoSpaceDE w:val="0"/>
        <w:autoSpaceDN w:val="0"/>
        <w:spacing w:line="240" w:lineRule="auto"/>
        <w:rPr>
          <w:i/>
          <w:iCs/>
        </w:rPr>
      </w:pPr>
      <w:r>
        <w:rPr>
          <w:i/>
          <w:iCs/>
        </w:rPr>
        <w:t>VTE gydymas ir VTE pasikartojimo profilaktika pacientams vaikams</w:t>
      </w:r>
    </w:p>
    <w:p w14:paraId="726C876E" w14:textId="5CA4F54B" w:rsidR="00890384" w:rsidRDefault="00B26795">
      <w:pPr>
        <w:widowControl w:val="0"/>
        <w:tabs>
          <w:tab w:val="clear" w:pos="567"/>
        </w:tabs>
        <w:autoSpaceDE w:val="0"/>
        <w:autoSpaceDN w:val="0"/>
        <w:spacing w:line="240" w:lineRule="auto"/>
      </w:pPr>
      <w:r>
        <w:t>Vaik</w:t>
      </w:r>
      <w:r w:rsidR="00A33953">
        <w:t>ams</w:t>
      </w:r>
      <w:r>
        <w:t xml:space="preserve"> nuo 28 dienų iki mažiau kaip 18 metų, gydymą apiksabanu reikia pradėti po mažiausiai 5 dienų trukmės pradinės parenterinės antikoaguliantų terapijos (žr. 5.1 skyrių).</w:t>
      </w:r>
    </w:p>
    <w:p w14:paraId="48946C57" w14:textId="77777777" w:rsidR="00890384" w:rsidRDefault="00890384">
      <w:pPr>
        <w:widowControl w:val="0"/>
        <w:tabs>
          <w:tab w:val="clear" w:pos="567"/>
        </w:tabs>
        <w:autoSpaceDE w:val="0"/>
        <w:autoSpaceDN w:val="0"/>
        <w:spacing w:line="240" w:lineRule="auto"/>
      </w:pPr>
    </w:p>
    <w:p w14:paraId="010D164F" w14:textId="3F63324F" w:rsidR="00890384" w:rsidRDefault="00B26795">
      <w:pPr>
        <w:widowControl w:val="0"/>
        <w:tabs>
          <w:tab w:val="clear" w:pos="567"/>
        </w:tabs>
        <w:autoSpaceDE w:val="0"/>
        <w:autoSpaceDN w:val="0"/>
        <w:spacing w:line="240" w:lineRule="auto"/>
      </w:pPr>
      <w:r>
        <w:t>Gydant apiksabanu vaikus, dozė parenkama pagal kūno masės kategoriją. Rekomenduojama apiksabano dozė vaikams, kurių kūno masė ≥</w:t>
      </w:r>
      <w:r w:rsidR="00A33953">
        <w:t> </w:t>
      </w:r>
      <w:r>
        <w:t>35 kg, pateikta 2 lentelėje.</w:t>
      </w:r>
    </w:p>
    <w:p w14:paraId="6E1D79DC" w14:textId="77777777" w:rsidR="00890384" w:rsidRDefault="00890384">
      <w:pPr>
        <w:widowControl w:val="0"/>
        <w:tabs>
          <w:tab w:val="clear" w:pos="567"/>
        </w:tabs>
        <w:autoSpaceDE w:val="0"/>
        <w:autoSpaceDN w:val="0"/>
        <w:spacing w:line="240" w:lineRule="auto"/>
        <w:rPr>
          <w:b/>
          <w:bCs/>
        </w:rPr>
      </w:pPr>
    </w:p>
    <w:p w14:paraId="7BD8F0B8" w14:textId="5B8DE866" w:rsidR="00890384" w:rsidRDefault="00B26795">
      <w:pPr>
        <w:widowControl w:val="0"/>
        <w:tabs>
          <w:tab w:val="clear" w:pos="567"/>
        </w:tabs>
        <w:autoSpaceDE w:val="0"/>
        <w:autoSpaceDN w:val="0"/>
        <w:spacing w:line="240" w:lineRule="auto"/>
        <w:rPr>
          <w:b/>
          <w:bCs/>
          <w:snapToGrid/>
          <w:szCs w:val="22"/>
          <w:lang w:val="lt-LT"/>
        </w:rPr>
      </w:pPr>
      <w:r>
        <w:rPr>
          <w:b/>
          <w:bCs/>
        </w:rPr>
        <w:t>2 lentelė. Dozės rekomendacijos VTE gydymui ir VTE pasikartojimo profilaktikai pacientams vaikams, kurių kūno masė ≥</w:t>
      </w:r>
      <w:r w:rsidR="00A33953">
        <w:rPr>
          <w:b/>
          <w:bCs/>
        </w:rPr>
        <w:t> </w:t>
      </w:r>
      <w:r>
        <w:rPr>
          <w:b/>
          <w:bCs/>
        </w:rPr>
        <w:t>35 kg</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6"/>
        <w:gridCol w:w="1950"/>
        <w:gridCol w:w="1754"/>
        <w:gridCol w:w="1875"/>
        <w:gridCol w:w="1754"/>
      </w:tblGrid>
      <w:tr w:rsidR="00890384" w14:paraId="637920DA" w14:textId="77777777">
        <w:trPr>
          <w:trHeight w:val="307"/>
        </w:trPr>
        <w:tc>
          <w:tcPr>
            <w:tcW w:w="1726" w:type="dxa"/>
          </w:tcPr>
          <w:p w14:paraId="4C97BBB4" w14:textId="77777777" w:rsidR="00890384" w:rsidRDefault="00890384">
            <w:pPr>
              <w:widowControl w:val="0"/>
              <w:tabs>
                <w:tab w:val="clear" w:pos="567"/>
              </w:tabs>
              <w:spacing w:line="240" w:lineRule="auto"/>
              <w:jc w:val="both"/>
              <w:rPr>
                <w:iCs/>
                <w:snapToGrid/>
                <w:szCs w:val="22"/>
                <w:lang w:val="en-US" w:eastAsia="sl-SI"/>
              </w:rPr>
            </w:pPr>
          </w:p>
        </w:tc>
        <w:tc>
          <w:tcPr>
            <w:tcW w:w="3704" w:type="dxa"/>
            <w:gridSpan w:val="2"/>
          </w:tcPr>
          <w:p w14:paraId="7408C1C7"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1-7 dienos</w:t>
            </w:r>
          </w:p>
        </w:tc>
        <w:tc>
          <w:tcPr>
            <w:tcW w:w="3629" w:type="dxa"/>
            <w:gridSpan w:val="2"/>
          </w:tcPr>
          <w:p w14:paraId="0EFEE3E2"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8 diena ir vėliau</w:t>
            </w:r>
          </w:p>
        </w:tc>
      </w:tr>
      <w:tr w:rsidR="00890384" w14:paraId="64C450BE" w14:textId="77777777">
        <w:trPr>
          <w:trHeight w:val="562"/>
        </w:trPr>
        <w:tc>
          <w:tcPr>
            <w:tcW w:w="1726" w:type="dxa"/>
          </w:tcPr>
          <w:p w14:paraId="38EE3D89"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Kūno masė (kg)</w:t>
            </w:r>
          </w:p>
        </w:tc>
        <w:tc>
          <w:tcPr>
            <w:tcW w:w="1950" w:type="dxa"/>
          </w:tcPr>
          <w:p w14:paraId="26BB91A7"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Dozavimo grafikas</w:t>
            </w:r>
          </w:p>
        </w:tc>
        <w:tc>
          <w:tcPr>
            <w:tcW w:w="1754" w:type="dxa"/>
          </w:tcPr>
          <w:p w14:paraId="04CF8831"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Didžiausia paros dozė</w:t>
            </w:r>
          </w:p>
        </w:tc>
        <w:tc>
          <w:tcPr>
            <w:tcW w:w="1875" w:type="dxa"/>
          </w:tcPr>
          <w:p w14:paraId="28A86F15"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Dozavimo grafikas</w:t>
            </w:r>
          </w:p>
        </w:tc>
        <w:tc>
          <w:tcPr>
            <w:tcW w:w="1754" w:type="dxa"/>
          </w:tcPr>
          <w:p w14:paraId="60BA43B5"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Didžiausia paros dozė</w:t>
            </w:r>
          </w:p>
        </w:tc>
      </w:tr>
      <w:tr w:rsidR="00890384" w14:paraId="799BE765" w14:textId="77777777">
        <w:trPr>
          <w:trHeight w:val="309"/>
        </w:trPr>
        <w:tc>
          <w:tcPr>
            <w:tcW w:w="1726" w:type="dxa"/>
          </w:tcPr>
          <w:p w14:paraId="5A5A68A1"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 35</w:t>
            </w:r>
          </w:p>
        </w:tc>
        <w:tc>
          <w:tcPr>
            <w:tcW w:w="1950" w:type="dxa"/>
          </w:tcPr>
          <w:p w14:paraId="596CDFFF"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10 mg du kartus per parą</w:t>
            </w:r>
          </w:p>
        </w:tc>
        <w:tc>
          <w:tcPr>
            <w:tcW w:w="1754" w:type="dxa"/>
          </w:tcPr>
          <w:p w14:paraId="40DA2EFA"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20 mg</w:t>
            </w:r>
          </w:p>
        </w:tc>
        <w:tc>
          <w:tcPr>
            <w:tcW w:w="1875" w:type="dxa"/>
          </w:tcPr>
          <w:p w14:paraId="0D48F188"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5 mg du kartus per parą</w:t>
            </w:r>
          </w:p>
        </w:tc>
        <w:tc>
          <w:tcPr>
            <w:tcW w:w="1754" w:type="dxa"/>
          </w:tcPr>
          <w:p w14:paraId="4266B789" w14:textId="77777777" w:rsidR="00890384" w:rsidRDefault="00B26795">
            <w:pPr>
              <w:widowControl w:val="0"/>
              <w:tabs>
                <w:tab w:val="clear" w:pos="567"/>
              </w:tabs>
              <w:spacing w:line="240" w:lineRule="auto"/>
              <w:jc w:val="center"/>
              <w:rPr>
                <w:iCs/>
                <w:snapToGrid/>
                <w:szCs w:val="22"/>
                <w:lang w:val="en-US" w:eastAsia="sl-SI"/>
              </w:rPr>
            </w:pPr>
            <w:r>
              <w:rPr>
                <w:iCs/>
                <w:snapToGrid/>
                <w:szCs w:val="22"/>
                <w:lang w:val="en-US" w:eastAsia="sl-SI"/>
              </w:rPr>
              <w:t>10 mg</w:t>
            </w:r>
          </w:p>
        </w:tc>
      </w:tr>
    </w:tbl>
    <w:p w14:paraId="6D090BB8" w14:textId="77777777" w:rsidR="00890384" w:rsidRDefault="00890384">
      <w:pPr>
        <w:widowControl w:val="0"/>
        <w:tabs>
          <w:tab w:val="clear" w:pos="567"/>
        </w:tabs>
        <w:autoSpaceDE w:val="0"/>
        <w:autoSpaceDN w:val="0"/>
        <w:spacing w:line="240" w:lineRule="auto"/>
        <w:rPr>
          <w:snapToGrid/>
          <w:szCs w:val="22"/>
          <w:lang w:val="lt-LT"/>
        </w:rPr>
      </w:pPr>
    </w:p>
    <w:p w14:paraId="0F137FC4" w14:textId="77777777" w:rsidR="00890384" w:rsidRDefault="00B26795">
      <w:pPr>
        <w:widowControl w:val="0"/>
        <w:tabs>
          <w:tab w:val="clear" w:pos="567"/>
        </w:tabs>
        <w:autoSpaceDE w:val="0"/>
        <w:autoSpaceDN w:val="0"/>
        <w:spacing w:line="240" w:lineRule="auto"/>
      </w:pPr>
      <w:r>
        <w:t>Dėl vaikų, kurių kūno masė &lt; 35 kg, žr. Aboxoma granulių atidaromose kapsulėse preparato charakteristikų santrauką ir Aboxoma dengtų granulių paketėlyje preparato charakteristikų santrauką.</w:t>
      </w:r>
    </w:p>
    <w:p w14:paraId="7A1947A9" w14:textId="77777777" w:rsidR="00890384" w:rsidRDefault="00890384">
      <w:pPr>
        <w:widowControl w:val="0"/>
        <w:tabs>
          <w:tab w:val="clear" w:pos="567"/>
        </w:tabs>
        <w:autoSpaceDE w:val="0"/>
        <w:autoSpaceDN w:val="0"/>
        <w:spacing w:line="240" w:lineRule="auto"/>
      </w:pPr>
    </w:p>
    <w:p w14:paraId="36DF06D8" w14:textId="77777777" w:rsidR="00890384" w:rsidRDefault="00B26795">
      <w:pPr>
        <w:widowControl w:val="0"/>
        <w:tabs>
          <w:tab w:val="clear" w:pos="567"/>
        </w:tabs>
        <w:autoSpaceDE w:val="0"/>
        <w:autoSpaceDN w:val="0"/>
        <w:spacing w:line="240" w:lineRule="auto"/>
        <w:rPr>
          <w:snapToGrid/>
          <w:szCs w:val="22"/>
          <w:lang w:val="lt-LT"/>
        </w:rPr>
      </w:pPr>
      <w:r>
        <w:t>Remiantis vaikų populiacijai skirtomis VTE gydymo gairėmis, viso gydymo trukmė turi būti parenkama individualiai, atidžiai įvertinus gydymo naudos ir kraujavimo rizikos santykį (žr. 4.4 skyrių).</w:t>
      </w:r>
    </w:p>
    <w:p w14:paraId="25166E67" w14:textId="77777777" w:rsidR="00890384" w:rsidRDefault="00890384">
      <w:pPr>
        <w:widowControl w:val="0"/>
        <w:tabs>
          <w:tab w:val="clear" w:pos="567"/>
        </w:tabs>
        <w:autoSpaceDE w:val="0"/>
        <w:autoSpaceDN w:val="0"/>
        <w:spacing w:line="240" w:lineRule="auto"/>
        <w:rPr>
          <w:snapToGrid/>
          <w:szCs w:val="22"/>
          <w:lang w:val="lt-LT"/>
        </w:rPr>
      </w:pPr>
    </w:p>
    <w:p w14:paraId="68962867"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Praleista dozė suaugusiems ir vaikams</w:t>
      </w:r>
    </w:p>
    <w:p w14:paraId="7AD9C90A" w14:textId="4292A25E" w:rsidR="00890384" w:rsidRDefault="00B26795">
      <w:pPr>
        <w:widowControl w:val="0"/>
        <w:tabs>
          <w:tab w:val="clear" w:pos="567"/>
        </w:tabs>
        <w:autoSpaceDE w:val="0"/>
        <w:autoSpaceDN w:val="0"/>
        <w:spacing w:line="240" w:lineRule="auto"/>
        <w:rPr>
          <w:snapToGrid/>
          <w:szCs w:val="22"/>
          <w:lang w:val="lt-LT"/>
        </w:rPr>
      </w:pPr>
      <w: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10027A0C"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Gydymo keitimas</w:t>
      </w:r>
    </w:p>
    <w:p w14:paraId="4A10EA1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Gydymą parenteriniu būdu vartojamais antikoaguliantais į gydymą </w:t>
      </w:r>
      <w:r>
        <w:rPr>
          <w:snapToGrid/>
          <w:color w:val="000000"/>
          <w:szCs w:val="22"/>
          <w:lang w:val="lt-LT"/>
        </w:rPr>
        <w:t>Aboxoma</w:t>
      </w:r>
      <w:r>
        <w:rPr>
          <w:snapToGrid/>
          <w:szCs w:val="22"/>
          <w:lang w:val="lt-LT"/>
        </w:rPr>
        <w:t xml:space="preserve"> (ir atvirkščiai) galima pakeisti atėjus kitos planinės dozės vartojimo laikui (žr. 4.5 skyrių). Šie vaistiniai preparatai neturi būti skiriami kartu.</w:t>
      </w:r>
    </w:p>
    <w:p w14:paraId="05F22684" w14:textId="77777777" w:rsidR="00890384" w:rsidRDefault="00890384">
      <w:pPr>
        <w:widowControl w:val="0"/>
        <w:tabs>
          <w:tab w:val="clear" w:pos="567"/>
        </w:tabs>
        <w:autoSpaceDE w:val="0"/>
        <w:autoSpaceDN w:val="0"/>
        <w:spacing w:line="240" w:lineRule="auto"/>
        <w:rPr>
          <w:snapToGrid/>
          <w:szCs w:val="22"/>
          <w:lang w:val="lt-LT"/>
        </w:rPr>
      </w:pPr>
    </w:p>
    <w:p w14:paraId="35BC5079"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 xml:space="preserve">Gydymo vitamino K antagonistu (VKA) keitimas į gydymą </w:t>
      </w:r>
      <w:r>
        <w:rPr>
          <w:i/>
          <w:snapToGrid/>
          <w:color w:val="000000"/>
          <w:szCs w:val="22"/>
          <w:lang w:val="lt-LT"/>
        </w:rPr>
        <w:t>Aboxoma</w:t>
      </w:r>
    </w:p>
    <w:p w14:paraId="1468067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Paciento gydymą vitamino K antagonistu (VKA) keičiant į gydymą </w:t>
      </w:r>
      <w:r>
        <w:rPr>
          <w:snapToGrid/>
          <w:color w:val="000000"/>
          <w:szCs w:val="22"/>
          <w:lang w:val="lt-LT"/>
        </w:rPr>
        <w:t>Aboxoma</w:t>
      </w:r>
      <w:r>
        <w:rPr>
          <w:snapToGrid/>
          <w:szCs w:val="22"/>
          <w:lang w:val="lt-LT"/>
        </w:rPr>
        <w:t xml:space="preserve">, reikia nutraukti gydymą varfarinu arba kitu VKA ir pradėti vartoti </w:t>
      </w:r>
      <w:r>
        <w:rPr>
          <w:snapToGrid/>
          <w:color w:val="000000"/>
          <w:szCs w:val="22"/>
          <w:lang w:val="lt-LT"/>
        </w:rPr>
        <w:t>Aboxoma</w:t>
      </w:r>
      <w:r>
        <w:rPr>
          <w:snapToGrid/>
          <w:szCs w:val="22"/>
          <w:lang w:val="lt-LT"/>
        </w:rPr>
        <w:t>, kai tarptautinis normalizuotasis santykis (TNS) yra &lt; 2.</w:t>
      </w:r>
    </w:p>
    <w:p w14:paraId="75CD4BF6" w14:textId="77777777" w:rsidR="00890384" w:rsidRDefault="00890384">
      <w:pPr>
        <w:widowControl w:val="0"/>
        <w:tabs>
          <w:tab w:val="clear" w:pos="567"/>
        </w:tabs>
        <w:autoSpaceDE w:val="0"/>
        <w:autoSpaceDN w:val="0"/>
        <w:spacing w:line="240" w:lineRule="auto"/>
        <w:rPr>
          <w:snapToGrid/>
          <w:szCs w:val="22"/>
          <w:lang w:val="lt-LT"/>
        </w:rPr>
      </w:pPr>
    </w:p>
    <w:p w14:paraId="5FE80DC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 xml:space="preserve">Gydymo </w:t>
      </w:r>
      <w:r>
        <w:rPr>
          <w:i/>
          <w:snapToGrid/>
          <w:color w:val="000000"/>
          <w:szCs w:val="22"/>
          <w:lang w:val="lt-LT"/>
        </w:rPr>
        <w:t>Aboxoma</w:t>
      </w:r>
      <w:r>
        <w:rPr>
          <w:i/>
          <w:snapToGrid/>
          <w:szCs w:val="22"/>
          <w:lang w:val="lt-LT"/>
        </w:rPr>
        <w:t xml:space="preserve"> keitimas į gydymą VKA</w:t>
      </w:r>
    </w:p>
    <w:p w14:paraId="6466985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Paciento gydymą </w:t>
      </w:r>
      <w:r>
        <w:rPr>
          <w:snapToGrid/>
          <w:color w:val="000000"/>
          <w:szCs w:val="22"/>
          <w:lang w:val="lt-LT"/>
        </w:rPr>
        <w:t>Aboxoma</w:t>
      </w:r>
      <w:r>
        <w:rPr>
          <w:snapToGrid/>
          <w:szCs w:val="22"/>
          <w:lang w:val="lt-LT"/>
        </w:rPr>
        <w:t xml:space="preserve"> keičiant į gydymą VKA, reikia ir toliau vartoti </w:t>
      </w:r>
      <w:r>
        <w:rPr>
          <w:snapToGrid/>
          <w:color w:val="000000"/>
          <w:szCs w:val="22"/>
          <w:lang w:val="lt-LT"/>
        </w:rPr>
        <w:t>Aboxoma</w:t>
      </w:r>
      <w:r>
        <w:rPr>
          <w:snapToGrid/>
          <w:szCs w:val="22"/>
          <w:lang w:val="lt-LT"/>
        </w:rPr>
        <w:t xml:space="preserve"> ne trumpiau kaip 2 paras po to, kai pradedamas gydymas VKA. Po 2 </w:t>
      </w:r>
      <w:r>
        <w:rPr>
          <w:snapToGrid/>
          <w:color w:val="000000"/>
          <w:szCs w:val="22"/>
          <w:lang w:val="lt-LT"/>
        </w:rPr>
        <w:t>Aboxoma</w:t>
      </w:r>
      <w:r>
        <w:rPr>
          <w:snapToGrid/>
          <w:szCs w:val="22"/>
          <w:lang w:val="lt-LT"/>
        </w:rPr>
        <w:t xml:space="preserve"> vartojimo kartu su VKA parų, prieš vartojant kitą planinę </w:t>
      </w:r>
      <w:r>
        <w:rPr>
          <w:snapToGrid/>
          <w:color w:val="000000"/>
          <w:szCs w:val="22"/>
          <w:lang w:val="lt-LT"/>
        </w:rPr>
        <w:t>Aboxoma</w:t>
      </w:r>
      <w:r>
        <w:rPr>
          <w:snapToGrid/>
          <w:szCs w:val="22"/>
          <w:lang w:val="lt-LT"/>
        </w:rPr>
        <w:t xml:space="preserve"> dozę, reikia nustatyti TNS. </w:t>
      </w:r>
      <w:r>
        <w:rPr>
          <w:snapToGrid/>
          <w:color w:val="000000"/>
          <w:szCs w:val="22"/>
          <w:lang w:val="lt-LT"/>
        </w:rPr>
        <w:t>Aboxoma</w:t>
      </w:r>
      <w:r>
        <w:rPr>
          <w:snapToGrid/>
          <w:szCs w:val="22"/>
          <w:lang w:val="lt-LT"/>
        </w:rPr>
        <w:t xml:space="preserve"> vartoti kartu su VKA reikia tol, kol TNS taps ≥ 2.</w:t>
      </w:r>
    </w:p>
    <w:p w14:paraId="4EEF08C9" w14:textId="77777777" w:rsidR="00890384" w:rsidRDefault="00890384">
      <w:pPr>
        <w:widowControl w:val="0"/>
        <w:tabs>
          <w:tab w:val="clear" w:pos="567"/>
        </w:tabs>
        <w:autoSpaceDE w:val="0"/>
        <w:autoSpaceDN w:val="0"/>
        <w:spacing w:line="240" w:lineRule="auto"/>
        <w:rPr>
          <w:i/>
          <w:snapToGrid/>
          <w:szCs w:val="22"/>
          <w:u w:val="single"/>
          <w:lang w:val="lt-LT"/>
        </w:rPr>
      </w:pPr>
    </w:p>
    <w:p w14:paraId="4330F64A"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Senyviems pacientams</w:t>
      </w:r>
    </w:p>
    <w:p w14:paraId="4865449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VTEt. Dozės koreguoti nereikia (žr. 4.4 ir 5.2 skyrius).</w:t>
      </w:r>
    </w:p>
    <w:p w14:paraId="7005D256" w14:textId="77777777" w:rsidR="00890384" w:rsidRDefault="00890384">
      <w:pPr>
        <w:widowControl w:val="0"/>
        <w:tabs>
          <w:tab w:val="clear" w:pos="567"/>
        </w:tabs>
        <w:autoSpaceDE w:val="0"/>
        <w:autoSpaceDN w:val="0"/>
        <w:spacing w:line="240" w:lineRule="auto"/>
        <w:rPr>
          <w:snapToGrid/>
          <w:szCs w:val="22"/>
          <w:lang w:val="lt-LT"/>
        </w:rPr>
      </w:pPr>
    </w:p>
    <w:p w14:paraId="2A6319E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„Dozės mažinimas“).</w:t>
      </w:r>
    </w:p>
    <w:p w14:paraId="36E501FE" w14:textId="77777777" w:rsidR="00890384" w:rsidRDefault="00890384">
      <w:pPr>
        <w:widowControl w:val="0"/>
        <w:tabs>
          <w:tab w:val="clear" w:pos="567"/>
        </w:tabs>
        <w:autoSpaceDE w:val="0"/>
        <w:autoSpaceDN w:val="0"/>
        <w:spacing w:line="240" w:lineRule="auto"/>
        <w:rPr>
          <w:snapToGrid/>
          <w:szCs w:val="22"/>
          <w:lang w:val="lt-LT"/>
        </w:rPr>
      </w:pPr>
    </w:p>
    <w:p w14:paraId="0A8A2FAA" w14:textId="77777777"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kurių inkstų funkcija sutrikusi</w:t>
      </w:r>
    </w:p>
    <w:p w14:paraId="72533DAF" w14:textId="77777777" w:rsidR="00890384" w:rsidRDefault="00890384">
      <w:pPr>
        <w:widowControl w:val="0"/>
        <w:tabs>
          <w:tab w:val="clear" w:pos="567"/>
        </w:tabs>
        <w:autoSpaceDE w:val="0"/>
        <w:autoSpaceDN w:val="0"/>
        <w:spacing w:line="240" w:lineRule="auto"/>
        <w:rPr>
          <w:i/>
          <w:snapToGrid/>
          <w:szCs w:val="22"/>
          <w:lang w:val="lt-LT"/>
        </w:rPr>
      </w:pPr>
    </w:p>
    <w:p w14:paraId="7E7253DD" w14:textId="77777777" w:rsidR="00890384" w:rsidRDefault="00B26795">
      <w:pPr>
        <w:widowControl w:val="0"/>
        <w:tabs>
          <w:tab w:val="clear" w:pos="567"/>
        </w:tabs>
        <w:autoSpaceDE w:val="0"/>
        <w:autoSpaceDN w:val="0"/>
        <w:spacing w:line="240" w:lineRule="auto"/>
        <w:rPr>
          <w:i/>
          <w:iCs/>
        </w:rPr>
      </w:pPr>
      <w:r>
        <w:rPr>
          <w:i/>
          <w:iCs/>
        </w:rPr>
        <w:t>Suaugę pacientai</w:t>
      </w:r>
    </w:p>
    <w:p w14:paraId="030837B4" w14:textId="0E6BCC63"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Suaugusiems pacientams, kuriems yra lengvas arba vidutinio sunkumo inkstų funkcijos sutrikimas, taikomos šios rekomendacijos:</w:t>
      </w:r>
    </w:p>
    <w:p w14:paraId="6D4DB5F3" w14:textId="77777777" w:rsidR="00890384" w:rsidRDefault="00890384">
      <w:pPr>
        <w:widowControl w:val="0"/>
        <w:tabs>
          <w:tab w:val="clear" w:pos="567"/>
        </w:tabs>
        <w:autoSpaceDE w:val="0"/>
        <w:autoSpaceDN w:val="0"/>
        <w:spacing w:line="240" w:lineRule="auto"/>
        <w:rPr>
          <w:snapToGrid/>
          <w:szCs w:val="22"/>
          <w:lang w:val="lt-LT"/>
        </w:rPr>
      </w:pPr>
    </w:p>
    <w:p w14:paraId="594A2902" w14:textId="77777777" w:rsidR="00890384" w:rsidRDefault="00B26795">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GVT gydymui, PE gydymui ir pasikartojančios GVT ir PE profilaktikai (VTEt) dozės koreguoti nereikia (žr. 5.2 skyrių);</w:t>
      </w:r>
    </w:p>
    <w:p w14:paraId="0D141AB4" w14:textId="77777777" w:rsidR="00890384" w:rsidRDefault="00890384">
      <w:pPr>
        <w:widowControl w:val="0"/>
        <w:tabs>
          <w:tab w:val="clear" w:pos="567"/>
        </w:tabs>
        <w:autoSpaceDE w:val="0"/>
        <w:autoSpaceDN w:val="0"/>
        <w:spacing w:line="240" w:lineRule="auto"/>
        <w:rPr>
          <w:snapToGrid/>
          <w:szCs w:val="22"/>
          <w:lang w:val="lt-LT"/>
        </w:rPr>
      </w:pPr>
    </w:p>
    <w:p w14:paraId="57513139" w14:textId="2A262A05" w:rsidR="00890384" w:rsidRDefault="00B26795">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o kreatinino koncentracija kraujo serume yra ≥ 1,5 mg/dl (133 mikromoliai/l) ir jiems yra ≥ 80 metų arba jų kūno svoris ≤ 60 kg, dozę reikia sumažinti (žr. paantraštėje Dozės mažinimas). Jeigu kitų kriterijų dozei sumažinti nėra (amžius, kūno svoris), dozės koreguoti nereikia (žr. 5.2 skyrių).</w:t>
      </w:r>
    </w:p>
    <w:p w14:paraId="60DA3CA2" w14:textId="77777777" w:rsidR="00890384" w:rsidRDefault="00890384">
      <w:pPr>
        <w:widowControl w:val="0"/>
        <w:tabs>
          <w:tab w:val="clear" w:pos="567"/>
        </w:tabs>
        <w:autoSpaceDE w:val="0"/>
        <w:autoSpaceDN w:val="0"/>
        <w:spacing w:line="240" w:lineRule="auto"/>
        <w:rPr>
          <w:snapToGrid/>
          <w:szCs w:val="22"/>
          <w:lang w:val="lt-LT"/>
        </w:rPr>
      </w:pPr>
    </w:p>
    <w:p w14:paraId="2F550664" w14:textId="1526DC08"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Suaugusiems pacientams, kuriems yra sunkus inkstų funkcijos sutrikimas (kreatinino klirensas 15</w:t>
      </w:r>
      <w:r>
        <w:rPr>
          <w:snapToGrid/>
          <w:szCs w:val="22"/>
          <w:lang w:val="lt-LT"/>
        </w:rPr>
        <w:noBreakHyphen/>
        <w:t>29 ml/min.), taikomos šios rekomendacijos (žr. 4.4 ir 5.2 skyrius):</w:t>
      </w:r>
    </w:p>
    <w:p w14:paraId="6BE3079D" w14:textId="77777777" w:rsidR="00890384" w:rsidRDefault="00890384">
      <w:pPr>
        <w:widowControl w:val="0"/>
        <w:tabs>
          <w:tab w:val="clear" w:pos="567"/>
        </w:tabs>
        <w:autoSpaceDE w:val="0"/>
        <w:autoSpaceDN w:val="0"/>
        <w:spacing w:line="240" w:lineRule="auto"/>
        <w:rPr>
          <w:snapToGrid/>
          <w:szCs w:val="22"/>
          <w:lang w:val="lt-LT"/>
        </w:rPr>
      </w:pPr>
    </w:p>
    <w:p w14:paraId="7FA7F157" w14:textId="77777777" w:rsidR="00890384" w:rsidRDefault="00B26795">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GVT gydymui, PE gydymui ir pasikartojančios GVT ir PE profilaktikai (VTEt) apiksabaną reikia vartoti atsargiai;</w:t>
      </w:r>
    </w:p>
    <w:p w14:paraId="68E2989B" w14:textId="77777777" w:rsidR="00890384" w:rsidRDefault="00890384">
      <w:pPr>
        <w:widowControl w:val="0"/>
        <w:tabs>
          <w:tab w:val="clear" w:pos="567"/>
        </w:tabs>
        <w:autoSpaceDE w:val="0"/>
        <w:autoSpaceDN w:val="0"/>
        <w:spacing w:line="240" w:lineRule="auto"/>
        <w:rPr>
          <w:snapToGrid/>
          <w:szCs w:val="22"/>
          <w:lang w:val="lt-LT"/>
        </w:rPr>
      </w:pPr>
    </w:p>
    <w:p w14:paraId="580551D7" w14:textId="77777777" w:rsidR="00890384" w:rsidRDefault="00B26795">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reikia skirti mažesniąją 2,5 mg apiksabano dozę du kartus per parą.</w:t>
      </w:r>
    </w:p>
    <w:p w14:paraId="5F2195A5" w14:textId="77777777" w:rsidR="00890384" w:rsidRDefault="00890384">
      <w:pPr>
        <w:widowControl w:val="0"/>
        <w:tabs>
          <w:tab w:val="clear" w:pos="567"/>
        </w:tabs>
        <w:autoSpaceDE w:val="0"/>
        <w:autoSpaceDN w:val="0"/>
        <w:spacing w:line="240" w:lineRule="auto"/>
        <w:rPr>
          <w:snapToGrid/>
          <w:szCs w:val="22"/>
          <w:lang w:val="lt-LT"/>
        </w:rPr>
      </w:pPr>
    </w:p>
    <w:p w14:paraId="2676D46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Pacientų, kurių kreatinino klirensas yra &lt; 15 ml/min. ar kuriems atliekamos dializės, gydymo šiuo vaistiniu preparatu patirties nėra, todėl jiems apiksabano vartoti nerekomenduojama (žr. 4.4 ir 5.2 skyrius).</w:t>
      </w:r>
    </w:p>
    <w:p w14:paraId="37BF37C1" w14:textId="77777777" w:rsidR="00890384" w:rsidRDefault="00890384">
      <w:pPr>
        <w:widowControl w:val="0"/>
        <w:tabs>
          <w:tab w:val="clear" w:pos="567"/>
        </w:tabs>
        <w:autoSpaceDE w:val="0"/>
        <w:autoSpaceDN w:val="0"/>
        <w:spacing w:line="240" w:lineRule="auto"/>
        <w:rPr>
          <w:i/>
          <w:iCs/>
        </w:rPr>
      </w:pPr>
    </w:p>
    <w:p w14:paraId="3DCAB3C4" w14:textId="77777777" w:rsidR="00890384" w:rsidRDefault="00B26795">
      <w:pPr>
        <w:widowControl w:val="0"/>
        <w:tabs>
          <w:tab w:val="clear" w:pos="567"/>
        </w:tabs>
        <w:autoSpaceDE w:val="0"/>
        <w:autoSpaceDN w:val="0"/>
        <w:spacing w:line="240" w:lineRule="auto"/>
        <w:rPr>
          <w:i/>
          <w:iCs/>
        </w:rPr>
      </w:pPr>
      <w:r>
        <w:rPr>
          <w:i/>
          <w:iCs/>
        </w:rPr>
        <w:t>Vaikų populiacija</w:t>
      </w:r>
    </w:p>
    <w:p w14:paraId="245F3913" w14:textId="77777777" w:rsidR="00890384" w:rsidRDefault="00B26795">
      <w:pPr>
        <w:widowControl w:val="0"/>
        <w:tabs>
          <w:tab w:val="clear" w:pos="567"/>
        </w:tabs>
        <w:autoSpaceDE w:val="0"/>
        <w:autoSpaceDN w:val="0"/>
        <w:spacing w:line="240" w:lineRule="auto"/>
      </w:pPr>
      <w:r>
        <w:t>Remiantis duomenimis apie suaugusiuosius ir ribotais duomenimis apie pacientus vaikus (žr. 5.2 skyrių), dozės nereikia koreguoti pacientams vaikams, kurių inkstų funkcijos sutrikimas yra lengvas arba vidutinio sunkumo. Apiksabano nerekomenduojama vartoti pacientams vaikams, kuriems yra sunkus inkstų funkcijos sutrikimas (žr. 4.4 skyrių).</w:t>
      </w:r>
    </w:p>
    <w:p w14:paraId="741D63B1" w14:textId="77777777" w:rsidR="00890384" w:rsidRDefault="00890384">
      <w:pPr>
        <w:widowControl w:val="0"/>
        <w:tabs>
          <w:tab w:val="clear" w:pos="567"/>
        </w:tabs>
        <w:autoSpaceDE w:val="0"/>
        <w:autoSpaceDN w:val="0"/>
        <w:spacing w:line="240" w:lineRule="auto"/>
        <w:rPr>
          <w:snapToGrid/>
          <w:szCs w:val="22"/>
          <w:lang w:val="lt-LT"/>
        </w:rPr>
      </w:pPr>
    </w:p>
    <w:p w14:paraId="26867CAE"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kurių kepenų funkcija sutrikusi</w:t>
      </w:r>
    </w:p>
    <w:p w14:paraId="1069F0F6"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negalima vartoti suaugusiems pacientams, kurie serga su koaguliopatija ar kliniškai reikšminga kraujavimo rizika susijusia kepenų liga (žr. 4.3 skyrių).</w:t>
      </w:r>
    </w:p>
    <w:p w14:paraId="4B4DC75C" w14:textId="77777777" w:rsidR="00890384" w:rsidRDefault="00890384">
      <w:pPr>
        <w:widowControl w:val="0"/>
        <w:tabs>
          <w:tab w:val="clear" w:pos="567"/>
        </w:tabs>
        <w:autoSpaceDE w:val="0"/>
        <w:autoSpaceDN w:val="0"/>
        <w:spacing w:line="240" w:lineRule="auto"/>
        <w:rPr>
          <w:snapToGrid/>
          <w:szCs w:val="22"/>
          <w:lang w:val="lt-LT"/>
        </w:rPr>
      </w:pPr>
    </w:p>
    <w:p w14:paraId="01E604E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4.4 ir 5.2 skyrius).</w:t>
      </w:r>
    </w:p>
    <w:p w14:paraId="70566AF4" w14:textId="77777777" w:rsidR="00890384" w:rsidRDefault="00890384">
      <w:pPr>
        <w:widowControl w:val="0"/>
        <w:tabs>
          <w:tab w:val="clear" w:pos="567"/>
        </w:tabs>
        <w:autoSpaceDE w:val="0"/>
        <w:autoSpaceDN w:val="0"/>
        <w:spacing w:line="240" w:lineRule="auto"/>
        <w:rPr>
          <w:snapToGrid/>
          <w:szCs w:val="22"/>
          <w:lang w:val="lt-LT"/>
        </w:rPr>
      </w:pPr>
    </w:p>
    <w:p w14:paraId="3E52017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Vaistinio preparato reikia atsargiai vartoti pacientams, kuriems yra lengvas ar vidutinio sunkumo kepenų funkcijos sutrikimas (A arba B klasės pagal </w:t>
      </w:r>
      <w:r>
        <w:rPr>
          <w:i/>
          <w:snapToGrid/>
          <w:szCs w:val="22"/>
          <w:lang w:val="lt-LT"/>
        </w:rPr>
        <w:t>Child Pugh</w:t>
      </w:r>
      <w:r>
        <w:rPr>
          <w:snapToGrid/>
          <w:szCs w:val="22"/>
          <w:lang w:val="lt-LT"/>
        </w:rPr>
        <w:t>). Pacientams, kuriems yra lengvas ar vidutinio sunkumo kepenų funkcijos sutrikimas, vaistinio preparato dozės koreguoti nereikia (žr. 4.4 ir 5.2 skyrius).</w:t>
      </w:r>
    </w:p>
    <w:p w14:paraId="6B0EEF25" w14:textId="77777777" w:rsidR="00890384" w:rsidRDefault="00890384">
      <w:pPr>
        <w:widowControl w:val="0"/>
        <w:tabs>
          <w:tab w:val="clear" w:pos="567"/>
        </w:tabs>
        <w:autoSpaceDE w:val="0"/>
        <w:autoSpaceDN w:val="0"/>
        <w:spacing w:line="240" w:lineRule="auto"/>
        <w:rPr>
          <w:snapToGrid/>
          <w:szCs w:val="22"/>
          <w:lang w:val="lt-LT"/>
        </w:rPr>
      </w:pPr>
    </w:p>
    <w:p w14:paraId="36F9522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(alaninaminotransferazės (ALT) / aspartataminotransferazės (AST) aktyvumas buvo &gt; 2 x VNR (viršutinė normos riba) arba bendrojo bilirubino koncentracija buvo ≥ 1,5 x VNR), nebuvo įtraukti į klinikinius tyrimus. Todėl šiems pacientams </w:t>
      </w:r>
      <w:r>
        <w:rPr>
          <w:snapToGrid/>
          <w:color w:val="000000"/>
          <w:szCs w:val="22"/>
          <w:lang w:val="lt-LT"/>
        </w:rPr>
        <w:t>Aboxoma</w:t>
      </w:r>
      <w:r>
        <w:rPr>
          <w:snapToGrid/>
          <w:szCs w:val="22"/>
          <w:lang w:val="lt-LT"/>
        </w:rPr>
        <w:t xml:space="preserve"> </w:t>
      </w:r>
      <w:r>
        <w:rPr>
          <w:snapToGrid/>
          <w:szCs w:val="22"/>
          <w:lang w:val="lt-LT"/>
        </w:rPr>
        <w:lastRenderedPageBreak/>
        <w:t xml:space="preserve">reikia vartoti atsargiai (žr. 4.4 ir 5.2 skyrius). Prieš pradedant vartoti </w:t>
      </w:r>
      <w:r>
        <w:rPr>
          <w:snapToGrid/>
          <w:color w:val="000000"/>
          <w:szCs w:val="22"/>
          <w:lang w:val="lt-LT"/>
        </w:rPr>
        <w:t>Aboxoma</w:t>
      </w:r>
      <w:r>
        <w:rPr>
          <w:snapToGrid/>
          <w:szCs w:val="22"/>
          <w:lang w:val="lt-LT"/>
        </w:rPr>
        <w:t>, reikia atlikti kepenų funkcijos tyrimus.</w:t>
      </w:r>
    </w:p>
    <w:p w14:paraId="15D0A737" w14:textId="77777777" w:rsidR="00890384" w:rsidRDefault="00890384">
      <w:pPr>
        <w:widowControl w:val="0"/>
        <w:tabs>
          <w:tab w:val="clear" w:pos="567"/>
        </w:tabs>
        <w:autoSpaceDE w:val="0"/>
        <w:autoSpaceDN w:val="0"/>
        <w:spacing w:line="240" w:lineRule="auto"/>
      </w:pPr>
    </w:p>
    <w:p w14:paraId="7C00ED36" w14:textId="77777777" w:rsidR="0079291C" w:rsidRPr="003764D0" w:rsidRDefault="0079291C" w:rsidP="0079291C">
      <w:pPr>
        <w:pStyle w:val="Pagrindinistekstas"/>
        <w:rPr>
          <w:i w:val="0"/>
          <w:iCs/>
          <w:lang w:val="lt-LT"/>
        </w:rPr>
      </w:pPr>
      <w:r w:rsidRPr="003764D0">
        <w:rPr>
          <w:i w:val="0"/>
          <w:iCs/>
          <w:lang w:val="lt-LT"/>
        </w:rPr>
        <w:t>Vaikams, kurių kepenų funkcija sutrikusi, apiksabano poveikis neištirtas.</w:t>
      </w:r>
    </w:p>
    <w:p w14:paraId="5233AAF6" w14:textId="77777777" w:rsidR="00890384" w:rsidRDefault="00890384">
      <w:pPr>
        <w:widowControl w:val="0"/>
        <w:tabs>
          <w:tab w:val="clear" w:pos="567"/>
        </w:tabs>
        <w:autoSpaceDE w:val="0"/>
        <w:autoSpaceDN w:val="0"/>
        <w:spacing w:line="240" w:lineRule="auto"/>
        <w:rPr>
          <w:snapToGrid/>
          <w:szCs w:val="22"/>
          <w:lang w:val="lt-LT"/>
        </w:rPr>
      </w:pPr>
    </w:p>
    <w:p w14:paraId="233277C9"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Kūno svoris</w:t>
      </w:r>
    </w:p>
    <w:p w14:paraId="622A25D8" w14:textId="733A1D3B"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VTEt. Suaugusie</w:t>
      </w:r>
      <w:r w:rsidR="00C84D2F">
        <w:rPr>
          <w:snapToGrid/>
          <w:szCs w:val="22"/>
          <w:lang w:val="lt-LT"/>
        </w:rPr>
        <w:t>sie</w:t>
      </w:r>
      <w:r>
        <w:rPr>
          <w:snapToGrid/>
          <w:szCs w:val="22"/>
          <w:lang w:val="lt-LT"/>
        </w:rPr>
        <w:t>msozės koreguoti nereikia (žr. 4.4 ir 5.2 skyrius).</w:t>
      </w:r>
    </w:p>
    <w:p w14:paraId="05FAC8C8" w14:textId="77777777" w:rsidR="00890384" w:rsidRDefault="00890384">
      <w:pPr>
        <w:widowControl w:val="0"/>
        <w:tabs>
          <w:tab w:val="clear" w:pos="567"/>
        </w:tabs>
        <w:autoSpaceDE w:val="0"/>
        <w:autoSpaceDN w:val="0"/>
        <w:spacing w:line="240" w:lineRule="auto"/>
        <w:rPr>
          <w:snapToGrid/>
          <w:szCs w:val="22"/>
          <w:lang w:val="lt-LT"/>
        </w:rPr>
      </w:pPr>
    </w:p>
    <w:p w14:paraId="00F5570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w:t>
      </w:r>
      <w:r>
        <w:rPr>
          <w:i/>
          <w:snapToGrid/>
          <w:szCs w:val="22"/>
          <w:lang w:val="lt-LT"/>
        </w:rPr>
        <w:t>Dozės mažinimas</w:t>
      </w:r>
      <w:r>
        <w:rPr>
          <w:snapToGrid/>
          <w:szCs w:val="22"/>
          <w:lang w:val="lt-LT"/>
        </w:rPr>
        <w:t>“).</w:t>
      </w:r>
    </w:p>
    <w:p w14:paraId="5F1988FA" w14:textId="77777777" w:rsidR="00890384" w:rsidRDefault="00890384">
      <w:pPr>
        <w:widowControl w:val="0"/>
        <w:tabs>
          <w:tab w:val="clear" w:pos="567"/>
        </w:tabs>
        <w:autoSpaceDE w:val="0"/>
        <w:autoSpaceDN w:val="0"/>
        <w:spacing w:line="240" w:lineRule="auto"/>
      </w:pPr>
    </w:p>
    <w:p w14:paraId="71A8D74E" w14:textId="77777777" w:rsidR="00890384" w:rsidRDefault="00B26795">
      <w:pPr>
        <w:widowControl w:val="0"/>
        <w:tabs>
          <w:tab w:val="clear" w:pos="567"/>
        </w:tabs>
        <w:autoSpaceDE w:val="0"/>
        <w:autoSpaceDN w:val="0"/>
        <w:spacing w:line="240" w:lineRule="auto"/>
      </w:pPr>
      <w:r>
        <w:t>Apiksabano skyrimas vaikams yra pagrįstas fiksuotos dozės pagal kūno masės kategoriją režimu (žr. 4.2 skyrių).</w:t>
      </w:r>
    </w:p>
    <w:p w14:paraId="7558B3A2" w14:textId="77777777" w:rsidR="00890384" w:rsidRDefault="00890384">
      <w:pPr>
        <w:widowControl w:val="0"/>
        <w:tabs>
          <w:tab w:val="clear" w:pos="567"/>
        </w:tabs>
        <w:autoSpaceDE w:val="0"/>
        <w:autoSpaceDN w:val="0"/>
        <w:spacing w:line="240" w:lineRule="auto"/>
        <w:rPr>
          <w:i/>
          <w:snapToGrid/>
          <w:szCs w:val="22"/>
          <w:u w:val="single"/>
          <w:lang w:val="lt-LT"/>
        </w:rPr>
      </w:pPr>
    </w:p>
    <w:p w14:paraId="66F0480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Lytis</w:t>
      </w:r>
    </w:p>
    <w:p w14:paraId="2B094B2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Dozės koreguoti nereikia (žr. 5.2 skyrių).</w:t>
      </w:r>
    </w:p>
    <w:p w14:paraId="1E95F47C" w14:textId="77777777" w:rsidR="00890384" w:rsidRDefault="00890384">
      <w:pPr>
        <w:widowControl w:val="0"/>
        <w:tabs>
          <w:tab w:val="clear" w:pos="567"/>
        </w:tabs>
        <w:autoSpaceDE w:val="0"/>
        <w:autoSpaceDN w:val="0"/>
        <w:spacing w:line="240" w:lineRule="auto"/>
        <w:rPr>
          <w:snapToGrid/>
          <w:szCs w:val="22"/>
          <w:lang w:val="lt-LT"/>
        </w:rPr>
      </w:pPr>
    </w:p>
    <w:p w14:paraId="79D10B8A"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atliekama kateterinė abliacija (VNPV)</w:t>
      </w:r>
    </w:p>
    <w:p w14:paraId="63B4ACC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kateterinę abliaciją pacientai gali toliau vartoti apiksabaną (žr. 4.3, 4.4 ir 4.5 skyrius).</w:t>
      </w:r>
    </w:p>
    <w:p w14:paraId="25566ED2" w14:textId="77777777" w:rsidR="00890384" w:rsidRDefault="00890384">
      <w:pPr>
        <w:widowControl w:val="0"/>
        <w:tabs>
          <w:tab w:val="clear" w:pos="567"/>
        </w:tabs>
        <w:autoSpaceDE w:val="0"/>
        <w:autoSpaceDN w:val="0"/>
        <w:spacing w:line="240" w:lineRule="auto"/>
        <w:rPr>
          <w:snapToGrid/>
          <w:szCs w:val="22"/>
          <w:lang w:val="lt-LT"/>
        </w:rPr>
      </w:pPr>
    </w:p>
    <w:p w14:paraId="7FE63E29"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atliekama kardioversija</w:t>
      </w:r>
    </w:p>
    <w:p w14:paraId="3EEB9CDC" w14:textId="178056E6"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Suaugę pacientai, kuriems pasireiškia VNPV ir gali reikėti kardioversijos, gali pradėti ar tęsti apiksabano vartojimą.</w:t>
      </w:r>
    </w:p>
    <w:p w14:paraId="6FED8866" w14:textId="77777777" w:rsidR="00890384" w:rsidRDefault="00890384">
      <w:pPr>
        <w:widowControl w:val="0"/>
        <w:tabs>
          <w:tab w:val="clear" w:pos="567"/>
        </w:tabs>
        <w:autoSpaceDE w:val="0"/>
        <w:autoSpaceDN w:val="0"/>
        <w:spacing w:line="240" w:lineRule="auto"/>
        <w:rPr>
          <w:snapToGrid/>
          <w:szCs w:val="22"/>
          <w:lang w:val="lt-LT"/>
        </w:rPr>
      </w:pPr>
    </w:p>
    <w:p w14:paraId="0696A12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Anksčiau antikoaguliantų nevartojusiems pacientams reikia apsvarstyti galimybę prieš kardioversiją vaizdinimo metodu (pvz., atliekant transezofaginę echokardiografiją (TEE) arba kompiuterinės tomografijos (KT) skenavimą) atmesti trombo kairiajame prieširdyje buvimą, atsižvelgiant į nustatytas medicinines gaires. </w:t>
      </w:r>
    </w:p>
    <w:p w14:paraId="5BB0FE74" w14:textId="77777777" w:rsidR="00890384" w:rsidRDefault="00890384">
      <w:pPr>
        <w:widowControl w:val="0"/>
        <w:tabs>
          <w:tab w:val="clear" w:pos="567"/>
        </w:tabs>
        <w:autoSpaceDE w:val="0"/>
        <w:autoSpaceDN w:val="0"/>
        <w:spacing w:line="240" w:lineRule="auto"/>
        <w:rPr>
          <w:snapToGrid/>
          <w:szCs w:val="22"/>
          <w:lang w:val="lt-LT"/>
        </w:rPr>
      </w:pPr>
    </w:p>
    <w:p w14:paraId="301E853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Pacientams, pradedantiems gydymą apiksabanu, ne trumpiau kaip 2,5 paros prieš kardioversiją reikia vartoti 5 mg du kartus per parą (5 vienkartines dozes) tinkamai antikoaguliacijai užtikrinti (žr. 5.1 skyrių). Jeigu pacientas atitinka dozės mažinimo kriterijus (žr. anksčiau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dozavimo režimą reikia sumažinti iki 2,5 mg apiksabano du kartus per parą, gydymą tęsiant 2,5 paros (suvartojant 5 vienkartines dozes).</w:t>
      </w:r>
    </w:p>
    <w:p w14:paraId="1DE8E64C" w14:textId="77777777" w:rsidR="00890384" w:rsidRDefault="00890384">
      <w:pPr>
        <w:widowControl w:val="0"/>
        <w:tabs>
          <w:tab w:val="clear" w:pos="567"/>
        </w:tabs>
        <w:autoSpaceDE w:val="0"/>
        <w:autoSpaceDN w:val="0"/>
        <w:spacing w:line="240" w:lineRule="auto"/>
        <w:rPr>
          <w:snapToGrid/>
          <w:szCs w:val="22"/>
          <w:lang w:val="lt-LT"/>
        </w:rPr>
      </w:pPr>
    </w:p>
    <w:p w14:paraId="0AD7B34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reikia atlikti kardioversiją prieš suvartojant 5 apiksabano dozes, reikia skirti 10 mg įsotinamąją dozę, o paskui vartoti po 5 mg du kartus per parą. Jeigu pacientas atitinka dozės mažinimo kriterijus (žr. ankstesnius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dozavimo režimą reikia sumažinti ir skirti 5 mg įsotinamąją dozę, o paskui vartoti po 2,5 mg du kartus per parą. Įsotinamąją dozę reikia skirti ne vėliau kaip 2 valandos prieš kardioversiją (žr. 5.1 skyrių).</w:t>
      </w:r>
    </w:p>
    <w:p w14:paraId="1004563A" w14:textId="77777777" w:rsidR="00890384" w:rsidRDefault="00890384">
      <w:pPr>
        <w:widowControl w:val="0"/>
        <w:tabs>
          <w:tab w:val="clear" w:pos="567"/>
        </w:tabs>
        <w:autoSpaceDE w:val="0"/>
        <w:autoSpaceDN w:val="0"/>
        <w:spacing w:line="240" w:lineRule="auto"/>
        <w:rPr>
          <w:snapToGrid/>
          <w:szCs w:val="22"/>
          <w:lang w:val="lt-LT"/>
        </w:rPr>
      </w:pPr>
    </w:p>
    <w:p w14:paraId="116C967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Visiems pacientams, kuriems atliekama kardioversija, prieš atliekant kardioversiją reikia gauti patvirtinimą, kad pacientas suvartojo apiksabano, kaip skirta. Priimant sprendimą dėl gydymo pradžios ir trukmės reikia atsižvelgti į nustatytas rekomendacines gydymo antikoaguliantais gaires pacientams, kuriems atliekama kardioversija.</w:t>
      </w:r>
    </w:p>
    <w:p w14:paraId="0DD5DB5B" w14:textId="77777777" w:rsidR="00890384" w:rsidRDefault="00890384">
      <w:pPr>
        <w:widowControl w:val="0"/>
        <w:tabs>
          <w:tab w:val="clear" w:pos="567"/>
        </w:tabs>
        <w:autoSpaceDE w:val="0"/>
        <w:autoSpaceDN w:val="0"/>
        <w:spacing w:line="240" w:lineRule="auto"/>
        <w:rPr>
          <w:snapToGrid/>
          <w:szCs w:val="22"/>
          <w:lang w:val="lt-LT"/>
        </w:rPr>
      </w:pPr>
    </w:p>
    <w:p w14:paraId="604CF066" w14:textId="77777777"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kuriems pasireiškia VNPV ir kurie serga ūminiu koronariniu sindromu (ŪKS) ir (arba) kuriems atliekama perkutaninė vainikinių arterijų intervencija (PVAI)</w:t>
      </w:r>
    </w:p>
    <w:p w14:paraId="02AF57B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Nepakanka patirties apiksabano rekomenduojamomis dozėmis gydant VNPV sergančius pacientus, kai vaistinio preparato skiriama deriniu su trombocitų agregaciją slopinančiais vaistiniais preparatais ŪKS sergantiems pacientams ir (arba) pacientams, kuriems atliekama PVAI pasiekus hemostazę (žr. 4.4 ir 5.1 skyrius).</w:t>
      </w:r>
    </w:p>
    <w:p w14:paraId="1BC3E497" w14:textId="77777777" w:rsidR="00890384" w:rsidRDefault="00890384">
      <w:pPr>
        <w:widowControl w:val="0"/>
        <w:tabs>
          <w:tab w:val="clear" w:pos="567"/>
        </w:tabs>
        <w:autoSpaceDE w:val="0"/>
        <w:autoSpaceDN w:val="0"/>
        <w:spacing w:line="240" w:lineRule="auto"/>
        <w:rPr>
          <w:snapToGrid/>
          <w:szCs w:val="22"/>
          <w:lang w:val="lt-LT"/>
        </w:rPr>
      </w:pPr>
    </w:p>
    <w:p w14:paraId="45252CAE"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Vaikų populiacija</w:t>
      </w:r>
    </w:p>
    <w:p w14:paraId="3E2FE60E" w14:textId="4A83BB01" w:rsidR="00890384" w:rsidRDefault="00B26795">
      <w:pPr>
        <w:widowControl w:val="0"/>
        <w:tabs>
          <w:tab w:val="clear" w:pos="567"/>
        </w:tabs>
        <w:autoSpaceDE w:val="0"/>
        <w:autoSpaceDN w:val="0"/>
        <w:spacing w:line="240" w:lineRule="auto"/>
      </w:pPr>
      <w:r>
        <w:t>Apiksabano saugumas ir veiksmingumas pacientams vaikams nuo 28 dienų iki 18 metų, kitoms indikacijoms nei venų tromboembolijos (VTE) gydymas ir VTE pasikartojimo profilaktika, neištirti. Duomenų apie naujagimius ir apie kitas indikacijas nėra (taip pat žr. 5.1 skyrių). Todėl apiksabano nerekomenduojama vartoti naujagimiams ir pacientams vaikams nuo 28 dienų 18 metų, esant kitoms indikacijoms nei VTE gydymas ir VTE pasikartojimo profilaktika.</w:t>
      </w:r>
    </w:p>
    <w:p w14:paraId="4E996E91" w14:textId="77777777" w:rsidR="00890384" w:rsidRDefault="00890384">
      <w:pPr>
        <w:widowControl w:val="0"/>
        <w:tabs>
          <w:tab w:val="clear" w:pos="567"/>
        </w:tabs>
        <w:autoSpaceDE w:val="0"/>
        <w:autoSpaceDN w:val="0"/>
        <w:spacing w:line="240" w:lineRule="auto"/>
        <w:rPr>
          <w:snapToGrid/>
          <w:color w:val="000000"/>
          <w:szCs w:val="22"/>
          <w:lang w:val="lt-LT"/>
        </w:rPr>
      </w:pPr>
    </w:p>
    <w:p w14:paraId="6F339574" w14:textId="3AA9FD70"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saugumas ir veiksmingumas jaunesniems kaip 18 metų vaikams ir paaugliams </w:t>
      </w:r>
      <w:r>
        <w:t xml:space="preserve">tromboembolijos profilaktikos indikacijai </w:t>
      </w:r>
      <w:r>
        <w:rPr>
          <w:snapToGrid/>
          <w:szCs w:val="22"/>
          <w:lang w:val="lt-LT"/>
        </w:rPr>
        <w:t xml:space="preserve">neištirti. </w:t>
      </w:r>
      <w:r>
        <w:t>Turimi duomenys apie tromboembolijos profilaktiką pateikiami 5.1 skyriuje, tačiau dozavimo rekomendacijų pateikti negalima</w:t>
      </w:r>
      <w:r>
        <w:rPr>
          <w:snapToGrid/>
          <w:szCs w:val="22"/>
          <w:lang w:val="lt-LT"/>
        </w:rPr>
        <w:t>.</w:t>
      </w:r>
    </w:p>
    <w:p w14:paraId="28F968BF" w14:textId="77777777" w:rsidR="00890384" w:rsidRDefault="00890384">
      <w:pPr>
        <w:widowControl w:val="0"/>
        <w:tabs>
          <w:tab w:val="clear" w:pos="567"/>
        </w:tabs>
        <w:autoSpaceDE w:val="0"/>
        <w:autoSpaceDN w:val="0"/>
        <w:spacing w:line="240" w:lineRule="auto"/>
        <w:rPr>
          <w:snapToGrid/>
          <w:szCs w:val="22"/>
          <w:lang w:val="lt-LT"/>
        </w:rPr>
      </w:pPr>
    </w:p>
    <w:p w14:paraId="0334268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Vartojimo metodas</w:t>
      </w:r>
      <w:r>
        <w:t xml:space="preserve"> suaugusiesiems ir vaikams</w:t>
      </w:r>
    </w:p>
    <w:p w14:paraId="02B7CDC9" w14:textId="77777777" w:rsidR="00890384" w:rsidRDefault="00890384">
      <w:pPr>
        <w:widowControl w:val="0"/>
        <w:tabs>
          <w:tab w:val="clear" w:pos="567"/>
        </w:tabs>
        <w:autoSpaceDE w:val="0"/>
        <w:autoSpaceDN w:val="0"/>
        <w:spacing w:line="240" w:lineRule="auto"/>
        <w:rPr>
          <w:snapToGrid/>
          <w:szCs w:val="22"/>
          <w:lang w:val="lt-LT"/>
        </w:rPr>
      </w:pPr>
    </w:p>
    <w:p w14:paraId="605E545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1DD6608C"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reikia nuryti užgeriant vandeniu valgio metu arba nevalgius.</w:t>
      </w:r>
    </w:p>
    <w:p w14:paraId="4442AFFA" w14:textId="77777777" w:rsidR="00890384" w:rsidRDefault="00890384">
      <w:pPr>
        <w:widowControl w:val="0"/>
        <w:tabs>
          <w:tab w:val="clear" w:pos="567"/>
        </w:tabs>
        <w:autoSpaceDE w:val="0"/>
        <w:autoSpaceDN w:val="0"/>
        <w:spacing w:line="240" w:lineRule="auto"/>
        <w:rPr>
          <w:snapToGrid/>
          <w:szCs w:val="22"/>
          <w:lang w:val="lt-LT"/>
        </w:rPr>
      </w:pPr>
    </w:p>
    <w:p w14:paraId="4D65F0D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Pacientams, kurie negali nuryti visos tabletės, </w:t>
      </w:r>
      <w:r>
        <w:rPr>
          <w:snapToGrid/>
          <w:color w:val="000000"/>
          <w:szCs w:val="22"/>
          <w:lang w:val="lt-LT"/>
        </w:rPr>
        <w:t>Aboxoma</w:t>
      </w:r>
      <w:r>
        <w:rPr>
          <w:snapToGrid/>
          <w:szCs w:val="22"/>
          <w:lang w:val="lt-LT"/>
        </w:rPr>
        <w:t xml:space="preserve"> tabletę galima sutrinti ir ištirpinti vandenyje, 5 % gliukozės tirpale (G5W) arba obuolių sultyse, arba sumaišyti su obuolių tyre ir iš karto suvartoti per burną (žr. 5.2 skyrių). </w:t>
      </w:r>
      <w:r>
        <w:rPr>
          <w:snapToGrid/>
          <w:color w:val="000000"/>
          <w:szCs w:val="22"/>
          <w:lang w:val="lt-LT"/>
        </w:rPr>
        <w:t>Aboxoma</w:t>
      </w:r>
      <w:r>
        <w:rPr>
          <w:snapToGrid/>
          <w:szCs w:val="22"/>
          <w:lang w:val="lt-LT"/>
        </w:rPr>
        <w:t xml:space="preserve"> tabletes taip pat galima sutrinti ir ištirpinti 60 ml vandens arba G5W ir iš karto suleisti pro nazogastrinį zondą (žr. 5.2 skyrių).</w:t>
      </w:r>
    </w:p>
    <w:p w14:paraId="5AD5854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Sutrintos </w:t>
      </w:r>
      <w:r>
        <w:rPr>
          <w:snapToGrid/>
          <w:color w:val="000000"/>
          <w:szCs w:val="22"/>
          <w:lang w:val="lt-LT"/>
        </w:rPr>
        <w:t>Aboxoma</w:t>
      </w:r>
      <w:r>
        <w:rPr>
          <w:snapToGrid/>
          <w:szCs w:val="22"/>
          <w:lang w:val="lt-LT"/>
        </w:rPr>
        <w:t xml:space="preserve"> tabletės išlieka stabilios vandenyje, G5W, obuolių sultyse ir obuolių tyrėje iki 4 valandų.</w:t>
      </w:r>
    </w:p>
    <w:p w14:paraId="4C67DE52" w14:textId="77777777" w:rsidR="00890384" w:rsidRDefault="00890384">
      <w:pPr>
        <w:widowControl w:val="0"/>
        <w:tabs>
          <w:tab w:val="clear" w:pos="567"/>
        </w:tabs>
        <w:autoSpaceDE w:val="0"/>
        <w:autoSpaceDN w:val="0"/>
        <w:spacing w:line="240" w:lineRule="auto"/>
        <w:rPr>
          <w:snapToGrid/>
          <w:szCs w:val="22"/>
          <w:lang w:val="lt-LT"/>
        </w:rPr>
      </w:pPr>
    </w:p>
    <w:p w14:paraId="47C8D996"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4.3</w:t>
      </w:r>
      <w:r>
        <w:rPr>
          <w:b/>
          <w:snapToGrid/>
          <w:szCs w:val="22"/>
          <w:lang w:val="lt-LT"/>
        </w:rPr>
        <w:tab/>
        <w:t>Kontraindikacijos</w:t>
      </w:r>
    </w:p>
    <w:p w14:paraId="7F503B9C" w14:textId="77777777" w:rsidR="00890384" w:rsidRDefault="00890384">
      <w:pPr>
        <w:widowControl w:val="0"/>
        <w:tabs>
          <w:tab w:val="clear" w:pos="567"/>
        </w:tabs>
        <w:autoSpaceDE w:val="0"/>
        <w:autoSpaceDN w:val="0"/>
        <w:spacing w:line="240" w:lineRule="auto"/>
        <w:rPr>
          <w:b/>
          <w:snapToGrid/>
          <w:szCs w:val="22"/>
          <w:lang w:val="lt-LT"/>
        </w:rPr>
      </w:pPr>
    </w:p>
    <w:p w14:paraId="440BD3FF"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Padidėjęs jautrumas veikliajai arba bet kuriai 6.1 skyriuje nurodytai pagalbinei medžiagai.</w:t>
      </w:r>
    </w:p>
    <w:p w14:paraId="14D0AF16"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Aktyvus, kliniškai reikšmingas kraujavimas.</w:t>
      </w:r>
    </w:p>
    <w:p w14:paraId="24D9A37B"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Kepenų liga, susijusi su koaguliopatija ir kliniškai reikšminga kraujavimo rizika (žr. 5.2 skyrių).</w:t>
      </w:r>
    </w:p>
    <w:p w14:paraId="4C6159E8" w14:textId="77777777"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arba akių operacija, neseniai patirtas intrakranijinis kraujavimas, diagnozuotos arba įtariamos stemplės venų varikozės, arterioveninės malformacijos, kraujagyslių aneurizmos arba dideli galvos ar nugaros smegenyse esančių kraujagyslių pokyčiai. </w:t>
      </w:r>
    </w:p>
    <w:p w14:paraId="4DC30A46" w14:textId="266C96FE" w:rsidR="00890384" w:rsidRDefault="00B26795">
      <w:pPr>
        <w:widowControl w:val="0"/>
        <w:numPr>
          <w:ilvl w:val="0"/>
          <w:numId w:val="14"/>
        </w:numPr>
        <w:autoSpaceDE w:val="0"/>
        <w:autoSpaceDN w:val="0"/>
        <w:spacing w:line="240" w:lineRule="auto"/>
        <w:ind w:left="567"/>
        <w:rPr>
          <w:snapToGrid/>
          <w:szCs w:val="22"/>
          <w:lang w:val="lt-LT"/>
        </w:rPr>
      </w:pPr>
      <w:r>
        <w:rPr>
          <w:snapToGrid/>
          <w:szCs w:val="22"/>
          <w:lang w:val="lt-LT"/>
        </w:rPr>
        <w:t>Kartu taikomas gydymas kokiais nors kitais antikoaguliantais, pavyzdžiui: nefrakcionuotu heparinu (NFH), mažos molekulinės masės heparinais (enoksaparinu, dalteparinu ir kt.), heparino dariniais (fondaparinuksu ir kt.), per burną vartojamais antikoaguliantais (varfarinu, rivaroksabanu, dabigatrano eteksilatu ir kt.), išskyrus konkrečiomis aplinkybėmis, kai vienas antikoaguliantas keičiamas kitu (žr. 4.2 skyrių), kai skiriamos NFH dozės, kurios būtinos centrinės venos arba arterinio kateterio pralaidumo palaikymui arba kai skiriama NFH kateterinės abliacijos, atliekamos dėl prieširdžių virpėjimo, metu (žr. 4.4 ir 4.5 skyrius).</w:t>
      </w:r>
    </w:p>
    <w:p w14:paraId="4E6DF5F9" w14:textId="77777777" w:rsidR="00890384" w:rsidRDefault="00890384">
      <w:pPr>
        <w:widowControl w:val="0"/>
        <w:tabs>
          <w:tab w:val="clear" w:pos="567"/>
        </w:tabs>
        <w:autoSpaceDE w:val="0"/>
        <w:autoSpaceDN w:val="0"/>
        <w:spacing w:line="240" w:lineRule="auto"/>
        <w:rPr>
          <w:snapToGrid/>
          <w:szCs w:val="22"/>
          <w:lang w:val="lt-LT"/>
        </w:rPr>
      </w:pPr>
    </w:p>
    <w:p w14:paraId="6B82236D" w14:textId="77777777" w:rsidR="00890384" w:rsidRDefault="00B26795">
      <w:pPr>
        <w:widowControl w:val="0"/>
        <w:tabs>
          <w:tab w:val="clear" w:pos="567"/>
          <w:tab w:val="left" w:pos="0"/>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4.4</w:t>
      </w:r>
      <w:r>
        <w:rPr>
          <w:b/>
          <w:bCs/>
          <w:snapToGrid/>
          <w:szCs w:val="22"/>
          <w:lang w:val="lt-LT"/>
        </w:rPr>
        <w:tab/>
        <w:t>Specialūs įspėjimai ir atsargumo priemonės</w:t>
      </w:r>
    </w:p>
    <w:p w14:paraId="7A9601DB" w14:textId="77777777" w:rsidR="00890384" w:rsidRDefault="00890384">
      <w:pPr>
        <w:widowControl w:val="0"/>
        <w:tabs>
          <w:tab w:val="clear" w:pos="567"/>
        </w:tabs>
        <w:autoSpaceDE w:val="0"/>
        <w:autoSpaceDN w:val="0"/>
        <w:spacing w:line="240" w:lineRule="auto"/>
        <w:rPr>
          <w:b/>
          <w:snapToGrid/>
          <w:szCs w:val="22"/>
          <w:lang w:val="lt-LT"/>
        </w:rPr>
      </w:pPr>
    </w:p>
    <w:p w14:paraId="67D2391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Kraujavimo rizika</w:t>
      </w:r>
    </w:p>
    <w:p w14:paraId="06E56EB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Kaip ir vartojant kitų antikoaguliantų, apiksabano vartojančių pacientų būklę reikia atidžiai stebėti dėl kraujavimo požymių. Vaistinį preparatą rekomenduojama vartoti atsargiai pacientams, kuriems yra kraujavimo riziką galinčių didinti būklių. Jeigu pasireiškia stiprus kraujavimas, apiksabano vartojimą reikia nutraukti (žr. 4.8 ir 4.9 skyrius).</w:t>
      </w:r>
    </w:p>
    <w:p w14:paraId="2AD62FC3" w14:textId="77777777" w:rsidR="00890384" w:rsidRDefault="00890384">
      <w:pPr>
        <w:widowControl w:val="0"/>
        <w:tabs>
          <w:tab w:val="clear" w:pos="567"/>
        </w:tabs>
        <w:autoSpaceDE w:val="0"/>
        <w:autoSpaceDN w:val="0"/>
        <w:spacing w:line="240" w:lineRule="auto"/>
        <w:rPr>
          <w:snapToGrid/>
          <w:szCs w:val="22"/>
          <w:lang w:val="lt-LT"/>
        </w:rPr>
      </w:pPr>
    </w:p>
    <w:p w14:paraId="75F3234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mėginys (žr. 5.1 skyrių).</w:t>
      </w:r>
    </w:p>
    <w:p w14:paraId="0B9D5A06" w14:textId="77777777" w:rsidR="00890384" w:rsidRDefault="00890384">
      <w:pPr>
        <w:widowControl w:val="0"/>
        <w:tabs>
          <w:tab w:val="clear" w:pos="567"/>
        </w:tabs>
        <w:autoSpaceDE w:val="0"/>
        <w:autoSpaceDN w:val="0"/>
        <w:spacing w:line="240" w:lineRule="auto"/>
        <w:rPr>
          <w:snapToGrid/>
          <w:szCs w:val="22"/>
          <w:lang w:val="lt-LT"/>
        </w:rPr>
      </w:pPr>
    </w:p>
    <w:p w14:paraId="6642A140" w14:textId="7512B383" w:rsidR="00890384" w:rsidRDefault="00B26795">
      <w:pPr>
        <w:widowControl w:val="0"/>
        <w:tabs>
          <w:tab w:val="clear" w:pos="567"/>
        </w:tabs>
        <w:autoSpaceDE w:val="0"/>
        <w:autoSpaceDN w:val="0"/>
        <w:spacing w:line="240" w:lineRule="auto"/>
        <w:rPr>
          <w:snapToGrid/>
          <w:szCs w:val="22"/>
          <w:lang w:val="lt-LT"/>
        </w:rPr>
      </w:pPr>
      <w:r>
        <w:t>Suaugusiesiems galima skirti specifin</w:t>
      </w:r>
      <w:r w:rsidR="00632CA0">
        <w:t>io</w:t>
      </w:r>
      <w:r>
        <w:t xml:space="preserve"> neutralizuojan</w:t>
      </w:r>
      <w:r w:rsidR="00632CA0">
        <w:t>čio</w:t>
      </w:r>
      <w:r>
        <w:t xml:space="preserve"> vaistin</w:t>
      </w:r>
      <w:r w:rsidR="00632CA0">
        <w:t>io</w:t>
      </w:r>
      <w:r>
        <w:t xml:space="preserve"> preparat</w:t>
      </w:r>
      <w:r w:rsidR="00632CA0">
        <w:t>o</w:t>
      </w:r>
      <w:r>
        <w:t xml:space="preserve"> (andeksanet</w:t>
      </w:r>
      <w:r w:rsidR="00632CA0">
        <w:t>o</w:t>
      </w:r>
      <w:r>
        <w:t xml:space="preserve"> alfa), kuris slopina apiksabano farmakodinaminį poveikį. Tačiau jo saugumas ir veiksmingumas pacientams vaikams nenustatyti (žr. andeksaneto alfa preparato charakteristikų santrauką). Galima spręsti dėl švieži</w:t>
      </w:r>
      <w:r w:rsidR="00632CA0">
        <w:t>ai</w:t>
      </w:r>
      <w:r>
        <w:t xml:space="preserve"> šaldytos plazmos transfuzijos, protrombino komplekso koncentrato (PKK) arba rekombinantinio VIIa faktoriaus skyrimo. Tačiau nėra 4 faktorių PKK preparatų vartojimo klinikinėje praktikoje patirties, juos skiriant kraujavimui, kuris pasireiškė apiksaban</w:t>
      </w:r>
      <w:r w:rsidR="00632CA0">
        <w:t>o</w:t>
      </w:r>
      <w:r>
        <w:t xml:space="preserve"> vartojantiems vaikams ir suaugusiems pacientams, stabdyti.</w:t>
      </w:r>
    </w:p>
    <w:p w14:paraId="2530FBBA"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kitais vaistiniais preparatais, kurie veikia hemostazę</w:t>
      </w:r>
    </w:p>
    <w:p w14:paraId="6335E27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Dėl padidėjusios kraujavimo rizikos apiksabano negalima vartoti kartu su jokiais kitais antikoaguliantais (žr. 4.3 skyrių).</w:t>
      </w:r>
    </w:p>
    <w:p w14:paraId="253EC009" w14:textId="77777777" w:rsidR="00890384" w:rsidRDefault="00890384">
      <w:pPr>
        <w:widowControl w:val="0"/>
        <w:tabs>
          <w:tab w:val="clear" w:pos="567"/>
        </w:tabs>
        <w:autoSpaceDE w:val="0"/>
        <w:autoSpaceDN w:val="0"/>
        <w:spacing w:line="240" w:lineRule="auto"/>
        <w:rPr>
          <w:snapToGrid/>
          <w:szCs w:val="22"/>
          <w:lang w:val="lt-LT"/>
        </w:rPr>
      </w:pPr>
    </w:p>
    <w:p w14:paraId="7359DEF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Apiksabano vartojimas kartu su trombocitų funkciją slopinančiais vaistiniais preparatais didina kraujavimo </w:t>
      </w:r>
      <w:r>
        <w:rPr>
          <w:snapToGrid/>
          <w:szCs w:val="22"/>
          <w:lang w:val="lt-LT"/>
        </w:rPr>
        <w:lastRenderedPageBreak/>
        <w:t>riziką (žr. 4.5 skyrių).</w:t>
      </w:r>
    </w:p>
    <w:p w14:paraId="59CB0DA2" w14:textId="77777777" w:rsidR="00890384" w:rsidRDefault="00890384">
      <w:pPr>
        <w:widowControl w:val="0"/>
        <w:tabs>
          <w:tab w:val="clear" w:pos="567"/>
        </w:tabs>
        <w:autoSpaceDE w:val="0"/>
        <w:autoSpaceDN w:val="0"/>
        <w:spacing w:line="240" w:lineRule="auto"/>
        <w:rPr>
          <w:snapToGrid/>
          <w:szCs w:val="22"/>
          <w:lang w:val="lt-LT"/>
        </w:rPr>
      </w:pPr>
    </w:p>
    <w:p w14:paraId="5DD6D55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Reikia gydyti atsargiai, jeigu pacientas kartu yra gydomas selektyviaisiais serotonino reabsorbcijos inhibitoriais (SSRI), serotonino-norepinefrino reabsorbcijos inhibitoriais (SNRI) arba nesteroidiniais vaistais nuo uždegimo (NVNU), įskaitant acetilsalicilo rūgštį (ASR).</w:t>
      </w:r>
    </w:p>
    <w:p w14:paraId="15C3747A" w14:textId="77777777" w:rsidR="00890384" w:rsidRDefault="00890384">
      <w:pPr>
        <w:widowControl w:val="0"/>
        <w:tabs>
          <w:tab w:val="clear" w:pos="567"/>
        </w:tabs>
        <w:autoSpaceDE w:val="0"/>
        <w:autoSpaceDN w:val="0"/>
        <w:spacing w:line="240" w:lineRule="auto"/>
        <w:rPr>
          <w:snapToGrid/>
          <w:szCs w:val="22"/>
          <w:lang w:val="lt-LT"/>
        </w:rPr>
      </w:pPr>
    </w:p>
    <w:p w14:paraId="0658283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Po operacijos kitų trombocitų agregacijos inhibitorių vartoti kartu su apiksabanu nerekomenduojama (žr. 4.5 skyrių).</w:t>
      </w:r>
    </w:p>
    <w:p w14:paraId="7F0A984B" w14:textId="77777777" w:rsidR="00890384" w:rsidRDefault="00890384">
      <w:pPr>
        <w:widowControl w:val="0"/>
        <w:tabs>
          <w:tab w:val="clear" w:pos="567"/>
        </w:tabs>
        <w:autoSpaceDE w:val="0"/>
        <w:autoSpaceDN w:val="0"/>
        <w:spacing w:line="240" w:lineRule="auto"/>
        <w:rPr>
          <w:snapToGrid/>
          <w:szCs w:val="22"/>
          <w:lang w:val="lt-LT"/>
        </w:rPr>
      </w:pPr>
    </w:p>
    <w:p w14:paraId="548173C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kuriems pasireiškė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05445160" w14:textId="77777777" w:rsidR="00890384" w:rsidRDefault="00890384">
      <w:pPr>
        <w:widowControl w:val="0"/>
        <w:tabs>
          <w:tab w:val="clear" w:pos="567"/>
        </w:tabs>
        <w:autoSpaceDE w:val="0"/>
        <w:autoSpaceDN w:val="0"/>
        <w:spacing w:line="240" w:lineRule="auto"/>
        <w:rPr>
          <w:snapToGrid/>
          <w:szCs w:val="22"/>
          <w:lang w:val="lt-LT"/>
        </w:rPr>
      </w:pPr>
    </w:p>
    <w:p w14:paraId="28F2717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Klinikinio tyrimo su suaugusiais pacientais, kuriems pasireiškė prieširdžių virpėjimas, duomenimis, ASR vartojimas kartu padidino stipraus kraujavimo riziką vartojant apiksabano nuo 1,8 % per metus iki 3,4 % per metus ir padidino kraujavimo riziką vartojant varfarino nuo 2,7 % per metus iki 4,6 % per metus. Šio klinikinio tyrimo duomenimis, nedaug pacientų (2,1 %) buvo taikytas gydymas dviem trombocitų funkciją slopinančiais vaistiniais preparatais (žr. 5.1 skyrių).</w:t>
      </w:r>
    </w:p>
    <w:p w14:paraId="77F6E446" w14:textId="77777777" w:rsidR="00890384" w:rsidRDefault="00890384">
      <w:pPr>
        <w:widowControl w:val="0"/>
        <w:tabs>
          <w:tab w:val="clear" w:pos="567"/>
        </w:tabs>
        <w:autoSpaceDE w:val="0"/>
        <w:autoSpaceDN w:val="0"/>
        <w:spacing w:line="240" w:lineRule="auto"/>
        <w:rPr>
          <w:snapToGrid/>
          <w:szCs w:val="22"/>
          <w:lang w:val="lt-LT"/>
        </w:rPr>
      </w:pPr>
    </w:p>
    <w:p w14:paraId="55A044A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Klinikiniame tyrime dalyvavo pacientai, kuriems pasireiškė prieširdžių virpėjimas ir kurie sirgo ŪKS, ir (arba) kuriems atlikta PVAI ir taikytas planinis 6 mėnesių trukmės gydymo laikotarpis P2Y12 inhibitoriumi (su ASR arba be jos) ir per burną vartojamu antikoaguliantu (apiksabanu arba VKA). Kartu vartojant ASR, stipraus kraujavimo pagal tarptautinės trombozės ir hemostazės asociacijos (angl. </w:t>
      </w:r>
      <w:r>
        <w:rPr>
          <w:i/>
          <w:snapToGrid/>
          <w:szCs w:val="22"/>
          <w:lang w:val="lt-LT"/>
        </w:rPr>
        <w:t xml:space="preserve">International Society on Thrombosis and Hemostasis, </w:t>
      </w:r>
      <w:r>
        <w:rPr>
          <w:iCs/>
          <w:snapToGrid/>
          <w:szCs w:val="22"/>
          <w:lang w:val="lt-LT"/>
        </w:rPr>
        <w:t>ISTH</w:t>
      </w:r>
      <w:r>
        <w:rPr>
          <w:snapToGrid/>
          <w:szCs w:val="22"/>
          <w:lang w:val="lt-LT"/>
        </w:rPr>
        <w:t>) klasifikaciją arba kliniškai reikšmingo nestipraus (KRNS) kraujavimo rizika apiksabanu gydytiems pacientams padidėjo nuo 16,4 % per metus iki 33,1 % per metus (žr. 5.1 skyrių).</w:t>
      </w:r>
    </w:p>
    <w:p w14:paraId="00773C0D" w14:textId="77777777" w:rsidR="00890384" w:rsidRDefault="00890384">
      <w:pPr>
        <w:widowControl w:val="0"/>
        <w:tabs>
          <w:tab w:val="clear" w:pos="567"/>
        </w:tabs>
        <w:autoSpaceDE w:val="0"/>
        <w:autoSpaceDN w:val="0"/>
        <w:spacing w:line="240" w:lineRule="auto"/>
        <w:rPr>
          <w:snapToGrid/>
          <w:szCs w:val="22"/>
          <w:lang w:val="lt-LT"/>
        </w:rPr>
      </w:pPr>
    </w:p>
    <w:p w14:paraId="79476FB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Klinikinio tyrimo su didelės rizikos grupės pacientais, patyrusiais ūminį koronarinį sindromą nepasireiškiant prieširdžių virpėjimui, kurie kartu sirgo įvairiomis širdies ir ne širdies ligomis bei vartojo ASR arba ASR kartu su klopidogreliu, duomenimis, buvo pranešta apie reikšmingą stipraus kraujavimo pagal ISTH rizikos padidėjimą vartojant apiksabaną (5,13 % per metus), palyginti su placebu (2,04 % per metus).</w:t>
      </w:r>
    </w:p>
    <w:p w14:paraId="44960478" w14:textId="77777777" w:rsidR="00890384" w:rsidRDefault="00890384">
      <w:pPr>
        <w:widowControl w:val="0"/>
        <w:tabs>
          <w:tab w:val="clear" w:pos="567"/>
        </w:tabs>
        <w:autoSpaceDE w:val="0"/>
        <w:autoSpaceDN w:val="0"/>
        <w:spacing w:line="240" w:lineRule="auto"/>
      </w:pPr>
    </w:p>
    <w:p w14:paraId="4A364323" w14:textId="697DAF4F" w:rsidR="00890384" w:rsidRDefault="00B26795">
      <w:pPr>
        <w:widowControl w:val="0"/>
        <w:tabs>
          <w:tab w:val="clear" w:pos="567"/>
        </w:tabs>
        <w:autoSpaceDE w:val="0"/>
        <w:autoSpaceDN w:val="0"/>
        <w:spacing w:line="240" w:lineRule="auto"/>
      </w:pPr>
      <w:r>
        <w:t>Tyrimo CV185325 metu 12 pacientų vaikų, kurie vienu metu buvo gydomi apiksabanu ir ASR</w:t>
      </w:r>
      <w:r w:rsidR="003453F5">
        <w:t> </w:t>
      </w:r>
      <w:r>
        <w:t>≤ 165 mg per parą, kliniškai svarbių kraujavimo reiškinių nenustatyta.</w:t>
      </w:r>
    </w:p>
    <w:p w14:paraId="1EBA83DD" w14:textId="77777777" w:rsidR="00890384" w:rsidRDefault="00890384">
      <w:pPr>
        <w:widowControl w:val="0"/>
        <w:tabs>
          <w:tab w:val="clear" w:pos="567"/>
        </w:tabs>
        <w:autoSpaceDE w:val="0"/>
        <w:autoSpaceDN w:val="0"/>
        <w:spacing w:line="240" w:lineRule="auto"/>
        <w:rPr>
          <w:snapToGrid/>
          <w:szCs w:val="22"/>
          <w:lang w:val="lt-LT"/>
        </w:rPr>
      </w:pPr>
    </w:p>
    <w:p w14:paraId="74616935"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Trombolizinių vaistinių preparatų vartojimas ūminio išeminio insulto gydymui</w:t>
      </w:r>
    </w:p>
    <w:p w14:paraId="580E11B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Duomenų, apie trombolizinių vaistinių preparatų vartojimo patirtį su pacientais, ūminio išeminio insulto gydymui vartojančiais apiksabaną, nepakanka (žr. 4.5 skyrių).</w:t>
      </w:r>
    </w:p>
    <w:p w14:paraId="2ECB4053" w14:textId="77777777" w:rsidR="00890384" w:rsidRDefault="00890384">
      <w:pPr>
        <w:widowControl w:val="0"/>
        <w:tabs>
          <w:tab w:val="clear" w:pos="567"/>
        </w:tabs>
        <w:autoSpaceDE w:val="0"/>
        <w:autoSpaceDN w:val="0"/>
        <w:spacing w:line="240" w:lineRule="auto"/>
      </w:pPr>
    </w:p>
    <w:p w14:paraId="466F80A0" w14:textId="77777777" w:rsidR="00890384" w:rsidRDefault="00B26795">
      <w:pPr>
        <w:widowControl w:val="0"/>
        <w:tabs>
          <w:tab w:val="clear" w:pos="567"/>
        </w:tabs>
        <w:autoSpaceDE w:val="0"/>
        <w:autoSpaceDN w:val="0"/>
        <w:spacing w:line="240" w:lineRule="auto"/>
      </w:pPr>
      <w:r>
        <w:t>Apiksabanas netirtas pacientams vaikams, kuriems protezuoti širdies vožtuvai, todėl vartoti apiksabano nerekomenduojama.</w:t>
      </w:r>
    </w:p>
    <w:p w14:paraId="3EA6571D" w14:textId="77777777" w:rsidR="00890384" w:rsidRDefault="00890384">
      <w:pPr>
        <w:widowControl w:val="0"/>
        <w:tabs>
          <w:tab w:val="clear" w:pos="567"/>
        </w:tabs>
        <w:autoSpaceDE w:val="0"/>
        <w:autoSpaceDN w:val="0"/>
        <w:spacing w:line="240" w:lineRule="auto"/>
        <w:rPr>
          <w:snapToGrid/>
          <w:szCs w:val="22"/>
          <w:lang w:val="lt-LT"/>
        </w:rPr>
      </w:pPr>
    </w:p>
    <w:p w14:paraId="0E68B6F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Pacientai, kuriems protezuoti širdies vožtuvai</w:t>
      </w:r>
    </w:p>
    <w:p w14:paraId="6240343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saugumas ir veiksmingumas nebuvo tirti pacientams, kuriems protezuoti širdies vožtuvai ir pasireiškė arba nepasireiškė prieširdžių virpėjimas. Todėl šiai grupei apiksabano skirti nerekomenduojama.</w:t>
      </w:r>
    </w:p>
    <w:p w14:paraId="541FFFF1" w14:textId="77777777" w:rsidR="00890384" w:rsidRDefault="00890384">
      <w:pPr>
        <w:widowControl w:val="0"/>
        <w:tabs>
          <w:tab w:val="clear" w:pos="567"/>
        </w:tabs>
        <w:autoSpaceDE w:val="0"/>
        <w:autoSpaceDN w:val="0"/>
        <w:spacing w:line="240" w:lineRule="auto"/>
        <w:rPr>
          <w:snapToGrid/>
          <w:szCs w:val="22"/>
          <w:lang w:val="lt-LT"/>
        </w:rPr>
      </w:pPr>
    </w:p>
    <w:p w14:paraId="6AAA91D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Antifosfolipidiniu sindromu sergantys pacientai</w:t>
      </w:r>
    </w:p>
    <w:p w14:paraId="2CAA0EB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Tiesioginio poveikio geriamieji antikoaguliantai (TPGA), įskaitant apiksabaną,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 glikoproteino I antikūnai), tromboziniai reiškiniai gali pasikartoti dažniau, nei taikant vitamino K antagonistų terapiją.</w:t>
      </w:r>
    </w:p>
    <w:p w14:paraId="130471DB" w14:textId="77777777" w:rsidR="00890384" w:rsidRDefault="00890384">
      <w:pPr>
        <w:widowControl w:val="0"/>
        <w:tabs>
          <w:tab w:val="clear" w:pos="567"/>
        </w:tabs>
        <w:autoSpaceDE w:val="0"/>
        <w:autoSpaceDN w:val="0"/>
        <w:spacing w:line="240" w:lineRule="auto"/>
        <w:rPr>
          <w:snapToGrid/>
          <w:szCs w:val="22"/>
          <w:lang w:val="lt-LT"/>
        </w:rPr>
      </w:pPr>
    </w:p>
    <w:p w14:paraId="2C90A870"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Chirurginės operacijos ir invazinės procedūros</w:t>
      </w:r>
    </w:p>
    <w:p w14:paraId="449AAE4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7D1C883F" w14:textId="77777777" w:rsidR="00890384" w:rsidRDefault="00890384">
      <w:pPr>
        <w:widowControl w:val="0"/>
        <w:tabs>
          <w:tab w:val="clear" w:pos="567"/>
        </w:tabs>
        <w:autoSpaceDE w:val="0"/>
        <w:autoSpaceDN w:val="0"/>
        <w:spacing w:line="240" w:lineRule="auto"/>
        <w:rPr>
          <w:snapToGrid/>
          <w:szCs w:val="22"/>
          <w:lang w:val="lt-LT"/>
        </w:rPr>
      </w:pPr>
    </w:p>
    <w:p w14:paraId="4AA3CA6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Apiksabano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0898B274" w14:textId="77777777" w:rsidR="00890384" w:rsidRDefault="00890384">
      <w:pPr>
        <w:widowControl w:val="0"/>
        <w:tabs>
          <w:tab w:val="clear" w:pos="567"/>
        </w:tabs>
        <w:autoSpaceDE w:val="0"/>
        <w:autoSpaceDN w:val="0"/>
        <w:spacing w:line="240" w:lineRule="auto"/>
        <w:rPr>
          <w:snapToGrid/>
          <w:szCs w:val="22"/>
          <w:lang w:val="lt-LT"/>
        </w:rPr>
      </w:pPr>
    </w:p>
    <w:p w14:paraId="6502C83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6C87333" w14:textId="77777777" w:rsidR="00890384" w:rsidRDefault="00890384">
      <w:pPr>
        <w:widowControl w:val="0"/>
        <w:tabs>
          <w:tab w:val="clear" w:pos="567"/>
        </w:tabs>
        <w:autoSpaceDE w:val="0"/>
        <w:autoSpaceDN w:val="0"/>
        <w:spacing w:line="240" w:lineRule="auto"/>
        <w:rPr>
          <w:snapToGrid/>
          <w:szCs w:val="22"/>
          <w:lang w:val="lt-LT"/>
        </w:rPr>
      </w:pPr>
    </w:p>
    <w:p w14:paraId="42F8375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vartojimą po invazinės procedūros arba operacinės intervencijos reikia atnaujinti iš karto, kai tik leidžia klinikinės aplinkybės ir pasiekiama reikiama hemostazė (apie kardioversiją žr. 4.2 skyriuje).</w:t>
      </w:r>
    </w:p>
    <w:p w14:paraId="47707101" w14:textId="77777777" w:rsidR="00890384" w:rsidRDefault="00890384">
      <w:pPr>
        <w:widowControl w:val="0"/>
        <w:tabs>
          <w:tab w:val="clear" w:pos="567"/>
        </w:tabs>
        <w:autoSpaceDE w:val="0"/>
        <w:autoSpaceDN w:val="0"/>
        <w:spacing w:line="240" w:lineRule="auto"/>
        <w:rPr>
          <w:snapToGrid/>
          <w:szCs w:val="22"/>
          <w:lang w:val="lt-LT"/>
        </w:rPr>
      </w:pPr>
    </w:p>
    <w:p w14:paraId="3FAC102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kuriems atliekama kateterinė abliacija dėl prieširdžių virpėjimo, gydymo apiksabanu nutraukti nereikia (žr. 4.2, 4.3 ir 4.5 skyrius).</w:t>
      </w:r>
    </w:p>
    <w:p w14:paraId="46F37085" w14:textId="77777777" w:rsidR="00890384" w:rsidRDefault="00890384">
      <w:pPr>
        <w:widowControl w:val="0"/>
        <w:tabs>
          <w:tab w:val="clear" w:pos="567"/>
        </w:tabs>
        <w:autoSpaceDE w:val="0"/>
        <w:autoSpaceDN w:val="0"/>
        <w:spacing w:line="240" w:lineRule="auto"/>
        <w:rPr>
          <w:snapToGrid/>
          <w:szCs w:val="22"/>
          <w:lang w:val="lt-LT"/>
        </w:rPr>
      </w:pPr>
    </w:p>
    <w:p w14:paraId="04307071"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Laikinas vaistinio preparato vartojimo sustabdymas</w:t>
      </w:r>
    </w:p>
    <w:p w14:paraId="5156558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apiksabanu, gydymas turi būti atnaujintas iš karto, kai tik bus įmanoma.</w:t>
      </w:r>
    </w:p>
    <w:p w14:paraId="781BD18A" w14:textId="77777777" w:rsidR="00890384" w:rsidRDefault="00890384">
      <w:pPr>
        <w:widowControl w:val="0"/>
        <w:tabs>
          <w:tab w:val="clear" w:pos="567"/>
        </w:tabs>
        <w:autoSpaceDE w:val="0"/>
        <w:autoSpaceDN w:val="0"/>
        <w:spacing w:line="240" w:lineRule="auto"/>
        <w:rPr>
          <w:snapToGrid/>
          <w:szCs w:val="22"/>
          <w:u w:val="single"/>
          <w:lang w:val="lt-LT"/>
        </w:rPr>
      </w:pPr>
    </w:p>
    <w:p w14:paraId="5E428F7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Spinalinė/epidurinė anestezija arba punkcija</w:t>
      </w:r>
    </w:p>
    <w:p w14:paraId="3A87D86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neuroaksialinę anesteziją (spinalinę/epidurinę anesteziją) arba spinalinę/epidurinę punkciją, antitrombozinius vaistinius preparatus tromboembolinių komplikacijų profilaktikai vartojantiems pacientams yra 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būtina neatidėliotina diagnostika ir gydymas. Prieš neuroaksialinę intervenciją gydytojas turi įvertinti laukiamos naudos ir rizikos santykį pacientams, kuriems taikomas antikoaguliacinis gydymas, arba pacientams, kuriems bus taikomas antikoaguliacinis gydymas trombozių profilaktikai.</w:t>
      </w:r>
    </w:p>
    <w:p w14:paraId="0886868C" w14:textId="77777777" w:rsidR="00890384" w:rsidRDefault="00890384">
      <w:pPr>
        <w:widowControl w:val="0"/>
        <w:tabs>
          <w:tab w:val="clear" w:pos="567"/>
        </w:tabs>
        <w:autoSpaceDE w:val="0"/>
        <w:autoSpaceDN w:val="0"/>
        <w:spacing w:line="240" w:lineRule="auto"/>
        <w:rPr>
          <w:snapToGrid/>
          <w:szCs w:val="22"/>
          <w:lang w:val="lt-LT"/>
        </w:rPr>
      </w:pPr>
    </w:p>
    <w:p w14:paraId="2BE45E2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Klinikinės apiksabano vartojimo patirties, naudojant nuolatinius intratekalinius ar epidurinius kateterius, nėra. Jeigu yra tokia būtinybė, atsižvelgiant į bendrąsias apiksabano farmakokinetines (FK) savybes, po paskutiniosios apiksabano dozės pavartojimo iki kateterio ištraukimo turi praeiti ne mažiau kaip 20–30 valandų (t. y., 2 x pusinės eliminacijos laikas) ir, prieš ištraukiant kateterį, reikia praleisti mažiausiai vieną dozę. Kitą apiksabano dozę galima skirti praėjus ne mažiau kaip 5 valandoms po kateterio ištraukimo. Kaip ir vartojant visus kitus naujuosius antikoaguliacinius vaistinius preparatus, patirtis taikant neuroaksialinę blokadą yra ribota, todėl atliekant tokią blokadą, apiksabaną rekomenduojama vartoti labai atsargiai.</w:t>
      </w:r>
    </w:p>
    <w:p w14:paraId="72FC1DCF" w14:textId="77777777" w:rsidR="00890384" w:rsidRDefault="00890384">
      <w:pPr>
        <w:widowControl w:val="0"/>
        <w:tabs>
          <w:tab w:val="clear" w:pos="567"/>
        </w:tabs>
        <w:autoSpaceDE w:val="0"/>
        <w:autoSpaceDN w:val="0"/>
        <w:spacing w:line="240" w:lineRule="auto"/>
      </w:pPr>
    </w:p>
    <w:p w14:paraId="4D1077C6" w14:textId="4F84AF7D" w:rsidR="00890384" w:rsidRDefault="00B26795">
      <w:pPr>
        <w:widowControl w:val="0"/>
        <w:tabs>
          <w:tab w:val="clear" w:pos="567"/>
        </w:tabs>
        <w:autoSpaceDE w:val="0"/>
        <w:autoSpaceDN w:val="0"/>
        <w:spacing w:line="240" w:lineRule="auto"/>
      </w:pPr>
      <w:r>
        <w:t xml:space="preserve">Duomenų apie laidinės anestezijos kateterio </w:t>
      </w:r>
      <w:r w:rsidR="003453F5">
        <w:t>įvedimo</w:t>
      </w:r>
      <w:r>
        <w:t xml:space="preserve"> arba ištraukimo laiką apiksaban</w:t>
      </w:r>
      <w:r w:rsidR="003453F5">
        <w:t>o</w:t>
      </w:r>
      <w:r>
        <w:t xml:space="preserve"> vartojantiems pacientams vaikams nėra. Tokiais atvejais reikia nutraukti apiksabano vartojimą ir apsvarstyti galimybę skirti trumpo poveikio parenterinį antikoaguliantą.</w:t>
      </w:r>
    </w:p>
    <w:p w14:paraId="0BCFBE3A" w14:textId="77777777" w:rsidR="00890384" w:rsidRDefault="00890384">
      <w:pPr>
        <w:widowControl w:val="0"/>
        <w:tabs>
          <w:tab w:val="clear" w:pos="567"/>
        </w:tabs>
        <w:autoSpaceDE w:val="0"/>
        <w:autoSpaceDN w:val="0"/>
        <w:spacing w:line="240" w:lineRule="auto"/>
        <w:rPr>
          <w:snapToGrid/>
          <w:szCs w:val="22"/>
          <w:lang w:val="lt-LT"/>
        </w:rPr>
      </w:pPr>
    </w:p>
    <w:p w14:paraId="3BC15BA3"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PE sergantys pacientai, kurių nestabili hemodinamika, arba pacientai, kuriems būtina trombolizė arba plaučių embolektomija</w:t>
      </w:r>
    </w:p>
    <w:p w14:paraId="03E5484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Gydant plaučių embolija sergančius pacientus, kurių yra nestabili hemodinamika arba kuriems gali būti taikoma trombolizė ar plaučių embolektomija, apiksabano nerekomenduojama skirti vietoje nefrakcionuoto heparino, nes apiksabano veiksmingumas ir saugumas šiomis klinikinėmis aplinkybėmis neištirti.</w:t>
      </w:r>
    </w:p>
    <w:p w14:paraId="0E12408F" w14:textId="77777777" w:rsidR="00890384" w:rsidRDefault="00890384">
      <w:pPr>
        <w:widowControl w:val="0"/>
        <w:tabs>
          <w:tab w:val="clear" w:pos="567"/>
        </w:tabs>
        <w:autoSpaceDE w:val="0"/>
        <w:autoSpaceDN w:val="0"/>
        <w:spacing w:line="240" w:lineRule="auto"/>
        <w:rPr>
          <w:snapToGrid/>
          <w:szCs w:val="22"/>
          <w:lang w:val="lt-LT"/>
        </w:rPr>
      </w:pPr>
    </w:p>
    <w:p w14:paraId="6D4357FB"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Pacientai, kurie serga aktyviu vėžiu</w:t>
      </w:r>
    </w:p>
    <w:p w14:paraId="4B93349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Aktyviu vėžiu sergantiems pacientams gali būti didelė venų tromboembolijos ir kraujavimo rizika. Kai svarstoma dėl vėžiu sergančių pacientų GVT ar PE gydymo apiksabanu, reikia atidžiai įvertinti naudos ir rizikos santykį (taip pat žr. 4.3 skyrių).</w:t>
      </w:r>
    </w:p>
    <w:p w14:paraId="6954663B" w14:textId="77777777" w:rsidR="00890384" w:rsidRDefault="00890384">
      <w:pPr>
        <w:widowControl w:val="0"/>
        <w:tabs>
          <w:tab w:val="clear" w:pos="567"/>
        </w:tabs>
        <w:autoSpaceDE w:val="0"/>
        <w:autoSpaceDN w:val="0"/>
        <w:spacing w:line="240" w:lineRule="auto"/>
        <w:rPr>
          <w:snapToGrid/>
          <w:szCs w:val="22"/>
          <w:lang w:val="lt-LT"/>
        </w:rPr>
      </w:pPr>
    </w:p>
    <w:p w14:paraId="65E2D12E"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lastRenderedPageBreak/>
        <w:t>Pacientai, kurių inkstų funkcija sutrikusi</w:t>
      </w:r>
    </w:p>
    <w:p w14:paraId="23ED868D" w14:textId="77777777" w:rsidR="006C1E5F" w:rsidRDefault="006C1E5F">
      <w:pPr>
        <w:widowControl w:val="0"/>
        <w:tabs>
          <w:tab w:val="clear" w:pos="567"/>
        </w:tabs>
        <w:autoSpaceDE w:val="0"/>
        <w:autoSpaceDN w:val="0"/>
        <w:spacing w:line="240" w:lineRule="auto"/>
        <w:rPr>
          <w:snapToGrid/>
          <w:szCs w:val="22"/>
          <w:lang w:val="lt-LT"/>
        </w:rPr>
      </w:pPr>
    </w:p>
    <w:p w14:paraId="497FB331" w14:textId="77777777" w:rsidR="00890384" w:rsidRDefault="00B26795">
      <w:pPr>
        <w:widowControl w:val="0"/>
        <w:tabs>
          <w:tab w:val="clear" w:pos="567"/>
        </w:tabs>
        <w:autoSpaceDE w:val="0"/>
        <w:autoSpaceDN w:val="0"/>
        <w:spacing w:line="240" w:lineRule="auto"/>
        <w:rPr>
          <w:i/>
          <w:iCs/>
        </w:rPr>
      </w:pPr>
      <w:r>
        <w:rPr>
          <w:i/>
          <w:iCs/>
        </w:rPr>
        <w:t>Suaugę pacientai</w:t>
      </w:r>
    </w:p>
    <w:p w14:paraId="430A44B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Riboti klinikiniai duomenys rodo, kad pacientams, kuriems yra sunkus inkstų funkcijos sutrikimas (kreatinino klirensas yra 15–29 ml/min.), padidėja apiksabano koncentracija kraujo plazmoje ir tai gali padidinti kraujavimo riziką. GVT gydymui, PE gydymui ir pasikartojančios GVT ir PE profilaktikai (VTEt) apiksabaną reikia vartoti atsargiai pacientams, kuriems yra sunkus inkstų funkcijos sutrikimas (kreatinino klirensas yra 15–29 ml/min.) (žr. 4.2 ir 5.2 skyrius).</w:t>
      </w:r>
    </w:p>
    <w:p w14:paraId="7BFA886D" w14:textId="77777777" w:rsidR="00890384" w:rsidRDefault="00890384">
      <w:pPr>
        <w:widowControl w:val="0"/>
        <w:tabs>
          <w:tab w:val="clear" w:pos="567"/>
        </w:tabs>
        <w:autoSpaceDE w:val="0"/>
        <w:autoSpaceDN w:val="0"/>
        <w:spacing w:line="240" w:lineRule="auto"/>
        <w:rPr>
          <w:snapToGrid/>
          <w:szCs w:val="22"/>
          <w:lang w:val="lt-LT"/>
        </w:rPr>
      </w:pPr>
    </w:p>
    <w:p w14:paraId="5550B20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profilaktikai pacientams, kuriems pasireiškia VNPV, pacientams, kuriems yra sunkus inkstų funkcijos sutrikimas (kreatinino klirensas yra 15–29 ml/min.), ir pacientams, kurių kreatinino koncentracija kraujo serume yra ≥ 1,5 mg/dl (133 mikromoliai/l) ir jiems yra ≥ 80 metų arba jų kūno svoris ≤ 60 kg, reikia skirti mažesniąją 2,5 mg apiksabano dozę du kartus per parą (žr. 4.2 skyrių).</w:t>
      </w:r>
    </w:p>
    <w:p w14:paraId="13CAE79A" w14:textId="77777777" w:rsidR="00890384" w:rsidRDefault="00890384">
      <w:pPr>
        <w:widowControl w:val="0"/>
        <w:tabs>
          <w:tab w:val="clear" w:pos="567"/>
        </w:tabs>
        <w:autoSpaceDE w:val="0"/>
        <w:autoSpaceDN w:val="0"/>
        <w:spacing w:line="240" w:lineRule="auto"/>
        <w:rPr>
          <w:snapToGrid/>
          <w:szCs w:val="22"/>
          <w:lang w:val="lt-LT"/>
        </w:rPr>
      </w:pPr>
    </w:p>
    <w:p w14:paraId="6A23BAB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Pacientų, kurių kreatinino klirensas yra &lt; 15 ml/min. ar kuriems atliekamos dializės, gydymo šiuo vaistiniu preparatu patirties nėra, todėl jiems apiksabano vartoti nerekomenduojama (žr. 4.2 ir 5.2 skyrius).</w:t>
      </w:r>
    </w:p>
    <w:p w14:paraId="77BFBC8C" w14:textId="77777777" w:rsidR="00890384" w:rsidRDefault="00890384">
      <w:pPr>
        <w:widowControl w:val="0"/>
        <w:tabs>
          <w:tab w:val="clear" w:pos="567"/>
        </w:tabs>
        <w:autoSpaceDE w:val="0"/>
        <w:autoSpaceDN w:val="0"/>
        <w:spacing w:line="240" w:lineRule="auto"/>
        <w:rPr>
          <w:i/>
          <w:iCs/>
        </w:rPr>
      </w:pPr>
    </w:p>
    <w:p w14:paraId="11B1498A" w14:textId="77777777" w:rsidR="00890384" w:rsidRDefault="00B26795">
      <w:pPr>
        <w:widowControl w:val="0"/>
        <w:tabs>
          <w:tab w:val="clear" w:pos="567"/>
        </w:tabs>
        <w:autoSpaceDE w:val="0"/>
        <w:autoSpaceDN w:val="0"/>
        <w:spacing w:line="240" w:lineRule="auto"/>
        <w:rPr>
          <w:i/>
          <w:iCs/>
        </w:rPr>
      </w:pPr>
      <w:r>
        <w:rPr>
          <w:i/>
          <w:iCs/>
        </w:rPr>
        <w:t>Pacientai vaikai</w:t>
      </w:r>
    </w:p>
    <w:p w14:paraId="595EDE37" w14:textId="77777777" w:rsidR="00890384" w:rsidRDefault="00B26795">
      <w:pPr>
        <w:widowControl w:val="0"/>
        <w:tabs>
          <w:tab w:val="clear" w:pos="567"/>
        </w:tabs>
        <w:autoSpaceDE w:val="0"/>
        <w:autoSpaceDN w:val="0"/>
        <w:spacing w:line="240" w:lineRule="auto"/>
      </w:pPr>
      <w:r>
        <w:t>Gydymas pacientams vaikams, kuriems nustatytas sunkus inkstų funkcijos sutrikimas, netirtas, todėl jiems apiksabano vartoti negalima (žr. 4.2 ir 5.2 skyrius).</w:t>
      </w:r>
    </w:p>
    <w:p w14:paraId="277FCED4" w14:textId="77777777" w:rsidR="00890384" w:rsidRDefault="00890384">
      <w:pPr>
        <w:widowControl w:val="0"/>
        <w:tabs>
          <w:tab w:val="clear" w:pos="567"/>
        </w:tabs>
        <w:autoSpaceDE w:val="0"/>
        <w:autoSpaceDN w:val="0"/>
        <w:spacing w:line="240" w:lineRule="auto"/>
        <w:rPr>
          <w:snapToGrid/>
          <w:szCs w:val="22"/>
          <w:lang w:val="lt-LT"/>
        </w:rPr>
      </w:pPr>
    </w:p>
    <w:p w14:paraId="6D2E759A"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2A6285F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Vyresnis amžius gali padidinti kraujavimo riziką (žr. 5.2 skyrių).</w:t>
      </w:r>
    </w:p>
    <w:p w14:paraId="20B91EBB" w14:textId="77777777" w:rsidR="00890384" w:rsidRDefault="00890384">
      <w:pPr>
        <w:widowControl w:val="0"/>
        <w:tabs>
          <w:tab w:val="clear" w:pos="567"/>
        </w:tabs>
        <w:autoSpaceDE w:val="0"/>
        <w:autoSpaceDN w:val="0"/>
        <w:spacing w:line="240" w:lineRule="auto"/>
        <w:rPr>
          <w:snapToGrid/>
          <w:szCs w:val="22"/>
          <w:lang w:val="lt-LT"/>
        </w:rPr>
      </w:pPr>
    </w:p>
    <w:p w14:paraId="78DCBDE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Be to, apiksabaną vartoti kartu su ASR senyviems pacientams reikia atsargiai, nes gali būti didesnė kraujavimo rizika.</w:t>
      </w:r>
    </w:p>
    <w:p w14:paraId="476E3C2E" w14:textId="77777777" w:rsidR="00890384" w:rsidRDefault="00890384">
      <w:pPr>
        <w:widowControl w:val="0"/>
        <w:tabs>
          <w:tab w:val="clear" w:pos="567"/>
        </w:tabs>
        <w:autoSpaceDE w:val="0"/>
        <w:autoSpaceDN w:val="0"/>
        <w:spacing w:line="240" w:lineRule="auto"/>
        <w:rPr>
          <w:snapToGrid/>
          <w:szCs w:val="22"/>
          <w:lang w:val="lt-LT"/>
        </w:rPr>
      </w:pPr>
    </w:p>
    <w:p w14:paraId="6B0794E3"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1CE7C30D" w14:textId="304D34FD"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Suaugusiesiems mažesnis kūno svoris (&lt; 60 kg) gali padidinti kraujavimo riziką (žr. 5.2 skyrių). </w:t>
      </w:r>
    </w:p>
    <w:p w14:paraId="0232837F" w14:textId="77777777" w:rsidR="00890384" w:rsidRDefault="00890384">
      <w:pPr>
        <w:widowControl w:val="0"/>
        <w:tabs>
          <w:tab w:val="clear" w:pos="567"/>
        </w:tabs>
        <w:autoSpaceDE w:val="0"/>
        <w:autoSpaceDN w:val="0"/>
        <w:spacing w:line="240" w:lineRule="auto"/>
        <w:rPr>
          <w:snapToGrid/>
          <w:szCs w:val="22"/>
          <w:lang w:val="lt-LT"/>
        </w:rPr>
      </w:pPr>
    </w:p>
    <w:p w14:paraId="66EB5455"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kepenų funkcija sutrikusi</w:t>
      </w:r>
    </w:p>
    <w:p w14:paraId="6D0F3FB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negalima vartoti pacientams, kurie serga su koaguliopatija ar kliniškai reikšminga kraujavimo rizika susijusia kepenų liga (žr. 4.3 skyrių).</w:t>
      </w:r>
    </w:p>
    <w:p w14:paraId="7D0CEDA1" w14:textId="77777777" w:rsidR="00890384" w:rsidRDefault="00890384">
      <w:pPr>
        <w:widowControl w:val="0"/>
        <w:tabs>
          <w:tab w:val="clear" w:pos="567"/>
        </w:tabs>
        <w:autoSpaceDE w:val="0"/>
        <w:autoSpaceDN w:val="0"/>
        <w:spacing w:line="240" w:lineRule="auto"/>
        <w:rPr>
          <w:snapToGrid/>
          <w:szCs w:val="22"/>
          <w:lang w:val="lt-LT"/>
        </w:rPr>
      </w:pPr>
    </w:p>
    <w:p w14:paraId="74052DB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5.2 skyrių).</w:t>
      </w:r>
    </w:p>
    <w:p w14:paraId="05B721BE" w14:textId="77777777" w:rsidR="00890384" w:rsidRDefault="00890384">
      <w:pPr>
        <w:widowControl w:val="0"/>
        <w:tabs>
          <w:tab w:val="clear" w:pos="567"/>
        </w:tabs>
        <w:autoSpaceDE w:val="0"/>
        <w:autoSpaceDN w:val="0"/>
        <w:spacing w:line="240" w:lineRule="auto"/>
        <w:rPr>
          <w:snapToGrid/>
          <w:szCs w:val="22"/>
          <w:lang w:val="lt-LT"/>
        </w:rPr>
      </w:pPr>
    </w:p>
    <w:p w14:paraId="5D96374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Vaistinį preparatą reikėtų atsargiai vartoti pacientams, kuriems yra lengvas ar vidutinio sunkumo kepenų funkcijos sutrikimas (A arba B klasės pagal </w:t>
      </w:r>
      <w:r>
        <w:rPr>
          <w:i/>
          <w:snapToGrid/>
          <w:szCs w:val="22"/>
          <w:lang w:val="lt-LT"/>
        </w:rPr>
        <w:t>Child Pugh</w:t>
      </w:r>
      <w:r>
        <w:rPr>
          <w:snapToGrid/>
          <w:szCs w:val="22"/>
          <w:lang w:val="lt-LT"/>
        </w:rPr>
        <w:t>) (žr. 4.2 ir 5.2 skyrius).</w:t>
      </w:r>
    </w:p>
    <w:p w14:paraId="66D3CD60" w14:textId="77777777" w:rsidR="00890384" w:rsidRDefault="00890384">
      <w:pPr>
        <w:widowControl w:val="0"/>
        <w:tabs>
          <w:tab w:val="clear" w:pos="567"/>
        </w:tabs>
        <w:autoSpaceDE w:val="0"/>
        <w:autoSpaceDN w:val="0"/>
        <w:spacing w:line="240" w:lineRule="auto"/>
        <w:rPr>
          <w:snapToGrid/>
          <w:szCs w:val="22"/>
          <w:lang w:val="lt-LT"/>
        </w:rPr>
      </w:pPr>
    </w:p>
    <w:p w14:paraId="667ABE4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Pacientai, kuriems buvo nustatytas padidėjęs kepenų fermentų aktyvumas (ALT/AST koncentracija buvo &gt; 2 x VNR) arba bendrojo bilirubino koncentracija buvo ≥ 1,5 x VNR, nebuvo įtraukti į klinikinius tyrimus. Todėl šiems pacientams apiksabano reikia vartoti atsargiai (žr. 5.2 skyrių). Prieš pradedant vartoti apiksabano, reikia atlikti kepenų funkcijos tyrimus.</w:t>
      </w:r>
    </w:p>
    <w:p w14:paraId="0DE1B06A" w14:textId="77777777" w:rsidR="00890384" w:rsidRDefault="00890384">
      <w:pPr>
        <w:widowControl w:val="0"/>
        <w:tabs>
          <w:tab w:val="clear" w:pos="567"/>
        </w:tabs>
        <w:autoSpaceDE w:val="0"/>
        <w:autoSpaceDN w:val="0"/>
        <w:spacing w:line="240" w:lineRule="auto"/>
      </w:pPr>
    </w:p>
    <w:p w14:paraId="26397C18" w14:textId="77777777" w:rsidR="00890384" w:rsidRDefault="00B26795">
      <w:pPr>
        <w:widowControl w:val="0"/>
        <w:tabs>
          <w:tab w:val="clear" w:pos="567"/>
        </w:tabs>
        <w:autoSpaceDE w:val="0"/>
        <w:autoSpaceDN w:val="0"/>
        <w:spacing w:line="240" w:lineRule="auto"/>
      </w:pPr>
      <w:r>
        <w:t>Apiksabanas netirtas pacientams vaikams, kurių kepenų funkcija sutrikusi.</w:t>
      </w:r>
    </w:p>
    <w:p w14:paraId="065A774B" w14:textId="77777777" w:rsidR="00890384" w:rsidRDefault="00890384">
      <w:pPr>
        <w:widowControl w:val="0"/>
        <w:tabs>
          <w:tab w:val="clear" w:pos="567"/>
        </w:tabs>
        <w:autoSpaceDE w:val="0"/>
        <w:autoSpaceDN w:val="0"/>
        <w:spacing w:line="240" w:lineRule="auto"/>
        <w:rPr>
          <w:snapToGrid/>
          <w:szCs w:val="22"/>
          <w:lang w:val="lt-LT"/>
        </w:rPr>
      </w:pPr>
    </w:p>
    <w:p w14:paraId="579F322A"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vaistiniais preparatais, kurie yra ir citochromo P450 3A4 (CYP3A4) izofermento, ir P-glikoproteino (P-gp) inhibitoriai</w:t>
      </w:r>
    </w:p>
    <w:p w14:paraId="7F33EA8A" w14:textId="1CF69AF0" w:rsidR="006C1E5F" w:rsidRDefault="00B26795">
      <w:pPr>
        <w:widowControl w:val="0"/>
        <w:tabs>
          <w:tab w:val="clear" w:pos="567"/>
        </w:tabs>
        <w:autoSpaceDE w:val="0"/>
        <w:autoSpaceDN w:val="0"/>
        <w:spacing w:line="240" w:lineRule="auto"/>
        <w:rPr>
          <w:snapToGrid/>
          <w:szCs w:val="22"/>
          <w:lang w:val="lt-LT"/>
        </w:rPr>
      </w:pPr>
      <w:r>
        <w:rPr>
          <w:snapToGrid/>
          <w:szCs w:val="22"/>
          <w:lang w:val="lt-LT"/>
        </w:rPr>
        <w:t>Apiksabano nerekomenduojama skirti pacientams, kurie kartu vartoja stipraus sisteminio poveikio ir CYP3A4 izofermento, ir P-gp inhibitorių, pavyzdžiui: azolų grupės priešgrybelinių vaistinių preparatų (pvz., ketokonazolo, itrakonazolo, vorikonazolo ir pozakonazolo) ir ŽIV proteazių inhibitorių (pvz., ritonaviro). Šių vaistinių preparatų vartojimas gali padidinti apiksabano ekspoziciją 2 kartus (žr. 4.5 skyrių) arba dar daugiau, jeigu kartu yra papildomų apiksabano ekspoziciją didinančių veiksnių (pvz., sunkus inkstų funkcijos sutrikimas).</w:t>
      </w:r>
      <w:r>
        <w:t xml:space="preserve"> </w:t>
      </w:r>
    </w:p>
    <w:p w14:paraId="6CC408B9" w14:textId="3BA2B88A" w:rsidR="00890384" w:rsidRDefault="00B26795">
      <w:pPr>
        <w:widowControl w:val="0"/>
        <w:tabs>
          <w:tab w:val="clear" w:pos="567"/>
        </w:tabs>
        <w:autoSpaceDE w:val="0"/>
        <w:autoSpaceDN w:val="0"/>
        <w:spacing w:line="240" w:lineRule="auto"/>
      </w:pPr>
      <w:r>
        <w:t>Klinikinių duomenų apie pacientus vaikus, kurie vienu metu gauna sisteminį gydymą stipriais CYP</w:t>
      </w:r>
      <w:r w:rsidR="006C1E5F">
        <w:t> </w:t>
      </w:r>
      <w:r>
        <w:t>3A4 ir P-gp inhibitoriais, nėra (žr. 4.5 skyrių).</w:t>
      </w:r>
    </w:p>
    <w:p w14:paraId="378F8FA7" w14:textId="77777777" w:rsidR="00890384" w:rsidRDefault="00890384">
      <w:pPr>
        <w:widowControl w:val="0"/>
        <w:tabs>
          <w:tab w:val="clear" w:pos="567"/>
        </w:tabs>
        <w:autoSpaceDE w:val="0"/>
        <w:autoSpaceDN w:val="0"/>
        <w:spacing w:line="240" w:lineRule="auto"/>
        <w:rPr>
          <w:snapToGrid/>
          <w:szCs w:val="22"/>
          <w:lang w:val="lt-LT"/>
        </w:rPr>
      </w:pPr>
    </w:p>
    <w:p w14:paraId="1986C99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lastRenderedPageBreak/>
        <w:t>Sąveika su vaistiniais preparatais, kurie yra ir CYP3A4 izofermento, ir P-gp induktoriai</w:t>
      </w:r>
    </w:p>
    <w:p w14:paraId="62F184F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vartojant kartu su stipraus poveikio CYP3A4 izofermento ir P-gp induktoriais (pvz., rifampicinu, fenitoinu, karbamazepinu, fenobarbitaliu ar jonažolės preparatais), gali maždaug 50 % sumažėti apiksabano ekspozicija. Klinikinio tyrimo, kuriame dalyvavo pacientai, kuriems pasireiškė prieširdžių virpėjimas, duomenimis, apiksabano vartojant kartu su stipraus poveikio ir CYP3A4 izofermento, ir P-gp induktoriais, palyginti su vien apiksabano vartojimu, buvo stebėtas veiksmingumo sumažėjimas ir kraujavimo rizikos padidėjimas.</w:t>
      </w:r>
    </w:p>
    <w:p w14:paraId="6686FE60" w14:textId="77777777" w:rsidR="00890384" w:rsidRDefault="00890384">
      <w:pPr>
        <w:widowControl w:val="0"/>
        <w:tabs>
          <w:tab w:val="clear" w:pos="567"/>
        </w:tabs>
        <w:autoSpaceDE w:val="0"/>
        <w:autoSpaceDN w:val="0"/>
        <w:spacing w:line="240" w:lineRule="auto"/>
        <w:rPr>
          <w:snapToGrid/>
          <w:szCs w:val="22"/>
          <w:lang w:val="lt-LT"/>
        </w:rPr>
      </w:pPr>
    </w:p>
    <w:p w14:paraId="63D9925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kurie kartu vartoja sisteminio poveikio stiprių CYP3A4 ir P-gp induktorių, taikomos šios rekomendacijos (žr. 4.5 skyrių):</w:t>
      </w:r>
    </w:p>
    <w:p w14:paraId="2CD13D20" w14:textId="77777777" w:rsidR="00890384" w:rsidRDefault="00890384">
      <w:pPr>
        <w:widowControl w:val="0"/>
        <w:tabs>
          <w:tab w:val="clear" w:pos="567"/>
        </w:tabs>
        <w:autoSpaceDE w:val="0"/>
        <w:autoSpaceDN w:val="0"/>
        <w:spacing w:line="240" w:lineRule="auto"/>
        <w:rPr>
          <w:snapToGrid/>
          <w:szCs w:val="22"/>
          <w:lang w:val="lt-LT"/>
        </w:rPr>
      </w:pPr>
    </w:p>
    <w:p w14:paraId="7222BCB4" w14:textId="77777777" w:rsidR="00890384" w:rsidRDefault="00B26795">
      <w:pPr>
        <w:widowControl w:val="0"/>
        <w:numPr>
          <w:ilvl w:val="0"/>
          <w:numId w:val="7"/>
        </w:numPr>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ir pasikartojančios GVT ir PE profilaktikai apiksabaną reikia vartoti atsargiai;</w:t>
      </w:r>
    </w:p>
    <w:p w14:paraId="39AE3B8E"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6C2F7B4B" w14:textId="77777777" w:rsidR="00890384" w:rsidRDefault="00B26795">
      <w:pPr>
        <w:widowControl w:val="0"/>
        <w:numPr>
          <w:ilvl w:val="0"/>
          <w:numId w:val="7"/>
        </w:numPr>
        <w:autoSpaceDE w:val="0"/>
        <w:autoSpaceDN w:val="0"/>
        <w:spacing w:line="240" w:lineRule="auto"/>
        <w:ind w:left="540" w:hanging="540"/>
        <w:rPr>
          <w:snapToGrid/>
          <w:szCs w:val="22"/>
          <w:lang w:val="lt-LT"/>
        </w:rPr>
      </w:pPr>
      <w:r>
        <w:rPr>
          <w:snapToGrid/>
          <w:szCs w:val="22"/>
          <w:lang w:val="lt-LT"/>
        </w:rPr>
        <w:t>GVT gydymui ir PE gydymui apiksabano vartoti negalima, nes gali būti mažesnis veiksmingumas.</w:t>
      </w:r>
    </w:p>
    <w:p w14:paraId="7499DBBD"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4D8FC64A" w14:textId="6C8E4751" w:rsidR="00890384" w:rsidRDefault="00B26795">
      <w:pPr>
        <w:widowControl w:val="0"/>
        <w:tabs>
          <w:tab w:val="clear" w:pos="567"/>
        </w:tabs>
        <w:autoSpaceDE w:val="0"/>
        <w:autoSpaceDN w:val="0"/>
        <w:spacing w:line="240" w:lineRule="auto"/>
      </w:pPr>
      <w:r>
        <w:t>Klinikinių duomenų apie pacientus vaikus, kurie vienu metu gauna sisteminį gydymą stipriais CYP</w:t>
      </w:r>
      <w:r w:rsidR="006C1E5F">
        <w:t> </w:t>
      </w:r>
      <w:r>
        <w:t>3A4 ir P-gp inhibitoriais, nėra (žr. 4.5 skyrių).</w:t>
      </w:r>
    </w:p>
    <w:p w14:paraId="1FB6DCA0"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453AB480"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Laboratorinių tyrimų rodmenys</w:t>
      </w:r>
    </w:p>
    <w:p w14:paraId="782B6C3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Kaip ir tikėtasi, dėl apiksabano veikimo mechanizmo daromas poveikis krešėjimo tyrimų [pvz., protrombino laiko (PL), tarptautinio normalizuotojo santykio (TNS) ir aktyvinto dalinio tromboplastino laiko (aDTL)] rezultatams. Pastebėta, kad vartojant terapinę vaistinio preparato dozę, šių krešėjimo tyrimų rezultatų pokyčiai yra nedideli ir labai skiriasi įvairiems pacientams (žr. 5.1 skyrių).</w:t>
      </w:r>
    </w:p>
    <w:p w14:paraId="34E25789" w14:textId="77777777" w:rsidR="00890384" w:rsidRDefault="00890384">
      <w:pPr>
        <w:widowControl w:val="0"/>
        <w:tabs>
          <w:tab w:val="clear" w:pos="567"/>
        </w:tabs>
        <w:autoSpaceDE w:val="0"/>
        <w:autoSpaceDN w:val="0"/>
        <w:spacing w:line="240" w:lineRule="auto"/>
        <w:rPr>
          <w:snapToGrid/>
          <w:szCs w:val="22"/>
          <w:lang w:val="lt-LT"/>
        </w:rPr>
      </w:pPr>
    </w:p>
    <w:p w14:paraId="6A45046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Informacija apie pagalbines medžiagas</w:t>
      </w:r>
    </w:p>
    <w:p w14:paraId="74C6B0E4" w14:textId="77777777" w:rsidR="00890384" w:rsidRDefault="00890384">
      <w:pPr>
        <w:widowControl w:val="0"/>
        <w:tabs>
          <w:tab w:val="clear" w:pos="567"/>
        </w:tabs>
        <w:autoSpaceDE w:val="0"/>
        <w:autoSpaceDN w:val="0"/>
        <w:spacing w:line="240" w:lineRule="auto"/>
        <w:rPr>
          <w:snapToGrid/>
          <w:szCs w:val="22"/>
          <w:lang w:val="lt-LT"/>
        </w:rPr>
      </w:pPr>
    </w:p>
    <w:p w14:paraId="057D13FE" w14:textId="77777777" w:rsidR="00890384" w:rsidRDefault="00B26795">
      <w:pPr>
        <w:widowControl w:val="0"/>
        <w:tabs>
          <w:tab w:val="clear" w:pos="567"/>
        </w:tabs>
        <w:autoSpaceDE w:val="0"/>
        <w:autoSpaceDN w:val="0"/>
        <w:spacing w:line="240" w:lineRule="auto"/>
        <w:rPr>
          <w:i/>
          <w:iCs/>
          <w:snapToGrid/>
          <w:szCs w:val="22"/>
          <w:lang w:val="lt-LT"/>
        </w:rPr>
      </w:pPr>
      <w:r>
        <w:rPr>
          <w:i/>
          <w:iCs/>
          <w:snapToGrid/>
          <w:szCs w:val="22"/>
          <w:lang w:val="lt-LT"/>
        </w:rPr>
        <w:t>Laktozė</w:t>
      </w:r>
    </w:p>
    <w:p w14:paraId="2A749FD0"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5723AC4D" w14:textId="77777777" w:rsidR="00890384" w:rsidRDefault="00890384">
      <w:pPr>
        <w:widowControl w:val="0"/>
        <w:tabs>
          <w:tab w:val="clear" w:pos="567"/>
        </w:tabs>
        <w:autoSpaceDE w:val="0"/>
        <w:autoSpaceDN w:val="0"/>
        <w:spacing w:line="240" w:lineRule="auto"/>
        <w:rPr>
          <w:snapToGrid/>
          <w:szCs w:val="22"/>
          <w:lang w:val="lt-LT"/>
        </w:rPr>
      </w:pPr>
    </w:p>
    <w:p w14:paraId="0E95F997" w14:textId="77777777" w:rsidR="00890384" w:rsidRDefault="00B26795">
      <w:pPr>
        <w:widowControl w:val="0"/>
        <w:tabs>
          <w:tab w:val="clear" w:pos="567"/>
        </w:tabs>
        <w:autoSpaceDE w:val="0"/>
        <w:autoSpaceDN w:val="0"/>
        <w:spacing w:line="240" w:lineRule="auto"/>
        <w:rPr>
          <w:i/>
          <w:iCs/>
          <w:snapToGrid/>
          <w:szCs w:val="22"/>
          <w:lang w:val="lt-LT"/>
        </w:rPr>
      </w:pPr>
      <w:r>
        <w:rPr>
          <w:i/>
          <w:iCs/>
          <w:snapToGrid/>
          <w:szCs w:val="22"/>
          <w:lang w:val="lt-LT"/>
        </w:rPr>
        <w:t>Natris</w:t>
      </w:r>
    </w:p>
    <w:p w14:paraId="2A94D3B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Šio vaistinio preparato tabletėje yra mažiau kaip 1 mmol (23 mg) natrio, t. y. jis beveik neturi reikšmės.</w:t>
      </w:r>
    </w:p>
    <w:p w14:paraId="2A8C2193" w14:textId="77777777" w:rsidR="00890384" w:rsidRDefault="00890384">
      <w:pPr>
        <w:widowControl w:val="0"/>
        <w:tabs>
          <w:tab w:val="clear" w:pos="567"/>
        </w:tabs>
        <w:autoSpaceDE w:val="0"/>
        <w:autoSpaceDN w:val="0"/>
        <w:spacing w:line="240" w:lineRule="auto"/>
        <w:rPr>
          <w:snapToGrid/>
          <w:szCs w:val="22"/>
          <w:lang w:val="lt-LT"/>
        </w:rPr>
      </w:pPr>
    </w:p>
    <w:p w14:paraId="5CF0E06A" w14:textId="77777777" w:rsidR="00890384" w:rsidRDefault="00B26795">
      <w:pPr>
        <w:widowControl w:val="0"/>
        <w:numPr>
          <w:ilvl w:val="1"/>
          <w:numId w:val="17"/>
        </w:numPr>
        <w:autoSpaceDE w:val="0"/>
        <w:autoSpaceDN w:val="0"/>
        <w:spacing w:line="240" w:lineRule="auto"/>
        <w:ind w:left="567" w:hanging="567"/>
        <w:outlineLvl w:val="1"/>
        <w:rPr>
          <w:b/>
          <w:bCs/>
          <w:snapToGrid/>
          <w:szCs w:val="22"/>
          <w:lang w:val="lt-LT"/>
        </w:rPr>
      </w:pPr>
      <w:r>
        <w:rPr>
          <w:b/>
          <w:bCs/>
          <w:snapToGrid/>
          <w:szCs w:val="22"/>
          <w:lang w:val="lt-LT"/>
        </w:rPr>
        <w:t>Sąveika su kitais vaistiniais preparatais ir kitokia sąveika</w:t>
      </w:r>
    </w:p>
    <w:p w14:paraId="1FDE1E72" w14:textId="77777777" w:rsidR="00890384" w:rsidRDefault="00890384">
      <w:pPr>
        <w:widowControl w:val="0"/>
        <w:tabs>
          <w:tab w:val="clear" w:pos="567"/>
        </w:tabs>
        <w:autoSpaceDE w:val="0"/>
        <w:autoSpaceDN w:val="0"/>
        <w:spacing w:line="240" w:lineRule="auto"/>
        <w:rPr>
          <w:b/>
          <w:snapToGrid/>
          <w:szCs w:val="22"/>
          <w:lang w:val="lt-LT"/>
        </w:rPr>
      </w:pPr>
    </w:p>
    <w:p w14:paraId="2742D062"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CYP3A4 izofermento ir P-gp inhibitoriai</w:t>
      </w:r>
    </w:p>
    <w:p w14:paraId="494118B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kartu su stipraus poveikio ir CYP3A4 izofermento, ir P-gp inhibitoriumi ketokonazolu (400 mg vieną kartą per parą), apiksabano vidutinis AUC padidėjo 2 kartus, o vidutinė C</w:t>
      </w:r>
      <w:r>
        <w:rPr>
          <w:snapToGrid/>
          <w:szCs w:val="22"/>
          <w:vertAlign w:val="subscript"/>
          <w:lang w:val="lt-LT"/>
        </w:rPr>
        <w:t>max</w:t>
      </w:r>
      <w:r>
        <w:rPr>
          <w:snapToGrid/>
          <w:szCs w:val="22"/>
          <w:lang w:val="lt-LT"/>
        </w:rPr>
        <w:t xml:space="preserve"> – 1,6 karto.</w:t>
      </w:r>
    </w:p>
    <w:p w14:paraId="615D1704" w14:textId="77777777" w:rsidR="00890384" w:rsidRDefault="00890384">
      <w:pPr>
        <w:widowControl w:val="0"/>
        <w:tabs>
          <w:tab w:val="clear" w:pos="567"/>
        </w:tabs>
        <w:autoSpaceDE w:val="0"/>
        <w:autoSpaceDN w:val="0"/>
        <w:spacing w:line="240" w:lineRule="auto"/>
        <w:rPr>
          <w:snapToGrid/>
          <w:szCs w:val="22"/>
          <w:lang w:val="lt-LT"/>
        </w:rPr>
      </w:pPr>
    </w:p>
    <w:p w14:paraId="4B48D0B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nerekomenduojama skirti pacientams, kurie kartu vartoja stipraus sisteminio poveikio ir CYP3A4 izofermento, ir P-gp inhibitorių, pavyzdžiui: azolų grupės priešgrybelinių vaistinių preparatų (pvz., ketokonazolo, itrakonazolo, vorikonazolo ir pozakonazolo) ir ŽIV proteazių inhibitorių (pvz., ritonaviro) (žr. 4.4 skyrių).</w:t>
      </w:r>
    </w:p>
    <w:p w14:paraId="437AE0C8" w14:textId="77777777" w:rsidR="00890384" w:rsidRDefault="00890384">
      <w:pPr>
        <w:widowControl w:val="0"/>
        <w:tabs>
          <w:tab w:val="clear" w:pos="567"/>
        </w:tabs>
        <w:autoSpaceDE w:val="0"/>
        <w:autoSpaceDN w:val="0"/>
        <w:spacing w:line="240" w:lineRule="auto"/>
        <w:rPr>
          <w:snapToGrid/>
          <w:szCs w:val="22"/>
          <w:lang w:val="lt-LT"/>
        </w:rPr>
      </w:pPr>
    </w:p>
    <w:p w14:paraId="5C0E214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Numatoma, kad veikliosios medžiagos, kurios nelaikomos stipraus poveikio ir CYP3A4, ir P-gp inhibitoriais (pvz., amjodaronas, klaritromicinas, diltiazemas, flukonazolas, naproksenas, chinidinas, verapamilis), apiksabano koncentraciją kraujo plazmoje didins mažiau. Kartu su medžiagomis, kurios nėra stiprūs ir CYP3A4 izofermento, ir P-gp inhibitoriai, vartojamo apiksabano dozės koreguoti nereikia. Pavyzdžiui, diltiazemo (360 mg kartą per parą), kuris laikomas vidutinio stiprumo CYP3A4 izofermento ir silpnu P-gp inhibitoriumi, vartojimas apiksabano vidutinį AUC padidino 1,4 karto, o C</w:t>
      </w:r>
      <w:r>
        <w:rPr>
          <w:snapToGrid/>
          <w:szCs w:val="22"/>
          <w:vertAlign w:val="subscript"/>
          <w:lang w:val="lt-LT"/>
        </w:rPr>
        <w:t>max</w:t>
      </w:r>
      <w:r>
        <w:rPr>
          <w:snapToGrid/>
          <w:szCs w:val="22"/>
          <w:lang w:val="lt-LT"/>
        </w:rPr>
        <w:t xml:space="preserve"> – 1,3 karto. Naprokseno (vienkartinė 500 mg dozė), kuris yra P-gp inhibitorius, bet neslopina CYP3A4 izofermento, vartojimas apiksabano vidutinius AUC ir C</w:t>
      </w:r>
      <w:r>
        <w:rPr>
          <w:snapToGrid/>
          <w:szCs w:val="22"/>
          <w:vertAlign w:val="subscript"/>
          <w:lang w:val="lt-LT"/>
        </w:rPr>
        <w:t>max</w:t>
      </w:r>
      <w:r>
        <w:rPr>
          <w:snapToGrid/>
          <w:szCs w:val="22"/>
          <w:lang w:val="lt-LT"/>
        </w:rPr>
        <w:t xml:space="preserve"> padidino atitinkamai 1,5 karto ir 1,6 karto. Klaritromicino (500 mg dozė du kartus per parą), kuris yra P-gp inhibitorius ir stiprus CYP3A4 izofermento inhibitorius, vartojimas apiksabano vidutinius AUC ir C</w:t>
      </w:r>
      <w:r>
        <w:rPr>
          <w:snapToGrid/>
          <w:szCs w:val="22"/>
          <w:vertAlign w:val="subscript"/>
          <w:lang w:val="lt-LT"/>
        </w:rPr>
        <w:t>max</w:t>
      </w:r>
      <w:r>
        <w:rPr>
          <w:snapToGrid/>
          <w:szCs w:val="22"/>
          <w:lang w:val="lt-LT"/>
        </w:rPr>
        <w:t xml:space="preserve"> padidino atitinkamai 1,6 karto ir 1,3 karto.</w:t>
      </w:r>
    </w:p>
    <w:p w14:paraId="251EE18E" w14:textId="77777777" w:rsidR="00890384" w:rsidRDefault="00890384">
      <w:pPr>
        <w:widowControl w:val="0"/>
        <w:tabs>
          <w:tab w:val="clear" w:pos="567"/>
        </w:tabs>
        <w:autoSpaceDE w:val="0"/>
        <w:autoSpaceDN w:val="0"/>
        <w:spacing w:line="240" w:lineRule="auto"/>
        <w:rPr>
          <w:snapToGrid/>
          <w:szCs w:val="22"/>
          <w:u w:val="single"/>
          <w:lang w:val="lt-LT"/>
        </w:rPr>
      </w:pPr>
    </w:p>
    <w:p w14:paraId="2CBFD2BD"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CYP3A4 izofermento ir P-gp induktoriai</w:t>
      </w:r>
    </w:p>
    <w:p w14:paraId="5604617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 xml:space="preserve">Apiksabano skiriant kartu su stipraus poveikio ir CYP3A4 izofermento, ir P-gp induktoriumi </w:t>
      </w:r>
      <w:r>
        <w:rPr>
          <w:snapToGrid/>
          <w:position w:val="2"/>
          <w:szCs w:val="22"/>
          <w:lang w:val="lt-LT"/>
        </w:rPr>
        <w:t>rifampicinu, apiksabano vidutiniai AUC</w:t>
      </w:r>
      <w:r>
        <w:rPr>
          <w:i/>
          <w:snapToGrid/>
          <w:position w:val="2"/>
          <w:szCs w:val="22"/>
          <w:lang w:val="lt-LT"/>
        </w:rPr>
        <w:t xml:space="preserve"> </w:t>
      </w:r>
      <w:r>
        <w:rPr>
          <w:snapToGrid/>
          <w:position w:val="2"/>
          <w:szCs w:val="22"/>
          <w:lang w:val="lt-LT"/>
        </w:rPr>
        <w:t>ir C</w:t>
      </w:r>
      <w:r>
        <w:rPr>
          <w:snapToGrid/>
          <w:szCs w:val="22"/>
          <w:vertAlign w:val="subscript"/>
          <w:lang w:val="lt-LT"/>
        </w:rPr>
        <w:t>max</w:t>
      </w:r>
      <w:r>
        <w:rPr>
          <w:i/>
          <w:snapToGrid/>
          <w:szCs w:val="22"/>
          <w:lang w:val="lt-LT"/>
        </w:rPr>
        <w:t xml:space="preserve"> </w:t>
      </w:r>
      <w:r>
        <w:rPr>
          <w:snapToGrid/>
          <w:position w:val="2"/>
          <w:szCs w:val="22"/>
          <w:lang w:val="lt-LT"/>
        </w:rPr>
        <w:t xml:space="preserve">sumažėjo atitinkamai maždaug 54 % ir 42 %. </w:t>
      </w:r>
      <w:r>
        <w:rPr>
          <w:snapToGrid/>
          <w:szCs w:val="22"/>
          <w:lang w:val="lt-LT"/>
        </w:rPr>
        <w:t>Apiksabano vartojant kartu su kitais stipraus poveikio CYP3A4 izofermento ir P-gp induktoriais (pvz., fenitoinu, karbamazepinu, fenobarbitaliu ar jonažolės preparatais), apiksabano koncentracija kraujo plazmoje taip pat gali sumažėti. Kartu su šiais vaistiniais preparatais vartojamo apiksabano dozės koreguoti nereikia, tačiau apiksabaną reikia atsargiai vartoti pacientams, kurie kartu vartoja stiprius CYP3A4 izofermento ir P-gp induktorius ir kuriems apiksabano skiriama insulto ir sisteminės embolijos profilaktikai pacientams, kuriems pasireiškia VNPV, ir pasikartojančios GVT ir PE profilaktikai.</w:t>
      </w:r>
    </w:p>
    <w:p w14:paraId="011B2284" w14:textId="77777777" w:rsidR="00890384" w:rsidRDefault="00890384">
      <w:pPr>
        <w:widowControl w:val="0"/>
        <w:tabs>
          <w:tab w:val="clear" w:pos="567"/>
        </w:tabs>
        <w:autoSpaceDE w:val="0"/>
        <w:autoSpaceDN w:val="0"/>
        <w:spacing w:line="240" w:lineRule="auto"/>
        <w:rPr>
          <w:snapToGrid/>
          <w:szCs w:val="22"/>
          <w:lang w:val="lt-LT"/>
        </w:rPr>
      </w:pPr>
    </w:p>
    <w:p w14:paraId="0907DC1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nerekomenduojama skirti GVT ir PE gydymui pacientams, kurie kartu vartoja sisteminio poveikio stiprius CYP3A4 ir P-gp induktorius, nes gali būti mažesnis veiksmingumas (žr. 4.4 skyrių).</w:t>
      </w:r>
    </w:p>
    <w:p w14:paraId="0D938321" w14:textId="77777777" w:rsidR="00890384" w:rsidRDefault="00890384">
      <w:pPr>
        <w:widowControl w:val="0"/>
        <w:tabs>
          <w:tab w:val="clear" w:pos="567"/>
        </w:tabs>
        <w:autoSpaceDE w:val="0"/>
        <w:autoSpaceDN w:val="0"/>
        <w:spacing w:line="240" w:lineRule="auto"/>
        <w:rPr>
          <w:snapToGrid/>
          <w:szCs w:val="22"/>
          <w:lang w:val="lt-LT"/>
        </w:rPr>
      </w:pPr>
    </w:p>
    <w:p w14:paraId="6F1A3202"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Antikoaguliantai, trombocitų agregacijos inhibitoriai, SSRI (SNRI) ir NVNU</w:t>
      </w:r>
    </w:p>
    <w:p w14:paraId="5AFD74F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 skyrių).</w:t>
      </w:r>
    </w:p>
    <w:p w14:paraId="487C2DAC" w14:textId="77777777" w:rsidR="00890384" w:rsidRDefault="00890384">
      <w:pPr>
        <w:widowControl w:val="0"/>
        <w:tabs>
          <w:tab w:val="clear" w:pos="567"/>
        </w:tabs>
        <w:autoSpaceDE w:val="0"/>
        <w:autoSpaceDN w:val="0"/>
        <w:spacing w:line="240" w:lineRule="auto"/>
        <w:rPr>
          <w:snapToGrid/>
          <w:szCs w:val="22"/>
          <w:lang w:val="lt-LT"/>
        </w:rPr>
      </w:pPr>
    </w:p>
    <w:p w14:paraId="5EF0FD7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Po enoksaparino (vienkartinė 40 mg dozė) pavartojimo kartu su apiksabanu (5 mg vienkartinė dozė), buvo stebėtas adityvus poveikis anti-Xa faktoriaus aktyvumui.</w:t>
      </w:r>
    </w:p>
    <w:p w14:paraId="5E37CFB6" w14:textId="77777777" w:rsidR="00890384" w:rsidRDefault="00890384">
      <w:pPr>
        <w:widowControl w:val="0"/>
        <w:tabs>
          <w:tab w:val="clear" w:pos="567"/>
        </w:tabs>
        <w:autoSpaceDE w:val="0"/>
        <w:autoSpaceDN w:val="0"/>
        <w:spacing w:line="240" w:lineRule="auto"/>
        <w:rPr>
          <w:snapToGrid/>
          <w:szCs w:val="22"/>
          <w:lang w:val="lt-LT"/>
        </w:rPr>
      </w:pPr>
    </w:p>
    <w:p w14:paraId="1E28560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kartu su vieną kartą per parą vartojama 325 mg ASR doze, farmakokinetinės ar farmakodinaminės sąveikos nenustatyta.</w:t>
      </w:r>
    </w:p>
    <w:p w14:paraId="0C792D60" w14:textId="77777777" w:rsidR="00890384" w:rsidRDefault="00890384">
      <w:pPr>
        <w:widowControl w:val="0"/>
        <w:tabs>
          <w:tab w:val="clear" w:pos="567"/>
        </w:tabs>
        <w:autoSpaceDE w:val="0"/>
        <w:autoSpaceDN w:val="0"/>
        <w:spacing w:line="240" w:lineRule="auto"/>
        <w:rPr>
          <w:snapToGrid/>
          <w:szCs w:val="22"/>
          <w:lang w:val="lt-LT"/>
        </w:rPr>
      </w:pPr>
    </w:p>
    <w:p w14:paraId="1FCE85C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 fazės tyrimų metu apiksabano skiriant kartu su klopidogreliu (75 mg vieną kartą per parą) ar deriniu su vieną kartą per parą vartojamu 75 mg klopidogrelio ir 162 mg ASR deriniu arba su prasugreliu (iš pradžių 60 mg, o vėliau – 10 mg vieną kartą per parą), nenustatyta reikšmingo kraujavimo laiko pailgėjimo arba papildomo trombocitų agregacijos slopinimo, palyginti su trombocitų funkciją slopinančių vaistinių preparatų vartojimu be apiksabano. Krešėjimo tyrimų (PL, TNS ir aDTL) rodmenų padidėjimas atitiko vien apiksabano poveikį.</w:t>
      </w:r>
    </w:p>
    <w:p w14:paraId="50EE1AB3" w14:textId="77777777" w:rsidR="00890384" w:rsidRDefault="00890384">
      <w:pPr>
        <w:widowControl w:val="0"/>
        <w:tabs>
          <w:tab w:val="clear" w:pos="567"/>
        </w:tabs>
        <w:autoSpaceDE w:val="0"/>
        <w:autoSpaceDN w:val="0"/>
        <w:spacing w:line="240" w:lineRule="auto"/>
        <w:rPr>
          <w:snapToGrid/>
          <w:szCs w:val="22"/>
          <w:lang w:val="lt-LT"/>
        </w:rPr>
      </w:pPr>
    </w:p>
    <w:p w14:paraId="598319D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P-gp inhibitoriaus naprokseno (500 mg) vartojimas apiksabano vidutinius AUC ir C</w:t>
      </w:r>
      <w:r>
        <w:rPr>
          <w:snapToGrid/>
          <w:szCs w:val="22"/>
          <w:vertAlign w:val="subscript"/>
          <w:lang w:val="lt-LT"/>
        </w:rPr>
        <w:t>max</w:t>
      </w:r>
      <w:r>
        <w:rPr>
          <w:snapToGrid/>
          <w:szCs w:val="22"/>
          <w:lang w:val="lt-LT"/>
        </w:rPr>
        <w:t xml:space="preserve"> padidino atitinkamai 1,5 karto ir 1,6 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158364FD" w14:textId="77777777" w:rsidR="00890384" w:rsidRDefault="00890384">
      <w:pPr>
        <w:widowControl w:val="0"/>
        <w:tabs>
          <w:tab w:val="clear" w:pos="567"/>
        </w:tabs>
        <w:autoSpaceDE w:val="0"/>
        <w:autoSpaceDN w:val="0"/>
        <w:spacing w:line="240" w:lineRule="auto"/>
        <w:rPr>
          <w:snapToGrid/>
          <w:szCs w:val="22"/>
          <w:lang w:val="lt-LT"/>
        </w:rPr>
      </w:pPr>
    </w:p>
    <w:p w14:paraId="6CC5F88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Nepaisant šių duomenų, kartu su apiksabanu vartojant trombocitų agregaciją slopinančių vaistinių preparatų, kai kuriems asmenims gali pasireikšti stipresnis farmakodinaminis poveikis. Apiksabaną reikia atsargiai vartoti kartu su SSRI (SNRI), NVNU, ASR ir (arba) P2Y12 inhibitoriais, kadangi šie vaistiniai preparatai paprastai didina kraujavimo riziką (žr. 4.4 skyrių).</w:t>
      </w:r>
    </w:p>
    <w:p w14:paraId="01DB485B" w14:textId="77777777" w:rsidR="00890384" w:rsidRDefault="00890384">
      <w:pPr>
        <w:widowControl w:val="0"/>
        <w:tabs>
          <w:tab w:val="clear" w:pos="567"/>
        </w:tabs>
        <w:autoSpaceDE w:val="0"/>
        <w:autoSpaceDN w:val="0"/>
        <w:spacing w:line="240" w:lineRule="auto"/>
        <w:rPr>
          <w:snapToGrid/>
          <w:szCs w:val="22"/>
          <w:lang w:val="lt-LT"/>
        </w:rPr>
      </w:pPr>
    </w:p>
    <w:p w14:paraId="5473764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Trūksta patirties skiriant kartu su kitais trombocitų agregacijos inhibitoriais (pvz., GPIIb/IIIa receptorių antagonistais, dipiridamoliu, dekstranu arba sulfinpirazonu) arba tromboliziniais vaistiniais preparatais. Kadangi tokie vaistiniai preparatai didina kraujavimo riziką, šių preparatų vartoti kartu su apiksabanu nerekomenduojama (žr. 4.4 skyrių).</w:t>
      </w:r>
    </w:p>
    <w:p w14:paraId="6C8DEDAB" w14:textId="77777777" w:rsidR="00890384" w:rsidRDefault="00890384">
      <w:pPr>
        <w:widowControl w:val="0"/>
        <w:tabs>
          <w:tab w:val="clear" w:pos="567"/>
        </w:tabs>
        <w:autoSpaceDE w:val="0"/>
        <w:autoSpaceDN w:val="0"/>
        <w:spacing w:line="240" w:lineRule="auto"/>
      </w:pPr>
    </w:p>
    <w:p w14:paraId="1BE3A279" w14:textId="6DC1A66C" w:rsidR="00890384" w:rsidRDefault="00B26795">
      <w:pPr>
        <w:widowControl w:val="0"/>
        <w:tabs>
          <w:tab w:val="clear" w:pos="567"/>
        </w:tabs>
        <w:autoSpaceDE w:val="0"/>
        <w:autoSpaceDN w:val="0"/>
        <w:spacing w:line="240" w:lineRule="auto"/>
      </w:pPr>
      <w:r>
        <w:t>Tyrimo CV185325 metu 12 pacientų vaikų, kurie vienu metu buvo gydomi apiksabanu ir ASR</w:t>
      </w:r>
      <w:r w:rsidR="00223274">
        <w:t> </w:t>
      </w:r>
      <w:r>
        <w:t>≤</w:t>
      </w:r>
      <w:r w:rsidR="00223274">
        <w:t> </w:t>
      </w:r>
      <w:r>
        <w:t>165 mg per parą, kliniškai svarbių kraujavimo reiškinių nenustatyta.</w:t>
      </w:r>
    </w:p>
    <w:p w14:paraId="06DCBE6C" w14:textId="77777777" w:rsidR="00890384" w:rsidRDefault="00890384">
      <w:pPr>
        <w:widowControl w:val="0"/>
        <w:tabs>
          <w:tab w:val="clear" w:pos="567"/>
        </w:tabs>
        <w:autoSpaceDE w:val="0"/>
        <w:autoSpaceDN w:val="0"/>
        <w:spacing w:line="240" w:lineRule="auto"/>
        <w:rPr>
          <w:snapToGrid/>
          <w:szCs w:val="22"/>
          <w:lang w:val="lt-LT"/>
        </w:rPr>
      </w:pPr>
    </w:p>
    <w:p w14:paraId="5D81ED2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Kiti kartu vartojami vaistiniai preparatai</w:t>
      </w:r>
    </w:p>
    <w:p w14:paraId="5C72F82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skiriant kartu su atenololiu arba famotidinu, kliniškai reikšmingos farmakokinetinės ar farmakodinaminės sąveikos nenustatyta. 10 mg apiksabano dozę skiriant kartu su 100 mg atenololio, apiksabano farmakokinetika kliniškai reikšmingai nepakito.</w:t>
      </w:r>
    </w:p>
    <w:p w14:paraId="41A7095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Šių abiejų vaistinių preparatų vartojant kartu, apiksabano vidutiniai AUC ir C</w:t>
      </w:r>
      <w:r>
        <w:rPr>
          <w:snapToGrid/>
          <w:szCs w:val="22"/>
          <w:vertAlign w:val="subscript"/>
          <w:lang w:val="lt-LT"/>
        </w:rPr>
        <w:t>max</w:t>
      </w:r>
      <w:r>
        <w:rPr>
          <w:snapToGrid/>
          <w:szCs w:val="22"/>
          <w:lang w:val="lt-LT"/>
        </w:rPr>
        <w:t xml:space="preserve"> buvo atitinkamai 15 % ir 18 % mažesni nei skiriant vieną apiksabaną. 10 mg apiksabano dozę skiriant kartu su 40 mg famotidino, apiksabano AUC ir C</w:t>
      </w:r>
      <w:r>
        <w:rPr>
          <w:snapToGrid/>
          <w:szCs w:val="22"/>
          <w:vertAlign w:val="subscript"/>
          <w:lang w:val="lt-LT"/>
        </w:rPr>
        <w:t>max</w:t>
      </w:r>
      <w:r>
        <w:rPr>
          <w:snapToGrid/>
          <w:szCs w:val="22"/>
          <w:lang w:val="lt-LT"/>
        </w:rPr>
        <w:t xml:space="preserve"> nepakito.</w:t>
      </w:r>
    </w:p>
    <w:p w14:paraId="401D731E" w14:textId="77777777" w:rsidR="00890384" w:rsidRDefault="00890384">
      <w:pPr>
        <w:widowControl w:val="0"/>
        <w:tabs>
          <w:tab w:val="clear" w:pos="567"/>
        </w:tabs>
        <w:autoSpaceDE w:val="0"/>
        <w:autoSpaceDN w:val="0"/>
        <w:spacing w:line="240" w:lineRule="auto"/>
        <w:rPr>
          <w:snapToGrid/>
          <w:szCs w:val="22"/>
          <w:lang w:val="lt-LT"/>
        </w:rPr>
      </w:pPr>
    </w:p>
    <w:p w14:paraId="44D6280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Apiksabano poveikis kitiems vaistiniams preparatams</w:t>
      </w:r>
    </w:p>
    <w:p w14:paraId="66CB78FA" w14:textId="77777777" w:rsidR="00890384" w:rsidRDefault="00B26795">
      <w:pPr>
        <w:widowControl w:val="0"/>
        <w:tabs>
          <w:tab w:val="clear" w:pos="567"/>
        </w:tabs>
        <w:autoSpaceDE w:val="0"/>
        <w:autoSpaceDN w:val="0"/>
        <w:spacing w:line="240" w:lineRule="auto"/>
        <w:rPr>
          <w:snapToGrid/>
          <w:szCs w:val="22"/>
          <w:lang w:val="lt-LT"/>
        </w:rPr>
      </w:pPr>
      <w:r>
        <w:rPr>
          <w:i/>
          <w:snapToGrid/>
          <w:szCs w:val="22"/>
          <w:lang w:val="lt-LT"/>
        </w:rPr>
        <w:t xml:space="preserve">In vitro </w:t>
      </w:r>
      <w:r>
        <w:rPr>
          <w:snapToGrid/>
          <w:szCs w:val="22"/>
          <w:lang w:val="lt-LT"/>
        </w:rPr>
        <w:t xml:space="preserve">tyrimų metu nustatyta, kad apiksabanas neslopina CYP1A2, CYP2A6, CYP2B6, CYP2C8, CYP2C9, </w:t>
      </w:r>
      <w:r>
        <w:rPr>
          <w:snapToGrid/>
          <w:szCs w:val="22"/>
          <w:lang w:val="lt-LT"/>
        </w:rPr>
        <w:lastRenderedPageBreak/>
        <w:t>CYP2D6 ar CYP3A4 izofermentų aktyvumo (IC</w:t>
      </w:r>
      <w:r>
        <w:rPr>
          <w:snapToGrid/>
          <w:szCs w:val="22"/>
          <w:vertAlign w:val="subscript"/>
          <w:lang w:val="lt-LT"/>
        </w:rPr>
        <w:t>50</w:t>
      </w:r>
      <w:r>
        <w:rPr>
          <w:snapToGrid/>
          <w:szCs w:val="22"/>
          <w:lang w:val="lt-LT"/>
        </w:rPr>
        <w:t> &gt; 45 µM, IC</w:t>
      </w:r>
      <w:r>
        <w:rPr>
          <w:snapToGrid/>
          <w:szCs w:val="22"/>
          <w:vertAlign w:val="subscript"/>
          <w:lang w:val="lt-LT"/>
        </w:rPr>
        <w:t>50</w:t>
      </w:r>
      <w:r>
        <w:rPr>
          <w:snapToGrid/>
          <w:szCs w:val="22"/>
          <w:lang w:val="lt-LT"/>
        </w:rPr>
        <w:t xml:space="preserve"> – angl. </w:t>
      </w:r>
      <w:r>
        <w:rPr>
          <w:i/>
          <w:snapToGrid/>
          <w:szCs w:val="22"/>
          <w:lang w:val="lt-LT"/>
        </w:rPr>
        <w:t>half-maximal inhibitory concentration</w:t>
      </w:r>
      <w:r>
        <w:rPr>
          <w:snapToGrid/>
          <w:szCs w:val="22"/>
          <w:lang w:val="lt-LT"/>
        </w:rPr>
        <w:t>) ir silpnai slopina CYP2C19 izofermento aktyvumą (IC</w:t>
      </w:r>
      <w:r>
        <w:rPr>
          <w:snapToGrid/>
          <w:szCs w:val="22"/>
          <w:vertAlign w:val="subscript"/>
          <w:lang w:val="lt-LT"/>
        </w:rPr>
        <w:t>50</w:t>
      </w:r>
      <w:r>
        <w:rPr>
          <w:snapToGrid/>
          <w:szCs w:val="22"/>
          <w:lang w:val="lt-LT"/>
        </w:rPr>
        <w:t> &gt; 20 µM), kai vaistinio preparato koncentracija yra reikšmingai didesnė nei pacientų organizmuose susidaranti didžiausia koncentracija kraujo plazmoje. Apiksabanas neindukavo CYP1A2, CYP2B6, CYP3A4/5 izofermentų, kai jo koncentracija buvo iki 20 µM. Todėl nesitikima, kad apiksabanas keistų kartu vartojamų ir minėtų izofermentų metabolizuojamų vaistinių preparatų metabolizmo klirensą. Apiksabanas reikšmingai neslopina P-gp.</w:t>
      </w:r>
    </w:p>
    <w:p w14:paraId="26ECEB22" w14:textId="77777777" w:rsidR="00890384" w:rsidRDefault="00890384">
      <w:pPr>
        <w:widowControl w:val="0"/>
        <w:tabs>
          <w:tab w:val="clear" w:pos="567"/>
        </w:tabs>
        <w:autoSpaceDE w:val="0"/>
        <w:autoSpaceDN w:val="0"/>
        <w:spacing w:line="240" w:lineRule="auto"/>
        <w:rPr>
          <w:snapToGrid/>
          <w:szCs w:val="22"/>
          <w:lang w:val="lt-LT"/>
        </w:rPr>
      </w:pPr>
    </w:p>
    <w:p w14:paraId="6A0548C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 sveikais savanoriais atliktų tyrimų duomenimis, kaip nurodyta toliau, apiksabanas nedarė reikšmingo poveikio digoksino, naprokseno ar atenololio farmakokinetikos rodmenims.</w:t>
      </w:r>
    </w:p>
    <w:p w14:paraId="67C6A4F4" w14:textId="77777777" w:rsidR="00890384" w:rsidRDefault="00890384">
      <w:pPr>
        <w:widowControl w:val="0"/>
        <w:tabs>
          <w:tab w:val="clear" w:pos="567"/>
        </w:tabs>
        <w:autoSpaceDE w:val="0"/>
        <w:autoSpaceDN w:val="0"/>
        <w:spacing w:line="240" w:lineRule="auto"/>
        <w:rPr>
          <w:snapToGrid/>
          <w:szCs w:val="22"/>
          <w:lang w:val="lt-LT"/>
        </w:rPr>
      </w:pPr>
    </w:p>
    <w:p w14:paraId="4AB3259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Digoksinas</w:t>
      </w:r>
    </w:p>
    <w:p w14:paraId="55B602D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Kartu skiriant apiksabano (20 mg vieną kartą per parą) ir P-gp substratą digoksino (0,25 mg vieną kartą per parą), digoksino AUC ar C</w:t>
      </w:r>
      <w:r>
        <w:rPr>
          <w:snapToGrid/>
          <w:szCs w:val="22"/>
          <w:vertAlign w:val="subscript"/>
          <w:lang w:val="lt-LT"/>
        </w:rPr>
        <w:t>max</w:t>
      </w:r>
      <w:r>
        <w:rPr>
          <w:snapToGrid/>
          <w:szCs w:val="22"/>
          <w:lang w:val="lt-LT"/>
        </w:rPr>
        <w:t xml:space="preserve"> nepakito. Taigi, apiksabanas neslopina P-gp veikiamų substratų pernašos.</w:t>
      </w:r>
    </w:p>
    <w:p w14:paraId="42981560" w14:textId="77777777" w:rsidR="00890384" w:rsidRDefault="00890384">
      <w:pPr>
        <w:widowControl w:val="0"/>
        <w:tabs>
          <w:tab w:val="clear" w:pos="567"/>
        </w:tabs>
        <w:autoSpaceDE w:val="0"/>
        <w:autoSpaceDN w:val="0"/>
        <w:spacing w:line="240" w:lineRule="auto"/>
        <w:rPr>
          <w:snapToGrid/>
          <w:szCs w:val="22"/>
          <w:lang w:val="lt-LT"/>
        </w:rPr>
      </w:pPr>
    </w:p>
    <w:p w14:paraId="5F78D5D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Naproksenas</w:t>
      </w:r>
    </w:p>
    <w:p w14:paraId="39B0B4B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Vienkartinę apiksabano dozę (10 mg) skiriant kartu su dažnai vartojamu NVNU naproksenu (500 mg), </w:t>
      </w:r>
      <w:r>
        <w:rPr>
          <w:snapToGrid/>
          <w:position w:val="2"/>
          <w:szCs w:val="22"/>
          <w:lang w:val="lt-LT"/>
        </w:rPr>
        <w:t>naprokseno AUC</w:t>
      </w:r>
      <w:r>
        <w:rPr>
          <w:i/>
          <w:snapToGrid/>
          <w:position w:val="2"/>
          <w:szCs w:val="22"/>
          <w:lang w:val="lt-LT"/>
        </w:rPr>
        <w:t xml:space="preserve"> </w:t>
      </w:r>
      <w:r>
        <w:rPr>
          <w:snapToGrid/>
          <w:position w:val="2"/>
          <w:szCs w:val="22"/>
          <w:lang w:val="lt-LT"/>
        </w:rPr>
        <w:t>ir C</w:t>
      </w:r>
      <w:r>
        <w:rPr>
          <w:snapToGrid/>
          <w:szCs w:val="22"/>
          <w:vertAlign w:val="subscript"/>
          <w:lang w:val="lt-LT"/>
        </w:rPr>
        <w:t>max</w:t>
      </w:r>
      <w:r>
        <w:rPr>
          <w:i/>
          <w:snapToGrid/>
          <w:szCs w:val="22"/>
          <w:lang w:val="lt-LT"/>
        </w:rPr>
        <w:t xml:space="preserve"> </w:t>
      </w:r>
      <w:r>
        <w:rPr>
          <w:snapToGrid/>
          <w:position w:val="2"/>
          <w:szCs w:val="22"/>
          <w:lang w:val="lt-LT"/>
        </w:rPr>
        <w:t>nepakito.</w:t>
      </w:r>
    </w:p>
    <w:p w14:paraId="4B124E0A" w14:textId="77777777" w:rsidR="00890384" w:rsidRDefault="00890384">
      <w:pPr>
        <w:widowControl w:val="0"/>
        <w:tabs>
          <w:tab w:val="clear" w:pos="567"/>
        </w:tabs>
        <w:autoSpaceDE w:val="0"/>
        <w:autoSpaceDN w:val="0"/>
        <w:spacing w:line="240" w:lineRule="auto"/>
        <w:rPr>
          <w:snapToGrid/>
          <w:szCs w:val="22"/>
          <w:lang w:val="lt-LT"/>
        </w:rPr>
      </w:pPr>
    </w:p>
    <w:p w14:paraId="1848A2E3"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Atenololis</w:t>
      </w:r>
    </w:p>
    <w:p w14:paraId="359D9C5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Vienkartinę apiksabano dozę (10 mg) skiriant kartu su dažnai vartojamu beta adrenoreceptorių blokatoriumi atenololiu (100 mg), atenololio farmakokinetikos rodmenys nepakito.</w:t>
      </w:r>
    </w:p>
    <w:p w14:paraId="7A842A3E" w14:textId="77777777" w:rsidR="00890384" w:rsidRDefault="00890384">
      <w:pPr>
        <w:widowControl w:val="0"/>
        <w:tabs>
          <w:tab w:val="clear" w:pos="567"/>
        </w:tabs>
        <w:autoSpaceDE w:val="0"/>
        <w:autoSpaceDN w:val="0"/>
        <w:spacing w:line="240" w:lineRule="auto"/>
        <w:rPr>
          <w:snapToGrid/>
          <w:szCs w:val="22"/>
          <w:lang w:val="lt-LT"/>
        </w:rPr>
      </w:pPr>
    </w:p>
    <w:p w14:paraId="3B558EE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Aktyvintoji anglis</w:t>
      </w:r>
    </w:p>
    <w:p w14:paraId="5C57E97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Aktyvintosios anglies vartojimas mažina apiksabano ekspoziciją (žr. 4.9 skyrių).</w:t>
      </w:r>
    </w:p>
    <w:p w14:paraId="33A55BBE" w14:textId="77777777" w:rsidR="00890384" w:rsidRDefault="00890384">
      <w:pPr>
        <w:widowControl w:val="0"/>
        <w:tabs>
          <w:tab w:val="clear" w:pos="567"/>
        </w:tabs>
        <w:autoSpaceDE w:val="0"/>
        <w:autoSpaceDN w:val="0"/>
        <w:spacing w:line="240" w:lineRule="auto"/>
        <w:rPr>
          <w:snapToGrid/>
          <w:szCs w:val="22"/>
          <w:lang w:val="lt-LT"/>
        </w:rPr>
      </w:pPr>
    </w:p>
    <w:p w14:paraId="69BD611C" w14:textId="77777777" w:rsidR="00890384" w:rsidRDefault="00B26795">
      <w:pPr>
        <w:widowControl w:val="0"/>
        <w:tabs>
          <w:tab w:val="clear" w:pos="567"/>
        </w:tabs>
        <w:autoSpaceDE w:val="0"/>
        <w:autoSpaceDN w:val="0"/>
        <w:spacing w:line="240" w:lineRule="auto"/>
        <w:rPr>
          <w:u w:val="single"/>
        </w:rPr>
      </w:pPr>
      <w:r>
        <w:rPr>
          <w:u w:val="single"/>
        </w:rPr>
        <w:t>Vaikų populiacija</w:t>
      </w:r>
    </w:p>
    <w:p w14:paraId="21436E41" w14:textId="465F7979" w:rsidR="00890384" w:rsidRDefault="00B26795">
      <w:pPr>
        <w:widowControl w:val="0"/>
        <w:tabs>
          <w:tab w:val="clear" w:pos="567"/>
        </w:tabs>
        <w:autoSpaceDE w:val="0"/>
        <w:autoSpaceDN w:val="0"/>
        <w:spacing w:line="240" w:lineRule="auto"/>
      </w:pPr>
      <w:r>
        <w:t>Sąveikos tyrim</w:t>
      </w:r>
      <w:r w:rsidR="000A30A1">
        <w:t>ų</w:t>
      </w:r>
      <w:r>
        <w:t xml:space="preserve"> su pacientais vaikais neatlikt</w:t>
      </w:r>
      <w:r w:rsidR="000A30A1">
        <w:t>a</w:t>
      </w:r>
      <w:r>
        <w:t>.</w:t>
      </w:r>
    </w:p>
    <w:p w14:paraId="32E9697D" w14:textId="77777777" w:rsidR="00890384" w:rsidRDefault="00B26795">
      <w:pPr>
        <w:widowControl w:val="0"/>
        <w:tabs>
          <w:tab w:val="clear" w:pos="567"/>
        </w:tabs>
        <w:autoSpaceDE w:val="0"/>
        <w:autoSpaceDN w:val="0"/>
        <w:spacing w:line="240" w:lineRule="auto"/>
        <w:rPr>
          <w:snapToGrid/>
          <w:szCs w:val="22"/>
          <w:lang w:val="lt-LT"/>
        </w:rPr>
      </w:pPr>
      <w:r>
        <w:t>Pirmiau nurodyti sąveikos duomenys buvo gauti vertinant suaugusiuosius, todėl reikia atsižvelgti į 4.4 skyriuje pateiktus įspėjimus gydant vaikų populiacijos pacientus.</w:t>
      </w:r>
    </w:p>
    <w:p w14:paraId="3F80AAE4" w14:textId="77777777" w:rsidR="00890384" w:rsidRDefault="00890384">
      <w:pPr>
        <w:widowControl w:val="0"/>
        <w:tabs>
          <w:tab w:val="clear" w:pos="567"/>
        </w:tabs>
        <w:autoSpaceDE w:val="0"/>
        <w:autoSpaceDN w:val="0"/>
        <w:spacing w:line="240" w:lineRule="auto"/>
        <w:rPr>
          <w:snapToGrid/>
          <w:szCs w:val="22"/>
          <w:lang w:val="lt-LT"/>
        </w:rPr>
      </w:pPr>
    </w:p>
    <w:p w14:paraId="4628B56F"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4.6</w:t>
      </w:r>
      <w:r>
        <w:rPr>
          <w:b/>
          <w:bCs/>
          <w:snapToGrid/>
          <w:szCs w:val="22"/>
          <w:lang w:val="lt-LT"/>
        </w:rPr>
        <w:tab/>
        <w:t>Vaisingumas, nėštumo ir žindymo laikotarpis</w:t>
      </w:r>
    </w:p>
    <w:p w14:paraId="22C53D8A" w14:textId="77777777" w:rsidR="00890384" w:rsidRDefault="00890384">
      <w:pPr>
        <w:widowControl w:val="0"/>
        <w:tabs>
          <w:tab w:val="clear" w:pos="567"/>
        </w:tabs>
        <w:autoSpaceDE w:val="0"/>
        <w:autoSpaceDN w:val="0"/>
        <w:spacing w:line="240" w:lineRule="auto"/>
        <w:rPr>
          <w:b/>
          <w:snapToGrid/>
          <w:szCs w:val="22"/>
          <w:lang w:val="lt-LT"/>
        </w:rPr>
      </w:pPr>
    </w:p>
    <w:p w14:paraId="03D6A54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Nėštumas</w:t>
      </w:r>
    </w:p>
    <w:p w14:paraId="5C8FA64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Duomenų apie apiksabano vartojimą nėštumo metu nėra. Tyrimai su gyvūnais tiesioginio ar netiesioginio kenksmingo toksinio poveikio reprodukcijai neparodė (žr. 5.3 skyrių). Nėštumo metu apiksabano geriau nevartoti.</w:t>
      </w:r>
    </w:p>
    <w:p w14:paraId="0DEBCE70" w14:textId="77777777" w:rsidR="00890384" w:rsidRDefault="00890384">
      <w:pPr>
        <w:widowControl w:val="0"/>
        <w:tabs>
          <w:tab w:val="clear" w:pos="567"/>
        </w:tabs>
        <w:autoSpaceDE w:val="0"/>
        <w:autoSpaceDN w:val="0"/>
        <w:spacing w:line="240" w:lineRule="auto"/>
        <w:rPr>
          <w:snapToGrid/>
          <w:szCs w:val="22"/>
          <w:lang w:val="lt-LT"/>
        </w:rPr>
      </w:pPr>
    </w:p>
    <w:p w14:paraId="2A5B58D5"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Žindymas</w:t>
      </w:r>
    </w:p>
    <w:p w14:paraId="0D6BBB6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Nežinoma, ar apiksabano ar jo metabolitų išsiskiria į motinos pieną. Esami tyrimų su gyvūnais duomenys rodo, kad apiksabano išsiskiria į gyvūnų pieną (žr. 5.3 skyrių). Pavojaus žindomam vaikui negalima atmesti.</w:t>
      </w:r>
    </w:p>
    <w:p w14:paraId="7901E21E" w14:textId="77777777" w:rsidR="00890384" w:rsidRDefault="00890384">
      <w:pPr>
        <w:widowControl w:val="0"/>
        <w:tabs>
          <w:tab w:val="clear" w:pos="567"/>
        </w:tabs>
        <w:autoSpaceDE w:val="0"/>
        <w:autoSpaceDN w:val="0"/>
        <w:spacing w:line="240" w:lineRule="auto"/>
        <w:rPr>
          <w:snapToGrid/>
          <w:szCs w:val="22"/>
          <w:lang w:val="lt-LT"/>
        </w:rPr>
      </w:pPr>
    </w:p>
    <w:p w14:paraId="584C887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Atsižvelgiant į žindymo naudą kūdikiui ir gydymo naudą motinai, reikia nuspręsti, ar nutraukti žindymą, ar nutraukti/susilaikyti nuo gydymo apiksabanu.</w:t>
      </w:r>
    </w:p>
    <w:p w14:paraId="0B1C28E8" w14:textId="77777777" w:rsidR="00890384" w:rsidRDefault="00890384">
      <w:pPr>
        <w:widowControl w:val="0"/>
        <w:tabs>
          <w:tab w:val="clear" w:pos="567"/>
        </w:tabs>
        <w:autoSpaceDE w:val="0"/>
        <w:autoSpaceDN w:val="0"/>
        <w:spacing w:line="240" w:lineRule="auto"/>
        <w:rPr>
          <w:snapToGrid/>
          <w:szCs w:val="22"/>
          <w:lang w:val="lt-LT"/>
        </w:rPr>
      </w:pPr>
    </w:p>
    <w:p w14:paraId="525A006E"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Vaisingumas</w:t>
      </w:r>
    </w:p>
    <w:p w14:paraId="61CF65F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Tyrimai su gyvūnais, kuriems buvo skiriamas apiksabanas, poveikio vaisingumui neparodė (žr. 5.3 skyrių).</w:t>
      </w:r>
    </w:p>
    <w:p w14:paraId="6C884F35" w14:textId="77777777" w:rsidR="00890384" w:rsidRDefault="00890384">
      <w:pPr>
        <w:widowControl w:val="0"/>
        <w:tabs>
          <w:tab w:val="clear" w:pos="567"/>
        </w:tabs>
        <w:autoSpaceDE w:val="0"/>
        <w:autoSpaceDN w:val="0"/>
        <w:spacing w:line="240" w:lineRule="auto"/>
        <w:rPr>
          <w:snapToGrid/>
          <w:szCs w:val="22"/>
          <w:lang w:val="lt-LT"/>
        </w:rPr>
      </w:pPr>
    </w:p>
    <w:p w14:paraId="44539C37"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4.7</w:t>
      </w:r>
      <w:r>
        <w:rPr>
          <w:b/>
          <w:bCs/>
          <w:snapToGrid/>
          <w:szCs w:val="22"/>
          <w:lang w:val="lt-LT"/>
        </w:rPr>
        <w:tab/>
        <w:t>Poveikis gebėjimui vairuoti ir valdyti mechanizmus</w:t>
      </w:r>
    </w:p>
    <w:p w14:paraId="569CBC7A" w14:textId="77777777" w:rsidR="00890384" w:rsidRDefault="00890384">
      <w:pPr>
        <w:widowControl w:val="0"/>
        <w:tabs>
          <w:tab w:val="clear" w:pos="567"/>
        </w:tabs>
        <w:autoSpaceDE w:val="0"/>
        <w:autoSpaceDN w:val="0"/>
        <w:spacing w:line="240" w:lineRule="auto"/>
        <w:rPr>
          <w:b/>
          <w:snapToGrid/>
          <w:szCs w:val="22"/>
          <w:lang w:val="lt-LT"/>
        </w:rPr>
      </w:pPr>
    </w:p>
    <w:p w14:paraId="55F76DA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Apiksabanas gebėjimo vairuoti ir valdyti mechanizmus neveikia arba veikia nereikšmingai.</w:t>
      </w:r>
    </w:p>
    <w:p w14:paraId="1035CD7A" w14:textId="77777777" w:rsidR="00890384" w:rsidRDefault="00890384">
      <w:pPr>
        <w:widowControl w:val="0"/>
        <w:tabs>
          <w:tab w:val="clear" w:pos="567"/>
        </w:tabs>
        <w:autoSpaceDE w:val="0"/>
        <w:autoSpaceDN w:val="0"/>
        <w:spacing w:line="240" w:lineRule="auto"/>
        <w:rPr>
          <w:snapToGrid/>
          <w:szCs w:val="22"/>
          <w:lang w:val="lt-LT"/>
        </w:rPr>
      </w:pPr>
    </w:p>
    <w:p w14:paraId="7B186AD4"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4.8</w:t>
      </w:r>
      <w:r>
        <w:rPr>
          <w:b/>
          <w:bCs/>
          <w:snapToGrid/>
          <w:szCs w:val="22"/>
          <w:lang w:val="lt-LT"/>
        </w:rPr>
        <w:tab/>
        <w:t>Nepageidaujamas poveikis</w:t>
      </w:r>
    </w:p>
    <w:p w14:paraId="72C738FB" w14:textId="77777777" w:rsidR="00890384" w:rsidRDefault="00890384">
      <w:pPr>
        <w:widowControl w:val="0"/>
        <w:tabs>
          <w:tab w:val="clear" w:pos="567"/>
        </w:tabs>
        <w:autoSpaceDE w:val="0"/>
        <w:autoSpaceDN w:val="0"/>
        <w:spacing w:line="240" w:lineRule="auto"/>
        <w:rPr>
          <w:b/>
          <w:snapToGrid/>
          <w:szCs w:val="22"/>
          <w:lang w:val="lt-LT"/>
        </w:rPr>
      </w:pPr>
    </w:p>
    <w:p w14:paraId="5FE1D9A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Saugumo duomenų santrauka</w:t>
      </w:r>
    </w:p>
    <w:p w14:paraId="7668188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saugumas suaugusiesiems buvo tiriamas keturiuose III fazės klinikiniuose tyrimuose, kuriuose dalyvavo daugiau kaip 15 000 pacientų: daugiau kaip 11 000 pacientų dalyvavo VNPV tyrimuose ir daugiau kaip 4 000 pacientų dalyvavo VTE (VTEt) gydymo tyrimuose, kurių metu bendra vidutinė vaistinio preparato ekspozicija buvo atitinkamai 1,7 metų ir 221 diena (žr. 5.1 skyrių).</w:t>
      </w:r>
    </w:p>
    <w:p w14:paraId="128322EF" w14:textId="77777777" w:rsidR="00890384" w:rsidRDefault="00890384">
      <w:pPr>
        <w:widowControl w:val="0"/>
        <w:tabs>
          <w:tab w:val="clear" w:pos="567"/>
        </w:tabs>
        <w:autoSpaceDE w:val="0"/>
        <w:autoSpaceDN w:val="0"/>
        <w:spacing w:line="240" w:lineRule="auto"/>
        <w:rPr>
          <w:snapToGrid/>
          <w:szCs w:val="22"/>
          <w:lang w:val="lt-LT"/>
        </w:rPr>
      </w:pPr>
    </w:p>
    <w:p w14:paraId="4BDFDD67" w14:textId="57C3FE82"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Dažnos nepageidaujamos reakcijos buvo kraujavimas, sumušimas, kraujavimas iš nosies ir hematoma (žr. 3 lentelę, kurioje aprašytas nepageidaujamų reakcijų pobūdis ir dažnis pagal indikacijas).</w:t>
      </w:r>
    </w:p>
    <w:p w14:paraId="663D8332" w14:textId="77777777" w:rsidR="00890384" w:rsidRDefault="00890384">
      <w:pPr>
        <w:widowControl w:val="0"/>
        <w:tabs>
          <w:tab w:val="clear" w:pos="567"/>
        </w:tabs>
        <w:autoSpaceDE w:val="0"/>
        <w:autoSpaceDN w:val="0"/>
        <w:spacing w:line="240" w:lineRule="auto"/>
        <w:rPr>
          <w:snapToGrid/>
          <w:szCs w:val="22"/>
          <w:lang w:val="lt-LT"/>
        </w:rPr>
      </w:pPr>
    </w:p>
    <w:p w14:paraId="60DEF9A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VNPV tyrimus, bendrasis nepageidaujamų reakcijų, susijusių su kraujavimu vartojant apiksabaną, dažnis buvo 24,3 % apiksabano palyginti su varfarinu tyrimo metu ir 9,6 %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0,76 % per metus. Stipraus kraujavimo į akį pagal ISTH dažnis vartojant apiksabaną buvo 0,18 % per metus.</w:t>
      </w:r>
    </w:p>
    <w:p w14:paraId="651BF8AB" w14:textId="77777777" w:rsidR="00890384" w:rsidRDefault="00890384">
      <w:pPr>
        <w:widowControl w:val="0"/>
        <w:tabs>
          <w:tab w:val="clear" w:pos="567"/>
        </w:tabs>
        <w:autoSpaceDE w:val="0"/>
        <w:autoSpaceDN w:val="0"/>
        <w:spacing w:line="240" w:lineRule="auto"/>
        <w:rPr>
          <w:snapToGrid/>
          <w:szCs w:val="22"/>
          <w:lang w:val="lt-LT"/>
        </w:rPr>
      </w:pPr>
    </w:p>
    <w:p w14:paraId="7D1FAE2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Atliekant VTEt tyrimus, bendrasis nepageidaujamų reakcijų, susijusių su kraujavimu vartojant apiksabaną, dažnis buvo: 15,6 % apiksabano palyginti su enoksaparinu/varfarinu tyrimo metu ir 13,3 % apiksabano palyginti su placebu tyrimo metu (žr. 5.1 skyrių).</w:t>
      </w:r>
    </w:p>
    <w:p w14:paraId="43682B6A" w14:textId="77777777" w:rsidR="00890384" w:rsidRDefault="00890384">
      <w:pPr>
        <w:widowControl w:val="0"/>
        <w:tabs>
          <w:tab w:val="clear" w:pos="567"/>
        </w:tabs>
        <w:autoSpaceDE w:val="0"/>
        <w:autoSpaceDN w:val="0"/>
        <w:spacing w:line="240" w:lineRule="auto"/>
        <w:rPr>
          <w:snapToGrid/>
          <w:szCs w:val="22"/>
          <w:lang w:val="lt-LT"/>
        </w:rPr>
      </w:pPr>
    </w:p>
    <w:p w14:paraId="0E564C1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Nepageidaujamų reakcijų santrauka lentelėje</w:t>
      </w:r>
    </w:p>
    <w:p w14:paraId="1FB0D163" w14:textId="04D1A4B2" w:rsidR="00890384" w:rsidRDefault="000A30A1">
      <w:pPr>
        <w:widowControl w:val="0"/>
        <w:tabs>
          <w:tab w:val="clear" w:pos="567"/>
        </w:tabs>
        <w:autoSpaceDE w:val="0"/>
        <w:autoSpaceDN w:val="0"/>
        <w:spacing w:line="240" w:lineRule="auto"/>
        <w:rPr>
          <w:snapToGrid/>
          <w:szCs w:val="22"/>
          <w:lang w:val="lt-LT"/>
        </w:rPr>
      </w:pPr>
      <w:r>
        <w:rPr>
          <w:snapToGrid/>
          <w:szCs w:val="22"/>
          <w:lang w:val="lt-LT"/>
        </w:rPr>
        <w:t>3</w:t>
      </w:r>
      <w:r w:rsidR="00B26795">
        <w:rPr>
          <w:snapToGrid/>
          <w:szCs w:val="22"/>
          <w:lang w:val="lt-LT"/>
        </w:rPr>
        <w:t> 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nežinomas (negali būti apskaičiuotas pagal turimus duomenis), atitinkamai skiriant suaugusiesiems VTEp, VNPV ir VTEt</w:t>
      </w:r>
      <w:r>
        <w:rPr>
          <w:snapToGrid/>
          <w:szCs w:val="22"/>
          <w:lang w:val="lt-LT"/>
        </w:rPr>
        <w:t>,</w:t>
      </w:r>
      <w:r w:rsidR="00B26795">
        <w:rPr>
          <w:snapToGrid/>
          <w:szCs w:val="22"/>
          <w:lang w:val="lt-LT"/>
        </w:rPr>
        <w:t xml:space="preserve"> </w:t>
      </w:r>
      <w:r w:rsidR="00B26795">
        <w:t>ir pacientams vaikams nuo 28 dienų iki &lt;</w:t>
      </w:r>
      <w:r>
        <w:t> </w:t>
      </w:r>
      <w:r w:rsidR="00B26795">
        <w:t xml:space="preserve">18 metų amžiaus VTEt </w:t>
      </w:r>
      <w:r>
        <w:t>bei</w:t>
      </w:r>
      <w:r w:rsidR="00B26795">
        <w:t xml:space="preserve"> VTE pasikartojimo profilaktikos </w:t>
      </w:r>
      <w:r w:rsidR="00B26795">
        <w:rPr>
          <w:snapToGrid/>
          <w:szCs w:val="22"/>
          <w:lang w:val="lt-LT"/>
        </w:rPr>
        <w:t>indikacijoms.</w:t>
      </w:r>
    </w:p>
    <w:p w14:paraId="6AC5A2F9" w14:textId="3A5985BE" w:rsidR="00890384" w:rsidRDefault="00B26795">
      <w:pPr>
        <w:widowControl w:val="0"/>
        <w:tabs>
          <w:tab w:val="clear" w:pos="567"/>
        </w:tabs>
        <w:autoSpaceDE w:val="0"/>
        <w:autoSpaceDN w:val="0"/>
        <w:spacing w:line="240" w:lineRule="auto"/>
      </w:pPr>
      <w:r>
        <w:t>3 lentelėje nurodytų nepageidaujamų reakcijų dažnis pacientams vaikams yra gautas iš tyrimo CV185325, kuriame jie vartojo apiksaban</w:t>
      </w:r>
      <w:r w:rsidR="000A30A1">
        <w:t>o</w:t>
      </w:r>
      <w:r>
        <w:t xml:space="preserve"> VTE gydymui ir VTE pasikartojimo profilaktikai.</w:t>
      </w:r>
    </w:p>
    <w:p w14:paraId="3B0A1215" w14:textId="77777777" w:rsidR="00890384" w:rsidRDefault="00890384">
      <w:pPr>
        <w:widowControl w:val="0"/>
        <w:tabs>
          <w:tab w:val="clear" w:pos="567"/>
        </w:tabs>
        <w:autoSpaceDE w:val="0"/>
        <w:autoSpaceDN w:val="0"/>
        <w:spacing w:line="240" w:lineRule="auto"/>
        <w:rPr>
          <w:snapToGrid/>
          <w:szCs w:val="22"/>
          <w:lang w:val="lt-LT"/>
        </w:rPr>
      </w:pPr>
    </w:p>
    <w:p w14:paraId="0C649190" w14:textId="176CA883" w:rsidR="00890384" w:rsidRPr="005261E3" w:rsidRDefault="00B26795">
      <w:pPr>
        <w:widowControl w:val="0"/>
        <w:tabs>
          <w:tab w:val="clear" w:pos="567"/>
        </w:tabs>
        <w:autoSpaceDE w:val="0"/>
        <w:autoSpaceDN w:val="0"/>
        <w:spacing w:line="240" w:lineRule="auto"/>
        <w:rPr>
          <w:b/>
          <w:bCs/>
          <w:i/>
          <w:iCs/>
          <w:szCs w:val="22"/>
          <w:lang w:val="lt-LT"/>
        </w:rPr>
      </w:pPr>
      <w:r w:rsidRPr="005261E3">
        <w:rPr>
          <w:b/>
          <w:bCs/>
          <w:szCs w:val="22"/>
          <w:lang w:val="lt-LT"/>
        </w:rPr>
        <w:t>3 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98"/>
        <w:gridCol w:w="2588"/>
        <w:gridCol w:w="1701"/>
        <w:gridCol w:w="1701"/>
      </w:tblGrid>
      <w:tr w:rsidR="00890384" w14:paraId="717ED9D5" w14:textId="77777777">
        <w:trPr>
          <w:trHeight w:val="1264"/>
        </w:trPr>
        <w:tc>
          <w:tcPr>
            <w:tcW w:w="3498" w:type="dxa"/>
          </w:tcPr>
          <w:p w14:paraId="0931044D" w14:textId="77777777" w:rsidR="00890384" w:rsidRDefault="00B26795">
            <w:pPr>
              <w:pStyle w:val="TableParagraph"/>
              <w:jc w:val="left"/>
              <w:rPr>
                <w:b/>
                <w:lang w:val="lt-LT"/>
              </w:rPr>
            </w:pPr>
            <w:r>
              <w:rPr>
                <w:b/>
                <w:lang w:val="lt-LT"/>
              </w:rPr>
              <w:t>Organų sistemų klasės</w:t>
            </w:r>
          </w:p>
        </w:tc>
        <w:tc>
          <w:tcPr>
            <w:tcW w:w="2588" w:type="dxa"/>
          </w:tcPr>
          <w:p w14:paraId="387EC049" w14:textId="77777777" w:rsidR="00890384" w:rsidRDefault="00B26795">
            <w:pPr>
              <w:pStyle w:val="TableParagraph"/>
              <w:rPr>
                <w:b/>
                <w:lang w:val="lt-LT"/>
              </w:rPr>
            </w:pPr>
            <w:r>
              <w:rPr>
                <w:b/>
                <w:lang w:val="lt-LT"/>
              </w:rPr>
              <w:t>Insulto ir sisteminės embolijos profilaktika suaugusiems pacientams, kuriems pasireiškė VNPV ir yra vienas ar daugiau rizikos veiksnių</w:t>
            </w:r>
          </w:p>
          <w:p w14:paraId="71A380D7" w14:textId="77777777" w:rsidR="00890384" w:rsidRDefault="00B26795">
            <w:pPr>
              <w:pStyle w:val="TableParagraph"/>
              <w:rPr>
                <w:b/>
                <w:lang w:val="lt-LT"/>
              </w:rPr>
            </w:pPr>
            <w:r>
              <w:rPr>
                <w:b/>
                <w:lang w:val="lt-LT"/>
              </w:rPr>
              <w:t>(VNPV)</w:t>
            </w:r>
          </w:p>
        </w:tc>
        <w:tc>
          <w:tcPr>
            <w:tcW w:w="1701" w:type="dxa"/>
          </w:tcPr>
          <w:p w14:paraId="2892AD85" w14:textId="77777777" w:rsidR="00890384" w:rsidRDefault="00B26795">
            <w:pPr>
              <w:pStyle w:val="TableParagraph"/>
              <w:rPr>
                <w:b/>
                <w:lang w:val="lt-LT"/>
              </w:rPr>
            </w:pPr>
            <w:r>
              <w:rPr>
                <w:b/>
                <w:lang w:val="lt-LT"/>
              </w:rPr>
              <w:t>GVT bei PE gydymas ir pasikartojančios GVT bei PE (VTEt)</w:t>
            </w:r>
          </w:p>
          <w:p w14:paraId="1E179312" w14:textId="77777777" w:rsidR="00890384" w:rsidRDefault="00B26795">
            <w:pPr>
              <w:pStyle w:val="TableParagraph"/>
              <w:rPr>
                <w:b/>
                <w:lang w:val="lt-LT"/>
              </w:rPr>
            </w:pPr>
            <w:r>
              <w:rPr>
                <w:b/>
                <w:lang w:val="lt-LT"/>
              </w:rPr>
              <w:t>profilaktika</w:t>
            </w:r>
          </w:p>
        </w:tc>
        <w:tc>
          <w:tcPr>
            <w:tcW w:w="1701" w:type="dxa"/>
          </w:tcPr>
          <w:p w14:paraId="0971E585" w14:textId="77777777" w:rsidR="00890384" w:rsidRDefault="00B26795">
            <w:pPr>
              <w:pStyle w:val="TableParagraph"/>
              <w:rPr>
                <w:b/>
                <w:lang w:val="lt-LT"/>
              </w:rPr>
            </w:pPr>
            <w:r>
              <w:rPr>
                <w:b/>
                <w:bCs/>
              </w:rPr>
              <w:t>VTE gydymas ir VTE pasikartojimo profilaktika pacientams vaikams nuo 28 dienų iki mažiau kaip 18 metų amžiaus</w:t>
            </w:r>
          </w:p>
        </w:tc>
      </w:tr>
      <w:tr w:rsidR="00890384" w14:paraId="4E57CEFB" w14:textId="77777777">
        <w:trPr>
          <w:trHeight w:val="359"/>
        </w:trPr>
        <w:tc>
          <w:tcPr>
            <w:tcW w:w="9488" w:type="dxa"/>
            <w:gridSpan w:val="4"/>
          </w:tcPr>
          <w:p w14:paraId="2A77BB43" w14:textId="77777777" w:rsidR="00890384" w:rsidRDefault="00B26795">
            <w:pPr>
              <w:pStyle w:val="TableParagraph"/>
              <w:jc w:val="left"/>
              <w:rPr>
                <w:i/>
                <w:lang w:val="lt-LT"/>
              </w:rPr>
            </w:pPr>
            <w:r>
              <w:rPr>
                <w:i/>
                <w:lang w:val="lt-LT"/>
              </w:rPr>
              <w:t>Kraujo ir limfinės sistemos sutrikimai</w:t>
            </w:r>
          </w:p>
        </w:tc>
      </w:tr>
      <w:tr w:rsidR="00890384" w14:paraId="44A59BE8" w14:textId="77777777">
        <w:trPr>
          <w:trHeight w:val="251"/>
        </w:trPr>
        <w:tc>
          <w:tcPr>
            <w:tcW w:w="3498" w:type="dxa"/>
          </w:tcPr>
          <w:p w14:paraId="19AC64A1" w14:textId="77777777" w:rsidR="00890384" w:rsidRDefault="00B26795">
            <w:pPr>
              <w:pStyle w:val="TableParagraph"/>
              <w:jc w:val="left"/>
              <w:rPr>
                <w:lang w:val="lt-LT"/>
              </w:rPr>
            </w:pPr>
            <w:r>
              <w:rPr>
                <w:lang w:val="lt-LT"/>
              </w:rPr>
              <w:t>Anemija</w:t>
            </w:r>
          </w:p>
        </w:tc>
        <w:tc>
          <w:tcPr>
            <w:tcW w:w="2588" w:type="dxa"/>
          </w:tcPr>
          <w:p w14:paraId="059D281E" w14:textId="77777777" w:rsidR="00890384" w:rsidRDefault="00B26795">
            <w:pPr>
              <w:pStyle w:val="TableParagraph"/>
              <w:rPr>
                <w:lang w:val="lt-LT"/>
              </w:rPr>
            </w:pPr>
            <w:r>
              <w:rPr>
                <w:lang w:val="lt-LT"/>
              </w:rPr>
              <w:t>Dažnas</w:t>
            </w:r>
          </w:p>
        </w:tc>
        <w:tc>
          <w:tcPr>
            <w:tcW w:w="1701" w:type="dxa"/>
          </w:tcPr>
          <w:p w14:paraId="7918C024" w14:textId="77777777" w:rsidR="00890384" w:rsidRDefault="00B26795">
            <w:pPr>
              <w:pStyle w:val="TableParagraph"/>
              <w:rPr>
                <w:lang w:val="lt-LT"/>
              </w:rPr>
            </w:pPr>
            <w:r>
              <w:rPr>
                <w:lang w:val="lt-LT"/>
              </w:rPr>
              <w:t>Dažnas</w:t>
            </w:r>
          </w:p>
        </w:tc>
        <w:tc>
          <w:tcPr>
            <w:tcW w:w="1701" w:type="dxa"/>
          </w:tcPr>
          <w:p w14:paraId="45901C97" w14:textId="77777777" w:rsidR="00890384" w:rsidRDefault="00B26795">
            <w:pPr>
              <w:pStyle w:val="TableParagraph"/>
              <w:rPr>
                <w:lang w:val="lt-LT"/>
              </w:rPr>
            </w:pPr>
            <w:r>
              <w:t>Dažnas</w:t>
            </w:r>
          </w:p>
        </w:tc>
      </w:tr>
      <w:tr w:rsidR="00890384" w14:paraId="56985D57" w14:textId="77777777">
        <w:trPr>
          <w:trHeight w:val="253"/>
        </w:trPr>
        <w:tc>
          <w:tcPr>
            <w:tcW w:w="3498" w:type="dxa"/>
          </w:tcPr>
          <w:p w14:paraId="205ADEF6" w14:textId="77777777" w:rsidR="00890384" w:rsidRDefault="00B26795">
            <w:pPr>
              <w:pStyle w:val="TableParagraph"/>
              <w:jc w:val="left"/>
              <w:rPr>
                <w:lang w:val="lt-LT"/>
              </w:rPr>
            </w:pPr>
            <w:r>
              <w:rPr>
                <w:lang w:val="lt-LT"/>
              </w:rPr>
              <w:t>Trombocitopenija</w:t>
            </w:r>
          </w:p>
        </w:tc>
        <w:tc>
          <w:tcPr>
            <w:tcW w:w="2588" w:type="dxa"/>
          </w:tcPr>
          <w:p w14:paraId="59284860" w14:textId="77777777" w:rsidR="00890384" w:rsidRDefault="00B26795">
            <w:pPr>
              <w:pStyle w:val="TableParagraph"/>
              <w:rPr>
                <w:lang w:val="lt-LT"/>
              </w:rPr>
            </w:pPr>
            <w:r>
              <w:rPr>
                <w:lang w:val="lt-LT"/>
              </w:rPr>
              <w:t>Nedažnas</w:t>
            </w:r>
          </w:p>
        </w:tc>
        <w:tc>
          <w:tcPr>
            <w:tcW w:w="1701" w:type="dxa"/>
          </w:tcPr>
          <w:p w14:paraId="796D6FE0" w14:textId="77777777" w:rsidR="00890384" w:rsidRDefault="00B26795">
            <w:pPr>
              <w:pStyle w:val="TableParagraph"/>
              <w:rPr>
                <w:lang w:val="lt-LT"/>
              </w:rPr>
            </w:pPr>
            <w:r>
              <w:rPr>
                <w:lang w:val="lt-LT"/>
              </w:rPr>
              <w:t>Dažnas</w:t>
            </w:r>
          </w:p>
        </w:tc>
        <w:tc>
          <w:tcPr>
            <w:tcW w:w="1701" w:type="dxa"/>
          </w:tcPr>
          <w:p w14:paraId="7669DEE1" w14:textId="77777777" w:rsidR="00890384" w:rsidRDefault="00B26795">
            <w:pPr>
              <w:pStyle w:val="TableParagraph"/>
              <w:rPr>
                <w:lang w:val="lt-LT"/>
              </w:rPr>
            </w:pPr>
            <w:r>
              <w:t>Dažnas</w:t>
            </w:r>
          </w:p>
        </w:tc>
      </w:tr>
      <w:tr w:rsidR="00890384" w14:paraId="2A6FCCD8" w14:textId="77777777">
        <w:trPr>
          <w:trHeight w:val="359"/>
        </w:trPr>
        <w:tc>
          <w:tcPr>
            <w:tcW w:w="9488" w:type="dxa"/>
            <w:gridSpan w:val="4"/>
          </w:tcPr>
          <w:p w14:paraId="2E41B955" w14:textId="77777777" w:rsidR="00890384" w:rsidRDefault="00B26795">
            <w:pPr>
              <w:pStyle w:val="TableParagraph"/>
              <w:jc w:val="left"/>
              <w:rPr>
                <w:i/>
                <w:lang w:val="lt-LT"/>
              </w:rPr>
            </w:pPr>
            <w:r>
              <w:rPr>
                <w:i/>
                <w:lang w:val="lt-LT"/>
              </w:rPr>
              <w:t>Imuninės sistemos sutrikimai</w:t>
            </w:r>
          </w:p>
        </w:tc>
      </w:tr>
      <w:tr w:rsidR="00890384" w14:paraId="2D8499F2" w14:textId="77777777">
        <w:trPr>
          <w:trHeight w:val="506"/>
        </w:trPr>
        <w:tc>
          <w:tcPr>
            <w:tcW w:w="3498" w:type="dxa"/>
          </w:tcPr>
          <w:p w14:paraId="1E124194" w14:textId="77777777" w:rsidR="00890384" w:rsidRDefault="00B26795">
            <w:pPr>
              <w:pStyle w:val="TableParagraph"/>
              <w:jc w:val="left"/>
              <w:rPr>
                <w:lang w:val="lt-LT"/>
              </w:rPr>
            </w:pPr>
            <w:r>
              <w:rPr>
                <w:lang w:val="lt-LT"/>
              </w:rPr>
              <w:t>Padidėjęs jautrumas, alerginė edema ir anafilaksija</w:t>
            </w:r>
          </w:p>
        </w:tc>
        <w:tc>
          <w:tcPr>
            <w:tcW w:w="2588" w:type="dxa"/>
          </w:tcPr>
          <w:p w14:paraId="3D6A8CB4" w14:textId="77777777" w:rsidR="00890384" w:rsidRDefault="00B26795">
            <w:pPr>
              <w:pStyle w:val="TableParagraph"/>
              <w:rPr>
                <w:lang w:val="lt-LT"/>
              </w:rPr>
            </w:pPr>
            <w:r>
              <w:rPr>
                <w:lang w:val="lt-LT"/>
              </w:rPr>
              <w:t>Nedažnas</w:t>
            </w:r>
          </w:p>
        </w:tc>
        <w:tc>
          <w:tcPr>
            <w:tcW w:w="1701" w:type="dxa"/>
          </w:tcPr>
          <w:p w14:paraId="3BA4A93C" w14:textId="77777777" w:rsidR="00890384" w:rsidRDefault="00B26795">
            <w:pPr>
              <w:pStyle w:val="TableParagraph"/>
              <w:rPr>
                <w:lang w:val="lt-LT"/>
              </w:rPr>
            </w:pPr>
            <w:r>
              <w:rPr>
                <w:lang w:val="lt-LT"/>
              </w:rPr>
              <w:t>Nedažnas</w:t>
            </w:r>
          </w:p>
        </w:tc>
        <w:tc>
          <w:tcPr>
            <w:tcW w:w="1701" w:type="dxa"/>
          </w:tcPr>
          <w:p w14:paraId="36FD4674" w14:textId="77777777" w:rsidR="00890384" w:rsidRDefault="00B26795">
            <w:pPr>
              <w:pStyle w:val="TableParagraph"/>
              <w:rPr>
                <w:lang w:val="lt-LT"/>
              </w:rPr>
            </w:pPr>
            <w:r>
              <w:t>Dažnas‡</w:t>
            </w:r>
          </w:p>
        </w:tc>
      </w:tr>
      <w:tr w:rsidR="00890384" w14:paraId="2C1FB879" w14:textId="77777777">
        <w:trPr>
          <w:trHeight w:val="251"/>
        </w:trPr>
        <w:tc>
          <w:tcPr>
            <w:tcW w:w="3498" w:type="dxa"/>
          </w:tcPr>
          <w:p w14:paraId="5312AF88" w14:textId="77777777" w:rsidR="00890384" w:rsidRDefault="00B26795">
            <w:pPr>
              <w:pStyle w:val="TableParagraph"/>
              <w:jc w:val="left"/>
              <w:rPr>
                <w:lang w:val="lt-LT"/>
              </w:rPr>
            </w:pPr>
            <w:r>
              <w:rPr>
                <w:lang w:val="lt-LT"/>
              </w:rPr>
              <w:t>Niežėjimas</w:t>
            </w:r>
          </w:p>
        </w:tc>
        <w:tc>
          <w:tcPr>
            <w:tcW w:w="2588" w:type="dxa"/>
          </w:tcPr>
          <w:p w14:paraId="0EE4CD59" w14:textId="77777777" w:rsidR="00890384" w:rsidRDefault="00B26795">
            <w:pPr>
              <w:pStyle w:val="TableParagraph"/>
              <w:rPr>
                <w:lang w:val="lt-LT"/>
              </w:rPr>
            </w:pPr>
            <w:r>
              <w:rPr>
                <w:lang w:val="lt-LT"/>
              </w:rPr>
              <w:t>Nedažnas</w:t>
            </w:r>
          </w:p>
        </w:tc>
        <w:tc>
          <w:tcPr>
            <w:tcW w:w="1701" w:type="dxa"/>
          </w:tcPr>
          <w:p w14:paraId="7AA69A1B" w14:textId="77777777" w:rsidR="00890384" w:rsidRDefault="00B26795">
            <w:pPr>
              <w:pStyle w:val="TableParagraph"/>
              <w:rPr>
                <w:lang w:val="lt-LT"/>
              </w:rPr>
            </w:pPr>
            <w:r>
              <w:rPr>
                <w:lang w:val="lt-LT"/>
              </w:rPr>
              <w:t>Nedažnas*</w:t>
            </w:r>
          </w:p>
        </w:tc>
        <w:tc>
          <w:tcPr>
            <w:tcW w:w="1701" w:type="dxa"/>
          </w:tcPr>
          <w:p w14:paraId="647308A6" w14:textId="77777777" w:rsidR="00890384" w:rsidRDefault="00B26795">
            <w:pPr>
              <w:pStyle w:val="TableParagraph"/>
              <w:rPr>
                <w:lang w:val="lt-LT"/>
              </w:rPr>
            </w:pPr>
            <w:r>
              <w:t>Dažnas</w:t>
            </w:r>
          </w:p>
        </w:tc>
      </w:tr>
      <w:tr w:rsidR="00890384" w14:paraId="52E81F61" w14:textId="77777777">
        <w:trPr>
          <w:trHeight w:val="251"/>
        </w:trPr>
        <w:tc>
          <w:tcPr>
            <w:tcW w:w="3498" w:type="dxa"/>
          </w:tcPr>
          <w:p w14:paraId="57F4D093" w14:textId="77777777" w:rsidR="00890384" w:rsidRDefault="00B26795">
            <w:pPr>
              <w:pStyle w:val="TableParagraph"/>
              <w:jc w:val="left"/>
              <w:rPr>
                <w:lang w:val="lt-LT"/>
              </w:rPr>
            </w:pPr>
            <w:r>
              <w:rPr>
                <w:lang w:val="lt-LT"/>
              </w:rPr>
              <w:t>Angioneurozinė edema</w:t>
            </w:r>
          </w:p>
        </w:tc>
        <w:tc>
          <w:tcPr>
            <w:tcW w:w="2588" w:type="dxa"/>
          </w:tcPr>
          <w:p w14:paraId="65F27057" w14:textId="77777777" w:rsidR="00890384" w:rsidRDefault="00B26795">
            <w:pPr>
              <w:pStyle w:val="TableParagraph"/>
              <w:rPr>
                <w:lang w:val="lt-LT"/>
              </w:rPr>
            </w:pPr>
            <w:r>
              <w:rPr>
                <w:lang w:val="lt-LT"/>
              </w:rPr>
              <w:t>Dažnis nežinomas</w:t>
            </w:r>
          </w:p>
        </w:tc>
        <w:tc>
          <w:tcPr>
            <w:tcW w:w="1701" w:type="dxa"/>
          </w:tcPr>
          <w:p w14:paraId="20CCAAC0" w14:textId="77777777" w:rsidR="00890384" w:rsidRDefault="00B26795">
            <w:pPr>
              <w:pStyle w:val="TableParagraph"/>
              <w:rPr>
                <w:lang w:val="lt-LT"/>
              </w:rPr>
            </w:pPr>
            <w:r>
              <w:rPr>
                <w:lang w:val="lt-LT"/>
              </w:rPr>
              <w:t>Dažnis nežinomas</w:t>
            </w:r>
          </w:p>
        </w:tc>
        <w:tc>
          <w:tcPr>
            <w:tcW w:w="1701" w:type="dxa"/>
          </w:tcPr>
          <w:p w14:paraId="66BF45DD" w14:textId="77777777" w:rsidR="00890384" w:rsidRDefault="00B26795">
            <w:pPr>
              <w:pStyle w:val="TableParagraph"/>
              <w:rPr>
                <w:lang w:val="lt-LT"/>
              </w:rPr>
            </w:pPr>
            <w:r>
              <w:t>Dažnis nežinomas</w:t>
            </w:r>
          </w:p>
        </w:tc>
      </w:tr>
      <w:tr w:rsidR="00890384" w14:paraId="1B513087" w14:textId="77777777">
        <w:trPr>
          <w:trHeight w:val="359"/>
        </w:trPr>
        <w:tc>
          <w:tcPr>
            <w:tcW w:w="9488" w:type="dxa"/>
            <w:gridSpan w:val="4"/>
          </w:tcPr>
          <w:p w14:paraId="2E089BE3" w14:textId="77777777" w:rsidR="00890384" w:rsidRDefault="00B26795">
            <w:pPr>
              <w:pStyle w:val="TableParagraph"/>
              <w:jc w:val="left"/>
              <w:rPr>
                <w:i/>
                <w:lang w:val="lt-LT"/>
              </w:rPr>
            </w:pPr>
            <w:r>
              <w:rPr>
                <w:i/>
                <w:lang w:val="lt-LT"/>
              </w:rPr>
              <w:t>Nervų sistemos sutrikimai</w:t>
            </w:r>
          </w:p>
        </w:tc>
      </w:tr>
      <w:tr w:rsidR="00890384" w14:paraId="06F96B32" w14:textId="77777777">
        <w:trPr>
          <w:trHeight w:val="251"/>
        </w:trPr>
        <w:tc>
          <w:tcPr>
            <w:tcW w:w="3498" w:type="dxa"/>
          </w:tcPr>
          <w:p w14:paraId="14BF7573" w14:textId="77777777" w:rsidR="00890384" w:rsidRDefault="00B26795">
            <w:pPr>
              <w:pStyle w:val="TableParagraph"/>
              <w:jc w:val="left"/>
              <w:rPr>
                <w:lang w:val="lt-LT"/>
              </w:rPr>
            </w:pPr>
            <w:r>
              <w:rPr>
                <w:lang w:val="lt-LT"/>
              </w:rPr>
              <w:t>Kraujavimas į galvos smegenis</w:t>
            </w:r>
            <w:r>
              <w:rPr>
                <w:vertAlign w:val="superscript"/>
                <w:lang w:val="lt-LT"/>
              </w:rPr>
              <w:t>†</w:t>
            </w:r>
          </w:p>
        </w:tc>
        <w:tc>
          <w:tcPr>
            <w:tcW w:w="2588" w:type="dxa"/>
          </w:tcPr>
          <w:p w14:paraId="10097E6B" w14:textId="77777777" w:rsidR="00890384" w:rsidRDefault="00B26795">
            <w:pPr>
              <w:pStyle w:val="TableParagraph"/>
              <w:rPr>
                <w:lang w:val="lt-LT"/>
              </w:rPr>
            </w:pPr>
            <w:r>
              <w:rPr>
                <w:lang w:val="lt-LT"/>
              </w:rPr>
              <w:t>Nedažnas</w:t>
            </w:r>
          </w:p>
        </w:tc>
        <w:tc>
          <w:tcPr>
            <w:tcW w:w="1701" w:type="dxa"/>
          </w:tcPr>
          <w:p w14:paraId="574386D7" w14:textId="77777777" w:rsidR="00890384" w:rsidRDefault="00B26795">
            <w:pPr>
              <w:pStyle w:val="TableParagraph"/>
              <w:rPr>
                <w:lang w:val="lt-LT"/>
              </w:rPr>
            </w:pPr>
            <w:r>
              <w:rPr>
                <w:lang w:val="lt-LT"/>
              </w:rPr>
              <w:t>Retas</w:t>
            </w:r>
          </w:p>
        </w:tc>
        <w:tc>
          <w:tcPr>
            <w:tcW w:w="1701" w:type="dxa"/>
          </w:tcPr>
          <w:p w14:paraId="5498DA3E" w14:textId="77777777" w:rsidR="00890384" w:rsidRDefault="00B26795">
            <w:pPr>
              <w:pStyle w:val="TableParagraph"/>
              <w:rPr>
                <w:lang w:val="lt-LT"/>
              </w:rPr>
            </w:pPr>
            <w:r>
              <w:rPr>
                <w:lang w:val="lt-LT"/>
              </w:rPr>
              <w:t>Dažnis nežinomas</w:t>
            </w:r>
          </w:p>
        </w:tc>
      </w:tr>
      <w:tr w:rsidR="00890384" w14:paraId="640AABC9" w14:textId="77777777">
        <w:trPr>
          <w:trHeight w:val="362"/>
        </w:trPr>
        <w:tc>
          <w:tcPr>
            <w:tcW w:w="7787" w:type="dxa"/>
            <w:gridSpan w:val="3"/>
          </w:tcPr>
          <w:p w14:paraId="29921B82" w14:textId="77777777" w:rsidR="00890384" w:rsidRDefault="00B26795">
            <w:pPr>
              <w:pStyle w:val="TableParagraph"/>
              <w:jc w:val="left"/>
              <w:rPr>
                <w:i/>
                <w:lang w:val="lt-LT"/>
              </w:rPr>
            </w:pPr>
            <w:r>
              <w:rPr>
                <w:i/>
                <w:lang w:val="lt-LT"/>
              </w:rPr>
              <w:t>Akių sutrikimai</w:t>
            </w:r>
          </w:p>
        </w:tc>
        <w:tc>
          <w:tcPr>
            <w:tcW w:w="1701" w:type="dxa"/>
          </w:tcPr>
          <w:p w14:paraId="6536027F" w14:textId="77777777" w:rsidR="00890384" w:rsidRDefault="00890384">
            <w:pPr>
              <w:pStyle w:val="TableParagraph"/>
              <w:jc w:val="left"/>
              <w:rPr>
                <w:i/>
                <w:lang w:val="lt-LT"/>
              </w:rPr>
            </w:pPr>
          </w:p>
        </w:tc>
      </w:tr>
      <w:tr w:rsidR="00890384" w14:paraId="6FEF18B5" w14:textId="77777777">
        <w:trPr>
          <w:trHeight w:val="505"/>
        </w:trPr>
        <w:tc>
          <w:tcPr>
            <w:tcW w:w="3498" w:type="dxa"/>
          </w:tcPr>
          <w:p w14:paraId="086D1C35" w14:textId="77777777" w:rsidR="00890384" w:rsidRDefault="00B26795">
            <w:pPr>
              <w:pStyle w:val="TableParagraph"/>
              <w:jc w:val="left"/>
              <w:rPr>
                <w:lang w:val="lt-LT"/>
              </w:rPr>
            </w:pPr>
            <w:r>
              <w:rPr>
                <w:lang w:val="lt-LT"/>
              </w:rPr>
              <w:t>Kraujavimas į akį (įskaitant junginės kraujosruvą)</w:t>
            </w:r>
          </w:p>
        </w:tc>
        <w:tc>
          <w:tcPr>
            <w:tcW w:w="2588" w:type="dxa"/>
          </w:tcPr>
          <w:p w14:paraId="5CDFDD17" w14:textId="77777777" w:rsidR="00890384" w:rsidRDefault="00B26795">
            <w:pPr>
              <w:pStyle w:val="TableParagraph"/>
              <w:rPr>
                <w:lang w:val="lt-LT"/>
              </w:rPr>
            </w:pPr>
            <w:r>
              <w:rPr>
                <w:lang w:val="lt-LT"/>
              </w:rPr>
              <w:t>Dažnas</w:t>
            </w:r>
          </w:p>
        </w:tc>
        <w:tc>
          <w:tcPr>
            <w:tcW w:w="1701" w:type="dxa"/>
          </w:tcPr>
          <w:p w14:paraId="1331B245" w14:textId="77777777" w:rsidR="00890384" w:rsidRDefault="00B26795">
            <w:pPr>
              <w:pStyle w:val="TableParagraph"/>
              <w:rPr>
                <w:lang w:val="lt-LT"/>
              </w:rPr>
            </w:pPr>
            <w:r>
              <w:rPr>
                <w:lang w:val="lt-LT"/>
              </w:rPr>
              <w:t>Nedažnas</w:t>
            </w:r>
          </w:p>
        </w:tc>
        <w:tc>
          <w:tcPr>
            <w:tcW w:w="1701" w:type="dxa"/>
          </w:tcPr>
          <w:p w14:paraId="7490BEA8" w14:textId="77777777" w:rsidR="00890384" w:rsidRDefault="00B26795">
            <w:pPr>
              <w:pStyle w:val="TableParagraph"/>
              <w:rPr>
                <w:lang w:val="lt-LT"/>
              </w:rPr>
            </w:pPr>
            <w:r>
              <w:rPr>
                <w:lang w:val="lt-LT"/>
              </w:rPr>
              <w:t>Dažnis nežinomas</w:t>
            </w:r>
          </w:p>
        </w:tc>
      </w:tr>
      <w:tr w:rsidR="00890384" w14:paraId="39DF85A2" w14:textId="77777777">
        <w:trPr>
          <w:trHeight w:val="359"/>
        </w:trPr>
        <w:tc>
          <w:tcPr>
            <w:tcW w:w="9488" w:type="dxa"/>
            <w:gridSpan w:val="4"/>
          </w:tcPr>
          <w:p w14:paraId="4293C453" w14:textId="77777777" w:rsidR="00890384" w:rsidRDefault="00B26795">
            <w:pPr>
              <w:pStyle w:val="TableParagraph"/>
              <w:jc w:val="left"/>
              <w:rPr>
                <w:i/>
                <w:lang w:val="lt-LT"/>
              </w:rPr>
            </w:pPr>
            <w:r>
              <w:rPr>
                <w:i/>
                <w:lang w:val="lt-LT"/>
              </w:rPr>
              <w:t>Kraujagyslių sutrikimai</w:t>
            </w:r>
          </w:p>
        </w:tc>
      </w:tr>
      <w:tr w:rsidR="00890384" w14:paraId="0B2CC99D" w14:textId="77777777">
        <w:trPr>
          <w:trHeight w:val="251"/>
        </w:trPr>
        <w:tc>
          <w:tcPr>
            <w:tcW w:w="3498" w:type="dxa"/>
          </w:tcPr>
          <w:p w14:paraId="4F167DC1" w14:textId="77777777" w:rsidR="00890384" w:rsidRDefault="00B26795">
            <w:pPr>
              <w:pStyle w:val="TableParagraph"/>
              <w:jc w:val="left"/>
              <w:rPr>
                <w:lang w:val="lt-LT"/>
              </w:rPr>
            </w:pPr>
            <w:r>
              <w:rPr>
                <w:lang w:val="lt-LT"/>
              </w:rPr>
              <w:t>Kraujavimas, hematoma</w:t>
            </w:r>
          </w:p>
        </w:tc>
        <w:tc>
          <w:tcPr>
            <w:tcW w:w="2588" w:type="dxa"/>
          </w:tcPr>
          <w:p w14:paraId="2CE33027" w14:textId="77777777" w:rsidR="00890384" w:rsidRDefault="00B26795">
            <w:pPr>
              <w:pStyle w:val="TableParagraph"/>
              <w:rPr>
                <w:lang w:val="lt-LT"/>
              </w:rPr>
            </w:pPr>
            <w:r>
              <w:rPr>
                <w:lang w:val="lt-LT"/>
              </w:rPr>
              <w:t>Dažnas</w:t>
            </w:r>
          </w:p>
        </w:tc>
        <w:tc>
          <w:tcPr>
            <w:tcW w:w="1701" w:type="dxa"/>
          </w:tcPr>
          <w:p w14:paraId="22BB163F" w14:textId="77777777" w:rsidR="00890384" w:rsidRDefault="00B26795">
            <w:pPr>
              <w:pStyle w:val="TableParagraph"/>
              <w:rPr>
                <w:lang w:val="lt-LT"/>
              </w:rPr>
            </w:pPr>
            <w:r>
              <w:rPr>
                <w:lang w:val="lt-LT"/>
              </w:rPr>
              <w:t>Dažnas</w:t>
            </w:r>
          </w:p>
        </w:tc>
        <w:tc>
          <w:tcPr>
            <w:tcW w:w="1701" w:type="dxa"/>
          </w:tcPr>
          <w:p w14:paraId="7E512CB3" w14:textId="77777777" w:rsidR="00890384" w:rsidRDefault="00B26795">
            <w:pPr>
              <w:pStyle w:val="TableParagraph"/>
              <w:rPr>
                <w:lang w:val="lt-LT"/>
              </w:rPr>
            </w:pPr>
            <w:r>
              <w:t>Dažnas</w:t>
            </w:r>
          </w:p>
        </w:tc>
      </w:tr>
      <w:tr w:rsidR="00890384" w14:paraId="3D2B88A5" w14:textId="77777777">
        <w:trPr>
          <w:trHeight w:val="505"/>
        </w:trPr>
        <w:tc>
          <w:tcPr>
            <w:tcW w:w="3498" w:type="dxa"/>
          </w:tcPr>
          <w:p w14:paraId="503F45CE" w14:textId="77777777" w:rsidR="00890384" w:rsidRDefault="00B26795">
            <w:pPr>
              <w:pStyle w:val="TableParagraph"/>
              <w:jc w:val="left"/>
              <w:rPr>
                <w:lang w:val="lt-LT"/>
              </w:rPr>
            </w:pPr>
            <w:r>
              <w:rPr>
                <w:lang w:val="lt-LT"/>
              </w:rPr>
              <w:t>Hipotenzija (įskaitant hipotenziją procedūros metu)</w:t>
            </w:r>
          </w:p>
        </w:tc>
        <w:tc>
          <w:tcPr>
            <w:tcW w:w="2588" w:type="dxa"/>
          </w:tcPr>
          <w:p w14:paraId="2665CB66" w14:textId="77777777" w:rsidR="00890384" w:rsidRDefault="00B26795">
            <w:pPr>
              <w:pStyle w:val="TableParagraph"/>
              <w:rPr>
                <w:lang w:val="lt-LT"/>
              </w:rPr>
            </w:pPr>
            <w:r>
              <w:rPr>
                <w:lang w:val="lt-LT"/>
              </w:rPr>
              <w:t>Dažnas</w:t>
            </w:r>
          </w:p>
        </w:tc>
        <w:tc>
          <w:tcPr>
            <w:tcW w:w="1701" w:type="dxa"/>
          </w:tcPr>
          <w:p w14:paraId="2A38E08C" w14:textId="77777777" w:rsidR="00890384" w:rsidRDefault="00B26795">
            <w:pPr>
              <w:pStyle w:val="TableParagraph"/>
              <w:rPr>
                <w:lang w:val="lt-LT"/>
              </w:rPr>
            </w:pPr>
            <w:r>
              <w:rPr>
                <w:lang w:val="lt-LT"/>
              </w:rPr>
              <w:t>Nedažnas</w:t>
            </w:r>
          </w:p>
        </w:tc>
        <w:tc>
          <w:tcPr>
            <w:tcW w:w="1701" w:type="dxa"/>
          </w:tcPr>
          <w:p w14:paraId="630B2230" w14:textId="77777777" w:rsidR="00890384" w:rsidRDefault="00B26795">
            <w:pPr>
              <w:pStyle w:val="TableParagraph"/>
              <w:rPr>
                <w:lang w:val="lt-LT"/>
              </w:rPr>
            </w:pPr>
            <w:r>
              <w:t>Dažnas</w:t>
            </w:r>
          </w:p>
        </w:tc>
      </w:tr>
      <w:tr w:rsidR="00890384" w14:paraId="36B63793" w14:textId="77777777">
        <w:trPr>
          <w:trHeight w:val="254"/>
        </w:trPr>
        <w:tc>
          <w:tcPr>
            <w:tcW w:w="3498" w:type="dxa"/>
          </w:tcPr>
          <w:p w14:paraId="4A25E96C" w14:textId="77777777" w:rsidR="00890384" w:rsidRDefault="00B26795">
            <w:pPr>
              <w:pStyle w:val="TableParagraph"/>
              <w:jc w:val="left"/>
              <w:rPr>
                <w:lang w:val="lt-LT"/>
              </w:rPr>
            </w:pPr>
            <w:r>
              <w:rPr>
                <w:lang w:val="lt-LT"/>
              </w:rPr>
              <w:t>Kraujavimas į pilvo ertmę</w:t>
            </w:r>
          </w:p>
        </w:tc>
        <w:tc>
          <w:tcPr>
            <w:tcW w:w="2588" w:type="dxa"/>
          </w:tcPr>
          <w:p w14:paraId="2B78B904" w14:textId="77777777" w:rsidR="00890384" w:rsidRDefault="00B26795">
            <w:pPr>
              <w:pStyle w:val="TableParagraph"/>
              <w:rPr>
                <w:lang w:val="lt-LT"/>
              </w:rPr>
            </w:pPr>
            <w:r>
              <w:rPr>
                <w:lang w:val="lt-LT"/>
              </w:rPr>
              <w:t>Nedažnas</w:t>
            </w:r>
          </w:p>
        </w:tc>
        <w:tc>
          <w:tcPr>
            <w:tcW w:w="1701" w:type="dxa"/>
          </w:tcPr>
          <w:p w14:paraId="515E8DB1" w14:textId="77777777" w:rsidR="00890384" w:rsidRDefault="00B26795">
            <w:pPr>
              <w:pStyle w:val="TableParagraph"/>
              <w:rPr>
                <w:lang w:val="lt-LT"/>
              </w:rPr>
            </w:pPr>
            <w:r>
              <w:rPr>
                <w:lang w:val="lt-LT"/>
              </w:rPr>
              <w:t>Dažnis nežinomas</w:t>
            </w:r>
          </w:p>
        </w:tc>
        <w:tc>
          <w:tcPr>
            <w:tcW w:w="1701" w:type="dxa"/>
          </w:tcPr>
          <w:p w14:paraId="336EA4D4" w14:textId="77777777" w:rsidR="00890384" w:rsidRDefault="00B26795">
            <w:pPr>
              <w:pStyle w:val="TableParagraph"/>
              <w:rPr>
                <w:lang w:val="lt-LT"/>
              </w:rPr>
            </w:pPr>
            <w:r>
              <w:t>Dažnis nežinomas</w:t>
            </w:r>
          </w:p>
        </w:tc>
      </w:tr>
      <w:tr w:rsidR="00890384" w14:paraId="2A2738F0" w14:textId="77777777">
        <w:trPr>
          <w:trHeight w:val="359"/>
        </w:trPr>
        <w:tc>
          <w:tcPr>
            <w:tcW w:w="9488" w:type="dxa"/>
            <w:gridSpan w:val="4"/>
          </w:tcPr>
          <w:p w14:paraId="077EE516" w14:textId="77777777" w:rsidR="00890384" w:rsidRDefault="00B26795">
            <w:pPr>
              <w:pStyle w:val="TableParagraph"/>
              <w:jc w:val="left"/>
              <w:rPr>
                <w:i/>
                <w:lang w:val="lt-LT"/>
              </w:rPr>
            </w:pPr>
            <w:r>
              <w:rPr>
                <w:i/>
                <w:lang w:val="lt-LT"/>
              </w:rPr>
              <w:t>Kvėpavimo sistemos, krūtinės ląstos ir tarpuplaučio sutrikimai</w:t>
            </w:r>
          </w:p>
        </w:tc>
      </w:tr>
      <w:tr w:rsidR="00890384" w14:paraId="09EF7C88" w14:textId="77777777">
        <w:trPr>
          <w:trHeight w:val="254"/>
        </w:trPr>
        <w:tc>
          <w:tcPr>
            <w:tcW w:w="3498" w:type="dxa"/>
          </w:tcPr>
          <w:p w14:paraId="3DC00EA7" w14:textId="77777777" w:rsidR="00890384" w:rsidRDefault="00B26795">
            <w:pPr>
              <w:pStyle w:val="TableParagraph"/>
              <w:jc w:val="left"/>
              <w:rPr>
                <w:lang w:val="lt-LT"/>
              </w:rPr>
            </w:pPr>
            <w:r>
              <w:rPr>
                <w:lang w:val="lt-LT"/>
              </w:rPr>
              <w:t>Kraujavimas iš nosies</w:t>
            </w:r>
          </w:p>
        </w:tc>
        <w:tc>
          <w:tcPr>
            <w:tcW w:w="2588" w:type="dxa"/>
          </w:tcPr>
          <w:p w14:paraId="0BFEF0BE" w14:textId="77777777" w:rsidR="00890384" w:rsidRDefault="00B26795">
            <w:pPr>
              <w:pStyle w:val="TableParagraph"/>
              <w:rPr>
                <w:lang w:val="lt-LT"/>
              </w:rPr>
            </w:pPr>
            <w:r>
              <w:rPr>
                <w:lang w:val="lt-LT"/>
              </w:rPr>
              <w:t>Dažnas</w:t>
            </w:r>
          </w:p>
        </w:tc>
        <w:tc>
          <w:tcPr>
            <w:tcW w:w="1701" w:type="dxa"/>
          </w:tcPr>
          <w:p w14:paraId="4E6654DB" w14:textId="77777777" w:rsidR="00890384" w:rsidRDefault="00B26795">
            <w:pPr>
              <w:pStyle w:val="TableParagraph"/>
              <w:rPr>
                <w:lang w:val="lt-LT"/>
              </w:rPr>
            </w:pPr>
            <w:r>
              <w:rPr>
                <w:lang w:val="lt-LT"/>
              </w:rPr>
              <w:t>Dažnas</w:t>
            </w:r>
          </w:p>
        </w:tc>
        <w:tc>
          <w:tcPr>
            <w:tcW w:w="1701" w:type="dxa"/>
          </w:tcPr>
          <w:p w14:paraId="46D2395D" w14:textId="77777777" w:rsidR="00890384" w:rsidRDefault="00B26795">
            <w:pPr>
              <w:pStyle w:val="TableParagraph"/>
              <w:rPr>
                <w:lang w:val="lt-LT"/>
              </w:rPr>
            </w:pPr>
            <w:r>
              <w:t>Labai dažnas</w:t>
            </w:r>
          </w:p>
        </w:tc>
      </w:tr>
      <w:tr w:rsidR="00890384" w14:paraId="36A25DC0" w14:textId="77777777">
        <w:trPr>
          <w:trHeight w:val="251"/>
        </w:trPr>
        <w:tc>
          <w:tcPr>
            <w:tcW w:w="3498" w:type="dxa"/>
          </w:tcPr>
          <w:p w14:paraId="4389156B" w14:textId="77777777" w:rsidR="00890384" w:rsidRDefault="00B26795">
            <w:pPr>
              <w:pStyle w:val="TableParagraph"/>
              <w:jc w:val="left"/>
              <w:rPr>
                <w:lang w:val="lt-LT"/>
              </w:rPr>
            </w:pPr>
            <w:r>
              <w:rPr>
                <w:lang w:val="lt-LT"/>
              </w:rPr>
              <w:lastRenderedPageBreak/>
              <w:t>Hemoptozė (atsikosėjimas krauju)</w:t>
            </w:r>
          </w:p>
        </w:tc>
        <w:tc>
          <w:tcPr>
            <w:tcW w:w="2588" w:type="dxa"/>
          </w:tcPr>
          <w:p w14:paraId="7D07838F" w14:textId="77777777" w:rsidR="00890384" w:rsidRDefault="00B26795">
            <w:pPr>
              <w:pStyle w:val="TableParagraph"/>
              <w:rPr>
                <w:lang w:val="lt-LT"/>
              </w:rPr>
            </w:pPr>
            <w:r>
              <w:rPr>
                <w:lang w:val="lt-LT"/>
              </w:rPr>
              <w:t>Nedažnas</w:t>
            </w:r>
          </w:p>
        </w:tc>
        <w:tc>
          <w:tcPr>
            <w:tcW w:w="1701" w:type="dxa"/>
          </w:tcPr>
          <w:p w14:paraId="244EEF0D" w14:textId="77777777" w:rsidR="00890384" w:rsidRDefault="00B26795">
            <w:pPr>
              <w:pStyle w:val="TableParagraph"/>
              <w:rPr>
                <w:lang w:val="lt-LT"/>
              </w:rPr>
            </w:pPr>
            <w:r>
              <w:rPr>
                <w:lang w:val="lt-LT"/>
              </w:rPr>
              <w:t>Nedažnas</w:t>
            </w:r>
          </w:p>
        </w:tc>
        <w:tc>
          <w:tcPr>
            <w:tcW w:w="1701" w:type="dxa"/>
          </w:tcPr>
          <w:p w14:paraId="033580FF" w14:textId="77777777" w:rsidR="00890384" w:rsidRDefault="00B26795">
            <w:pPr>
              <w:pStyle w:val="TableParagraph"/>
              <w:rPr>
                <w:lang w:val="lt-LT"/>
              </w:rPr>
            </w:pPr>
            <w:r>
              <w:t>Dažnis nežinomas</w:t>
            </w:r>
          </w:p>
        </w:tc>
      </w:tr>
      <w:tr w:rsidR="00890384" w14:paraId="7EF68C9C" w14:textId="77777777">
        <w:trPr>
          <w:trHeight w:val="253"/>
        </w:trPr>
        <w:tc>
          <w:tcPr>
            <w:tcW w:w="3498" w:type="dxa"/>
          </w:tcPr>
          <w:p w14:paraId="0DF3618D" w14:textId="77777777" w:rsidR="00890384" w:rsidRDefault="00B26795">
            <w:pPr>
              <w:pStyle w:val="TableParagraph"/>
              <w:jc w:val="left"/>
              <w:rPr>
                <w:lang w:val="lt-LT"/>
              </w:rPr>
            </w:pPr>
            <w:r>
              <w:rPr>
                <w:lang w:val="lt-LT"/>
              </w:rPr>
              <w:t>Kraujavimas iš kvėpavimo takų</w:t>
            </w:r>
          </w:p>
        </w:tc>
        <w:tc>
          <w:tcPr>
            <w:tcW w:w="2588" w:type="dxa"/>
          </w:tcPr>
          <w:p w14:paraId="4CF21DB0" w14:textId="77777777" w:rsidR="00890384" w:rsidRDefault="00B26795">
            <w:pPr>
              <w:pStyle w:val="TableParagraph"/>
              <w:rPr>
                <w:lang w:val="lt-LT"/>
              </w:rPr>
            </w:pPr>
            <w:r>
              <w:rPr>
                <w:lang w:val="lt-LT"/>
              </w:rPr>
              <w:t>Retas</w:t>
            </w:r>
          </w:p>
        </w:tc>
        <w:tc>
          <w:tcPr>
            <w:tcW w:w="1701" w:type="dxa"/>
          </w:tcPr>
          <w:p w14:paraId="7F69BD01" w14:textId="77777777" w:rsidR="00890384" w:rsidRDefault="00B26795">
            <w:pPr>
              <w:pStyle w:val="TableParagraph"/>
              <w:rPr>
                <w:lang w:val="lt-LT"/>
              </w:rPr>
            </w:pPr>
            <w:r>
              <w:rPr>
                <w:lang w:val="lt-LT"/>
              </w:rPr>
              <w:t>Retas</w:t>
            </w:r>
          </w:p>
        </w:tc>
        <w:tc>
          <w:tcPr>
            <w:tcW w:w="1701" w:type="dxa"/>
          </w:tcPr>
          <w:p w14:paraId="1684C7ED" w14:textId="77777777" w:rsidR="00890384" w:rsidRDefault="00B26795">
            <w:pPr>
              <w:pStyle w:val="TableParagraph"/>
              <w:rPr>
                <w:lang w:val="lt-LT"/>
              </w:rPr>
            </w:pPr>
            <w:r>
              <w:t>Dažnis nežinomas</w:t>
            </w:r>
          </w:p>
        </w:tc>
      </w:tr>
      <w:tr w:rsidR="00890384" w14:paraId="075006A5" w14:textId="77777777">
        <w:trPr>
          <w:trHeight w:val="359"/>
        </w:trPr>
        <w:tc>
          <w:tcPr>
            <w:tcW w:w="9488" w:type="dxa"/>
            <w:gridSpan w:val="4"/>
          </w:tcPr>
          <w:p w14:paraId="537D41BE" w14:textId="77777777" w:rsidR="00890384" w:rsidRDefault="00B26795">
            <w:pPr>
              <w:pStyle w:val="TableParagraph"/>
              <w:jc w:val="left"/>
              <w:rPr>
                <w:i/>
                <w:lang w:val="lt-LT"/>
              </w:rPr>
            </w:pPr>
            <w:r>
              <w:rPr>
                <w:i/>
                <w:lang w:val="lt-LT"/>
              </w:rPr>
              <w:t>Virškinimo trakto sutrikimai</w:t>
            </w:r>
          </w:p>
        </w:tc>
      </w:tr>
      <w:tr w:rsidR="00890384" w14:paraId="7528C428" w14:textId="77777777">
        <w:trPr>
          <w:trHeight w:val="253"/>
        </w:trPr>
        <w:tc>
          <w:tcPr>
            <w:tcW w:w="3498" w:type="dxa"/>
          </w:tcPr>
          <w:p w14:paraId="241B9BA5" w14:textId="77777777" w:rsidR="00890384" w:rsidRDefault="00B26795">
            <w:pPr>
              <w:pStyle w:val="TableParagraph"/>
              <w:jc w:val="left"/>
              <w:rPr>
                <w:lang w:val="lt-LT"/>
              </w:rPr>
            </w:pPr>
            <w:r>
              <w:rPr>
                <w:lang w:val="lt-LT"/>
              </w:rPr>
              <w:t>Pykinimas</w:t>
            </w:r>
          </w:p>
        </w:tc>
        <w:tc>
          <w:tcPr>
            <w:tcW w:w="2588" w:type="dxa"/>
          </w:tcPr>
          <w:p w14:paraId="522EC927" w14:textId="77777777" w:rsidR="00890384" w:rsidRDefault="00B26795">
            <w:pPr>
              <w:pStyle w:val="TableParagraph"/>
              <w:rPr>
                <w:lang w:val="lt-LT"/>
              </w:rPr>
            </w:pPr>
            <w:r>
              <w:rPr>
                <w:lang w:val="lt-LT"/>
              </w:rPr>
              <w:t>Dažnas</w:t>
            </w:r>
          </w:p>
        </w:tc>
        <w:tc>
          <w:tcPr>
            <w:tcW w:w="1701" w:type="dxa"/>
          </w:tcPr>
          <w:p w14:paraId="67E7D08E" w14:textId="77777777" w:rsidR="00890384" w:rsidRDefault="00B26795">
            <w:pPr>
              <w:pStyle w:val="TableParagraph"/>
              <w:rPr>
                <w:lang w:val="lt-LT"/>
              </w:rPr>
            </w:pPr>
            <w:r>
              <w:rPr>
                <w:lang w:val="lt-LT"/>
              </w:rPr>
              <w:t>Dažnas</w:t>
            </w:r>
          </w:p>
        </w:tc>
        <w:tc>
          <w:tcPr>
            <w:tcW w:w="1701" w:type="dxa"/>
          </w:tcPr>
          <w:p w14:paraId="4338CD4C" w14:textId="77777777" w:rsidR="00890384" w:rsidRDefault="00B26795">
            <w:pPr>
              <w:pStyle w:val="TableParagraph"/>
              <w:rPr>
                <w:lang w:val="lt-LT"/>
              </w:rPr>
            </w:pPr>
            <w:r>
              <w:t>Dažnas</w:t>
            </w:r>
          </w:p>
        </w:tc>
      </w:tr>
      <w:tr w:rsidR="00890384" w14:paraId="3399758D" w14:textId="77777777">
        <w:trPr>
          <w:trHeight w:val="251"/>
        </w:trPr>
        <w:tc>
          <w:tcPr>
            <w:tcW w:w="3498" w:type="dxa"/>
          </w:tcPr>
          <w:p w14:paraId="37FA33C9" w14:textId="77777777" w:rsidR="00890384" w:rsidRDefault="00B26795">
            <w:pPr>
              <w:pStyle w:val="TableParagraph"/>
              <w:jc w:val="left"/>
              <w:rPr>
                <w:lang w:val="lt-LT"/>
              </w:rPr>
            </w:pPr>
            <w:r>
              <w:rPr>
                <w:lang w:val="lt-LT"/>
              </w:rPr>
              <w:t>Kraujavimas iš virškinimo trakto</w:t>
            </w:r>
          </w:p>
        </w:tc>
        <w:tc>
          <w:tcPr>
            <w:tcW w:w="2588" w:type="dxa"/>
          </w:tcPr>
          <w:p w14:paraId="14A1663C" w14:textId="77777777" w:rsidR="00890384" w:rsidRDefault="00B26795">
            <w:pPr>
              <w:pStyle w:val="TableParagraph"/>
              <w:rPr>
                <w:lang w:val="lt-LT"/>
              </w:rPr>
            </w:pPr>
            <w:r>
              <w:rPr>
                <w:lang w:val="lt-LT"/>
              </w:rPr>
              <w:t>Dažnas</w:t>
            </w:r>
          </w:p>
        </w:tc>
        <w:tc>
          <w:tcPr>
            <w:tcW w:w="1701" w:type="dxa"/>
          </w:tcPr>
          <w:p w14:paraId="0EDBD8D4" w14:textId="77777777" w:rsidR="00890384" w:rsidRDefault="00B26795">
            <w:pPr>
              <w:pStyle w:val="TableParagraph"/>
              <w:rPr>
                <w:lang w:val="lt-LT"/>
              </w:rPr>
            </w:pPr>
            <w:r>
              <w:rPr>
                <w:lang w:val="lt-LT"/>
              </w:rPr>
              <w:t>Dažnas</w:t>
            </w:r>
          </w:p>
        </w:tc>
        <w:tc>
          <w:tcPr>
            <w:tcW w:w="1701" w:type="dxa"/>
          </w:tcPr>
          <w:p w14:paraId="2319E601" w14:textId="77777777" w:rsidR="00890384" w:rsidRDefault="00B26795">
            <w:pPr>
              <w:pStyle w:val="TableParagraph"/>
              <w:rPr>
                <w:lang w:val="lt-LT"/>
              </w:rPr>
            </w:pPr>
            <w:r>
              <w:t>Dažnis nežinomas</w:t>
            </w:r>
          </w:p>
        </w:tc>
      </w:tr>
      <w:tr w:rsidR="00890384" w14:paraId="36DECEED" w14:textId="77777777">
        <w:trPr>
          <w:trHeight w:val="253"/>
        </w:trPr>
        <w:tc>
          <w:tcPr>
            <w:tcW w:w="3498" w:type="dxa"/>
          </w:tcPr>
          <w:p w14:paraId="213F7D1D" w14:textId="77777777" w:rsidR="00890384" w:rsidRDefault="00B26795">
            <w:pPr>
              <w:pStyle w:val="TableParagraph"/>
              <w:jc w:val="left"/>
              <w:rPr>
                <w:lang w:val="lt-LT"/>
              </w:rPr>
            </w:pPr>
            <w:r>
              <w:rPr>
                <w:lang w:val="lt-LT"/>
              </w:rPr>
              <w:t>Kraujavimas iš hemorojinių mazgų</w:t>
            </w:r>
          </w:p>
        </w:tc>
        <w:tc>
          <w:tcPr>
            <w:tcW w:w="2588" w:type="dxa"/>
          </w:tcPr>
          <w:p w14:paraId="1BAF81AD" w14:textId="77777777" w:rsidR="00890384" w:rsidRDefault="00B26795">
            <w:pPr>
              <w:pStyle w:val="TableParagraph"/>
              <w:rPr>
                <w:lang w:val="lt-LT"/>
              </w:rPr>
            </w:pPr>
            <w:r>
              <w:rPr>
                <w:lang w:val="lt-LT"/>
              </w:rPr>
              <w:t>Nedažnas</w:t>
            </w:r>
          </w:p>
        </w:tc>
        <w:tc>
          <w:tcPr>
            <w:tcW w:w="1701" w:type="dxa"/>
          </w:tcPr>
          <w:p w14:paraId="370E8FE8" w14:textId="77777777" w:rsidR="00890384" w:rsidRDefault="00B26795">
            <w:pPr>
              <w:pStyle w:val="TableParagraph"/>
              <w:rPr>
                <w:lang w:val="lt-LT"/>
              </w:rPr>
            </w:pPr>
            <w:r>
              <w:rPr>
                <w:lang w:val="lt-LT"/>
              </w:rPr>
              <w:t>Nedažnas</w:t>
            </w:r>
          </w:p>
        </w:tc>
        <w:tc>
          <w:tcPr>
            <w:tcW w:w="1701" w:type="dxa"/>
          </w:tcPr>
          <w:p w14:paraId="44B38AC0" w14:textId="77777777" w:rsidR="00890384" w:rsidRDefault="00B26795">
            <w:pPr>
              <w:pStyle w:val="TableParagraph"/>
              <w:rPr>
                <w:lang w:val="lt-LT"/>
              </w:rPr>
            </w:pPr>
            <w:r>
              <w:t>Dažnis nežinomas</w:t>
            </w:r>
          </w:p>
        </w:tc>
      </w:tr>
      <w:tr w:rsidR="00890384" w14:paraId="028256E4" w14:textId="77777777">
        <w:trPr>
          <w:trHeight w:val="251"/>
        </w:trPr>
        <w:tc>
          <w:tcPr>
            <w:tcW w:w="3498" w:type="dxa"/>
          </w:tcPr>
          <w:p w14:paraId="1CB53883" w14:textId="77777777" w:rsidR="00890384" w:rsidRDefault="00B26795">
            <w:pPr>
              <w:pStyle w:val="TableParagraph"/>
              <w:jc w:val="left"/>
              <w:rPr>
                <w:lang w:val="lt-LT"/>
              </w:rPr>
            </w:pPr>
            <w:r>
              <w:rPr>
                <w:lang w:val="lt-LT"/>
              </w:rPr>
              <w:t>Kraujavimas iš burnos</w:t>
            </w:r>
          </w:p>
        </w:tc>
        <w:tc>
          <w:tcPr>
            <w:tcW w:w="2588" w:type="dxa"/>
          </w:tcPr>
          <w:p w14:paraId="6F45A7F8" w14:textId="77777777" w:rsidR="00890384" w:rsidRDefault="00B26795">
            <w:pPr>
              <w:pStyle w:val="TableParagraph"/>
              <w:rPr>
                <w:lang w:val="lt-LT"/>
              </w:rPr>
            </w:pPr>
            <w:r>
              <w:rPr>
                <w:lang w:val="lt-LT"/>
              </w:rPr>
              <w:t>Nedažnas</w:t>
            </w:r>
          </w:p>
        </w:tc>
        <w:tc>
          <w:tcPr>
            <w:tcW w:w="1701" w:type="dxa"/>
          </w:tcPr>
          <w:p w14:paraId="5E49BFA4" w14:textId="77777777" w:rsidR="00890384" w:rsidRDefault="00B26795">
            <w:pPr>
              <w:pStyle w:val="TableParagraph"/>
              <w:rPr>
                <w:lang w:val="lt-LT"/>
              </w:rPr>
            </w:pPr>
            <w:r>
              <w:rPr>
                <w:lang w:val="lt-LT"/>
              </w:rPr>
              <w:t>Dažnas</w:t>
            </w:r>
          </w:p>
        </w:tc>
        <w:tc>
          <w:tcPr>
            <w:tcW w:w="1701" w:type="dxa"/>
          </w:tcPr>
          <w:p w14:paraId="4E49DBCE" w14:textId="77777777" w:rsidR="00890384" w:rsidRDefault="00B26795">
            <w:pPr>
              <w:pStyle w:val="TableParagraph"/>
              <w:rPr>
                <w:lang w:val="lt-LT"/>
              </w:rPr>
            </w:pPr>
            <w:r>
              <w:t>Dažnis nežinomas</w:t>
            </w:r>
          </w:p>
        </w:tc>
      </w:tr>
      <w:tr w:rsidR="00890384" w14:paraId="28B966AF" w14:textId="77777777">
        <w:trPr>
          <w:trHeight w:val="253"/>
        </w:trPr>
        <w:tc>
          <w:tcPr>
            <w:tcW w:w="3498" w:type="dxa"/>
          </w:tcPr>
          <w:p w14:paraId="5D4C0F44" w14:textId="77777777" w:rsidR="00890384" w:rsidRDefault="00B26795">
            <w:pPr>
              <w:pStyle w:val="TableParagraph"/>
              <w:jc w:val="left"/>
              <w:rPr>
                <w:lang w:val="lt-LT"/>
              </w:rPr>
            </w:pPr>
            <w:r>
              <w:rPr>
                <w:lang w:val="lt-LT"/>
              </w:rPr>
              <w:t>Kraujingos išmatos</w:t>
            </w:r>
          </w:p>
        </w:tc>
        <w:tc>
          <w:tcPr>
            <w:tcW w:w="2588" w:type="dxa"/>
          </w:tcPr>
          <w:p w14:paraId="49F28483" w14:textId="77777777" w:rsidR="00890384" w:rsidRDefault="00B26795">
            <w:pPr>
              <w:pStyle w:val="TableParagraph"/>
              <w:rPr>
                <w:lang w:val="lt-LT"/>
              </w:rPr>
            </w:pPr>
            <w:r>
              <w:rPr>
                <w:lang w:val="lt-LT"/>
              </w:rPr>
              <w:t>Nedažnas</w:t>
            </w:r>
          </w:p>
        </w:tc>
        <w:tc>
          <w:tcPr>
            <w:tcW w:w="1701" w:type="dxa"/>
          </w:tcPr>
          <w:p w14:paraId="77D27A24" w14:textId="77777777" w:rsidR="00890384" w:rsidRDefault="00B26795">
            <w:pPr>
              <w:pStyle w:val="TableParagraph"/>
              <w:rPr>
                <w:lang w:val="lt-LT"/>
              </w:rPr>
            </w:pPr>
            <w:r>
              <w:rPr>
                <w:lang w:val="lt-LT"/>
              </w:rPr>
              <w:t>Nedažnas</w:t>
            </w:r>
          </w:p>
        </w:tc>
        <w:tc>
          <w:tcPr>
            <w:tcW w:w="1701" w:type="dxa"/>
          </w:tcPr>
          <w:p w14:paraId="60A4AE23" w14:textId="77777777" w:rsidR="00890384" w:rsidRDefault="00B26795">
            <w:pPr>
              <w:pStyle w:val="TableParagraph"/>
              <w:rPr>
                <w:lang w:val="lt-LT"/>
              </w:rPr>
            </w:pPr>
            <w:r>
              <w:t>Dažnas</w:t>
            </w:r>
          </w:p>
        </w:tc>
      </w:tr>
      <w:tr w:rsidR="00890384" w14:paraId="18048862" w14:textId="77777777">
        <w:trPr>
          <w:trHeight w:val="506"/>
        </w:trPr>
        <w:tc>
          <w:tcPr>
            <w:tcW w:w="3498" w:type="dxa"/>
          </w:tcPr>
          <w:p w14:paraId="6BA5059D" w14:textId="77777777" w:rsidR="00890384" w:rsidRDefault="00B26795">
            <w:pPr>
              <w:pStyle w:val="TableParagraph"/>
              <w:jc w:val="left"/>
              <w:rPr>
                <w:lang w:val="lt-LT"/>
              </w:rPr>
            </w:pPr>
            <w:r>
              <w:rPr>
                <w:lang w:val="lt-LT"/>
              </w:rPr>
              <w:t>Kraujavimas iš tiesiosios žarnos, kraujavimas iš dantenų</w:t>
            </w:r>
          </w:p>
        </w:tc>
        <w:tc>
          <w:tcPr>
            <w:tcW w:w="2588" w:type="dxa"/>
          </w:tcPr>
          <w:p w14:paraId="34D54129" w14:textId="77777777" w:rsidR="00890384" w:rsidRDefault="00B26795">
            <w:pPr>
              <w:pStyle w:val="TableParagraph"/>
              <w:rPr>
                <w:lang w:val="lt-LT"/>
              </w:rPr>
            </w:pPr>
            <w:r>
              <w:rPr>
                <w:lang w:val="lt-LT"/>
              </w:rPr>
              <w:t>Dažnas</w:t>
            </w:r>
          </w:p>
        </w:tc>
        <w:tc>
          <w:tcPr>
            <w:tcW w:w="1701" w:type="dxa"/>
          </w:tcPr>
          <w:p w14:paraId="743195BD" w14:textId="77777777" w:rsidR="00890384" w:rsidRDefault="00B26795">
            <w:pPr>
              <w:pStyle w:val="TableParagraph"/>
              <w:rPr>
                <w:lang w:val="lt-LT"/>
              </w:rPr>
            </w:pPr>
            <w:r>
              <w:rPr>
                <w:lang w:val="lt-LT"/>
              </w:rPr>
              <w:t>Dažnas</w:t>
            </w:r>
          </w:p>
        </w:tc>
        <w:tc>
          <w:tcPr>
            <w:tcW w:w="1701" w:type="dxa"/>
          </w:tcPr>
          <w:p w14:paraId="2D4A5751" w14:textId="77777777" w:rsidR="00890384" w:rsidRDefault="00B26795">
            <w:pPr>
              <w:pStyle w:val="TableParagraph"/>
              <w:rPr>
                <w:lang w:val="lt-LT"/>
              </w:rPr>
            </w:pPr>
            <w:r>
              <w:t>Dažnas</w:t>
            </w:r>
          </w:p>
        </w:tc>
      </w:tr>
      <w:tr w:rsidR="00890384" w14:paraId="48B0AFFA" w14:textId="77777777">
        <w:trPr>
          <w:trHeight w:val="251"/>
        </w:trPr>
        <w:tc>
          <w:tcPr>
            <w:tcW w:w="3498" w:type="dxa"/>
          </w:tcPr>
          <w:p w14:paraId="00F0D5CC" w14:textId="77777777" w:rsidR="00890384" w:rsidRDefault="00B26795">
            <w:pPr>
              <w:pStyle w:val="TableParagraph"/>
              <w:jc w:val="left"/>
              <w:rPr>
                <w:lang w:val="lt-LT"/>
              </w:rPr>
            </w:pPr>
            <w:r>
              <w:rPr>
                <w:lang w:val="lt-LT"/>
              </w:rPr>
              <w:t>Retroperitoninis kraujavimas</w:t>
            </w:r>
          </w:p>
        </w:tc>
        <w:tc>
          <w:tcPr>
            <w:tcW w:w="2588" w:type="dxa"/>
          </w:tcPr>
          <w:p w14:paraId="32469D72" w14:textId="77777777" w:rsidR="00890384" w:rsidRDefault="00B26795">
            <w:pPr>
              <w:pStyle w:val="TableParagraph"/>
              <w:rPr>
                <w:lang w:val="lt-LT"/>
              </w:rPr>
            </w:pPr>
            <w:r>
              <w:rPr>
                <w:lang w:val="lt-LT"/>
              </w:rPr>
              <w:t>Retas</w:t>
            </w:r>
          </w:p>
        </w:tc>
        <w:tc>
          <w:tcPr>
            <w:tcW w:w="1701" w:type="dxa"/>
          </w:tcPr>
          <w:p w14:paraId="5A12E9F1" w14:textId="77777777" w:rsidR="00890384" w:rsidRDefault="00B26795">
            <w:pPr>
              <w:pStyle w:val="TableParagraph"/>
              <w:rPr>
                <w:lang w:val="lt-LT"/>
              </w:rPr>
            </w:pPr>
            <w:r>
              <w:rPr>
                <w:lang w:val="lt-LT"/>
              </w:rPr>
              <w:t>Dažnis nežinomas</w:t>
            </w:r>
          </w:p>
        </w:tc>
        <w:tc>
          <w:tcPr>
            <w:tcW w:w="1701" w:type="dxa"/>
          </w:tcPr>
          <w:p w14:paraId="22A5AB7D" w14:textId="77777777" w:rsidR="00890384" w:rsidRDefault="00B26795">
            <w:pPr>
              <w:pStyle w:val="TableParagraph"/>
              <w:rPr>
                <w:lang w:val="lt-LT"/>
              </w:rPr>
            </w:pPr>
            <w:r>
              <w:t>Dažnis nežinomas</w:t>
            </w:r>
          </w:p>
        </w:tc>
      </w:tr>
      <w:tr w:rsidR="00890384" w14:paraId="0BB7BF5C" w14:textId="77777777">
        <w:trPr>
          <w:trHeight w:val="254"/>
        </w:trPr>
        <w:tc>
          <w:tcPr>
            <w:tcW w:w="9488" w:type="dxa"/>
            <w:gridSpan w:val="4"/>
          </w:tcPr>
          <w:p w14:paraId="3D5BF44B" w14:textId="77777777" w:rsidR="00890384" w:rsidRDefault="00B26795">
            <w:pPr>
              <w:pStyle w:val="TableParagraph"/>
              <w:jc w:val="left"/>
              <w:rPr>
                <w:i/>
                <w:lang w:val="lt-LT"/>
              </w:rPr>
            </w:pPr>
            <w:r>
              <w:rPr>
                <w:i/>
                <w:lang w:val="lt-LT"/>
              </w:rPr>
              <w:t>Kepenų, tulžies pūslės ir latakų sutrikimai</w:t>
            </w:r>
          </w:p>
        </w:tc>
      </w:tr>
      <w:tr w:rsidR="00890384" w14:paraId="0191360B" w14:textId="77777777">
        <w:trPr>
          <w:trHeight w:val="1770"/>
        </w:trPr>
        <w:tc>
          <w:tcPr>
            <w:tcW w:w="3498" w:type="dxa"/>
          </w:tcPr>
          <w:p w14:paraId="2334E54B" w14:textId="77777777" w:rsidR="00890384" w:rsidRDefault="00B26795">
            <w:pPr>
              <w:pStyle w:val="TableParagraph"/>
              <w:jc w:val="left"/>
              <w:rPr>
                <w:lang w:val="lt-LT"/>
              </w:rPr>
            </w:pPr>
            <w:r>
              <w:rPr>
                <w:lang w:val="lt-LT"/>
              </w:rPr>
              <w:t>Nenormalūs kepenų funkcijos tyrimų rodmenys, aspartataminotransferazių aktyvumo padidėjimas kraujyje, šarminės fosfatazės aktyvumo padidėjimas kraujyje, bilirubino koncentracijos padidėjimas kraujyje</w:t>
            </w:r>
          </w:p>
        </w:tc>
        <w:tc>
          <w:tcPr>
            <w:tcW w:w="2588" w:type="dxa"/>
          </w:tcPr>
          <w:p w14:paraId="3F4D42EA" w14:textId="77777777" w:rsidR="00890384" w:rsidRDefault="00B26795">
            <w:pPr>
              <w:pStyle w:val="TableParagraph"/>
              <w:rPr>
                <w:lang w:val="lt-LT"/>
              </w:rPr>
            </w:pPr>
            <w:r>
              <w:rPr>
                <w:lang w:val="lt-LT"/>
              </w:rPr>
              <w:t>Nedažnas</w:t>
            </w:r>
          </w:p>
        </w:tc>
        <w:tc>
          <w:tcPr>
            <w:tcW w:w="1701" w:type="dxa"/>
          </w:tcPr>
          <w:p w14:paraId="120CEE97" w14:textId="77777777" w:rsidR="00890384" w:rsidRDefault="00B26795">
            <w:pPr>
              <w:pStyle w:val="TableParagraph"/>
              <w:rPr>
                <w:lang w:val="lt-LT"/>
              </w:rPr>
            </w:pPr>
            <w:r>
              <w:rPr>
                <w:lang w:val="lt-LT"/>
              </w:rPr>
              <w:t>Nedažnas</w:t>
            </w:r>
          </w:p>
        </w:tc>
        <w:tc>
          <w:tcPr>
            <w:tcW w:w="1701" w:type="dxa"/>
          </w:tcPr>
          <w:p w14:paraId="1529D9B2" w14:textId="77777777" w:rsidR="00890384" w:rsidRDefault="00B26795">
            <w:pPr>
              <w:pStyle w:val="TableParagraph"/>
              <w:rPr>
                <w:lang w:val="lt-LT"/>
              </w:rPr>
            </w:pPr>
            <w:r>
              <w:t>Dažnas</w:t>
            </w:r>
          </w:p>
        </w:tc>
      </w:tr>
      <w:tr w:rsidR="00890384" w14:paraId="0329037C" w14:textId="77777777">
        <w:trPr>
          <w:trHeight w:val="506"/>
        </w:trPr>
        <w:tc>
          <w:tcPr>
            <w:tcW w:w="3498" w:type="dxa"/>
          </w:tcPr>
          <w:p w14:paraId="3AD2F633" w14:textId="77777777" w:rsidR="00890384" w:rsidRDefault="00B26795">
            <w:pPr>
              <w:pStyle w:val="TableParagraph"/>
              <w:jc w:val="left"/>
              <w:rPr>
                <w:lang w:val="lt-LT"/>
              </w:rPr>
            </w:pPr>
            <w:r>
              <w:rPr>
                <w:lang w:val="lt-LT"/>
              </w:rPr>
              <w:t>Gama gliutamiltransferazių aktyvumo padidėjimas kraujyje</w:t>
            </w:r>
          </w:p>
        </w:tc>
        <w:tc>
          <w:tcPr>
            <w:tcW w:w="2588" w:type="dxa"/>
          </w:tcPr>
          <w:p w14:paraId="4A3BD0D4" w14:textId="77777777" w:rsidR="00890384" w:rsidRDefault="00B26795">
            <w:pPr>
              <w:pStyle w:val="TableParagraph"/>
              <w:rPr>
                <w:lang w:val="lt-LT"/>
              </w:rPr>
            </w:pPr>
            <w:r>
              <w:rPr>
                <w:lang w:val="lt-LT"/>
              </w:rPr>
              <w:t>Dažnas</w:t>
            </w:r>
          </w:p>
        </w:tc>
        <w:tc>
          <w:tcPr>
            <w:tcW w:w="1701" w:type="dxa"/>
          </w:tcPr>
          <w:p w14:paraId="73C73333" w14:textId="77777777" w:rsidR="00890384" w:rsidRDefault="00B26795">
            <w:pPr>
              <w:pStyle w:val="TableParagraph"/>
              <w:rPr>
                <w:lang w:val="lt-LT"/>
              </w:rPr>
            </w:pPr>
            <w:r>
              <w:rPr>
                <w:lang w:val="lt-LT"/>
              </w:rPr>
              <w:t>Dažnas</w:t>
            </w:r>
          </w:p>
        </w:tc>
        <w:tc>
          <w:tcPr>
            <w:tcW w:w="1701" w:type="dxa"/>
          </w:tcPr>
          <w:p w14:paraId="3C0411BB" w14:textId="77777777" w:rsidR="00890384" w:rsidRDefault="00B26795">
            <w:pPr>
              <w:pStyle w:val="TableParagraph"/>
              <w:rPr>
                <w:lang w:val="lt-LT"/>
              </w:rPr>
            </w:pPr>
            <w:r>
              <w:t>Dažnis nežinomas</w:t>
            </w:r>
          </w:p>
        </w:tc>
      </w:tr>
      <w:tr w:rsidR="00890384" w14:paraId="113AC459" w14:textId="77777777">
        <w:trPr>
          <w:trHeight w:val="506"/>
        </w:trPr>
        <w:tc>
          <w:tcPr>
            <w:tcW w:w="3498" w:type="dxa"/>
          </w:tcPr>
          <w:p w14:paraId="577769A3" w14:textId="77777777" w:rsidR="00890384" w:rsidRDefault="00B26795">
            <w:pPr>
              <w:pStyle w:val="TableParagraph"/>
              <w:jc w:val="left"/>
              <w:rPr>
                <w:lang w:val="lt-LT"/>
              </w:rPr>
            </w:pPr>
            <w:r>
              <w:rPr>
                <w:lang w:val="lt-LT"/>
              </w:rPr>
              <w:t>Alaninaminotransferazių aktyvumo padidėjimas kraujyje</w:t>
            </w:r>
          </w:p>
        </w:tc>
        <w:tc>
          <w:tcPr>
            <w:tcW w:w="2588" w:type="dxa"/>
          </w:tcPr>
          <w:p w14:paraId="1B1C77E6" w14:textId="77777777" w:rsidR="00890384" w:rsidRDefault="00B26795">
            <w:pPr>
              <w:pStyle w:val="TableParagraph"/>
              <w:rPr>
                <w:lang w:val="lt-LT"/>
              </w:rPr>
            </w:pPr>
            <w:r>
              <w:rPr>
                <w:lang w:val="lt-LT"/>
              </w:rPr>
              <w:t>Nedažnas</w:t>
            </w:r>
          </w:p>
        </w:tc>
        <w:tc>
          <w:tcPr>
            <w:tcW w:w="1701" w:type="dxa"/>
          </w:tcPr>
          <w:p w14:paraId="2E306954" w14:textId="77777777" w:rsidR="00890384" w:rsidRDefault="00B26795">
            <w:pPr>
              <w:pStyle w:val="TableParagraph"/>
              <w:rPr>
                <w:lang w:val="lt-LT"/>
              </w:rPr>
            </w:pPr>
            <w:r>
              <w:rPr>
                <w:lang w:val="lt-LT"/>
              </w:rPr>
              <w:t>Dažnas</w:t>
            </w:r>
          </w:p>
        </w:tc>
        <w:tc>
          <w:tcPr>
            <w:tcW w:w="1701" w:type="dxa"/>
          </w:tcPr>
          <w:p w14:paraId="12458CE4" w14:textId="77777777" w:rsidR="00890384" w:rsidRDefault="00B26795">
            <w:pPr>
              <w:pStyle w:val="TableParagraph"/>
              <w:rPr>
                <w:lang w:val="lt-LT"/>
              </w:rPr>
            </w:pPr>
            <w:r>
              <w:t>Dažnas</w:t>
            </w:r>
          </w:p>
        </w:tc>
      </w:tr>
      <w:tr w:rsidR="00890384" w14:paraId="7789D776" w14:textId="77777777">
        <w:trPr>
          <w:trHeight w:val="359"/>
        </w:trPr>
        <w:tc>
          <w:tcPr>
            <w:tcW w:w="9488" w:type="dxa"/>
            <w:gridSpan w:val="4"/>
          </w:tcPr>
          <w:p w14:paraId="168B42AE" w14:textId="77777777" w:rsidR="00890384" w:rsidRDefault="00B26795">
            <w:pPr>
              <w:pStyle w:val="TableParagraph"/>
              <w:jc w:val="left"/>
              <w:rPr>
                <w:i/>
                <w:lang w:val="lt-LT"/>
              </w:rPr>
            </w:pPr>
            <w:r>
              <w:rPr>
                <w:i/>
                <w:lang w:val="lt-LT"/>
              </w:rPr>
              <w:t>Odos ir poodinio audinio sutrikimai</w:t>
            </w:r>
          </w:p>
        </w:tc>
      </w:tr>
      <w:tr w:rsidR="00890384" w14:paraId="475315CC" w14:textId="77777777">
        <w:trPr>
          <w:trHeight w:val="254"/>
        </w:trPr>
        <w:tc>
          <w:tcPr>
            <w:tcW w:w="3498" w:type="dxa"/>
          </w:tcPr>
          <w:p w14:paraId="7E1BCA4A" w14:textId="77777777" w:rsidR="00890384" w:rsidRDefault="00B26795">
            <w:pPr>
              <w:pStyle w:val="TableParagraph"/>
              <w:jc w:val="left"/>
              <w:rPr>
                <w:lang w:val="lt-LT"/>
              </w:rPr>
            </w:pPr>
            <w:r>
              <w:rPr>
                <w:lang w:val="lt-LT"/>
              </w:rPr>
              <w:t>Odos išbėrimas</w:t>
            </w:r>
          </w:p>
        </w:tc>
        <w:tc>
          <w:tcPr>
            <w:tcW w:w="2588" w:type="dxa"/>
          </w:tcPr>
          <w:p w14:paraId="0B2C85FA" w14:textId="77777777" w:rsidR="00890384" w:rsidRDefault="00B26795">
            <w:pPr>
              <w:pStyle w:val="TableParagraph"/>
              <w:rPr>
                <w:lang w:val="lt-LT"/>
              </w:rPr>
            </w:pPr>
            <w:r>
              <w:rPr>
                <w:lang w:val="lt-LT"/>
              </w:rPr>
              <w:t>Nedažnas</w:t>
            </w:r>
          </w:p>
        </w:tc>
        <w:tc>
          <w:tcPr>
            <w:tcW w:w="1701" w:type="dxa"/>
          </w:tcPr>
          <w:p w14:paraId="461C7C7F" w14:textId="77777777" w:rsidR="00890384" w:rsidRDefault="00B26795">
            <w:pPr>
              <w:pStyle w:val="TableParagraph"/>
              <w:rPr>
                <w:lang w:val="lt-LT"/>
              </w:rPr>
            </w:pPr>
            <w:r>
              <w:rPr>
                <w:lang w:val="lt-LT"/>
              </w:rPr>
              <w:t>Dažnas</w:t>
            </w:r>
          </w:p>
        </w:tc>
        <w:tc>
          <w:tcPr>
            <w:tcW w:w="1701" w:type="dxa"/>
          </w:tcPr>
          <w:p w14:paraId="4DE0E236" w14:textId="77777777" w:rsidR="00890384" w:rsidRDefault="00B26795">
            <w:pPr>
              <w:pStyle w:val="TableParagraph"/>
              <w:rPr>
                <w:lang w:val="lt-LT"/>
              </w:rPr>
            </w:pPr>
            <w:r>
              <w:t>Dažnas</w:t>
            </w:r>
          </w:p>
        </w:tc>
      </w:tr>
      <w:tr w:rsidR="00890384" w14:paraId="67534D26" w14:textId="77777777">
        <w:trPr>
          <w:trHeight w:val="251"/>
        </w:trPr>
        <w:tc>
          <w:tcPr>
            <w:tcW w:w="3498" w:type="dxa"/>
          </w:tcPr>
          <w:p w14:paraId="59780754" w14:textId="77777777" w:rsidR="00890384" w:rsidRDefault="00B26795">
            <w:pPr>
              <w:pStyle w:val="TableParagraph"/>
              <w:jc w:val="left"/>
              <w:rPr>
                <w:lang w:val="lt-LT"/>
              </w:rPr>
            </w:pPr>
            <w:r>
              <w:rPr>
                <w:lang w:val="lt-LT"/>
              </w:rPr>
              <w:t>Alopecija</w:t>
            </w:r>
          </w:p>
        </w:tc>
        <w:tc>
          <w:tcPr>
            <w:tcW w:w="2588" w:type="dxa"/>
          </w:tcPr>
          <w:p w14:paraId="6CBE01A5" w14:textId="77777777" w:rsidR="00890384" w:rsidRDefault="00B26795">
            <w:pPr>
              <w:pStyle w:val="TableParagraph"/>
              <w:rPr>
                <w:lang w:val="lt-LT"/>
              </w:rPr>
            </w:pPr>
            <w:r>
              <w:rPr>
                <w:lang w:val="lt-LT"/>
              </w:rPr>
              <w:t>Nedažnas</w:t>
            </w:r>
          </w:p>
        </w:tc>
        <w:tc>
          <w:tcPr>
            <w:tcW w:w="1701" w:type="dxa"/>
          </w:tcPr>
          <w:p w14:paraId="505218DE" w14:textId="77777777" w:rsidR="00890384" w:rsidRDefault="00B26795">
            <w:pPr>
              <w:pStyle w:val="TableParagraph"/>
              <w:rPr>
                <w:lang w:val="lt-LT"/>
              </w:rPr>
            </w:pPr>
            <w:r>
              <w:rPr>
                <w:lang w:val="lt-LT"/>
              </w:rPr>
              <w:t>Nedažnas</w:t>
            </w:r>
          </w:p>
        </w:tc>
        <w:tc>
          <w:tcPr>
            <w:tcW w:w="1701" w:type="dxa"/>
          </w:tcPr>
          <w:p w14:paraId="7890D549" w14:textId="77777777" w:rsidR="00890384" w:rsidRDefault="00B26795">
            <w:pPr>
              <w:pStyle w:val="TableParagraph"/>
              <w:rPr>
                <w:lang w:val="lt-LT"/>
              </w:rPr>
            </w:pPr>
            <w:r>
              <w:t>Dažnas</w:t>
            </w:r>
          </w:p>
        </w:tc>
      </w:tr>
      <w:tr w:rsidR="00890384" w14:paraId="0A96AF05" w14:textId="77777777">
        <w:trPr>
          <w:trHeight w:val="253"/>
        </w:trPr>
        <w:tc>
          <w:tcPr>
            <w:tcW w:w="3498" w:type="dxa"/>
          </w:tcPr>
          <w:p w14:paraId="01C39FEC" w14:textId="77777777" w:rsidR="00890384" w:rsidRDefault="00B26795">
            <w:pPr>
              <w:pStyle w:val="TableParagraph"/>
              <w:jc w:val="left"/>
              <w:rPr>
                <w:lang w:val="lt-LT"/>
              </w:rPr>
            </w:pPr>
            <w:r>
              <w:rPr>
                <w:lang w:val="lt-LT"/>
              </w:rPr>
              <w:t>Daugiaformė raudonė (eritema)</w:t>
            </w:r>
          </w:p>
        </w:tc>
        <w:tc>
          <w:tcPr>
            <w:tcW w:w="2588" w:type="dxa"/>
          </w:tcPr>
          <w:p w14:paraId="48DAD08A" w14:textId="77777777" w:rsidR="00890384" w:rsidRDefault="00B26795">
            <w:pPr>
              <w:pStyle w:val="TableParagraph"/>
              <w:rPr>
                <w:lang w:val="lt-LT"/>
              </w:rPr>
            </w:pPr>
            <w:r>
              <w:rPr>
                <w:lang w:val="lt-LT"/>
              </w:rPr>
              <w:t>Labai retas</w:t>
            </w:r>
          </w:p>
        </w:tc>
        <w:tc>
          <w:tcPr>
            <w:tcW w:w="1701" w:type="dxa"/>
          </w:tcPr>
          <w:p w14:paraId="0D7F13A2" w14:textId="77777777" w:rsidR="00890384" w:rsidRDefault="00B26795">
            <w:pPr>
              <w:pStyle w:val="TableParagraph"/>
              <w:rPr>
                <w:lang w:val="lt-LT"/>
              </w:rPr>
            </w:pPr>
            <w:r>
              <w:rPr>
                <w:lang w:val="lt-LT"/>
              </w:rPr>
              <w:t>Dažnis nežinomas</w:t>
            </w:r>
          </w:p>
        </w:tc>
        <w:tc>
          <w:tcPr>
            <w:tcW w:w="1701" w:type="dxa"/>
          </w:tcPr>
          <w:p w14:paraId="5F20DBA2" w14:textId="77777777" w:rsidR="00890384" w:rsidRDefault="00B26795">
            <w:pPr>
              <w:pStyle w:val="TableParagraph"/>
              <w:rPr>
                <w:lang w:val="lt-LT"/>
              </w:rPr>
            </w:pPr>
            <w:r>
              <w:t>Dažnis nežinomas</w:t>
            </w:r>
          </w:p>
        </w:tc>
      </w:tr>
      <w:tr w:rsidR="00890384" w14:paraId="23983DB6" w14:textId="77777777">
        <w:trPr>
          <w:trHeight w:val="253"/>
        </w:trPr>
        <w:tc>
          <w:tcPr>
            <w:tcW w:w="3498" w:type="dxa"/>
          </w:tcPr>
          <w:p w14:paraId="51C50C23" w14:textId="77777777" w:rsidR="00890384" w:rsidRDefault="00B26795">
            <w:pPr>
              <w:pStyle w:val="TableParagraph"/>
              <w:jc w:val="left"/>
              <w:rPr>
                <w:lang w:val="lt-LT"/>
              </w:rPr>
            </w:pPr>
            <w:r>
              <w:rPr>
                <w:lang w:val="lt-LT"/>
              </w:rPr>
              <w:t>Odos vaskulitas</w:t>
            </w:r>
          </w:p>
        </w:tc>
        <w:tc>
          <w:tcPr>
            <w:tcW w:w="2588" w:type="dxa"/>
          </w:tcPr>
          <w:p w14:paraId="0F6F72D5" w14:textId="77777777" w:rsidR="00890384" w:rsidRDefault="00B26795">
            <w:pPr>
              <w:pStyle w:val="TableParagraph"/>
              <w:rPr>
                <w:lang w:val="lt-LT"/>
              </w:rPr>
            </w:pPr>
            <w:r>
              <w:rPr>
                <w:lang w:val="lt-LT"/>
              </w:rPr>
              <w:t>Dažnis nežinomas</w:t>
            </w:r>
          </w:p>
        </w:tc>
        <w:tc>
          <w:tcPr>
            <w:tcW w:w="1701" w:type="dxa"/>
          </w:tcPr>
          <w:p w14:paraId="4195203C" w14:textId="77777777" w:rsidR="00890384" w:rsidRDefault="00B26795">
            <w:pPr>
              <w:pStyle w:val="TableParagraph"/>
              <w:rPr>
                <w:lang w:val="lt-LT"/>
              </w:rPr>
            </w:pPr>
            <w:r>
              <w:rPr>
                <w:lang w:val="lt-LT"/>
              </w:rPr>
              <w:t>Dažnis nežinomas</w:t>
            </w:r>
          </w:p>
        </w:tc>
        <w:tc>
          <w:tcPr>
            <w:tcW w:w="1701" w:type="dxa"/>
          </w:tcPr>
          <w:p w14:paraId="110262E2" w14:textId="77777777" w:rsidR="00890384" w:rsidRDefault="00B26795">
            <w:pPr>
              <w:pStyle w:val="TableParagraph"/>
              <w:rPr>
                <w:lang w:val="lt-LT"/>
              </w:rPr>
            </w:pPr>
            <w:r>
              <w:t>Dažnis nežinomas</w:t>
            </w:r>
          </w:p>
        </w:tc>
      </w:tr>
      <w:tr w:rsidR="00890384" w14:paraId="4677219E" w14:textId="77777777">
        <w:trPr>
          <w:trHeight w:val="162"/>
        </w:trPr>
        <w:tc>
          <w:tcPr>
            <w:tcW w:w="9488" w:type="dxa"/>
            <w:gridSpan w:val="4"/>
          </w:tcPr>
          <w:p w14:paraId="22843F25" w14:textId="77777777" w:rsidR="00890384" w:rsidRDefault="00B26795">
            <w:pPr>
              <w:pStyle w:val="TableParagraph"/>
              <w:jc w:val="left"/>
              <w:rPr>
                <w:i/>
                <w:lang w:val="lt-LT"/>
              </w:rPr>
            </w:pPr>
            <w:r>
              <w:rPr>
                <w:i/>
                <w:lang w:val="lt-LT"/>
              </w:rPr>
              <w:t>Skeleto, raumenų ir jungiamojo audinio sutrikimai</w:t>
            </w:r>
          </w:p>
        </w:tc>
      </w:tr>
      <w:tr w:rsidR="00890384" w14:paraId="2DAFE3F0" w14:textId="77777777">
        <w:trPr>
          <w:trHeight w:val="254"/>
        </w:trPr>
        <w:tc>
          <w:tcPr>
            <w:tcW w:w="3498" w:type="dxa"/>
          </w:tcPr>
          <w:p w14:paraId="6351868F" w14:textId="77777777" w:rsidR="00890384" w:rsidRDefault="00B26795">
            <w:pPr>
              <w:pStyle w:val="TableParagraph"/>
              <w:jc w:val="left"/>
              <w:rPr>
                <w:lang w:val="lt-LT"/>
              </w:rPr>
            </w:pPr>
            <w:r>
              <w:rPr>
                <w:lang w:val="lt-LT"/>
              </w:rPr>
              <w:t>Kraujavimas į raumenis</w:t>
            </w:r>
          </w:p>
        </w:tc>
        <w:tc>
          <w:tcPr>
            <w:tcW w:w="2588" w:type="dxa"/>
          </w:tcPr>
          <w:p w14:paraId="49A405D3" w14:textId="77777777" w:rsidR="00890384" w:rsidRDefault="00B26795">
            <w:pPr>
              <w:pStyle w:val="TableParagraph"/>
              <w:rPr>
                <w:lang w:val="lt-LT"/>
              </w:rPr>
            </w:pPr>
            <w:r>
              <w:rPr>
                <w:lang w:val="lt-LT"/>
              </w:rPr>
              <w:t>Retas</w:t>
            </w:r>
          </w:p>
        </w:tc>
        <w:tc>
          <w:tcPr>
            <w:tcW w:w="1701" w:type="dxa"/>
          </w:tcPr>
          <w:p w14:paraId="34803C61" w14:textId="77777777" w:rsidR="00890384" w:rsidRDefault="00B26795">
            <w:pPr>
              <w:pStyle w:val="TableParagraph"/>
              <w:rPr>
                <w:lang w:val="lt-LT"/>
              </w:rPr>
            </w:pPr>
            <w:r>
              <w:rPr>
                <w:lang w:val="lt-LT"/>
              </w:rPr>
              <w:t>Nedažnas</w:t>
            </w:r>
          </w:p>
        </w:tc>
        <w:tc>
          <w:tcPr>
            <w:tcW w:w="1701" w:type="dxa"/>
          </w:tcPr>
          <w:p w14:paraId="36992F14" w14:textId="77777777" w:rsidR="00890384" w:rsidRDefault="00B26795">
            <w:pPr>
              <w:pStyle w:val="TableParagraph"/>
              <w:rPr>
                <w:lang w:val="lt-LT"/>
              </w:rPr>
            </w:pPr>
            <w:r>
              <w:rPr>
                <w:lang w:val="lt-LT"/>
              </w:rPr>
              <w:t>Dažnis nežinomas</w:t>
            </w:r>
          </w:p>
        </w:tc>
      </w:tr>
      <w:tr w:rsidR="00890384" w14:paraId="21D4CA07" w14:textId="77777777">
        <w:trPr>
          <w:trHeight w:val="359"/>
        </w:trPr>
        <w:tc>
          <w:tcPr>
            <w:tcW w:w="7787" w:type="dxa"/>
            <w:gridSpan w:val="3"/>
          </w:tcPr>
          <w:p w14:paraId="4FC84794" w14:textId="77777777" w:rsidR="00890384" w:rsidRDefault="00B26795">
            <w:pPr>
              <w:pStyle w:val="TableParagraph"/>
              <w:jc w:val="left"/>
              <w:rPr>
                <w:i/>
                <w:lang w:val="lt-LT"/>
              </w:rPr>
            </w:pPr>
            <w:r>
              <w:rPr>
                <w:i/>
                <w:lang w:val="lt-LT"/>
              </w:rPr>
              <w:t>Inkstų ir šlapimo takų sutrikimai</w:t>
            </w:r>
          </w:p>
        </w:tc>
        <w:tc>
          <w:tcPr>
            <w:tcW w:w="1701" w:type="dxa"/>
          </w:tcPr>
          <w:p w14:paraId="516EC6FD" w14:textId="77777777" w:rsidR="00890384" w:rsidRDefault="00890384">
            <w:pPr>
              <w:pStyle w:val="TableParagraph"/>
              <w:jc w:val="left"/>
              <w:rPr>
                <w:i/>
                <w:lang w:val="lt-LT"/>
              </w:rPr>
            </w:pPr>
          </w:p>
        </w:tc>
      </w:tr>
      <w:tr w:rsidR="00890384" w14:paraId="02009B56" w14:textId="77777777">
        <w:trPr>
          <w:trHeight w:val="254"/>
        </w:trPr>
        <w:tc>
          <w:tcPr>
            <w:tcW w:w="3498" w:type="dxa"/>
          </w:tcPr>
          <w:p w14:paraId="7B573A84" w14:textId="77777777" w:rsidR="00890384" w:rsidRDefault="00B26795">
            <w:pPr>
              <w:pStyle w:val="TableParagraph"/>
              <w:jc w:val="left"/>
              <w:rPr>
                <w:lang w:val="lt-LT"/>
              </w:rPr>
            </w:pPr>
            <w:r>
              <w:rPr>
                <w:lang w:val="lt-LT"/>
              </w:rPr>
              <w:t>Hematurija</w:t>
            </w:r>
          </w:p>
        </w:tc>
        <w:tc>
          <w:tcPr>
            <w:tcW w:w="2588" w:type="dxa"/>
          </w:tcPr>
          <w:p w14:paraId="5C6CE133" w14:textId="77777777" w:rsidR="00890384" w:rsidRDefault="00B26795">
            <w:pPr>
              <w:pStyle w:val="TableParagraph"/>
              <w:rPr>
                <w:lang w:val="lt-LT"/>
              </w:rPr>
            </w:pPr>
            <w:r>
              <w:rPr>
                <w:lang w:val="lt-LT"/>
              </w:rPr>
              <w:t>Dažnas</w:t>
            </w:r>
          </w:p>
        </w:tc>
        <w:tc>
          <w:tcPr>
            <w:tcW w:w="1701" w:type="dxa"/>
          </w:tcPr>
          <w:p w14:paraId="5808361F" w14:textId="77777777" w:rsidR="00890384" w:rsidRDefault="00B26795">
            <w:pPr>
              <w:pStyle w:val="TableParagraph"/>
              <w:rPr>
                <w:lang w:val="lt-LT"/>
              </w:rPr>
            </w:pPr>
            <w:r>
              <w:rPr>
                <w:lang w:val="lt-LT"/>
              </w:rPr>
              <w:t>Dažnas</w:t>
            </w:r>
          </w:p>
        </w:tc>
        <w:tc>
          <w:tcPr>
            <w:tcW w:w="1701" w:type="dxa"/>
          </w:tcPr>
          <w:p w14:paraId="4E111FDF" w14:textId="77777777" w:rsidR="00890384" w:rsidRDefault="00B26795">
            <w:pPr>
              <w:pStyle w:val="TableParagraph"/>
              <w:rPr>
                <w:lang w:val="lt-LT"/>
              </w:rPr>
            </w:pPr>
            <w:r>
              <w:rPr>
                <w:lang w:val="lt-LT"/>
              </w:rPr>
              <w:t>Dažnas</w:t>
            </w:r>
          </w:p>
        </w:tc>
      </w:tr>
      <w:tr w:rsidR="00890384" w14:paraId="69B4B49C" w14:textId="77777777">
        <w:trPr>
          <w:trHeight w:val="359"/>
        </w:trPr>
        <w:tc>
          <w:tcPr>
            <w:tcW w:w="9488" w:type="dxa"/>
            <w:gridSpan w:val="4"/>
          </w:tcPr>
          <w:p w14:paraId="6C53E63D" w14:textId="77777777" w:rsidR="00890384" w:rsidRDefault="00B26795">
            <w:pPr>
              <w:pStyle w:val="TableParagraph"/>
              <w:jc w:val="left"/>
              <w:rPr>
                <w:i/>
                <w:lang w:val="lt-LT"/>
              </w:rPr>
            </w:pPr>
            <w:r>
              <w:rPr>
                <w:i/>
                <w:lang w:val="lt-LT"/>
              </w:rPr>
              <w:t>Lytinės sistemos ir krūties sutrikimai</w:t>
            </w:r>
          </w:p>
        </w:tc>
      </w:tr>
      <w:tr w:rsidR="00890384" w14:paraId="33B57E94" w14:textId="77777777">
        <w:trPr>
          <w:trHeight w:val="758"/>
        </w:trPr>
        <w:tc>
          <w:tcPr>
            <w:tcW w:w="3498" w:type="dxa"/>
          </w:tcPr>
          <w:p w14:paraId="5481BE94" w14:textId="77777777" w:rsidR="00890384" w:rsidRDefault="00B26795">
            <w:pPr>
              <w:pStyle w:val="TableParagraph"/>
              <w:jc w:val="left"/>
              <w:rPr>
                <w:lang w:val="lt-LT"/>
              </w:rPr>
            </w:pPr>
            <w:r>
              <w:rPr>
                <w:lang w:val="lt-LT"/>
              </w:rPr>
              <w:t>Nenormalus kraujavimas iš makšties, kraujavimas iš urogenitalinės sistemos</w:t>
            </w:r>
          </w:p>
        </w:tc>
        <w:tc>
          <w:tcPr>
            <w:tcW w:w="2588" w:type="dxa"/>
          </w:tcPr>
          <w:p w14:paraId="107921EA" w14:textId="77777777" w:rsidR="00890384" w:rsidRDefault="00B26795">
            <w:pPr>
              <w:pStyle w:val="TableParagraph"/>
              <w:rPr>
                <w:lang w:val="lt-LT"/>
              </w:rPr>
            </w:pPr>
            <w:r>
              <w:rPr>
                <w:lang w:val="lt-LT"/>
              </w:rPr>
              <w:t>Nedažnas</w:t>
            </w:r>
          </w:p>
        </w:tc>
        <w:tc>
          <w:tcPr>
            <w:tcW w:w="1701" w:type="dxa"/>
          </w:tcPr>
          <w:p w14:paraId="1216C1F0" w14:textId="77777777" w:rsidR="00890384" w:rsidRDefault="00B26795">
            <w:pPr>
              <w:pStyle w:val="TableParagraph"/>
              <w:rPr>
                <w:lang w:val="lt-LT"/>
              </w:rPr>
            </w:pPr>
            <w:r>
              <w:rPr>
                <w:lang w:val="lt-LT"/>
              </w:rPr>
              <w:t>Dažnas</w:t>
            </w:r>
          </w:p>
        </w:tc>
        <w:tc>
          <w:tcPr>
            <w:tcW w:w="1701" w:type="dxa"/>
          </w:tcPr>
          <w:p w14:paraId="0E1AC2F2" w14:textId="77777777" w:rsidR="00890384" w:rsidRDefault="00B26795">
            <w:pPr>
              <w:pStyle w:val="TableParagraph"/>
              <w:rPr>
                <w:lang w:val="lt-LT"/>
              </w:rPr>
            </w:pPr>
            <w:r>
              <w:rPr>
                <w:lang w:val="lt-LT"/>
              </w:rPr>
              <w:t>Labai dažnas</w:t>
            </w:r>
            <w:r w:rsidRPr="005261E3">
              <w:rPr>
                <w:vertAlign w:val="superscript"/>
                <w:lang w:val="lt-LT"/>
              </w:rPr>
              <w:t>§</w:t>
            </w:r>
          </w:p>
        </w:tc>
      </w:tr>
      <w:tr w:rsidR="00890384" w14:paraId="42063525" w14:textId="77777777">
        <w:trPr>
          <w:trHeight w:val="188"/>
        </w:trPr>
        <w:tc>
          <w:tcPr>
            <w:tcW w:w="9488" w:type="dxa"/>
            <w:gridSpan w:val="4"/>
          </w:tcPr>
          <w:p w14:paraId="54C5C43D" w14:textId="77777777" w:rsidR="00890384" w:rsidRDefault="00B26795">
            <w:pPr>
              <w:pStyle w:val="TableParagraph"/>
              <w:jc w:val="left"/>
              <w:rPr>
                <w:i/>
                <w:lang w:val="lt-LT"/>
              </w:rPr>
            </w:pPr>
            <w:r>
              <w:rPr>
                <w:i/>
                <w:lang w:val="lt-LT"/>
              </w:rPr>
              <w:t>Bendrieji sutrikimai ir vartojimo vietos pažeidimai</w:t>
            </w:r>
          </w:p>
        </w:tc>
      </w:tr>
      <w:tr w:rsidR="00890384" w14:paraId="6A09B15F" w14:textId="77777777">
        <w:trPr>
          <w:trHeight w:val="251"/>
        </w:trPr>
        <w:tc>
          <w:tcPr>
            <w:tcW w:w="3498" w:type="dxa"/>
          </w:tcPr>
          <w:p w14:paraId="0331B63F" w14:textId="77777777" w:rsidR="00890384" w:rsidRDefault="00B26795">
            <w:pPr>
              <w:pStyle w:val="TableParagraph"/>
              <w:jc w:val="left"/>
              <w:rPr>
                <w:lang w:val="lt-LT"/>
              </w:rPr>
            </w:pPr>
            <w:r>
              <w:rPr>
                <w:lang w:val="lt-LT"/>
              </w:rPr>
              <w:t>Kraujavimas iš vartojimo vietos</w:t>
            </w:r>
          </w:p>
        </w:tc>
        <w:tc>
          <w:tcPr>
            <w:tcW w:w="2588" w:type="dxa"/>
          </w:tcPr>
          <w:p w14:paraId="25292E49" w14:textId="77777777" w:rsidR="00890384" w:rsidRDefault="00B26795">
            <w:pPr>
              <w:pStyle w:val="TableParagraph"/>
              <w:rPr>
                <w:lang w:val="lt-LT"/>
              </w:rPr>
            </w:pPr>
            <w:r>
              <w:rPr>
                <w:lang w:val="lt-LT"/>
              </w:rPr>
              <w:t>Nedažnas</w:t>
            </w:r>
          </w:p>
        </w:tc>
        <w:tc>
          <w:tcPr>
            <w:tcW w:w="1701" w:type="dxa"/>
          </w:tcPr>
          <w:p w14:paraId="37E15E1F" w14:textId="77777777" w:rsidR="00890384" w:rsidRDefault="00B26795">
            <w:pPr>
              <w:pStyle w:val="TableParagraph"/>
              <w:rPr>
                <w:lang w:val="lt-LT"/>
              </w:rPr>
            </w:pPr>
            <w:r>
              <w:rPr>
                <w:lang w:val="lt-LT"/>
              </w:rPr>
              <w:t>Nedažnas</w:t>
            </w:r>
          </w:p>
        </w:tc>
        <w:tc>
          <w:tcPr>
            <w:tcW w:w="1701" w:type="dxa"/>
          </w:tcPr>
          <w:p w14:paraId="5BE48D32" w14:textId="77777777" w:rsidR="00890384" w:rsidRDefault="00B26795">
            <w:pPr>
              <w:pStyle w:val="TableParagraph"/>
              <w:rPr>
                <w:lang w:val="lt-LT"/>
              </w:rPr>
            </w:pPr>
            <w:r>
              <w:rPr>
                <w:lang w:val="lt-LT"/>
              </w:rPr>
              <w:t>Dažnis nežinomas</w:t>
            </w:r>
          </w:p>
        </w:tc>
      </w:tr>
      <w:tr w:rsidR="00890384" w14:paraId="72F6D46C" w14:textId="77777777">
        <w:trPr>
          <w:trHeight w:val="362"/>
        </w:trPr>
        <w:tc>
          <w:tcPr>
            <w:tcW w:w="9488" w:type="dxa"/>
            <w:gridSpan w:val="4"/>
          </w:tcPr>
          <w:p w14:paraId="10E66D2B" w14:textId="77777777" w:rsidR="00890384" w:rsidRDefault="00B26795">
            <w:pPr>
              <w:pStyle w:val="TableParagraph"/>
              <w:jc w:val="left"/>
              <w:rPr>
                <w:i/>
                <w:lang w:val="lt-LT"/>
              </w:rPr>
            </w:pPr>
            <w:r>
              <w:rPr>
                <w:i/>
                <w:lang w:val="lt-LT"/>
              </w:rPr>
              <w:t>Tyrimai</w:t>
            </w:r>
          </w:p>
        </w:tc>
      </w:tr>
      <w:tr w:rsidR="00890384" w14:paraId="57E1886F" w14:textId="77777777">
        <w:trPr>
          <w:trHeight w:val="505"/>
        </w:trPr>
        <w:tc>
          <w:tcPr>
            <w:tcW w:w="3498" w:type="dxa"/>
          </w:tcPr>
          <w:p w14:paraId="02403038" w14:textId="77777777" w:rsidR="00890384" w:rsidRDefault="00B26795">
            <w:pPr>
              <w:pStyle w:val="TableParagraph"/>
              <w:jc w:val="left"/>
              <w:rPr>
                <w:lang w:val="lt-LT"/>
              </w:rPr>
            </w:pPr>
            <w:r>
              <w:rPr>
                <w:lang w:val="lt-LT"/>
              </w:rPr>
              <w:t>Teigiamas slapto kraujavimo mėginys</w:t>
            </w:r>
          </w:p>
        </w:tc>
        <w:tc>
          <w:tcPr>
            <w:tcW w:w="2588" w:type="dxa"/>
          </w:tcPr>
          <w:p w14:paraId="738686EB" w14:textId="77777777" w:rsidR="00890384" w:rsidRDefault="00B26795">
            <w:pPr>
              <w:pStyle w:val="TableParagraph"/>
              <w:rPr>
                <w:lang w:val="lt-LT"/>
              </w:rPr>
            </w:pPr>
            <w:r>
              <w:rPr>
                <w:lang w:val="lt-LT"/>
              </w:rPr>
              <w:t>Nedažnas</w:t>
            </w:r>
          </w:p>
        </w:tc>
        <w:tc>
          <w:tcPr>
            <w:tcW w:w="1701" w:type="dxa"/>
          </w:tcPr>
          <w:p w14:paraId="0AF2D685" w14:textId="77777777" w:rsidR="00890384" w:rsidRDefault="00B26795">
            <w:pPr>
              <w:pStyle w:val="TableParagraph"/>
              <w:rPr>
                <w:lang w:val="lt-LT"/>
              </w:rPr>
            </w:pPr>
            <w:r>
              <w:rPr>
                <w:lang w:val="lt-LT"/>
              </w:rPr>
              <w:t>Nedažnas</w:t>
            </w:r>
          </w:p>
        </w:tc>
        <w:tc>
          <w:tcPr>
            <w:tcW w:w="1701" w:type="dxa"/>
          </w:tcPr>
          <w:p w14:paraId="211C5B26" w14:textId="77777777" w:rsidR="00890384" w:rsidRDefault="00B26795">
            <w:pPr>
              <w:pStyle w:val="TableParagraph"/>
              <w:rPr>
                <w:lang w:val="lt-LT"/>
              </w:rPr>
            </w:pPr>
            <w:r>
              <w:rPr>
                <w:lang w:val="lt-LT"/>
              </w:rPr>
              <w:t>Dažnis nežinomas</w:t>
            </w:r>
          </w:p>
        </w:tc>
      </w:tr>
      <w:tr w:rsidR="00890384" w14:paraId="526745FE" w14:textId="77777777">
        <w:trPr>
          <w:trHeight w:val="359"/>
        </w:trPr>
        <w:tc>
          <w:tcPr>
            <w:tcW w:w="9488" w:type="dxa"/>
            <w:gridSpan w:val="4"/>
          </w:tcPr>
          <w:p w14:paraId="023BFD0B" w14:textId="77777777" w:rsidR="00890384" w:rsidRDefault="00B26795">
            <w:pPr>
              <w:pStyle w:val="TableParagraph"/>
              <w:jc w:val="left"/>
              <w:rPr>
                <w:i/>
                <w:lang w:val="lt-LT"/>
              </w:rPr>
            </w:pPr>
            <w:r>
              <w:rPr>
                <w:i/>
                <w:lang w:val="lt-LT"/>
              </w:rPr>
              <w:t>Sužalojimai, apsinuodijimai ir procedūrų komplikacijos</w:t>
            </w:r>
          </w:p>
        </w:tc>
      </w:tr>
      <w:tr w:rsidR="00890384" w14:paraId="2253919F" w14:textId="77777777">
        <w:trPr>
          <w:trHeight w:val="412"/>
        </w:trPr>
        <w:tc>
          <w:tcPr>
            <w:tcW w:w="3498" w:type="dxa"/>
          </w:tcPr>
          <w:p w14:paraId="5EF5078D" w14:textId="77777777" w:rsidR="00890384" w:rsidRDefault="00B26795">
            <w:pPr>
              <w:pStyle w:val="TableParagraph"/>
              <w:jc w:val="left"/>
              <w:rPr>
                <w:lang w:val="lt-LT"/>
              </w:rPr>
            </w:pPr>
            <w:r>
              <w:rPr>
                <w:lang w:val="lt-LT"/>
              </w:rPr>
              <w:t>Sumušimas</w:t>
            </w:r>
          </w:p>
        </w:tc>
        <w:tc>
          <w:tcPr>
            <w:tcW w:w="2588" w:type="dxa"/>
          </w:tcPr>
          <w:p w14:paraId="792F9ABD" w14:textId="77777777" w:rsidR="00890384" w:rsidRDefault="00B26795">
            <w:pPr>
              <w:pStyle w:val="TableParagraph"/>
              <w:rPr>
                <w:lang w:val="lt-LT"/>
              </w:rPr>
            </w:pPr>
            <w:r>
              <w:rPr>
                <w:lang w:val="lt-LT"/>
              </w:rPr>
              <w:t>Dažnas</w:t>
            </w:r>
          </w:p>
        </w:tc>
        <w:tc>
          <w:tcPr>
            <w:tcW w:w="1701" w:type="dxa"/>
          </w:tcPr>
          <w:p w14:paraId="325041CB" w14:textId="77777777" w:rsidR="00890384" w:rsidRDefault="00B26795">
            <w:pPr>
              <w:pStyle w:val="TableParagraph"/>
              <w:rPr>
                <w:lang w:val="lt-LT"/>
              </w:rPr>
            </w:pPr>
            <w:r>
              <w:rPr>
                <w:lang w:val="lt-LT"/>
              </w:rPr>
              <w:t>Dažnas</w:t>
            </w:r>
          </w:p>
        </w:tc>
        <w:tc>
          <w:tcPr>
            <w:tcW w:w="1701" w:type="dxa"/>
          </w:tcPr>
          <w:p w14:paraId="4BF8C969" w14:textId="77777777" w:rsidR="00890384" w:rsidRDefault="00B26795">
            <w:pPr>
              <w:pStyle w:val="TableParagraph"/>
              <w:rPr>
                <w:lang w:val="lt-LT"/>
              </w:rPr>
            </w:pPr>
            <w:r>
              <w:t>Dažnas</w:t>
            </w:r>
          </w:p>
        </w:tc>
      </w:tr>
      <w:tr w:rsidR="00890384" w14:paraId="03ECD500" w14:textId="77777777">
        <w:trPr>
          <w:trHeight w:val="2277"/>
        </w:trPr>
        <w:tc>
          <w:tcPr>
            <w:tcW w:w="3498" w:type="dxa"/>
          </w:tcPr>
          <w:p w14:paraId="7B063762" w14:textId="77777777" w:rsidR="00890384" w:rsidRDefault="00B26795">
            <w:pPr>
              <w:pStyle w:val="TableParagraph"/>
              <w:jc w:val="left"/>
              <w:rPr>
                <w:lang w:val="lt-LT"/>
              </w:rPr>
            </w:pPr>
            <w:r>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588" w:type="dxa"/>
          </w:tcPr>
          <w:p w14:paraId="38879467" w14:textId="77777777" w:rsidR="00890384" w:rsidRDefault="00B26795">
            <w:pPr>
              <w:pStyle w:val="TableParagraph"/>
              <w:rPr>
                <w:lang w:val="lt-LT"/>
              </w:rPr>
            </w:pPr>
            <w:r>
              <w:rPr>
                <w:lang w:val="lt-LT"/>
              </w:rPr>
              <w:t>Nedažnas</w:t>
            </w:r>
          </w:p>
        </w:tc>
        <w:tc>
          <w:tcPr>
            <w:tcW w:w="1701" w:type="dxa"/>
          </w:tcPr>
          <w:p w14:paraId="4454F92D" w14:textId="77777777" w:rsidR="00890384" w:rsidRDefault="00B26795">
            <w:pPr>
              <w:pStyle w:val="TableParagraph"/>
              <w:rPr>
                <w:lang w:val="lt-LT"/>
              </w:rPr>
            </w:pPr>
            <w:r>
              <w:rPr>
                <w:lang w:val="lt-LT"/>
              </w:rPr>
              <w:t>Nedažnas</w:t>
            </w:r>
          </w:p>
        </w:tc>
        <w:tc>
          <w:tcPr>
            <w:tcW w:w="1701" w:type="dxa"/>
          </w:tcPr>
          <w:p w14:paraId="0AE81150" w14:textId="77777777" w:rsidR="00890384" w:rsidRDefault="00B26795">
            <w:pPr>
              <w:pStyle w:val="TableParagraph"/>
              <w:rPr>
                <w:lang w:val="lt-LT"/>
              </w:rPr>
            </w:pPr>
            <w:r>
              <w:t>Dažnas</w:t>
            </w:r>
          </w:p>
        </w:tc>
      </w:tr>
      <w:tr w:rsidR="00890384" w14:paraId="52989A6D" w14:textId="77777777">
        <w:trPr>
          <w:trHeight w:val="253"/>
        </w:trPr>
        <w:tc>
          <w:tcPr>
            <w:tcW w:w="3498" w:type="dxa"/>
          </w:tcPr>
          <w:p w14:paraId="2FB4178D" w14:textId="77777777" w:rsidR="00890384" w:rsidRDefault="00B26795">
            <w:pPr>
              <w:pStyle w:val="TableParagraph"/>
              <w:jc w:val="left"/>
              <w:rPr>
                <w:lang w:val="lt-LT"/>
              </w:rPr>
            </w:pPr>
            <w:r>
              <w:rPr>
                <w:lang w:val="lt-LT"/>
              </w:rPr>
              <w:t>Kraujavimas iš sužalojimų</w:t>
            </w:r>
          </w:p>
        </w:tc>
        <w:tc>
          <w:tcPr>
            <w:tcW w:w="2588" w:type="dxa"/>
          </w:tcPr>
          <w:p w14:paraId="2AF838B1" w14:textId="77777777" w:rsidR="00890384" w:rsidRDefault="00B26795">
            <w:pPr>
              <w:pStyle w:val="TableParagraph"/>
              <w:rPr>
                <w:lang w:val="lt-LT"/>
              </w:rPr>
            </w:pPr>
            <w:r>
              <w:rPr>
                <w:lang w:val="lt-LT"/>
              </w:rPr>
              <w:t>Nedažnas</w:t>
            </w:r>
          </w:p>
        </w:tc>
        <w:tc>
          <w:tcPr>
            <w:tcW w:w="1701" w:type="dxa"/>
          </w:tcPr>
          <w:p w14:paraId="0FA3A82F" w14:textId="77777777" w:rsidR="00890384" w:rsidRDefault="00B26795">
            <w:pPr>
              <w:pStyle w:val="TableParagraph"/>
              <w:rPr>
                <w:lang w:val="lt-LT"/>
              </w:rPr>
            </w:pPr>
            <w:r>
              <w:rPr>
                <w:lang w:val="lt-LT"/>
              </w:rPr>
              <w:t>Nedažnas</w:t>
            </w:r>
          </w:p>
        </w:tc>
        <w:tc>
          <w:tcPr>
            <w:tcW w:w="1701" w:type="dxa"/>
          </w:tcPr>
          <w:p w14:paraId="1477CA4D" w14:textId="77777777" w:rsidR="00890384" w:rsidRDefault="00B26795">
            <w:pPr>
              <w:pStyle w:val="TableParagraph"/>
              <w:rPr>
                <w:lang w:val="lt-LT"/>
              </w:rPr>
            </w:pPr>
            <w:r>
              <w:t>Dažnis nežinomas</w:t>
            </w:r>
          </w:p>
        </w:tc>
      </w:tr>
    </w:tbl>
    <w:p w14:paraId="4369391D" w14:textId="77777777" w:rsidR="00890384" w:rsidRDefault="00B26795">
      <w:pPr>
        <w:widowControl w:val="0"/>
        <w:numPr>
          <w:ilvl w:val="0"/>
          <w:numId w:val="5"/>
        </w:numPr>
        <w:tabs>
          <w:tab w:val="clear" w:pos="567"/>
          <w:tab w:val="left" w:pos="371"/>
        </w:tabs>
        <w:autoSpaceDE w:val="0"/>
        <w:autoSpaceDN w:val="0"/>
        <w:spacing w:line="240" w:lineRule="auto"/>
        <w:ind w:left="0" w:firstLine="0"/>
        <w:rPr>
          <w:snapToGrid/>
          <w:sz w:val="20"/>
          <w:szCs w:val="22"/>
          <w:lang w:val="lt-LT"/>
        </w:rPr>
      </w:pPr>
      <w:r>
        <w:rPr>
          <w:snapToGrid/>
          <w:sz w:val="20"/>
          <w:szCs w:val="22"/>
          <w:lang w:val="lt-LT"/>
        </w:rPr>
        <w:t>CV185057 atveju (ilgalaikė venų tromboembolinių reiškinių profilaktika) viso kūno niežėjimas nepasireiškė</w:t>
      </w:r>
    </w:p>
    <w:p w14:paraId="36C0EE7E" w14:textId="77777777" w:rsidR="00890384" w:rsidRDefault="00B26795">
      <w:pPr>
        <w:widowControl w:val="0"/>
        <w:tabs>
          <w:tab w:val="clear" w:pos="567"/>
        </w:tabs>
        <w:autoSpaceDE w:val="0"/>
        <w:autoSpaceDN w:val="0"/>
        <w:spacing w:line="240" w:lineRule="auto"/>
        <w:rPr>
          <w:snapToGrid/>
          <w:sz w:val="20"/>
          <w:szCs w:val="22"/>
          <w:lang w:val="lt-LT"/>
        </w:rPr>
      </w:pPr>
      <w:r>
        <w:rPr>
          <w:snapToGrid/>
          <w:position w:val="10"/>
          <w:sz w:val="20"/>
          <w:szCs w:val="22"/>
          <w:lang w:val="lt-LT"/>
        </w:rPr>
        <w:lastRenderedPageBreak/>
        <w:t xml:space="preserve">† </w:t>
      </w:r>
      <w:r>
        <w:rPr>
          <w:snapToGrid/>
          <w:sz w:val="20"/>
          <w:szCs w:val="22"/>
          <w:lang w:val="lt-LT"/>
        </w:rPr>
        <w:t xml:space="preserve">Terminas „Kraujavimas į galvos smegenis“ apima visus kraujavimo į kaukolės ertmę ir stuburo kanalą atvejus (t. y. hemoraginį insultą arba kraujavimą į kiautą (lot. </w:t>
      </w:r>
      <w:r>
        <w:rPr>
          <w:i/>
          <w:snapToGrid/>
          <w:sz w:val="20"/>
          <w:szCs w:val="22"/>
          <w:lang w:val="lt-LT"/>
        </w:rPr>
        <w:t>Putamen</w:t>
      </w:r>
      <w:r>
        <w:rPr>
          <w:snapToGrid/>
          <w:sz w:val="20"/>
          <w:szCs w:val="22"/>
          <w:lang w:val="lt-LT"/>
        </w:rPr>
        <w:t>), smegenėles, skilvelių viduje arba subdurinį kraujavimą).</w:t>
      </w:r>
    </w:p>
    <w:p w14:paraId="228A3343" w14:textId="77777777" w:rsidR="00890384" w:rsidRDefault="00B26795">
      <w:pPr>
        <w:widowControl w:val="0"/>
        <w:tabs>
          <w:tab w:val="clear" w:pos="567"/>
        </w:tabs>
        <w:autoSpaceDE w:val="0"/>
        <w:autoSpaceDN w:val="0"/>
        <w:spacing w:line="240" w:lineRule="auto"/>
      </w:pPr>
      <w:r>
        <w:t>‡ Apima anafilaksinę reakciją, padidėjusį jautrumą vaistams ir padidėjusį jautrumą.</w:t>
      </w:r>
    </w:p>
    <w:p w14:paraId="2ADD62DD" w14:textId="77777777" w:rsidR="00890384" w:rsidRDefault="00B26795">
      <w:pPr>
        <w:widowControl w:val="0"/>
        <w:tabs>
          <w:tab w:val="clear" w:pos="567"/>
        </w:tabs>
        <w:autoSpaceDE w:val="0"/>
        <w:autoSpaceDN w:val="0"/>
        <w:spacing w:line="240" w:lineRule="auto"/>
      </w:pPr>
      <w:r>
        <w:t>§ Apima gausų menstruacinį kraujavimą, kraujavimą tarp menstruacijų ir kraujavimą iš makšties.</w:t>
      </w:r>
    </w:p>
    <w:p w14:paraId="0A2683BE" w14:textId="77777777" w:rsidR="00890384" w:rsidRDefault="00890384">
      <w:pPr>
        <w:widowControl w:val="0"/>
        <w:tabs>
          <w:tab w:val="clear" w:pos="567"/>
        </w:tabs>
        <w:autoSpaceDE w:val="0"/>
        <w:autoSpaceDN w:val="0"/>
        <w:spacing w:line="240" w:lineRule="auto"/>
        <w:rPr>
          <w:snapToGrid/>
          <w:szCs w:val="22"/>
          <w:lang w:val="lt-LT"/>
        </w:rPr>
      </w:pPr>
    </w:p>
    <w:p w14:paraId="0298C02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 skyrius).</w:t>
      </w:r>
    </w:p>
    <w:p w14:paraId="390F7CFE" w14:textId="77777777" w:rsidR="00890384" w:rsidRDefault="00890384">
      <w:pPr>
        <w:widowControl w:val="0"/>
        <w:tabs>
          <w:tab w:val="clear" w:pos="567"/>
        </w:tabs>
        <w:autoSpaceDE w:val="0"/>
        <w:autoSpaceDN w:val="0"/>
        <w:spacing w:line="240" w:lineRule="auto"/>
        <w:rPr>
          <w:u w:val="single"/>
        </w:rPr>
      </w:pPr>
    </w:p>
    <w:p w14:paraId="223AEF4C" w14:textId="77777777" w:rsidR="00890384" w:rsidRDefault="00B26795">
      <w:pPr>
        <w:widowControl w:val="0"/>
        <w:tabs>
          <w:tab w:val="clear" w:pos="567"/>
        </w:tabs>
        <w:autoSpaceDE w:val="0"/>
        <w:autoSpaceDN w:val="0"/>
        <w:spacing w:line="240" w:lineRule="auto"/>
        <w:rPr>
          <w:u w:val="single"/>
        </w:rPr>
      </w:pPr>
      <w:r>
        <w:rPr>
          <w:u w:val="single"/>
        </w:rPr>
        <w:t>Vaikų populiacija</w:t>
      </w:r>
    </w:p>
    <w:p w14:paraId="49FB0AFA" w14:textId="77777777" w:rsidR="00890384" w:rsidRDefault="00890384">
      <w:pPr>
        <w:widowControl w:val="0"/>
        <w:tabs>
          <w:tab w:val="clear" w:pos="567"/>
        </w:tabs>
        <w:autoSpaceDE w:val="0"/>
        <w:autoSpaceDN w:val="0"/>
        <w:spacing w:line="240" w:lineRule="auto"/>
      </w:pPr>
    </w:p>
    <w:p w14:paraId="3EE106E4" w14:textId="77777777" w:rsidR="00890384" w:rsidRDefault="00B26795">
      <w:pPr>
        <w:widowControl w:val="0"/>
        <w:tabs>
          <w:tab w:val="clear" w:pos="567"/>
        </w:tabs>
        <w:autoSpaceDE w:val="0"/>
        <w:autoSpaceDN w:val="0"/>
        <w:spacing w:line="240" w:lineRule="auto"/>
      </w:pPr>
      <w:r>
        <w:t>Apiksabano saugumas tirtas viename I fazės ir trijuose II/III fazės klinikiniuose tyrimuose, kuriuose dalyvavo 970 pacientų. 568 iš šių pacientų gavo vieną ar daugiau apiksabano dozių, ir bendra vidutinė vaistinio preparato ekspozicija buvo atitinkamai 1, 24, 331 ir 80 dienų (žr. 5.1 skyrių). Pacientai vartojo pagal amžių pritaikytų apiksabano farmacinių formų pagal kūno svorį koreguotas dozes.</w:t>
      </w:r>
    </w:p>
    <w:p w14:paraId="59D22C26" w14:textId="77777777" w:rsidR="00890384" w:rsidRDefault="00890384">
      <w:pPr>
        <w:widowControl w:val="0"/>
        <w:tabs>
          <w:tab w:val="clear" w:pos="567"/>
        </w:tabs>
        <w:autoSpaceDE w:val="0"/>
        <w:autoSpaceDN w:val="0"/>
        <w:spacing w:line="240" w:lineRule="auto"/>
      </w:pPr>
    </w:p>
    <w:p w14:paraId="6EF4870B" w14:textId="370C039E" w:rsidR="00890384" w:rsidRDefault="00B26795">
      <w:pPr>
        <w:widowControl w:val="0"/>
        <w:tabs>
          <w:tab w:val="clear" w:pos="567"/>
        </w:tabs>
        <w:autoSpaceDE w:val="0"/>
        <w:autoSpaceDN w:val="0"/>
        <w:spacing w:line="240" w:lineRule="auto"/>
      </w:pPr>
      <w:r>
        <w:t>Apskritai apiksabano saugumo duomenys pacientams vaikams nuo 28 dienų iki &lt;</w:t>
      </w:r>
      <w:r w:rsidR="000A30A1">
        <w:t> </w:t>
      </w:r>
      <w:r>
        <w:t>18 metų buvo panašūs kaip suaugusiesiems ir iš esmės nesiskyrė tarp skirtingų vaikų amžiaus grupių. Dažniausiai pasireiškusios nepageidaujamos reakcijos pacientams vaikams buvo kraujavimas iš nosies ir nenormalus kraujavimas iš makšties (žr. 3 lentelę, kurioje pateikiamas nepageidaujamų reakcijų sąrašas ir dažnis pagal indikacijas).</w:t>
      </w:r>
    </w:p>
    <w:p w14:paraId="35ED97A6" w14:textId="77777777" w:rsidR="00890384" w:rsidRDefault="00890384">
      <w:pPr>
        <w:widowControl w:val="0"/>
        <w:tabs>
          <w:tab w:val="clear" w:pos="567"/>
        </w:tabs>
        <w:autoSpaceDE w:val="0"/>
        <w:autoSpaceDN w:val="0"/>
        <w:spacing w:line="240" w:lineRule="auto"/>
      </w:pPr>
    </w:p>
    <w:p w14:paraId="76DF8F72" w14:textId="62F3837C" w:rsidR="00890384" w:rsidRDefault="00B26795">
      <w:pPr>
        <w:widowControl w:val="0"/>
        <w:tabs>
          <w:tab w:val="clear" w:pos="567"/>
        </w:tabs>
        <w:autoSpaceDE w:val="0"/>
        <w:autoSpaceDN w:val="0"/>
        <w:spacing w:line="240" w:lineRule="auto"/>
        <w:rPr>
          <w:snapToGrid/>
          <w:szCs w:val="22"/>
          <w:lang w:val="lt-LT"/>
        </w:rPr>
      </w:pPr>
      <w:r>
        <w:t>Pacientams vaikams kraujavimas iš nosies (labai dažnas), nenormalus kraujavimas iš makšties (labai dažnas), padidėjęs jautrumas ir anafilaksija (dažnas), niežėjimas (dažnas), hipotenzija (dažnas), kraujingos išmatos (dažnas), padidėjęs aspartataminotransferazės aktyvumas (dažnas), alopecija (dažnas) ir kraujavimas po procedūros (dažnas) buvo registruojami dažniau, palyginti su suaugusiaisiais, gydytais apiksabanu, tačiau toje pačioje dažnumo kategorijoje kaip ir standartinio gydymo (SG) grupės vaikų; vienintelė išimtis buvo nenormalus kraujavimas iš makšties, apie kurį buvo pranešta kaip apie dažną SG grupėje. Visais atvejais, išskyrus vieną, buvo pranešta apie kepenų transaminazių aktyvumo padidėjimą pacientams vaikams, kurie kartu buvo gydomi chemoterapija dėl piktybinio naviko.</w:t>
      </w:r>
    </w:p>
    <w:p w14:paraId="798F07F0" w14:textId="77777777" w:rsidR="00890384" w:rsidRDefault="00890384">
      <w:pPr>
        <w:widowControl w:val="0"/>
        <w:tabs>
          <w:tab w:val="clear" w:pos="567"/>
        </w:tabs>
        <w:autoSpaceDE w:val="0"/>
        <w:autoSpaceDN w:val="0"/>
        <w:spacing w:line="240" w:lineRule="auto"/>
        <w:rPr>
          <w:snapToGrid/>
          <w:szCs w:val="22"/>
          <w:lang w:val="lt-LT"/>
        </w:rPr>
      </w:pPr>
    </w:p>
    <w:p w14:paraId="7F30886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Pranešimas apie įtariamas nepageidaujamas reakcijas</w:t>
      </w:r>
    </w:p>
    <w:p w14:paraId="03ECFDBC" w14:textId="77777777" w:rsidR="00890384" w:rsidRDefault="00B26795">
      <w:pPr>
        <w:jc w:val="both"/>
        <w:rPr>
          <w:snapToGrid/>
          <w:szCs w:val="24"/>
          <w:lang w:val="lt-LT"/>
        </w:rPr>
      </w:pPr>
      <w:r>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szCs w:val="22"/>
          <w:u w:val="single"/>
          <w:lang w:val="lt-LT"/>
        </w:rPr>
        <w:t>https://vvkt.lrv.lt/lt/</w:t>
      </w:r>
      <w:r>
        <w:rPr>
          <w:snapToGrid/>
          <w:szCs w:val="22"/>
          <w:lang w:val="lt-LT"/>
        </w:rPr>
        <w:t xml:space="preserve"> nurodytais būdais.</w:t>
      </w:r>
    </w:p>
    <w:p w14:paraId="568C4189" w14:textId="77777777" w:rsidR="00890384" w:rsidRDefault="00890384">
      <w:pPr>
        <w:widowControl w:val="0"/>
        <w:tabs>
          <w:tab w:val="clear" w:pos="567"/>
        </w:tabs>
        <w:autoSpaceDE w:val="0"/>
        <w:autoSpaceDN w:val="0"/>
        <w:spacing w:line="240" w:lineRule="auto"/>
        <w:rPr>
          <w:snapToGrid/>
          <w:szCs w:val="22"/>
          <w:lang w:val="lt-LT"/>
        </w:rPr>
      </w:pPr>
    </w:p>
    <w:p w14:paraId="5DBB05F3"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4.9</w:t>
      </w:r>
      <w:r>
        <w:rPr>
          <w:b/>
          <w:bCs/>
          <w:snapToGrid/>
          <w:szCs w:val="22"/>
          <w:lang w:val="lt-LT"/>
        </w:rPr>
        <w:tab/>
        <w:t>Perdozavimas</w:t>
      </w:r>
    </w:p>
    <w:p w14:paraId="6AE02BAB" w14:textId="77777777" w:rsidR="00890384" w:rsidRDefault="00890384">
      <w:pPr>
        <w:widowControl w:val="0"/>
        <w:tabs>
          <w:tab w:val="clear" w:pos="567"/>
        </w:tabs>
        <w:autoSpaceDE w:val="0"/>
        <w:autoSpaceDN w:val="0"/>
        <w:spacing w:line="240" w:lineRule="auto"/>
        <w:rPr>
          <w:b/>
          <w:snapToGrid/>
          <w:szCs w:val="22"/>
          <w:lang w:val="lt-LT"/>
        </w:rPr>
      </w:pPr>
    </w:p>
    <w:p w14:paraId="34F82AA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Perdozavus apiksabano, gali padidėti kraujavimo rizika. Atsiradus kraujavimo sukeltų komplikacijų, būtina nutraukti vaistinio preparato vartojimą ir nustatyti kraujavimo šaltinį. Svarstytinas tinkamas gydymas, pvz., chirurginė hemostazė, šviežios šaldytos kraujo plazmos transfuzija arba Xa faktoriaus inhibitorių poveikį neutralizuojančio vaistinio preparato skyrimas </w:t>
      </w:r>
      <w:r>
        <w:t>(žr. 4.4 skyrių)</w:t>
      </w:r>
      <w:r>
        <w:rPr>
          <w:snapToGrid/>
          <w:szCs w:val="22"/>
          <w:lang w:val="lt-LT"/>
        </w:rPr>
        <w:t>.</w:t>
      </w:r>
    </w:p>
    <w:p w14:paraId="2F88C898" w14:textId="77777777" w:rsidR="00890384" w:rsidRDefault="00890384">
      <w:pPr>
        <w:widowControl w:val="0"/>
        <w:tabs>
          <w:tab w:val="clear" w:pos="567"/>
        </w:tabs>
        <w:autoSpaceDE w:val="0"/>
        <w:autoSpaceDN w:val="0"/>
        <w:spacing w:line="240" w:lineRule="auto"/>
        <w:rPr>
          <w:snapToGrid/>
          <w:szCs w:val="22"/>
          <w:lang w:val="lt-LT"/>
        </w:rPr>
      </w:pPr>
    </w:p>
    <w:p w14:paraId="2D84421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Kontroliuojamųjų klinikinių tyrimų duomenimis, sveikiems tiriamiesiems asmenims skyrus iki 50 mg geriamojo apiksabano paros dozę 3</w:t>
      </w:r>
      <w:r>
        <w:rPr>
          <w:snapToGrid/>
          <w:szCs w:val="22"/>
          <w:lang w:val="lt-LT"/>
        </w:rPr>
        <w:noBreakHyphen/>
        <w:t>7 dienas (po 25 mg du kartus per parą 7 dienas arba 50 mg vieną kartą per parą 3 dienas), kliniškai reikšmingų nepageidaujamų reakcijų nepasireiškė.</w:t>
      </w:r>
    </w:p>
    <w:p w14:paraId="45E84226" w14:textId="77777777" w:rsidR="00890384" w:rsidRDefault="00890384">
      <w:pPr>
        <w:widowControl w:val="0"/>
        <w:tabs>
          <w:tab w:val="clear" w:pos="567"/>
        </w:tabs>
        <w:autoSpaceDE w:val="0"/>
        <w:autoSpaceDN w:val="0"/>
        <w:spacing w:line="240" w:lineRule="auto"/>
        <w:rPr>
          <w:snapToGrid/>
          <w:szCs w:val="22"/>
          <w:lang w:val="lt-LT"/>
        </w:rPr>
      </w:pPr>
    </w:p>
    <w:p w14:paraId="7A3E84D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Remiantis sveikų tiriamųjų duomenimis, išgėrus aktyvintosios anglies praėjus 2 ir 6 valandoms po 20 mg apiksabano dozės nurijimo, vidutinis apiksabano AUC sumažėjo atitinkamai 50 % ir 27 %, o poveikio C</w:t>
      </w:r>
      <w:r>
        <w:rPr>
          <w:snapToGrid/>
          <w:szCs w:val="22"/>
          <w:vertAlign w:val="subscript"/>
          <w:lang w:val="lt-LT"/>
        </w:rPr>
        <w:t>max</w:t>
      </w:r>
      <w:r>
        <w:rPr>
          <w:snapToGrid/>
          <w:szCs w:val="22"/>
          <w:lang w:val="lt-LT"/>
        </w:rPr>
        <w:t xml:space="preserve"> nebuvo. Vidutinis apiksabano pusinės eliminacijos laikas sutrumpėjo nuo 13,4 valandų, vartojant vien apiksabaną, iki atitinkamai 5,3 valandų ir 4,9 valandų, pavartojus aktyvintosios anglies praėjus 2 ir 6 valandoms po apiksabano pavartojimo. Taigi aktyvintosios anglies vartojimas gali būti naudingas, gydant apiksabano perdozavimą arba atsitiktinį nurijimą.</w:t>
      </w:r>
    </w:p>
    <w:p w14:paraId="4B7A3E09" w14:textId="77777777" w:rsidR="00890384" w:rsidRDefault="00890384">
      <w:pPr>
        <w:widowControl w:val="0"/>
        <w:tabs>
          <w:tab w:val="clear" w:pos="567"/>
        </w:tabs>
        <w:autoSpaceDE w:val="0"/>
        <w:autoSpaceDN w:val="0"/>
        <w:spacing w:line="240" w:lineRule="auto"/>
      </w:pPr>
    </w:p>
    <w:p w14:paraId="2BAABFB4" w14:textId="32E48A9C" w:rsidR="00890384" w:rsidRDefault="00B26795">
      <w:pPr>
        <w:widowControl w:val="0"/>
        <w:tabs>
          <w:tab w:val="clear" w:pos="567"/>
        </w:tabs>
        <w:autoSpaceDE w:val="0"/>
        <w:autoSpaceDN w:val="0"/>
        <w:spacing w:line="240" w:lineRule="auto"/>
      </w:pPr>
      <w:r>
        <w:t>Pacientams, sergantiems galutinės stadijos inkstų liga (GSIL), per burną skiriant vienkartinę 5</w:t>
      </w:r>
      <w:r w:rsidR="000A30A1">
        <w:t> </w:t>
      </w:r>
      <w:r>
        <w:t xml:space="preserve">mg apiksabano dozę, apiksabano AUC dėl hemodializės sumažėjo 14 %. Todėl </w:t>
      </w:r>
      <w:r w:rsidR="000A30A1">
        <w:t xml:space="preserve">mažai tikėtina, kad </w:t>
      </w:r>
      <w:r>
        <w:t xml:space="preserve">hemodializė </w:t>
      </w:r>
      <w:r w:rsidR="000A30A1">
        <w:t>yra</w:t>
      </w:r>
      <w:r>
        <w:t xml:space="preserve"> </w:t>
      </w:r>
      <w:r>
        <w:lastRenderedPageBreak/>
        <w:t xml:space="preserve">veiksminga </w:t>
      </w:r>
      <w:r w:rsidR="000A30A1">
        <w:t xml:space="preserve">gydymo </w:t>
      </w:r>
      <w:r>
        <w:t>priemonė perdozavus apiksabano.</w:t>
      </w:r>
    </w:p>
    <w:p w14:paraId="50892D76" w14:textId="77777777" w:rsidR="00890384" w:rsidRDefault="00890384">
      <w:pPr>
        <w:widowControl w:val="0"/>
        <w:tabs>
          <w:tab w:val="clear" w:pos="567"/>
        </w:tabs>
        <w:autoSpaceDE w:val="0"/>
        <w:autoSpaceDN w:val="0"/>
        <w:spacing w:line="240" w:lineRule="auto"/>
        <w:rPr>
          <w:snapToGrid/>
          <w:szCs w:val="22"/>
          <w:lang w:val="lt-LT"/>
        </w:rPr>
      </w:pPr>
    </w:p>
    <w:p w14:paraId="39A1F63D" w14:textId="35889991"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Tais atvejais, kai reikia neutralizuoti antikoaguliacinį poveikį dėl gyvybei pavojingo arba nekontroliuojamo kraujavimo, galima skirti Xa faktoriaus inhibitorių poveikį neutralizuojantį vaistinį preparatą </w:t>
      </w:r>
      <w:r>
        <w:t>(andeksanetą alfa)</w:t>
      </w:r>
      <w:r>
        <w:rPr>
          <w:snapToGrid/>
          <w:szCs w:val="22"/>
          <w:lang w:val="lt-LT"/>
        </w:rPr>
        <w:t xml:space="preserve"> suaugusie</w:t>
      </w:r>
      <w:r w:rsidR="000A30A1">
        <w:rPr>
          <w:snapToGrid/>
          <w:szCs w:val="22"/>
          <w:lang w:val="lt-LT"/>
        </w:rPr>
        <w:t>siems</w:t>
      </w:r>
      <w:r>
        <w:rPr>
          <w:snapToGrid/>
          <w:szCs w:val="22"/>
          <w:lang w:val="lt-LT"/>
        </w:rPr>
        <w:t>ms (žr. 4.4 skyrių). Galima spręsti ir dėl protrombino komplekso koncentrato (PKK) arba rekombinantinio VIIa faktoriaus skyrimo.</w:t>
      </w:r>
    </w:p>
    <w:p w14:paraId="15704AFE" w14:textId="77777777" w:rsidR="00890384" w:rsidRDefault="00890384">
      <w:pPr>
        <w:widowControl w:val="0"/>
        <w:tabs>
          <w:tab w:val="clear" w:pos="567"/>
        </w:tabs>
        <w:autoSpaceDE w:val="0"/>
        <w:autoSpaceDN w:val="0"/>
        <w:spacing w:line="240" w:lineRule="auto"/>
        <w:rPr>
          <w:snapToGrid/>
          <w:szCs w:val="22"/>
          <w:lang w:val="lt-LT"/>
        </w:rPr>
      </w:pPr>
    </w:p>
    <w:p w14:paraId="0FF9BB0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farmakodinaminio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apiksabaną vartojantiems pacientams, stabdyti. Rekombinantinio VIIa faktoriaus skyrimo apiksabano vartojantiems pacientams patirties iki šiol nėra. Atsižvelgiant į kraujavimo mažėjimą, reikėtų apsvarstyti kartotinės rekombinantinio VIIa faktoriaus dozės skyrimą ir dozės koregavimą.</w:t>
      </w:r>
    </w:p>
    <w:p w14:paraId="7A88E3B1" w14:textId="77777777" w:rsidR="00890384" w:rsidRDefault="00890384">
      <w:pPr>
        <w:widowControl w:val="0"/>
        <w:tabs>
          <w:tab w:val="clear" w:pos="567"/>
        </w:tabs>
        <w:autoSpaceDE w:val="0"/>
        <w:autoSpaceDN w:val="0"/>
        <w:spacing w:line="240" w:lineRule="auto"/>
      </w:pPr>
    </w:p>
    <w:p w14:paraId="7093E992" w14:textId="6157C873" w:rsidR="00890384" w:rsidRDefault="00B26795">
      <w:pPr>
        <w:widowControl w:val="0"/>
        <w:tabs>
          <w:tab w:val="clear" w:pos="567"/>
        </w:tabs>
        <w:autoSpaceDE w:val="0"/>
        <w:autoSpaceDN w:val="0"/>
        <w:spacing w:line="240" w:lineRule="auto"/>
      </w:pPr>
      <w:r>
        <w:t xml:space="preserve">Specifinis neutralizuojantysis vaistinis preparatas (andeksanetas alfa), kuris slopina apiksabano farmakodinaminį poveikį, vaikų populiacijai nėra patvirtintas (žr. andeksaneto alfa preparato charakteristikų santrauką). Taip pat galima </w:t>
      </w:r>
      <w:r w:rsidR="000A30A1">
        <w:t>apsvarstyti apie</w:t>
      </w:r>
      <w:r>
        <w:t xml:space="preserve"> švieži</w:t>
      </w:r>
      <w:r w:rsidR="000A30A1">
        <w:t>ai</w:t>
      </w:r>
      <w:r>
        <w:t xml:space="preserve"> šaldytos plazmos transfuzijos, PKK arba rekombinantinio VIIa faktoriaus skyrim</w:t>
      </w:r>
      <w:r w:rsidR="000A30A1">
        <w:t>ą</w:t>
      </w:r>
      <w:r>
        <w:t>.</w:t>
      </w:r>
    </w:p>
    <w:p w14:paraId="75747202" w14:textId="77777777" w:rsidR="00890384" w:rsidRDefault="00890384">
      <w:pPr>
        <w:widowControl w:val="0"/>
        <w:tabs>
          <w:tab w:val="clear" w:pos="567"/>
        </w:tabs>
        <w:autoSpaceDE w:val="0"/>
        <w:autoSpaceDN w:val="0"/>
        <w:spacing w:line="240" w:lineRule="auto"/>
        <w:rPr>
          <w:snapToGrid/>
          <w:szCs w:val="22"/>
          <w:lang w:val="lt-LT"/>
        </w:rPr>
      </w:pPr>
    </w:p>
    <w:p w14:paraId="0F46AD3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Priklausomai nuo prieinamumo, reikia apsvarstyti galimybę pasikonsultuoti su krešėjimo sutrikimų ekspertu, jei pasireiškia stiprus kraujavimas.</w:t>
      </w:r>
    </w:p>
    <w:p w14:paraId="11286DC8" w14:textId="77777777" w:rsidR="00890384" w:rsidRDefault="00890384">
      <w:pPr>
        <w:widowControl w:val="0"/>
        <w:tabs>
          <w:tab w:val="clear" w:pos="567"/>
        </w:tabs>
        <w:autoSpaceDE w:val="0"/>
        <w:autoSpaceDN w:val="0"/>
        <w:spacing w:line="240" w:lineRule="auto"/>
        <w:rPr>
          <w:snapToGrid/>
          <w:szCs w:val="22"/>
          <w:lang w:val="lt-LT"/>
        </w:rPr>
      </w:pPr>
    </w:p>
    <w:p w14:paraId="57085B3C" w14:textId="77777777" w:rsidR="00890384" w:rsidRDefault="00890384">
      <w:pPr>
        <w:widowControl w:val="0"/>
        <w:tabs>
          <w:tab w:val="clear" w:pos="567"/>
        </w:tabs>
        <w:autoSpaceDE w:val="0"/>
        <w:autoSpaceDN w:val="0"/>
        <w:spacing w:line="240" w:lineRule="auto"/>
        <w:rPr>
          <w:snapToGrid/>
          <w:szCs w:val="22"/>
          <w:lang w:val="lt-LT"/>
        </w:rPr>
      </w:pPr>
    </w:p>
    <w:p w14:paraId="76A0F4DF" w14:textId="77777777" w:rsidR="00890384" w:rsidRDefault="00B26795">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5.</w:t>
      </w:r>
      <w:r>
        <w:rPr>
          <w:b/>
          <w:bCs/>
          <w:snapToGrid/>
          <w:szCs w:val="22"/>
          <w:lang w:val="lt-LT"/>
        </w:rPr>
        <w:tab/>
        <w:t>FARMAKOLOGINĖS SAVYBĖS</w:t>
      </w:r>
    </w:p>
    <w:p w14:paraId="17DEF451" w14:textId="77777777" w:rsidR="00890384" w:rsidRDefault="00890384">
      <w:pPr>
        <w:widowControl w:val="0"/>
        <w:tabs>
          <w:tab w:val="clear" w:pos="567"/>
        </w:tabs>
        <w:autoSpaceDE w:val="0"/>
        <w:autoSpaceDN w:val="0"/>
        <w:spacing w:line="240" w:lineRule="auto"/>
        <w:ind w:left="540" w:hanging="540"/>
        <w:rPr>
          <w:b/>
          <w:snapToGrid/>
          <w:szCs w:val="22"/>
          <w:lang w:val="lt-LT"/>
        </w:rPr>
      </w:pPr>
    </w:p>
    <w:p w14:paraId="5F4F9114" w14:textId="77777777" w:rsidR="00890384" w:rsidRDefault="00B26795">
      <w:pPr>
        <w:widowControl w:val="0"/>
        <w:numPr>
          <w:ilvl w:val="1"/>
          <w:numId w:val="8"/>
        </w:numPr>
        <w:autoSpaceDE w:val="0"/>
        <w:autoSpaceDN w:val="0"/>
        <w:spacing w:line="240" w:lineRule="auto"/>
        <w:ind w:left="540" w:hanging="540"/>
        <w:outlineLvl w:val="1"/>
        <w:rPr>
          <w:b/>
          <w:bCs/>
          <w:snapToGrid/>
          <w:szCs w:val="22"/>
          <w:lang w:val="lt-LT"/>
        </w:rPr>
      </w:pPr>
      <w:r>
        <w:rPr>
          <w:b/>
          <w:bCs/>
          <w:snapToGrid/>
          <w:szCs w:val="22"/>
          <w:lang w:val="lt-LT"/>
        </w:rPr>
        <w:t>Farmakodinaminės savybės</w:t>
      </w:r>
    </w:p>
    <w:p w14:paraId="0A7D9B50" w14:textId="77777777" w:rsidR="00890384" w:rsidRDefault="00890384">
      <w:pPr>
        <w:widowControl w:val="0"/>
        <w:tabs>
          <w:tab w:val="clear" w:pos="567"/>
        </w:tabs>
        <w:autoSpaceDE w:val="0"/>
        <w:autoSpaceDN w:val="0"/>
        <w:spacing w:line="240" w:lineRule="auto"/>
        <w:rPr>
          <w:b/>
          <w:snapToGrid/>
          <w:szCs w:val="22"/>
          <w:lang w:val="lt-LT"/>
        </w:rPr>
      </w:pPr>
    </w:p>
    <w:p w14:paraId="0FBC06E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Farmakoterapinė grupė – antitromboziniai vaistiniai preparatai, tiesioginiai Xa faktoriaus inhibitoriai, ATC kodas – B01AF02.</w:t>
      </w:r>
    </w:p>
    <w:p w14:paraId="3B60D622" w14:textId="77777777" w:rsidR="00890384" w:rsidRDefault="00890384">
      <w:pPr>
        <w:widowControl w:val="0"/>
        <w:tabs>
          <w:tab w:val="clear" w:pos="567"/>
        </w:tabs>
        <w:autoSpaceDE w:val="0"/>
        <w:autoSpaceDN w:val="0"/>
        <w:spacing w:line="240" w:lineRule="auto"/>
        <w:rPr>
          <w:snapToGrid/>
          <w:szCs w:val="22"/>
          <w:u w:val="single"/>
          <w:lang w:val="lt-LT"/>
        </w:rPr>
      </w:pPr>
    </w:p>
    <w:p w14:paraId="0D039B84"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Veikimo mechanizmas</w:t>
      </w:r>
    </w:p>
    <w:p w14:paraId="5E71BD2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4C72E686" w14:textId="77777777" w:rsidR="00890384" w:rsidRDefault="00890384">
      <w:pPr>
        <w:widowControl w:val="0"/>
        <w:tabs>
          <w:tab w:val="clear" w:pos="567"/>
        </w:tabs>
        <w:autoSpaceDE w:val="0"/>
        <w:autoSpaceDN w:val="0"/>
        <w:spacing w:line="240" w:lineRule="auto"/>
        <w:rPr>
          <w:snapToGrid/>
          <w:szCs w:val="22"/>
          <w:lang w:val="lt-LT"/>
        </w:rPr>
      </w:pPr>
    </w:p>
    <w:p w14:paraId="6F027C97"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Farmakodinaminis poveikis</w:t>
      </w:r>
    </w:p>
    <w:p w14:paraId="4D72ABDC" w14:textId="64507F34" w:rsidR="00890384" w:rsidRDefault="00B26795">
      <w:pPr>
        <w:widowControl w:val="0"/>
        <w:tabs>
          <w:tab w:val="clear" w:pos="567"/>
        </w:tabs>
        <w:autoSpaceDE w:val="0"/>
        <w:autoSpaceDN w:val="0"/>
        <w:spacing w:line="240" w:lineRule="auto"/>
        <w:rPr>
          <w:snapToGrid/>
          <w:szCs w:val="22"/>
          <w:lang w:val="lt-LT"/>
        </w:rPr>
      </w:pPr>
      <w:r>
        <w:rPr>
          <w:snapToGrid/>
          <w:szCs w:val="22"/>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(aDTL). Suaugusiesiems vartojant terapinę vaistinio preparato dozę, 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kraujo plazmoje rodmenį.</w:t>
      </w:r>
    </w:p>
    <w:p w14:paraId="4337EC44" w14:textId="77777777" w:rsidR="00890384" w:rsidRDefault="00890384">
      <w:pPr>
        <w:widowControl w:val="0"/>
        <w:tabs>
          <w:tab w:val="clear" w:pos="567"/>
        </w:tabs>
        <w:autoSpaceDE w:val="0"/>
        <w:autoSpaceDN w:val="0"/>
        <w:spacing w:line="240" w:lineRule="auto"/>
        <w:rPr>
          <w:snapToGrid/>
          <w:szCs w:val="22"/>
          <w:lang w:val="lt-LT"/>
        </w:rPr>
      </w:pPr>
    </w:p>
    <w:p w14:paraId="017CBB8B" w14:textId="7F2CC986"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Apiksabano slopinamasis poveikis Xa faktoriaus aktyvumui taip pat nustatytas įrodžius Xa faktoriaus fermento aktyvumo sumažėjimą, naudojant daugelį rinkoje esančių Xa faktoriaus aktyvumo tyrimo rinkinių, tačiau naudojant šiuos rinkinius gauti rezultatai tarpusavyje skyrėsi. Klinikinių tyrimų su suaugusiaisiais metu surinkti duomenys gauti tik atliekant </w:t>
      </w:r>
      <w:r>
        <w:rPr>
          <w:i/>
          <w:snapToGrid/>
          <w:szCs w:val="22"/>
          <w:lang w:val="lt-LT"/>
        </w:rPr>
        <w:t>Rotachrom</w:t>
      </w:r>
      <w:r>
        <w:rPr>
          <w:snapToGrid/>
          <w:szCs w:val="22"/>
          <w:vertAlign w:val="superscript"/>
          <w:lang w:val="lt-LT"/>
        </w:rPr>
        <w:t>®</w:t>
      </w:r>
      <w:r>
        <w:rPr>
          <w:snapToGrid/>
          <w:szCs w:val="22"/>
          <w:lang w:val="lt-LT"/>
        </w:rPr>
        <w:t xml:space="preserve"> heparino chromogeninį tyrimą. Poveikis Xa faktoriaus aktyvumui beveik tiesioginiu tiesiniu būdu priklauso nuo apiksabano koncentracijos kraujo plazmoje ir šis poveikis būna stipriausias susidarius didžiausiai apiksabano koncentracijai plazmoje. Priklausomybė tarp apiksabano koncentracijos kraujo plazmoje ir Xa faktoriaus slopinimo yra apytikriai tiesinė, skiriant įvairias apiksabano dozes.</w:t>
      </w:r>
      <w:r>
        <w:t xml:space="preserve"> Apiksabano tyrimų su vaikais rezultatai rodo, kad tiesinis ryšys tarp apiksabano </w:t>
      </w:r>
      <w:r>
        <w:lastRenderedPageBreak/>
        <w:t>koncentracijos ir AXA atitinka anksčiau nustatytą ryšį suaugusiesiems. Tai patvirtina dokumentuotą apiksabano, kaip selektyvaus FXa inhibitoriaus, veikimo mechanizmą.</w:t>
      </w:r>
    </w:p>
    <w:p w14:paraId="29337B3F" w14:textId="743C1F80" w:rsidR="00890384" w:rsidRDefault="00B26795">
      <w:pPr>
        <w:widowControl w:val="0"/>
        <w:tabs>
          <w:tab w:val="clear" w:pos="567"/>
        </w:tabs>
        <w:autoSpaceDE w:val="0"/>
        <w:autoSpaceDN w:val="0"/>
        <w:spacing w:line="240" w:lineRule="auto"/>
        <w:rPr>
          <w:snapToGrid/>
          <w:szCs w:val="22"/>
          <w:lang w:val="lt-LT"/>
        </w:rPr>
      </w:pPr>
      <w:r>
        <w:rPr>
          <w:noProof/>
          <w:lang w:val="lt-LT" w:eastAsia="lt-LT"/>
        </w:rPr>
        <mc:AlternateContent>
          <mc:Choice Requires="wps">
            <w:drawing>
              <wp:anchor distT="0" distB="0" distL="114300" distR="114300" simplePos="0" relativeHeight="251660288" behindDoc="1" locked="0" layoutInCell="1" allowOverlap="1" wp14:anchorId="37A53014" wp14:editId="57323207">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34925"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0BB4B68" id="docshape2" o:spid="_x0000_s1026" style="position:absolute;margin-left:270.7pt;margin-top:87.3pt;width:2.75pt;height:.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" fillcolor="black" stroked="f">
                <o:lock v:ext="edit" aspectratio="t" verticies="t" text="t" shapetype="t"/>
                <w10:wrap anchorx="page"/>
              </v:rect>
            </w:pict>
          </mc:Fallback>
        </mc:AlternateContent>
      </w:r>
      <w:r w:rsidR="001A5294">
        <w:rPr>
          <w:snapToGrid/>
          <w:szCs w:val="22"/>
          <w:lang w:val="lt-LT"/>
        </w:rPr>
        <w:t>4</w:t>
      </w:r>
      <w:r>
        <w:rPr>
          <w:snapToGrid/>
          <w:szCs w:val="22"/>
          <w:lang w:val="lt-LT"/>
        </w:rPr>
        <w:t xml:space="preserve"> lentelėje pateikiama </w:t>
      </w:r>
      <w:r w:rsidR="001A5294">
        <w:rPr>
          <w:snapToGrid/>
          <w:szCs w:val="22"/>
          <w:lang w:val="lt-LT"/>
        </w:rPr>
        <w:t xml:space="preserve">suaugusiųjų </w:t>
      </w:r>
      <w:r>
        <w:rPr>
          <w:snapToGrid/>
          <w:szCs w:val="22"/>
          <w:lang w:val="lt-LT"/>
        </w:rPr>
        <w:t>numanoma nusistovėjusios pusiausvyrinės koncentracijos ekspozicija ir Xa faktoriaus slopinimo aktyvumas. Pacientų, kuriems pasireiškė su vožtuvais nesusijęs prieširdžių virpėjimas (VNPV), vartojusių apiksabaną insulto ir sisteminės embolijos profilaktikai, rezultatai rodo mažesnį nei 1,7 karto svyravimą esant didžiausiai ir mažiausiai vaistinio preparato koncentracijai. Pacientų, vartojusių apiksabaną GVT bei PE gydyti, ir pasikartojančios GVT bei PE profilaktikai rezultatai rodo mažesnį nei 2,2 karto svyravimą esant didžiausiai ir mažiausiai vaistinio preparato koncentracijai.</w:t>
      </w:r>
    </w:p>
    <w:p w14:paraId="370BD8C2" w14:textId="77777777" w:rsidR="00890384" w:rsidRDefault="00890384">
      <w:pPr>
        <w:widowControl w:val="0"/>
        <w:tabs>
          <w:tab w:val="clear" w:pos="567"/>
        </w:tabs>
        <w:autoSpaceDE w:val="0"/>
        <w:autoSpaceDN w:val="0"/>
        <w:spacing w:line="240" w:lineRule="auto"/>
        <w:rPr>
          <w:snapToGrid/>
          <w:szCs w:val="22"/>
          <w:lang w:val="lt-LT"/>
        </w:rPr>
      </w:pPr>
    </w:p>
    <w:p w14:paraId="5C876AA5" w14:textId="41915B39"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4 lentelė. Numanoma apiksabano nusistovėjusios pusiausvyros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890384" w14:paraId="6A014DD7" w14:textId="77777777">
        <w:trPr>
          <w:trHeight w:val="1264"/>
        </w:trPr>
        <w:tc>
          <w:tcPr>
            <w:tcW w:w="1858" w:type="dxa"/>
          </w:tcPr>
          <w:p w14:paraId="52132E22" w14:textId="77777777" w:rsidR="00890384" w:rsidRDefault="00890384">
            <w:pPr>
              <w:widowControl w:val="0"/>
              <w:tabs>
                <w:tab w:val="clear" w:pos="567"/>
              </w:tabs>
              <w:autoSpaceDE w:val="0"/>
              <w:autoSpaceDN w:val="0"/>
              <w:spacing w:line="240" w:lineRule="auto"/>
              <w:rPr>
                <w:snapToGrid/>
                <w:szCs w:val="22"/>
                <w:lang w:val="lt-LT"/>
              </w:rPr>
            </w:pPr>
          </w:p>
        </w:tc>
        <w:tc>
          <w:tcPr>
            <w:tcW w:w="1858" w:type="dxa"/>
            <w:gridSpan w:val="3"/>
          </w:tcPr>
          <w:p w14:paraId="44DDA14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w:t>
            </w:r>
          </w:p>
          <w:p w14:paraId="0581BD6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Cs w:val="22"/>
                <w:vertAlign w:val="subscript"/>
                <w:lang w:val="lt-LT"/>
              </w:rPr>
              <w:t>max</w:t>
            </w:r>
            <w:r>
              <w:rPr>
                <w:b/>
                <w:snapToGrid/>
                <w:szCs w:val="22"/>
                <w:lang w:val="lt-LT"/>
              </w:rPr>
              <w:t xml:space="preserve"> </w:t>
            </w:r>
            <w:r>
              <w:rPr>
                <w:b/>
                <w:snapToGrid/>
                <w:position w:val="2"/>
                <w:szCs w:val="22"/>
                <w:lang w:val="lt-LT"/>
              </w:rPr>
              <w:t>(ng/ml)</w:t>
            </w:r>
          </w:p>
        </w:tc>
        <w:tc>
          <w:tcPr>
            <w:tcW w:w="1864" w:type="dxa"/>
          </w:tcPr>
          <w:p w14:paraId="5D4ABA6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w:t>
            </w:r>
          </w:p>
          <w:p w14:paraId="16DDF9E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 w:val="20"/>
                <w:szCs w:val="22"/>
                <w:lang w:val="lt-LT"/>
              </w:rPr>
              <w:t>min</w:t>
            </w:r>
            <w:r>
              <w:rPr>
                <w:b/>
                <w:snapToGrid/>
                <w:szCs w:val="22"/>
                <w:lang w:val="lt-LT"/>
              </w:rPr>
              <w:t xml:space="preserve"> </w:t>
            </w:r>
            <w:r>
              <w:rPr>
                <w:b/>
                <w:snapToGrid/>
                <w:position w:val="2"/>
                <w:szCs w:val="22"/>
                <w:lang w:val="lt-LT"/>
              </w:rPr>
              <w:t>(ng/ml)</w:t>
            </w:r>
          </w:p>
        </w:tc>
        <w:tc>
          <w:tcPr>
            <w:tcW w:w="1858" w:type="dxa"/>
          </w:tcPr>
          <w:p w14:paraId="5CC8EFC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 Xa faktoriaus slopinimo aktyvumo maks.</w:t>
            </w:r>
          </w:p>
          <w:p w14:paraId="23A29AFA"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c>
          <w:tcPr>
            <w:tcW w:w="2012" w:type="dxa"/>
            <w:gridSpan w:val="2"/>
          </w:tcPr>
          <w:p w14:paraId="302036D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 Xa faktoriaus slopinimo aktyvumo min.</w:t>
            </w:r>
          </w:p>
          <w:p w14:paraId="5EE3F38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r>
      <w:tr w:rsidR="00890384" w14:paraId="24EE7C3F" w14:textId="77777777">
        <w:trPr>
          <w:trHeight w:val="266"/>
        </w:trPr>
        <w:tc>
          <w:tcPr>
            <w:tcW w:w="1858" w:type="dxa"/>
          </w:tcPr>
          <w:p w14:paraId="4F1410DD" w14:textId="77777777" w:rsidR="00890384" w:rsidRDefault="00890384">
            <w:pPr>
              <w:widowControl w:val="0"/>
              <w:tabs>
                <w:tab w:val="clear" w:pos="567"/>
              </w:tabs>
              <w:autoSpaceDE w:val="0"/>
              <w:autoSpaceDN w:val="0"/>
              <w:spacing w:line="240" w:lineRule="auto"/>
              <w:rPr>
                <w:snapToGrid/>
                <w:szCs w:val="22"/>
                <w:lang w:val="lt-LT"/>
              </w:rPr>
            </w:pPr>
          </w:p>
        </w:tc>
        <w:tc>
          <w:tcPr>
            <w:tcW w:w="7592" w:type="dxa"/>
            <w:gridSpan w:val="7"/>
          </w:tcPr>
          <w:p w14:paraId="4FD7CD5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Mediana [5-oji, 95-oji procentilės]</w:t>
            </w:r>
          </w:p>
        </w:tc>
      </w:tr>
      <w:tr w:rsidR="00890384" w14:paraId="52FB126B" w14:textId="77777777">
        <w:trPr>
          <w:trHeight w:val="282"/>
        </w:trPr>
        <w:tc>
          <w:tcPr>
            <w:tcW w:w="9450" w:type="dxa"/>
            <w:gridSpan w:val="8"/>
          </w:tcPr>
          <w:p w14:paraId="6C214258"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Insulto ir sisteminės embolijos profilaktika: VNPV</w:t>
            </w:r>
          </w:p>
        </w:tc>
      </w:tr>
      <w:tr w:rsidR="00890384" w14:paraId="79947B64" w14:textId="77777777">
        <w:trPr>
          <w:trHeight w:val="561"/>
        </w:trPr>
        <w:tc>
          <w:tcPr>
            <w:tcW w:w="1858" w:type="dxa"/>
          </w:tcPr>
          <w:p w14:paraId="04FE74C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30D3C5D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123 [69, 221]</w:t>
            </w:r>
          </w:p>
        </w:tc>
        <w:tc>
          <w:tcPr>
            <w:tcW w:w="1864" w:type="dxa"/>
          </w:tcPr>
          <w:p w14:paraId="4758F1F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79 [34, 162]</w:t>
            </w:r>
          </w:p>
        </w:tc>
        <w:tc>
          <w:tcPr>
            <w:tcW w:w="1858" w:type="dxa"/>
          </w:tcPr>
          <w:p w14:paraId="3A47610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1,8 [1,0, 3,3]</w:t>
            </w:r>
          </w:p>
        </w:tc>
        <w:tc>
          <w:tcPr>
            <w:tcW w:w="2012" w:type="dxa"/>
            <w:gridSpan w:val="2"/>
          </w:tcPr>
          <w:p w14:paraId="5F63252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 [0,51, 2,4]</w:t>
            </w:r>
          </w:p>
        </w:tc>
      </w:tr>
      <w:tr w:rsidR="00890384" w14:paraId="022CD171" w14:textId="77777777">
        <w:trPr>
          <w:trHeight w:val="561"/>
        </w:trPr>
        <w:tc>
          <w:tcPr>
            <w:tcW w:w="1858" w:type="dxa"/>
          </w:tcPr>
          <w:p w14:paraId="504E96B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58" w:type="dxa"/>
            <w:gridSpan w:val="3"/>
          </w:tcPr>
          <w:p w14:paraId="71F8361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171 [91, 321]</w:t>
            </w:r>
          </w:p>
        </w:tc>
        <w:tc>
          <w:tcPr>
            <w:tcW w:w="1864" w:type="dxa"/>
          </w:tcPr>
          <w:p w14:paraId="5A4084E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103 [41, 230]</w:t>
            </w:r>
          </w:p>
        </w:tc>
        <w:tc>
          <w:tcPr>
            <w:tcW w:w="1858" w:type="dxa"/>
          </w:tcPr>
          <w:p w14:paraId="783826C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 [1,4, 4,8]</w:t>
            </w:r>
          </w:p>
        </w:tc>
        <w:tc>
          <w:tcPr>
            <w:tcW w:w="2012" w:type="dxa"/>
            <w:gridSpan w:val="2"/>
          </w:tcPr>
          <w:p w14:paraId="1D34805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 [0,61, 3,4]</w:t>
            </w:r>
          </w:p>
        </w:tc>
      </w:tr>
      <w:tr w:rsidR="00890384" w14:paraId="17EF02E1" w14:textId="77777777">
        <w:trPr>
          <w:trHeight w:val="371"/>
        </w:trPr>
        <w:tc>
          <w:tcPr>
            <w:tcW w:w="9450" w:type="dxa"/>
            <w:gridSpan w:val="8"/>
          </w:tcPr>
          <w:p w14:paraId="0C6BA03D"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lang w:val="lt-LT"/>
              </w:rPr>
              <w:t>GVT gydymas, PE gydymas ir pasikartojančios GVT bei PE (VTEt) profilaktika</w:t>
            </w:r>
          </w:p>
        </w:tc>
      </w:tr>
      <w:tr w:rsidR="00890384" w14:paraId="2144F56C" w14:textId="77777777">
        <w:trPr>
          <w:trHeight w:val="626"/>
        </w:trPr>
        <w:tc>
          <w:tcPr>
            <w:tcW w:w="1890" w:type="dxa"/>
            <w:gridSpan w:val="2"/>
          </w:tcPr>
          <w:p w14:paraId="474E3D7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00" w:type="dxa"/>
            <w:vAlign w:val="center"/>
          </w:tcPr>
          <w:p w14:paraId="1F997AC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67 [30, 153]</w:t>
            </w:r>
          </w:p>
        </w:tc>
        <w:tc>
          <w:tcPr>
            <w:tcW w:w="1890" w:type="dxa"/>
            <w:gridSpan w:val="2"/>
            <w:vAlign w:val="center"/>
          </w:tcPr>
          <w:p w14:paraId="5E07F36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32 [11, 90]</w:t>
            </w:r>
          </w:p>
        </w:tc>
        <w:tc>
          <w:tcPr>
            <w:tcW w:w="1890" w:type="dxa"/>
            <w:gridSpan w:val="2"/>
            <w:vAlign w:val="center"/>
          </w:tcPr>
          <w:p w14:paraId="7212228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 [0,46, 2,5]</w:t>
            </w:r>
          </w:p>
        </w:tc>
        <w:tc>
          <w:tcPr>
            <w:tcW w:w="1980" w:type="dxa"/>
            <w:vAlign w:val="center"/>
          </w:tcPr>
          <w:p w14:paraId="3CC3093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0,49 [0,17, 1,4]</w:t>
            </w:r>
          </w:p>
        </w:tc>
      </w:tr>
      <w:tr w:rsidR="00890384" w14:paraId="5F8E33CE" w14:textId="77777777">
        <w:trPr>
          <w:trHeight w:val="625"/>
        </w:trPr>
        <w:tc>
          <w:tcPr>
            <w:tcW w:w="1890" w:type="dxa"/>
            <w:gridSpan w:val="2"/>
          </w:tcPr>
          <w:p w14:paraId="6D87E86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00" w:type="dxa"/>
            <w:vAlign w:val="center"/>
          </w:tcPr>
          <w:p w14:paraId="11ECA6A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132 [59, 302]</w:t>
            </w:r>
          </w:p>
        </w:tc>
        <w:tc>
          <w:tcPr>
            <w:tcW w:w="1890" w:type="dxa"/>
            <w:gridSpan w:val="2"/>
            <w:vAlign w:val="center"/>
          </w:tcPr>
          <w:p w14:paraId="3EC1C3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63 [22, 177]</w:t>
            </w:r>
          </w:p>
        </w:tc>
        <w:tc>
          <w:tcPr>
            <w:tcW w:w="1890" w:type="dxa"/>
            <w:gridSpan w:val="2"/>
            <w:vAlign w:val="center"/>
          </w:tcPr>
          <w:p w14:paraId="2A877AC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2,1 [0,91, 5,2]</w:t>
            </w:r>
          </w:p>
        </w:tc>
        <w:tc>
          <w:tcPr>
            <w:tcW w:w="1980" w:type="dxa"/>
            <w:vAlign w:val="center"/>
          </w:tcPr>
          <w:p w14:paraId="2A7EDA6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 [0,33, 2,9]</w:t>
            </w:r>
          </w:p>
        </w:tc>
      </w:tr>
      <w:tr w:rsidR="00890384" w14:paraId="42B86E1E" w14:textId="77777777">
        <w:trPr>
          <w:trHeight w:val="626"/>
        </w:trPr>
        <w:tc>
          <w:tcPr>
            <w:tcW w:w="1890" w:type="dxa"/>
            <w:gridSpan w:val="2"/>
          </w:tcPr>
          <w:p w14:paraId="6D66461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10 mg du kartus per parą</w:t>
            </w:r>
          </w:p>
        </w:tc>
        <w:tc>
          <w:tcPr>
            <w:tcW w:w="1800" w:type="dxa"/>
            <w:vAlign w:val="center"/>
          </w:tcPr>
          <w:p w14:paraId="079CD66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251 [111, 572]</w:t>
            </w:r>
          </w:p>
        </w:tc>
        <w:tc>
          <w:tcPr>
            <w:tcW w:w="1890" w:type="dxa"/>
            <w:gridSpan w:val="2"/>
            <w:vAlign w:val="center"/>
          </w:tcPr>
          <w:p w14:paraId="26D9D74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120 [41, 335]</w:t>
            </w:r>
          </w:p>
        </w:tc>
        <w:tc>
          <w:tcPr>
            <w:tcW w:w="1890" w:type="dxa"/>
            <w:gridSpan w:val="2"/>
            <w:vAlign w:val="center"/>
          </w:tcPr>
          <w:p w14:paraId="0E25936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4,2 [1,8, 10,8]</w:t>
            </w:r>
          </w:p>
        </w:tc>
        <w:tc>
          <w:tcPr>
            <w:tcW w:w="1980" w:type="dxa"/>
            <w:vAlign w:val="center"/>
          </w:tcPr>
          <w:p w14:paraId="52953FA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1,9 [0,64, 5,8]</w:t>
            </w:r>
          </w:p>
        </w:tc>
      </w:tr>
    </w:tbl>
    <w:p w14:paraId="38655D6D" w14:textId="77777777" w:rsidR="00890384" w:rsidRDefault="00B26795">
      <w:pPr>
        <w:widowControl w:val="0"/>
        <w:tabs>
          <w:tab w:val="clear" w:pos="567"/>
        </w:tabs>
        <w:autoSpaceDE w:val="0"/>
        <w:autoSpaceDN w:val="0"/>
        <w:spacing w:line="240" w:lineRule="auto"/>
        <w:rPr>
          <w:snapToGrid/>
          <w:szCs w:val="22"/>
          <w:lang w:val="lt-LT"/>
        </w:rPr>
      </w:pPr>
      <w:r>
        <w:rPr>
          <w:snapToGrid/>
          <w:sz w:val="20"/>
          <w:szCs w:val="22"/>
          <w:lang w:val="lt-LT"/>
        </w:rPr>
        <w:t>*Koreguotos dozės populiacija pagal ARISTOTLE</w:t>
      </w:r>
      <w:r>
        <w:rPr>
          <w:i/>
          <w:snapToGrid/>
          <w:sz w:val="20"/>
          <w:szCs w:val="22"/>
          <w:lang w:val="lt-LT"/>
        </w:rPr>
        <w:t xml:space="preserve"> </w:t>
      </w:r>
      <w:r>
        <w:rPr>
          <w:snapToGrid/>
          <w:sz w:val="20"/>
          <w:szCs w:val="22"/>
          <w:lang w:val="lt-LT"/>
        </w:rPr>
        <w:t>tyrimo 2 iš 3 dozės mažinimo kriterijus.</w:t>
      </w:r>
    </w:p>
    <w:p w14:paraId="23BDE0FC" w14:textId="77777777" w:rsidR="00890384" w:rsidRDefault="00890384">
      <w:pPr>
        <w:widowControl w:val="0"/>
        <w:tabs>
          <w:tab w:val="clear" w:pos="567"/>
        </w:tabs>
        <w:autoSpaceDE w:val="0"/>
        <w:autoSpaceDN w:val="0"/>
        <w:spacing w:line="240" w:lineRule="auto"/>
        <w:rPr>
          <w:snapToGrid/>
          <w:szCs w:val="22"/>
          <w:lang w:val="lt-LT"/>
        </w:rPr>
      </w:pPr>
    </w:p>
    <w:p w14:paraId="466CFAD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5DDFD508" w14:textId="77777777" w:rsidR="00890384" w:rsidRDefault="00890384">
      <w:pPr>
        <w:widowControl w:val="0"/>
        <w:tabs>
          <w:tab w:val="clear" w:pos="567"/>
        </w:tabs>
        <w:autoSpaceDE w:val="0"/>
        <w:autoSpaceDN w:val="0"/>
        <w:spacing w:line="240" w:lineRule="auto"/>
        <w:rPr>
          <w:u w:val="single"/>
        </w:rPr>
      </w:pPr>
    </w:p>
    <w:p w14:paraId="6EFC8652" w14:textId="77777777" w:rsidR="00890384" w:rsidRDefault="00B26795">
      <w:pPr>
        <w:widowControl w:val="0"/>
        <w:tabs>
          <w:tab w:val="clear" w:pos="567"/>
        </w:tabs>
        <w:autoSpaceDE w:val="0"/>
        <w:autoSpaceDN w:val="0"/>
        <w:spacing w:line="240" w:lineRule="auto"/>
        <w:rPr>
          <w:u w:val="single"/>
        </w:rPr>
      </w:pPr>
      <w:r>
        <w:rPr>
          <w:u w:val="single"/>
        </w:rPr>
        <w:t>Vaikų populiacija</w:t>
      </w:r>
    </w:p>
    <w:p w14:paraId="68B9DFA3" w14:textId="77777777" w:rsidR="00890384" w:rsidRDefault="00B26795">
      <w:pPr>
        <w:widowControl w:val="0"/>
        <w:tabs>
          <w:tab w:val="clear" w:pos="567"/>
        </w:tabs>
        <w:autoSpaceDE w:val="0"/>
        <w:autoSpaceDN w:val="0"/>
        <w:spacing w:line="240" w:lineRule="auto"/>
      </w:pPr>
      <w:r>
        <w:t>Apiksabano tyrimuose su vaikais buvo naudojama „STA® Liquid Anti-Xa apixaban“ mėginių analizė. Šių tyrimų rezultatai rodo, kad tiesinis ryšys tarp apiksabano koncentracijos ir slopinamojo poveikio Xa faktoriaus aktyvumui (angl. anti-Factor Xa activity, AXA) atitinka anksčiau nustatytą ryšį suaugusiesiems. Tai patvirtina dokumentuotą apiksabano, kaip selektyvaus FXa inhibitoriaus, veikimo mechanizmą.</w:t>
      </w:r>
    </w:p>
    <w:p w14:paraId="3DC56720" w14:textId="77777777" w:rsidR="00890384" w:rsidRDefault="00890384">
      <w:pPr>
        <w:widowControl w:val="0"/>
        <w:tabs>
          <w:tab w:val="clear" w:pos="567"/>
        </w:tabs>
        <w:autoSpaceDE w:val="0"/>
        <w:autoSpaceDN w:val="0"/>
        <w:spacing w:line="240" w:lineRule="auto"/>
      </w:pPr>
    </w:p>
    <w:p w14:paraId="1D78E966" w14:textId="00657EF0" w:rsidR="001A5294" w:rsidRDefault="00B26795">
      <w:pPr>
        <w:widowControl w:val="0"/>
        <w:tabs>
          <w:tab w:val="clear" w:pos="567"/>
        </w:tabs>
        <w:autoSpaceDE w:val="0"/>
        <w:autoSpaceDN w:val="0"/>
        <w:spacing w:line="240" w:lineRule="auto"/>
      </w:pPr>
      <w:r>
        <w:t>Tyrimo CV185155 metu svorio kategorijoje nuo 9 iki ≥</w:t>
      </w:r>
      <w:r w:rsidR="001A5294">
        <w:t> </w:t>
      </w:r>
      <w:r>
        <w:t>35 kg geometrinio vidurkio (%CV) AXAmin ir AXAmax buvo nuo 27,1 (22,2) ng/ml iki 71,9 (17,3) ng/ml ir tai atitiko geometrinio vidurkio (%CV) reikšmes C</w:t>
      </w:r>
      <w:r>
        <w:rPr>
          <w:vertAlign w:val="subscript"/>
        </w:rPr>
        <w:t>minss</w:t>
      </w:r>
      <w:r>
        <w:t xml:space="preserve"> ir C</w:t>
      </w:r>
      <w:r>
        <w:rPr>
          <w:vertAlign w:val="subscript"/>
        </w:rPr>
        <w:t>maxss</w:t>
      </w:r>
      <w:r>
        <w:t xml:space="preserve"> 30,3 (22) ng/ml ir 80,8 (16,8) ng/ml. Naudojant vaikams skirtą dozavimo režimą šiuose AXA diapazonuose pasiektos ekspozicijos buvo panašios į tas, kurios buvo nustatytos suaugusiesiems, du kartus per parą vartojantiems 2,5 mg apiksabano dozę.</w:t>
      </w:r>
    </w:p>
    <w:p w14:paraId="04A98EEE" w14:textId="77777777" w:rsidR="001A5294" w:rsidRDefault="001A5294">
      <w:pPr>
        <w:widowControl w:val="0"/>
        <w:tabs>
          <w:tab w:val="clear" w:pos="567"/>
        </w:tabs>
        <w:autoSpaceDE w:val="0"/>
        <w:autoSpaceDN w:val="0"/>
        <w:spacing w:line="240" w:lineRule="auto"/>
      </w:pPr>
    </w:p>
    <w:p w14:paraId="59121A94" w14:textId="5C218A8A" w:rsidR="00890384" w:rsidRDefault="00B26795">
      <w:pPr>
        <w:widowControl w:val="0"/>
        <w:tabs>
          <w:tab w:val="clear" w:pos="567"/>
        </w:tabs>
        <w:autoSpaceDE w:val="0"/>
        <w:autoSpaceDN w:val="0"/>
        <w:spacing w:line="240" w:lineRule="auto"/>
      </w:pPr>
      <w:r>
        <w:t>Tyrimo CV185362 metu svorio kategorijoje nuo 6 iki ≥</w:t>
      </w:r>
      <w:r w:rsidR="001A5294">
        <w:t> </w:t>
      </w:r>
      <w:r>
        <w:t>35</w:t>
      </w:r>
      <w:r w:rsidR="001A5294">
        <w:t> </w:t>
      </w:r>
      <w:r>
        <w:t>kg geometrinio vidurkio (%CV) AXAmin ir AXAmax buvo nuo 67,1 (30,2) ng/ml iki 213 (41,7) ng/ml ir tai atitiko geometrinio vidurkio (%CV) reikšmes C</w:t>
      </w:r>
      <w:r>
        <w:rPr>
          <w:vertAlign w:val="subscript"/>
        </w:rPr>
        <w:t>minss</w:t>
      </w:r>
      <w:r>
        <w:t xml:space="preserve"> ir C</w:t>
      </w:r>
      <w:r>
        <w:rPr>
          <w:vertAlign w:val="subscript"/>
        </w:rPr>
        <w:t>maxss</w:t>
      </w:r>
      <w:r>
        <w:t xml:space="preserve"> 71,3 (61,3) ng/ml ir 230 (39,5) ng/ml. Naudojant vaikams skirtą dozavimo režimą šiuose AXA diapazonuose pasiektos ekspozicijos buvo panašios į tas, kurios buvo nustatytos suaugusiesiems, du kartus per parą vartojantiems 5 mg apiksabano dozę.</w:t>
      </w:r>
    </w:p>
    <w:p w14:paraId="26928572" w14:textId="77777777" w:rsidR="00890384" w:rsidRDefault="00890384">
      <w:pPr>
        <w:widowControl w:val="0"/>
        <w:tabs>
          <w:tab w:val="clear" w:pos="567"/>
        </w:tabs>
        <w:autoSpaceDE w:val="0"/>
        <w:autoSpaceDN w:val="0"/>
        <w:spacing w:line="240" w:lineRule="auto"/>
        <w:rPr>
          <w:snapToGrid/>
          <w:szCs w:val="22"/>
          <w:lang w:val="lt-LT"/>
        </w:rPr>
      </w:pPr>
    </w:p>
    <w:p w14:paraId="5E162C8C" w14:textId="48E74F53" w:rsidR="00890384" w:rsidRDefault="00B26795">
      <w:pPr>
        <w:widowControl w:val="0"/>
        <w:tabs>
          <w:tab w:val="clear" w:pos="567"/>
        </w:tabs>
        <w:autoSpaceDE w:val="0"/>
        <w:autoSpaceDN w:val="0"/>
        <w:spacing w:line="240" w:lineRule="auto"/>
      </w:pPr>
      <w:r>
        <w:t>Tyrimo CV185325 metu svorio kategorijoje nuo 6 iki</w:t>
      </w:r>
      <w:r w:rsidR="001A5294">
        <w:t> </w:t>
      </w:r>
      <w:r>
        <w:t>≥</w:t>
      </w:r>
      <w:r w:rsidR="001A5294">
        <w:t> </w:t>
      </w:r>
      <w:r>
        <w:t>35 kg geometrinio vidurkio (%CV) AXAmin ir AXAmax buvo nuo 47,1 (57,2) ng/ml iki 146 (40,2) ng/ml ir tai atitiko geometrinio vidurkio (%CV) reikšmes C</w:t>
      </w:r>
      <w:r>
        <w:rPr>
          <w:vertAlign w:val="subscript"/>
        </w:rPr>
        <w:t>minss</w:t>
      </w:r>
      <w:r>
        <w:t xml:space="preserve"> ir C</w:t>
      </w:r>
      <w:r>
        <w:rPr>
          <w:vertAlign w:val="subscript"/>
        </w:rPr>
        <w:t xml:space="preserve">maxss </w:t>
      </w:r>
      <w:r>
        <w:t xml:space="preserve">50 (54,5) ng/ml ir 144 (36,9) ng/ml. Naudojant vaikams skirtą dozavimo režimą šiuose AXA </w:t>
      </w:r>
      <w:r>
        <w:lastRenderedPageBreak/>
        <w:t>diapazonuose pasiektos ekspozicijos buvo panašios į tas, kurios buvo nustatytos suaugusiesiems, vartojantiems 5</w:t>
      </w:r>
      <w:r w:rsidR="001A5294">
        <w:t> </w:t>
      </w:r>
      <w:r>
        <w:t>mg apiksabano du kartus per parą.</w:t>
      </w:r>
    </w:p>
    <w:p w14:paraId="13B7D14D" w14:textId="77777777" w:rsidR="00890384" w:rsidRDefault="00890384">
      <w:pPr>
        <w:widowControl w:val="0"/>
        <w:tabs>
          <w:tab w:val="clear" w:pos="567"/>
        </w:tabs>
        <w:autoSpaceDE w:val="0"/>
        <w:autoSpaceDN w:val="0"/>
        <w:spacing w:line="240" w:lineRule="auto"/>
      </w:pPr>
    </w:p>
    <w:p w14:paraId="0DE533AB" w14:textId="77777777" w:rsidR="00890384" w:rsidRDefault="00B26795">
      <w:pPr>
        <w:widowControl w:val="0"/>
        <w:tabs>
          <w:tab w:val="clear" w:pos="567"/>
        </w:tabs>
        <w:autoSpaceDE w:val="0"/>
        <w:autoSpaceDN w:val="0"/>
        <w:spacing w:line="240" w:lineRule="auto"/>
        <w:rPr>
          <w:snapToGrid/>
          <w:szCs w:val="22"/>
          <w:lang w:val="lt-LT"/>
        </w:rPr>
      </w:pPr>
      <w:r>
        <w:t>Numanoma pusiausvyrinės koncentracijos ekspozicija ir Xa faktoriaus slopinimo aktyvumas pediatriniuose tyrimuose rodo, kad pusiausvyrinės apiksabano koncentracijos ir AXA svyravimai nuo didžiausios iki mažiausios reikšmės bendroje populiacijoje buvo maždaug 3 kartai (min., maks.: 2,65– 3,22).</w:t>
      </w:r>
    </w:p>
    <w:p w14:paraId="2CFBDF8B" w14:textId="77777777" w:rsidR="00890384" w:rsidRDefault="00890384">
      <w:pPr>
        <w:widowControl w:val="0"/>
        <w:tabs>
          <w:tab w:val="clear" w:pos="567"/>
        </w:tabs>
        <w:autoSpaceDE w:val="0"/>
        <w:autoSpaceDN w:val="0"/>
        <w:spacing w:line="240" w:lineRule="auto"/>
        <w:rPr>
          <w:snapToGrid/>
          <w:szCs w:val="22"/>
          <w:lang w:val="lt-LT"/>
        </w:rPr>
      </w:pPr>
    </w:p>
    <w:p w14:paraId="55BBA8B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Klinikinis veiksmingumas ir saugumas</w:t>
      </w:r>
    </w:p>
    <w:p w14:paraId="1B4470CA" w14:textId="77777777" w:rsidR="00890384" w:rsidRDefault="00890384">
      <w:pPr>
        <w:widowControl w:val="0"/>
        <w:tabs>
          <w:tab w:val="clear" w:pos="567"/>
        </w:tabs>
        <w:autoSpaceDE w:val="0"/>
        <w:autoSpaceDN w:val="0"/>
        <w:spacing w:line="240" w:lineRule="auto"/>
        <w:rPr>
          <w:snapToGrid/>
          <w:szCs w:val="22"/>
          <w:lang w:val="lt-LT"/>
        </w:rPr>
      </w:pPr>
    </w:p>
    <w:p w14:paraId="2BA7B5F9" w14:textId="77777777" w:rsidR="00890384" w:rsidRDefault="00B26795">
      <w:pPr>
        <w:widowControl w:val="0"/>
        <w:tabs>
          <w:tab w:val="clear" w:pos="567"/>
        </w:tabs>
        <w:autoSpaceDE w:val="0"/>
        <w:autoSpaceDN w:val="0"/>
        <w:spacing w:line="240" w:lineRule="auto"/>
        <w:rPr>
          <w:i/>
          <w:snapToGrid/>
          <w:szCs w:val="22"/>
          <w:u w:val="single"/>
          <w:lang w:val="lt-LT"/>
        </w:rPr>
      </w:pPr>
      <w:r>
        <w:rPr>
          <w:i/>
          <w:snapToGrid/>
          <w:szCs w:val="22"/>
          <w:u w:val="single"/>
          <w:lang w:val="lt-LT"/>
        </w:rPr>
        <w:t>Insulto ir sisteminės embolijos profilaktika pacientams, kuriems pasireiškė su vožtuvais nesusijęs prieširdžių virpėjimas (VNPV)</w:t>
      </w:r>
    </w:p>
    <w:p w14:paraId="5BFCDAF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Klinikinės programos (ARISTOTLE: apiksabanas, palyginti su varfarinu; AVERROES: apiksabanas, palyginti su ASR) metu į grupes atsitiktiniu būdu buvo suskirstyti iš viso 23 799  suaugusieji pacientai, įskaitant 11 927, kuriems atsitiktiniu būdu buvo paskirta vartoti apiksabano. Programa buvo suplanuota taip, kad parodytų apiksabano, vartojamo insulto ir sisteminės embolijos profilaktikai, veiksmingumą ir saugumą pacientams, kuriems pasireiškė su vožtuvais nesusijęs prieširdžių virpėjimas (VNPV) ir buvo vienas ar daugiau papildomų rizikos veiksnių, pavyzdžiui:</w:t>
      </w:r>
    </w:p>
    <w:p w14:paraId="0E68F07A"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anksčiau patirtas insultas arba praeinantysis smegenų išemijos priepuolis (PSIP);</w:t>
      </w:r>
    </w:p>
    <w:p w14:paraId="6ADE3B61"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amžius ≥ 75 metų;</w:t>
      </w:r>
    </w:p>
    <w:p w14:paraId="6A98E7E1"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hipertenzija;</w:t>
      </w:r>
    </w:p>
    <w:p w14:paraId="07049575"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cukrinis diabetas;</w:t>
      </w:r>
    </w:p>
    <w:p w14:paraId="55E66080" w14:textId="77777777" w:rsidR="00890384" w:rsidRDefault="00B26795">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simptomus sukeliantis širdies nepakankamumas (≥ II klasės pagal NYHA).</w:t>
      </w:r>
    </w:p>
    <w:p w14:paraId="0210F4C8" w14:textId="77777777" w:rsidR="00890384" w:rsidRDefault="00890384">
      <w:pPr>
        <w:widowControl w:val="0"/>
        <w:tabs>
          <w:tab w:val="clear" w:pos="567"/>
        </w:tabs>
        <w:autoSpaceDE w:val="0"/>
        <w:autoSpaceDN w:val="0"/>
        <w:spacing w:line="240" w:lineRule="auto"/>
        <w:rPr>
          <w:snapToGrid/>
          <w:szCs w:val="22"/>
          <w:lang w:val="lt-LT"/>
        </w:rPr>
      </w:pPr>
    </w:p>
    <w:p w14:paraId="5F8B4DC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ARISTOTLE tyrimas</w:t>
      </w:r>
    </w:p>
    <w:p w14:paraId="7E34DE0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ARISTOTLE tyrimo metu iš viso 18 201  suaugusiam pacientui atsitiktiniu būdu buvo paskirtas dvigubai koduotas gydymas 5 mg apiksabano doze du kartus per parą (arba 2,5 mg doze du kartus per parą atrinktiems pacientams [4,7 %], žr. 4.2 skyrių) arba varfarinu (tikslinės TNS ribos 2,0–3,0), pacientai vartojo tiriamąją veikliąją medžiagą vidutiniškai 20 mėnesių. Vidutinis tiriamųjų amžius buvo 69,1 metų, vidutinis CHADS2 balas buvo 2,1 ir 18,9 % pacientų anksčiau buvo patyrę insultą arba PSIP.</w:t>
      </w:r>
    </w:p>
    <w:p w14:paraId="4D36D5F6" w14:textId="77777777" w:rsidR="00890384" w:rsidRDefault="00890384">
      <w:pPr>
        <w:widowControl w:val="0"/>
        <w:tabs>
          <w:tab w:val="clear" w:pos="567"/>
        </w:tabs>
        <w:autoSpaceDE w:val="0"/>
        <w:autoSpaceDN w:val="0"/>
        <w:spacing w:line="240" w:lineRule="auto"/>
        <w:rPr>
          <w:snapToGrid/>
          <w:szCs w:val="22"/>
          <w:lang w:val="lt-LT"/>
        </w:rPr>
      </w:pPr>
    </w:p>
    <w:p w14:paraId="4BBB1E5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Tyrimo duomenimis, vartojant apiksabaną, buvo pasiektas statistiškai reikšmingas svarbiausios vertinamosios baigties apsaugos nuo insulto (hemoraginio arba išeminio) ir sisteminės embolijos pranašumas (žr. 4 lentelę), palyginti su varfarinu.</w:t>
      </w:r>
    </w:p>
    <w:p w14:paraId="64883052" w14:textId="77777777" w:rsidR="00890384" w:rsidRDefault="00890384">
      <w:pPr>
        <w:widowControl w:val="0"/>
        <w:tabs>
          <w:tab w:val="clear" w:pos="567"/>
        </w:tabs>
        <w:autoSpaceDE w:val="0"/>
        <w:autoSpaceDN w:val="0"/>
        <w:spacing w:line="240" w:lineRule="auto"/>
        <w:rPr>
          <w:snapToGrid/>
          <w:szCs w:val="22"/>
          <w:lang w:val="lt-LT"/>
        </w:rPr>
      </w:pPr>
    </w:p>
    <w:p w14:paraId="57B29A85" w14:textId="6CDB0F0D"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5 lentelė. Veiksmingumo vertinamosios baigtys pacientams, kuriems pasireiškė prieširdžių virpėjimas, ARISTOTLE</w:t>
      </w:r>
      <w:r>
        <w:rPr>
          <w:b/>
          <w:bCs/>
          <w:i/>
          <w:snapToGrid/>
          <w:szCs w:val="22"/>
          <w:lang w:val="lt-LT"/>
        </w:rPr>
        <w:t xml:space="preserve"> </w:t>
      </w:r>
      <w:r>
        <w:rPr>
          <w:b/>
          <w:bCs/>
          <w:snapToGrid/>
          <w:szCs w:val="22"/>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890384" w14:paraId="5164E8E3" w14:textId="77777777">
        <w:trPr>
          <w:trHeight w:val="1012"/>
        </w:trPr>
        <w:tc>
          <w:tcPr>
            <w:tcW w:w="2966" w:type="dxa"/>
          </w:tcPr>
          <w:p w14:paraId="79DECD42" w14:textId="77777777" w:rsidR="00890384" w:rsidRDefault="00890384">
            <w:pPr>
              <w:widowControl w:val="0"/>
              <w:tabs>
                <w:tab w:val="clear" w:pos="567"/>
              </w:tabs>
              <w:autoSpaceDE w:val="0"/>
              <w:autoSpaceDN w:val="0"/>
              <w:spacing w:line="240" w:lineRule="auto"/>
              <w:rPr>
                <w:snapToGrid/>
                <w:szCs w:val="22"/>
                <w:lang w:val="lt-LT"/>
              </w:rPr>
            </w:pPr>
          </w:p>
        </w:tc>
        <w:tc>
          <w:tcPr>
            <w:tcW w:w="1730" w:type="dxa"/>
          </w:tcPr>
          <w:p w14:paraId="7375613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p w14:paraId="791FB87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 N=9 120</w:t>
            </w:r>
          </w:p>
          <w:p w14:paraId="50F4E20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0" w:type="dxa"/>
          </w:tcPr>
          <w:p w14:paraId="5D90324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7FE5EB2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N=9 081</w:t>
            </w:r>
          </w:p>
          <w:p w14:paraId="327AAF0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5" w:type="dxa"/>
          </w:tcPr>
          <w:p w14:paraId="279874A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144" w:type="dxa"/>
          </w:tcPr>
          <w:p w14:paraId="1EBF3854" w14:textId="77777777" w:rsidR="00890384" w:rsidRDefault="00890384">
            <w:pPr>
              <w:widowControl w:val="0"/>
              <w:tabs>
                <w:tab w:val="clear" w:pos="567"/>
              </w:tabs>
              <w:autoSpaceDE w:val="0"/>
              <w:autoSpaceDN w:val="0"/>
              <w:spacing w:line="240" w:lineRule="auto"/>
              <w:rPr>
                <w:b/>
                <w:snapToGrid/>
                <w:szCs w:val="22"/>
                <w:lang w:val="lt-LT"/>
              </w:rPr>
            </w:pPr>
          </w:p>
          <w:p w14:paraId="28E0C150"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890384" w14:paraId="31399CFE" w14:textId="77777777">
        <w:trPr>
          <w:trHeight w:val="182"/>
        </w:trPr>
        <w:tc>
          <w:tcPr>
            <w:tcW w:w="2966" w:type="dxa"/>
          </w:tcPr>
          <w:p w14:paraId="2747299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Insultas arba sisteminė embolija</w:t>
            </w:r>
          </w:p>
        </w:tc>
        <w:tc>
          <w:tcPr>
            <w:tcW w:w="1730" w:type="dxa"/>
          </w:tcPr>
          <w:p w14:paraId="7013CA5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212 (1,27)</w:t>
            </w:r>
          </w:p>
        </w:tc>
        <w:tc>
          <w:tcPr>
            <w:tcW w:w="1720" w:type="dxa"/>
          </w:tcPr>
          <w:p w14:paraId="4245694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265 (1,60)</w:t>
            </w:r>
          </w:p>
        </w:tc>
        <w:tc>
          <w:tcPr>
            <w:tcW w:w="1725" w:type="dxa"/>
          </w:tcPr>
          <w:p w14:paraId="7BE5B41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0,79 (0,66, 0,95)</w:t>
            </w:r>
          </w:p>
        </w:tc>
        <w:tc>
          <w:tcPr>
            <w:tcW w:w="1144" w:type="dxa"/>
          </w:tcPr>
          <w:p w14:paraId="363BDA7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0,0114</w:t>
            </w:r>
          </w:p>
        </w:tc>
      </w:tr>
      <w:tr w:rsidR="00890384" w14:paraId="46E42688" w14:textId="77777777">
        <w:trPr>
          <w:trHeight w:val="251"/>
        </w:trPr>
        <w:tc>
          <w:tcPr>
            <w:tcW w:w="2966" w:type="dxa"/>
          </w:tcPr>
          <w:p w14:paraId="0A487CD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Insultas</w:t>
            </w:r>
          </w:p>
        </w:tc>
        <w:tc>
          <w:tcPr>
            <w:tcW w:w="1730" w:type="dxa"/>
          </w:tcPr>
          <w:p w14:paraId="19EAF3CB"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720" w:type="dxa"/>
          </w:tcPr>
          <w:p w14:paraId="65976D7D"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725" w:type="dxa"/>
          </w:tcPr>
          <w:p w14:paraId="7D503DD5"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144" w:type="dxa"/>
          </w:tcPr>
          <w:p w14:paraId="0A610407"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7A6210EE" w14:textId="77777777">
        <w:trPr>
          <w:trHeight w:val="253"/>
        </w:trPr>
        <w:tc>
          <w:tcPr>
            <w:tcW w:w="2966" w:type="dxa"/>
          </w:tcPr>
          <w:p w14:paraId="39A70CC5" w14:textId="77777777" w:rsidR="00890384" w:rsidRDefault="00B26795">
            <w:pPr>
              <w:widowControl w:val="0"/>
              <w:tabs>
                <w:tab w:val="clear" w:pos="567"/>
              </w:tabs>
              <w:autoSpaceDE w:val="0"/>
              <w:autoSpaceDN w:val="0"/>
              <w:spacing w:line="240" w:lineRule="auto"/>
              <w:ind w:left="340"/>
              <w:rPr>
                <w:snapToGrid/>
                <w:szCs w:val="22"/>
                <w:lang w:val="lt-LT"/>
              </w:rPr>
            </w:pPr>
            <w:r>
              <w:rPr>
                <w:snapToGrid/>
                <w:szCs w:val="22"/>
                <w:lang w:val="lt-LT"/>
              </w:rPr>
              <w:t>Išeminis arba nepatikslintas</w:t>
            </w:r>
          </w:p>
        </w:tc>
        <w:tc>
          <w:tcPr>
            <w:tcW w:w="1730" w:type="dxa"/>
          </w:tcPr>
          <w:p w14:paraId="58A1A17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162 (0,97)</w:t>
            </w:r>
          </w:p>
        </w:tc>
        <w:tc>
          <w:tcPr>
            <w:tcW w:w="1720" w:type="dxa"/>
          </w:tcPr>
          <w:p w14:paraId="4BBCC33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175 (1,05)</w:t>
            </w:r>
          </w:p>
        </w:tc>
        <w:tc>
          <w:tcPr>
            <w:tcW w:w="1725" w:type="dxa"/>
          </w:tcPr>
          <w:p w14:paraId="23995B5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0,92 (0,74, 1,13)</w:t>
            </w:r>
          </w:p>
        </w:tc>
        <w:tc>
          <w:tcPr>
            <w:tcW w:w="1144" w:type="dxa"/>
          </w:tcPr>
          <w:p w14:paraId="4D52BE79"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5E397450" w14:textId="77777777">
        <w:trPr>
          <w:trHeight w:val="251"/>
        </w:trPr>
        <w:tc>
          <w:tcPr>
            <w:tcW w:w="2966" w:type="dxa"/>
          </w:tcPr>
          <w:p w14:paraId="1F3066A9" w14:textId="77777777" w:rsidR="00890384" w:rsidRDefault="00B26795">
            <w:pPr>
              <w:widowControl w:val="0"/>
              <w:tabs>
                <w:tab w:val="clear" w:pos="567"/>
              </w:tabs>
              <w:autoSpaceDE w:val="0"/>
              <w:autoSpaceDN w:val="0"/>
              <w:spacing w:line="240" w:lineRule="auto"/>
              <w:ind w:left="340"/>
              <w:rPr>
                <w:snapToGrid/>
                <w:szCs w:val="22"/>
                <w:lang w:val="lt-LT"/>
              </w:rPr>
            </w:pPr>
            <w:r>
              <w:rPr>
                <w:snapToGrid/>
                <w:szCs w:val="22"/>
                <w:lang w:val="lt-LT"/>
              </w:rPr>
              <w:t>Hemoraginis</w:t>
            </w:r>
          </w:p>
        </w:tc>
        <w:tc>
          <w:tcPr>
            <w:tcW w:w="1730" w:type="dxa"/>
          </w:tcPr>
          <w:p w14:paraId="1EDF1F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40 (0,24)</w:t>
            </w:r>
          </w:p>
        </w:tc>
        <w:tc>
          <w:tcPr>
            <w:tcW w:w="1720" w:type="dxa"/>
          </w:tcPr>
          <w:p w14:paraId="70D9ED8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78 (0,47)</w:t>
            </w:r>
          </w:p>
        </w:tc>
        <w:tc>
          <w:tcPr>
            <w:tcW w:w="1725" w:type="dxa"/>
          </w:tcPr>
          <w:p w14:paraId="737ACAC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0,51 (0,35, 0,75)</w:t>
            </w:r>
          </w:p>
        </w:tc>
        <w:tc>
          <w:tcPr>
            <w:tcW w:w="1144" w:type="dxa"/>
          </w:tcPr>
          <w:p w14:paraId="48C23A0A"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042E694B" w14:textId="77777777">
        <w:trPr>
          <w:trHeight w:val="253"/>
        </w:trPr>
        <w:tc>
          <w:tcPr>
            <w:tcW w:w="2966" w:type="dxa"/>
          </w:tcPr>
          <w:p w14:paraId="5D30035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Sisteminė embolija</w:t>
            </w:r>
          </w:p>
        </w:tc>
        <w:tc>
          <w:tcPr>
            <w:tcW w:w="1730" w:type="dxa"/>
          </w:tcPr>
          <w:p w14:paraId="15FE12F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15 (0,09)</w:t>
            </w:r>
          </w:p>
        </w:tc>
        <w:tc>
          <w:tcPr>
            <w:tcW w:w="1720" w:type="dxa"/>
          </w:tcPr>
          <w:p w14:paraId="4F2AD4E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17 (0,10)</w:t>
            </w:r>
          </w:p>
        </w:tc>
        <w:tc>
          <w:tcPr>
            <w:tcW w:w="1725" w:type="dxa"/>
          </w:tcPr>
          <w:p w14:paraId="3936010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0,87 (0,44, 1,75)</w:t>
            </w:r>
          </w:p>
        </w:tc>
        <w:tc>
          <w:tcPr>
            <w:tcW w:w="1144" w:type="dxa"/>
          </w:tcPr>
          <w:p w14:paraId="67D226FB" w14:textId="77777777" w:rsidR="00890384" w:rsidRDefault="00890384">
            <w:pPr>
              <w:widowControl w:val="0"/>
              <w:tabs>
                <w:tab w:val="clear" w:pos="567"/>
              </w:tabs>
              <w:autoSpaceDE w:val="0"/>
              <w:autoSpaceDN w:val="0"/>
              <w:spacing w:line="240" w:lineRule="auto"/>
              <w:rPr>
                <w:snapToGrid/>
                <w:szCs w:val="22"/>
                <w:lang w:val="lt-LT"/>
              </w:rPr>
            </w:pPr>
          </w:p>
        </w:tc>
      </w:tr>
    </w:tbl>
    <w:p w14:paraId="038A0A43" w14:textId="77777777" w:rsidR="00890384" w:rsidRDefault="00890384">
      <w:pPr>
        <w:widowControl w:val="0"/>
        <w:tabs>
          <w:tab w:val="clear" w:pos="567"/>
        </w:tabs>
        <w:autoSpaceDE w:val="0"/>
        <w:autoSpaceDN w:val="0"/>
        <w:spacing w:line="240" w:lineRule="auto"/>
        <w:rPr>
          <w:snapToGrid/>
          <w:szCs w:val="22"/>
          <w:lang w:val="lt-LT"/>
        </w:rPr>
      </w:pPr>
    </w:p>
    <w:p w14:paraId="61B85FA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dalies, kai buvo pasiektos protrombino laiko terapinės ribos (angl. </w:t>
      </w:r>
      <w:r>
        <w:rPr>
          <w:i/>
          <w:iCs/>
          <w:snapToGrid/>
          <w:szCs w:val="22"/>
          <w:lang w:val="lt-LT"/>
        </w:rPr>
        <w:t>time in therapeutic range</w:t>
      </w:r>
      <w:r>
        <w:rPr>
          <w:snapToGrid/>
          <w:szCs w:val="22"/>
          <w:lang w:val="lt-LT"/>
        </w:rPr>
        <w:t xml:space="preserve"> [TTR]) (TNS 2-3), procentinė mediana buvo 66 %.</w:t>
      </w:r>
    </w:p>
    <w:p w14:paraId="793AE6DA" w14:textId="77777777" w:rsidR="00890384" w:rsidRDefault="00890384">
      <w:pPr>
        <w:widowControl w:val="0"/>
        <w:tabs>
          <w:tab w:val="clear" w:pos="567"/>
        </w:tabs>
        <w:autoSpaceDE w:val="0"/>
        <w:autoSpaceDN w:val="0"/>
        <w:spacing w:line="240" w:lineRule="auto"/>
        <w:rPr>
          <w:snapToGrid/>
          <w:szCs w:val="22"/>
          <w:lang w:val="lt-LT"/>
        </w:rPr>
      </w:pPr>
    </w:p>
    <w:p w14:paraId="63B7413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Nustatyta, kad apiksabanas sumažino insulto ir sisteminės embolijos atvejų skaičių, palyginti su varfarinu, esant bet kuriam nukrypimui nuo centrinio TTR. Didžiausios kvartilės nuo centrinio TTR santykinė rizika vartojant apiksabano, palyginti su varfarinu, buvo 0,73 (95 % PI, 0,38, 1,40).</w:t>
      </w:r>
    </w:p>
    <w:p w14:paraId="084CC25B" w14:textId="77777777" w:rsidR="00890384" w:rsidRDefault="00890384">
      <w:pPr>
        <w:widowControl w:val="0"/>
        <w:tabs>
          <w:tab w:val="clear" w:pos="567"/>
        </w:tabs>
        <w:autoSpaceDE w:val="0"/>
        <w:autoSpaceDN w:val="0"/>
        <w:spacing w:line="240" w:lineRule="auto"/>
        <w:rPr>
          <w:snapToGrid/>
          <w:szCs w:val="22"/>
          <w:lang w:val="lt-LT"/>
        </w:rPr>
      </w:pPr>
    </w:p>
    <w:p w14:paraId="03C8D07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Buvo įvertintos pagrindinės antrinės vertinamosios baigtys – stiprus kraujavimas ir mirtis, įvykusi dėl bet kurios priežasties, pagal iš anksto nustatytą hierarchinę bandymų strategiją I tipo klaidoms kontroliuoti tyrimų metu. Buvo pasiektas taip pat ir pagrindinių antrinių vertinamųjų baigčių – stipraus kraujavimo ir mirties, įvykusios dėl bet kurios priežasties, statistiškai reikšmingas pranašumas (žr. 5 lentelę). Gerėjant TNS stebėjimui, pastebėtas apiksabano pranašumas, palyginti su varfarinu, mažinant mirties, įvykusios dėl bet </w:t>
      </w:r>
      <w:r>
        <w:rPr>
          <w:snapToGrid/>
          <w:szCs w:val="22"/>
          <w:lang w:val="lt-LT"/>
        </w:rPr>
        <w:lastRenderedPageBreak/>
        <w:t>kurios priežasties, dažnį.</w:t>
      </w:r>
    </w:p>
    <w:p w14:paraId="49F20992" w14:textId="77777777" w:rsidR="00890384" w:rsidRDefault="00890384">
      <w:pPr>
        <w:widowControl w:val="0"/>
        <w:tabs>
          <w:tab w:val="clear" w:pos="567"/>
        </w:tabs>
        <w:autoSpaceDE w:val="0"/>
        <w:autoSpaceDN w:val="0"/>
        <w:spacing w:line="240" w:lineRule="auto"/>
        <w:rPr>
          <w:snapToGrid/>
          <w:szCs w:val="22"/>
          <w:lang w:val="lt-LT"/>
        </w:rPr>
      </w:pPr>
    </w:p>
    <w:p w14:paraId="6566038C" w14:textId="2ADD45C8" w:rsidR="00890384" w:rsidRDefault="00B26795">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6 lentelė. Antrinės vertinamosios baigtys pacientams, kuriems pasireiškė prieširdžių virpėjimas,</w:t>
      </w:r>
    </w:p>
    <w:p w14:paraId="15A30613"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ARISTOTLE</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890384" w14:paraId="3013426B" w14:textId="77777777">
        <w:trPr>
          <w:trHeight w:val="757"/>
        </w:trPr>
        <w:tc>
          <w:tcPr>
            <w:tcW w:w="1951" w:type="dxa"/>
          </w:tcPr>
          <w:p w14:paraId="2A2CD62E" w14:textId="77777777" w:rsidR="00890384" w:rsidRDefault="00890384">
            <w:pPr>
              <w:widowControl w:val="0"/>
              <w:tabs>
                <w:tab w:val="clear" w:pos="567"/>
              </w:tabs>
              <w:autoSpaceDE w:val="0"/>
              <w:autoSpaceDN w:val="0"/>
              <w:spacing w:line="240" w:lineRule="auto"/>
              <w:rPr>
                <w:snapToGrid/>
                <w:szCs w:val="22"/>
                <w:lang w:val="lt-LT"/>
              </w:rPr>
            </w:pPr>
          </w:p>
        </w:tc>
        <w:tc>
          <w:tcPr>
            <w:tcW w:w="1937" w:type="dxa"/>
          </w:tcPr>
          <w:p w14:paraId="15215CE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Apiksabanas </w:t>
            </w:r>
          </w:p>
          <w:p w14:paraId="3BF6F57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=9 088</w:t>
            </w:r>
          </w:p>
          <w:p w14:paraId="0C33E2B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3D8D9CC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7CC4B31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9 052</w:t>
            </w:r>
          </w:p>
          <w:p w14:paraId="2117850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1E5700D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272" w:type="dxa"/>
          </w:tcPr>
          <w:p w14:paraId="0AC7DA6D"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890384" w14:paraId="70AC7F13" w14:textId="77777777">
        <w:trPr>
          <w:trHeight w:val="280"/>
        </w:trPr>
        <w:tc>
          <w:tcPr>
            <w:tcW w:w="9120" w:type="dxa"/>
            <w:gridSpan w:val="5"/>
          </w:tcPr>
          <w:p w14:paraId="6DE7CCE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Kraujavimo baigtys</w:t>
            </w:r>
          </w:p>
        </w:tc>
      </w:tr>
      <w:tr w:rsidR="00890384" w14:paraId="5D2D05D6" w14:textId="77777777">
        <w:trPr>
          <w:trHeight w:val="277"/>
        </w:trPr>
        <w:tc>
          <w:tcPr>
            <w:tcW w:w="1951" w:type="dxa"/>
          </w:tcPr>
          <w:p w14:paraId="2493EE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37" w:type="dxa"/>
          </w:tcPr>
          <w:p w14:paraId="5A41805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327 (2,13)</w:t>
            </w:r>
          </w:p>
        </w:tc>
        <w:tc>
          <w:tcPr>
            <w:tcW w:w="1980" w:type="dxa"/>
          </w:tcPr>
          <w:p w14:paraId="1DE4803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462 (3,09)</w:t>
            </w:r>
          </w:p>
        </w:tc>
        <w:tc>
          <w:tcPr>
            <w:tcW w:w="1980" w:type="dxa"/>
          </w:tcPr>
          <w:p w14:paraId="6216865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0,69 (0,60, 0,80)</w:t>
            </w:r>
          </w:p>
        </w:tc>
        <w:tc>
          <w:tcPr>
            <w:tcW w:w="1272" w:type="dxa"/>
          </w:tcPr>
          <w:p w14:paraId="152C3D0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6078056B" w14:textId="77777777">
        <w:trPr>
          <w:trHeight w:val="270"/>
        </w:trPr>
        <w:tc>
          <w:tcPr>
            <w:tcW w:w="1951" w:type="dxa"/>
          </w:tcPr>
          <w:p w14:paraId="2345BE9B" w14:textId="77777777" w:rsidR="00890384" w:rsidRDefault="00B26795">
            <w:pPr>
              <w:widowControl w:val="0"/>
              <w:tabs>
                <w:tab w:val="clear" w:pos="567"/>
              </w:tabs>
              <w:autoSpaceDE w:val="0"/>
              <w:autoSpaceDN w:val="0"/>
              <w:spacing w:line="240" w:lineRule="auto"/>
              <w:ind w:left="397"/>
              <w:rPr>
                <w:snapToGrid/>
                <w:szCs w:val="22"/>
                <w:lang w:val="lt-LT"/>
              </w:rPr>
            </w:pPr>
            <w:r>
              <w:rPr>
                <w:snapToGrid/>
                <w:szCs w:val="22"/>
                <w:lang w:val="lt-LT"/>
              </w:rPr>
              <w:t>Mirtinas</w:t>
            </w:r>
          </w:p>
        </w:tc>
        <w:tc>
          <w:tcPr>
            <w:tcW w:w="1937" w:type="dxa"/>
          </w:tcPr>
          <w:p w14:paraId="45AE0E4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 (0,06)</w:t>
            </w:r>
          </w:p>
        </w:tc>
        <w:tc>
          <w:tcPr>
            <w:tcW w:w="1980" w:type="dxa"/>
          </w:tcPr>
          <w:p w14:paraId="4167C9E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37 (0,24)</w:t>
            </w:r>
          </w:p>
        </w:tc>
        <w:tc>
          <w:tcPr>
            <w:tcW w:w="1980" w:type="dxa"/>
          </w:tcPr>
          <w:p w14:paraId="45B9C7FC"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72" w:type="dxa"/>
          </w:tcPr>
          <w:p w14:paraId="0339EE4F"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2C380E24" w14:textId="77777777">
        <w:trPr>
          <w:trHeight w:val="251"/>
        </w:trPr>
        <w:tc>
          <w:tcPr>
            <w:tcW w:w="1951" w:type="dxa"/>
          </w:tcPr>
          <w:p w14:paraId="7774C6F7" w14:textId="77777777" w:rsidR="00890384" w:rsidRDefault="00B26795">
            <w:pPr>
              <w:widowControl w:val="0"/>
              <w:tabs>
                <w:tab w:val="clear" w:pos="567"/>
              </w:tabs>
              <w:autoSpaceDE w:val="0"/>
              <w:autoSpaceDN w:val="0"/>
              <w:spacing w:line="240" w:lineRule="auto"/>
              <w:ind w:left="397"/>
              <w:rPr>
                <w:snapToGrid/>
                <w:szCs w:val="22"/>
                <w:lang w:val="lt-LT"/>
              </w:rPr>
            </w:pPr>
            <w:r>
              <w:rPr>
                <w:snapToGrid/>
                <w:szCs w:val="22"/>
                <w:lang w:val="lt-LT"/>
              </w:rPr>
              <w:t>Intrakranijinis</w:t>
            </w:r>
          </w:p>
        </w:tc>
        <w:tc>
          <w:tcPr>
            <w:tcW w:w="1937" w:type="dxa"/>
          </w:tcPr>
          <w:p w14:paraId="5601F48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52 (0,33)</w:t>
            </w:r>
          </w:p>
        </w:tc>
        <w:tc>
          <w:tcPr>
            <w:tcW w:w="1980" w:type="dxa"/>
          </w:tcPr>
          <w:p w14:paraId="240FCB1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122 (0,80)</w:t>
            </w:r>
          </w:p>
        </w:tc>
        <w:tc>
          <w:tcPr>
            <w:tcW w:w="1980" w:type="dxa"/>
          </w:tcPr>
          <w:p w14:paraId="0CF02E72"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272" w:type="dxa"/>
          </w:tcPr>
          <w:p w14:paraId="75327825"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2558872E" w14:textId="77777777">
        <w:trPr>
          <w:trHeight w:val="277"/>
        </w:trPr>
        <w:tc>
          <w:tcPr>
            <w:tcW w:w="1951" w:type="dxa"/>
          </w:tcPr>
          <w:p w14:paraId="7D8347B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37" w:type="dxa"/>
          </w:tcPr>
          <w:p w14:paraId="3063A3C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613 (4,07)</w:t>
            </w:r>
          </w:p>
        </w:tc>
        <w:tc>
          <w:tcPr>
            <w:tcW w:w="1980" w:type="dxa"/>
          </w:tcPr>
          <w:p w14:paraId="798FEBC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877 (6,01)</w:t>
            </w:r>
          </w:p>
        </w:tc>
        <w:tc>
          <w:tcPr>
            <w:tcW w:w="1980" w:type="dxa"/>
          </w:tcPr>
          <w:p w14:paraId="2155183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0,68 (0,61, 0,75)</w:t>
            </w:r>
          </w:p>
        </w:tc>
        <w:tc>
          <w:tcPr>
            <w:tcW w:w="1272" w:type="dxa"/>
          </w:tcPr>
          <w:p w14:paraId="588FF28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6063A503" w14:textId="77777777">
        <w:trPr>
          <w:trHeight w:val="254"/>
        </w:trPr>
        <w:tc>
          <w:tcPr>
            <w:tcW w:w="1951" w:type="dxa"/>
          </w:tcPr>
          <w:p w14:paraId="5046AA8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1937" w:type="dxa"/>
          </w:tcPr>
          <w:p w14:paraId="4208ED7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2356 (18,1)</w:t>
            </w:r>
          </w:p>
        </w:tc>
        <w:tc>
          <w:tcPr>
            <w:tcW w:w="1980" w:type="dxa"/>
          </w:tcPr>
          <w:p w14:paraId="6B89A6D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3060 (25,8)</w:t>
            </w:r>
          </w:p>
        </w:tc>
        <w:tc>
          <w:tcPr>
            <w:tcW w:w="1980" w:type="dxa"/>
          </w:tcPr>
          <w:p w14:paraId="1AD29F6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0,71 (0,68, 0,75)</w:t>
            </w:r>
          </w:p>
        </w:tc>
        <w:tc>
          <w:tcPr>
            <w:tcW w:w="1272" w:type="dxa"/>
          </w:tcPr>
          <w:p w14:paraId="1D3A4B3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46B03337" w14:textId="77777777">
        <w:trPr>
          <w:trHeight w:val="183"/>
        </w:trPr>
        <w:tc>
          <w:tcPr>
            <w:tcW w:w="9120" w:type="dxa"/>
            <w:gridSpan w:val="5"/>
          </w:tcPr>
          <w:p w14:paraId="69BE5AD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Kitos vertinamosios baigtys</w:t>
            </w:r>
          </w:p>
        </w:tc>
      </w:tr>
      <w:tr w:rsidR="00890384" w14:paraId="04E327A9" w14:textId="77777777">
        <w:trPr>
          <w:trHeight w:val="425"/>
        </w:trPr>
        <w:tc>
          <w:tcPr>
            <w:tcW w:w="1951" w:type="dxa"/>
            <w:vAlign w:val="center"/>
          </w:tcPr>
          <w:p w14:paraId="70A98C8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937" w:type="dxa"/>
            <w:vAlign w:val="center"/>
          </w:tcPr>
          <w:p w14:paraId="33814F8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603 (3,52)</w:t>
            </w:r>
          </w:p>
        </w:tc>
        <w:tc>
          <w:tcPr>
            <w:tcW w:w="1980" w:type="dxa"/>
            <w:vAlign w:val="center"/>
          </w:tcPr>
          <w:p w14:paraId="02D45C9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669 (3,94)</w:t>
            </w:r>
          </w:p>
        </w:tc>
        <w:tc>
          <w:tcPr>
            <w:tcW w:w="1980" w:type="dxa"/>
            <w:vAlign w:val="center"/>
          </w:tcPr>
          <w:p w14:paraId="27F0B3F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0,89 (0,80, 1,00)</w:t>
            </w:r>
          </w:p>
        </w:tc>
        <w:tc>
          <w:tcPr>
            <w:tcW w:w="1272" w:type="dxa"/>
            <w:vAlign w:val="center"/>
          </w:tcPr>
          <w:p w14:paraId="583503E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0,0465</w:t>
            </w:r>
          </w:p>
        </w:tc>
      </w:tr>
      <w:tr w:rsidR="00890384" w14:paraId="3D4AC4CF" w14:textId="77777777">
        <w:trPr>
          <w:trHeight w:val="263"/>
        </w:trPr>
        <w:tc>
          <w:tcPr>
            <w:tcW w:w="1951" w:type="dxa"/>
            <w:vAlign w:val="center"/>
          </w:tcPr>
          <w:p w14:paraId="19752C1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Miokardo infarktas</w:t>
            </w:r>
          </w:p>
        </w:tc>
        <w:tc>
          <w:tcPr>
            <w:tcW w:w="1937" w:type="dxa"/>
            <w:vAlign w:val="center"/>
          </w:tcPr>
          <w:p w14:paraId="3F29B3A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90 (0,53)</w:t>
            </w:r>
          </w:p>
        </w:tc>
        <w:tc>
          <w:tcPr>
            <w:tcW w:w="1980" w:type="dxa"/>
            <w:vAlign w:val="center"/>
          </w:tcPr>
          <w:p w14:paraId="3DDD7E6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102 (0,61)</w:t>
            </w:r>
          </w:p>
        </w:tc>
        <w:tc>
          <w:tcPr>
            <w:tcW w:w="1980" w:type="dxa"/>
            <w:vAlign w:val="center"/>
          </w:tcPr>
          <w:p w14:paraId="75464D5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0,88 (0,66, 1,17)</w:t>
            </w:r>
          </w:p>
        </w:tc>
        <w:tc>
          <w:tcPr>
            <w:tcW w:w="1272" w:type="dxa"/>
            <w:vAlign w:val="center"/>
          </w:tcPr>
          <w:p w14:paraId="2511F759" w14:textId="77777777" w:rsidR="00890384" w:rsidRDefault="00890384">
            <w:pPr>
              <w:widowControl w:val="0"/>
              <w:tabs>
                <w:tab w:val="clear" w:pos="567"/>
              </w:tabs>
              <w:autoSpaceDE w:val="0"/>
              <w:autoSpaceDN w:val="0"/>
              <w:spacing w:line="240" w:lineRule="auto"/>
              <w:jc w:val="center"/>
              <w:rPr>
                <w:snapToGrid/>
                <w:szCs w:val="22"/>
                <w:lang w:val="lt-LT"/>
              </w:rPr>
            </w:pPr>
          </w:p>
        </w:tc>
      </w:tr>
    </w:tbl>
    <w:p w14:paraId="786D0ADE" w14:textId="77777777" w:rsidR="00890384" w:rsidRDefault="00B26795">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International Society on Thrombosis and Haemostasis [ISTH]</w:t>
      </w:r>
      <w:r>
        <w:rPr>
          <w:snapToGrid/>
          <w:sz w:val="20"/>
          <w:szCs w:val="22"/>
          <w:lang w:val="lt-LT"/>
        </w:rPr>
        <w:t>) kriterijus.</w:t>
      </w:r>
    </w:p>
    <w:p w14:paraId="0A46E668" w14:textId="77777777" w:rsidR="00890384" w:rsidRDefault="00B26795">
      <w:pPr>
        <w:pStyle w:val="Pagrindinistekstas"/>
        <w:rPr>
          <w:rFonts w:eastAsia="Times New Roman"/>
          <w:i w:val="0"/>
          <w:color w:val="auto"/>
          <w:sz w:val="20"/>
          <w:szCs w:val="22"/>
          <w:lang w:val="lt-LT"/>
        </w:rPr>
      </w:pPr>
      <w:r>
        <w:rPr>
          <w:rFonts w:eastAsia="Times New Roman"/>
          <w:i w:val="0"/>
          <w:color w:val="auto"/>
          <w:sz w:val="20"/>
          <w:szCs w:val="22"/>
          <w:vertAlign w:val="superscript"/>
          <w:lang w:val="lt-LT"/>
        </w:rPr>
        <w:t>†</w:t>
      </w:r>
      <w:r>
        <w:rPr>
          <w:rFonts w:eastAsia="Times New Roman"/>
          <w:i w:val="0"/>
          <w:color w:val="auto"/>
          <w:sz w:val="20"/>
          <w:szCs w:val="22"/>
          <w:lang w:val="lt-LT"/>
        </w:rPr>
        <w:t xml:space="preserve"> Kliniškai reikšmingas, nestiprus</w:t>
      </w:r>
    </w:p>
    <w:p w14:paraId="5D01CBB7" w14:textId="77777777" w:rsidR="00890384" w:rsidRDefault="00890384">
      <w:pPr>
        <w:widowControl w:val="0"/>
        <w:tabs>
          <w:tab w:val="clear" w:pos="567"/>
        </w:tabs>
        <w:autoSpaceDE w:val="0"/>
        <w:autoSpaceDN w:val="0"/>
        <w:spacing w:line="240" w:lineRule="auto"/>
        <w:rPr>
          <w:snapToGrid/>
          <w:szCs w:val="22"/>
          <w:lang w:val="lt-LT"/>
        </w:rPr>
      </w:pPr>
    </w:p>
    <w:p w14:paraId="28F1249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ARISTOTLE tyrimo metu vartojant apiksabaną buvo 1,8 %, o vartojant varfariną – 2,6 %.</w:t>
      </w:r>
    </w:p>
    <w:p w14:paraId="46149688" w14:textId="77777777" w:rsidR="00890384" w:rsidRDefault="00890384">
      <w:pPr>
        <w:widowControl w:val="0"/>
        <w:tabs>
          <w:tab w:val="clear" w:pos="567"/>
        </w:tabs>
        <w:autoSpaceDE w:val="0"/>
        <w:autoSpaceDN w:val="0"/>
        <w:spacing w:line="240" w:lineRule="auto"/>
        <w:rPr>
          <w:snapToGrid/>
          <w:szCs w:val="22"/>
          <w:lang w:val="lt-LT"/>
        </w:rPr>
      </w:pPr>
    </w:p>
    <w:p w14:paraId="1EDFC0A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Veiksmingumo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pirminius veiksmingumo rezultatus bendrojoje populiacijoje, tirtoje tyrimo metu.</w:t>
      </w:r>
    </w:p>
    <w:p w14:paraId="08EF0AC2" w14:textId="77777777" w:rsidR="00890384" w:rsidRDefault="00890384">
      <w:pPr>
        <w:widowControl w:val="0"/>
        <w:tabs>
          <w:tab w:val="clear" w:pos="567"/>
        </w:tabs>
        <w:autoSpaceDE w:val="0"/>
        <w:autoSpaceDN w:val="0"/>
        <w:spacing w:line="240" w:lineRule="auto"/>
        <w:rPr>
          <w:snapToGrid/>
          <w:szCs w:val="22"/>
          <w:lang w:val="lt-LT"/>
        </w:rPr>
      </w:pPr>
    </w:p>
    <w:p w14:paraId="557C758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Stipraus kraujavimo iš virškinimo trakto (įskaitant kraujavimą iš viršutinės VT dalies, kraujavimą iš apatinės VT dalies ir kraujavimą iš tiesiosios žarnos) pagal ISTH dažnis buvo 0,76 % per metus vartojant apiksabano ir 0,86 % per metus vartojant varfarino.</w:t>
      </w:r>
    </w:p>
    <w:p w14:paraId="22B515E8" w14:textId="77777777" w:rsidR="00890384" w:rsidRDefault="00890384">
      <w:pPr>
        <w:widowControl w:val="0"/>
        <w:tabs>
          <w:tab w:val="clear" w:pos="567"/>
        </w:tabs>
        <w:autoSpaceDE w:val="0"/>
        <w:autoSpaceDN w:val="0"/>
        <w:spacing w:line="240" w:lineRule="auto"/>
        <w:rPr>
          <w:snapToGrid/>
          <w:szCs w:val="22"/>
          <w:lang w:val="lt-LT"/>
        </w:rPr>
      </w:pPr>
    </w:p>
    <w:p w14:paraId="18162DA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Stipraus kraujavimo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rezultatus bendrojoje populiacijoje, tirtoje tyrimo metu.</w:t>
      </w:r>
    </w:p>
    <w:p w14:paraId="25E29812" w14:textId="77777777" w:rsidR="00890384" w:rsidRDefault="00890384">
      <w:pPr>
        <w:widowControl w:val="0"/>
        <w:tabs>
          <w:tab w:val="clear" w:pos="567"/>
        </w:tabs>
        <w:autoSpaceDE w:val="0"/>
        <w:autoSpaceDN w:val="0"/>
        <w:spacing w:line="240" w:lineRule="auto"/>
        <w:rPr>
          <w:snapToGrid/>
          <w:szCs w:val="22"/>
          <w:lang w:val="lt-LT"/>
        </w:rPr>
      </w:pPr>
    </w:p>
    <w:p w14:paraId="00F09EB1"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AVERROES tyrimas</w:t>
      </w:r>
    </w:p>
    <w:p w14:paraId="2A04AFF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AVERROES tyrimo metu tyrėjams nusprendus, kad iš viso 5 598  suaugusieji pacientai netinkami gydyti VKA, jiems atsitiktiniu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Pr>
          <w:snapToGrid/>
          <w:szCs w:val="22"/>
          <w:vertAlign w:val="subscript"/>
          <w:lang w:val="lt-LT"/>
        </w:rPr>
        <w:t>2</w:t>
      </w:r>
      <w:r>
        <w:rPr>
          <w:snapToGrid/>
          <w:szCs w:val="22"/>
          <w:lang w:val="lt-LT"/>
        </w:rPr>
        <w:t xml:space="preserve"> balas – 2,0 ir 13,6 % pacientų anksčiau buvo patyrę insultą arba PSIP.</w:t>
      </w:r>
    </w:p>
    <w:p w14:paraId="10DF4B09" w14:textId="77777777" w:rsidR="00890384" w:rsidRDefault="00890384">
      <w:pPr>
        <w:widowControl w:val="0"/>
        <w:tabs>
          <w:tab w:val="clear" w:pos="567"/>
        </w:tabs>
        <w:autoSpaceDE w:val="0"/>
        <w:autoSpaceDN w:val="0"/>
        <w:spacing w:line="240" w:lineRule="auto"/>
        <w:rPr>
          <w:snapToGrid/>
          <w:szCs w:val="22"/>
          <w:lang w:val="lt-LT"/>
        </w:rPr>
      </w:pPr>
    </w:p>
    <w:p w14:paraId="614E4F0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Dažnos priežastys, dėl kurių netiko gydymas VKA, AVERROES tyrimo metu buvo negalėjimas/maža galimybė nustatyti TNS reikiamais laiko intervalais (42,6 %), pacientas atsisakė gydymo VKA (37,4 %), CHADS</w:t>
      </w:r>
      <w:r>
        <w:rPr>
          <w:snapToGrid/>
          <w:szCs w:val="22"/>
          <w:vertAlign w:val="subscript"/>
          <w:lang w:val="lt-LT"/>
        </w:rPr>
        <w:t>2</w:t>
      </w:r>
      <w:r>
        <w:rPr>
          <w:snapToGrid/>
          <w:szCs w:val="22"/>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1439BA70" w14:textId="77777777" w:rsidR="00890384" w:rsidRDefault="00890384">
      <w:pPr>
        <w:widowControl w:val="0"/>
        <w:tabs>
          <w:tab w:val="clear" w:pos="567"/>
        </w:tabs>
        <w:autoSpaceDE w:val="0"/>
        <w:autoSpaceDN w:val="0"/>
        <w:spacing w:line="240" w:lineRule="auto"/>
        <w:rPr>
          <w:snapToGrid/>
          <w:szCs w:val="22"/>
          <w:lang w:val="lt-LT"/>
        </w:rPr>
      </w:pPr>
    </w:p>
    <w:p w14:paraId="05B2070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AVERROES tyrimas buvo nutrauktas anksčiau nei numatyta, remiantis nepriklausomo duomenų stebėjimo komiteto rekomendacija, gavus aiškius insulto ir sisteminės embolijos sumažėjimo įrodymus ir priimtinus saugumo duomenis.</w:t>
      </w:r>
    </w:p>
    <w:p w14:paraId="19C51F38" w14:textId="77777777" w:rsidR="00890384" w:rsidRDefault="00890384">
      <w:pPr>
        <w:widowControl w:val="0"/>
        <w:tabs>
          <w:tab w:val="clear" w:pos="567"/>
        </w:tabs>
        <w:autoSpaceDE w:val="0"/>
        <w:autoSpaceDN w:val="0"/>
        <w:spacing w:line="240" w:lineRule="auto"/>
        <w:rPr>
          <w:snapToGrid/>
          <w:szCs w:val="22"/>
          <w:lang w:val="lt-LT"/>
        </w:rPr>
      </w:pPr>
    </w:p>
    <w:p w14:paraId="3A4B623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AVERROES</w:t>
      </w:r>
      <w:r>
        <w:rPr>
          <w:i/>
          <w:snapToGrid/>
          <w:szCs w:val="22"/>
          <w:lang w:val="lt-LT"/>
        </w:rPr>
        <w:t xml:space="preserve"> </w:t>
      </w:r>
      <w:r>
        <w:rPr>
          <w:snapToGrid/>
          <w:szCs w:val="22"/>
          <w:lang w:val="lt-LT"/>
        </w:rPr>
        <w:t>tyrimo metu vartojant apiksabaną buvo 1,5 %, o vartojant ASR – 1,3 %.</w:t>
      </w:r>
    </w:p>
    <w:p w14:paraId="79048F28" w14:textId="77777777" w:rsidR="00890384" w:rsidRDefault="00890384">
      <w:pPr>
        <w:widowControl w:val="0"/>
        <w:tabs>
          <w:tab w:val="clear" w:pos="567"/>
        </w:tabs>
        <w:autoSpaceDE w:val="0"/>
        <w:autoSpaceDN w:val="0"/>
        <w:spacing w:line="240" w:lineRule="auto"/>
        <w:rPr>
          <w:snapToGrid/>
          <w:szCs w:val="22"/>
          <w:lang w:val="lt-LT"/>
        </w:rPr>
      </w:pPr>
    </w:p>
    <w:p w14:paraId="3EF4D8E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vartojant apiksabano, buvo pasiektas statistiškai reikšmingas svarbiausiosios </w:t>
      </w:r>
      <w:r>
        <w:rPr>
          <w:snapToGrid/>
          <w:szCs w:val="22"/>
          <w:lang w:val="lt-LT"/>
        </w:rPr>
        <w:lastRenderedPageBreak/>
        <w:t>vertinamosios baigties - apsaugos nuo insulto (hemoraginio, išeminio ar nepatikslinto) ar sisteminės embolijos pranašumas (žr. 6 lentelę), palyginti su ASR.</w:t>
      </w:r>
    </w:p>
    <w:p w14:paraId="523315C6" w14:textId="77777777" w:rsidR="00890384" w:rsidRDefault="00890384">
      <w:pPr>
        <w:widowControl w:val="0"/>
        <w:tabs>
          <w:tab w:val="clear" w:pos="567"/>
        </w:tabs>
        <w:autoSpaceDE w:val="0"/>
        <w:autoSpaceDN w:val="0"/>
        <w:spacing w:line="240" w:lineRule="auto"/>
        <w:rPr>
          <w:snapToGrid/>
          <w:szCs w:val="22"/>
          <w:lang w:val="lt-LT"/>
        </w:rPr>
      </w:pPr>
    </w:p>
    <w:p w14:paraId="0CD73BAD" w14:textId="05CADE67" w:rsidR="00890384" w:rsidRDefault="00B26795">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7 lentelė. Svarbiausios veiksmingumo vertinamosios baigtys pacientams, kuriems pasireiškė prieširdžių virpėjimas, AVERROES</w:t>
      </w:r>
      <w:r>
        <w:rPr>
          <w:b/>
          <w:bCs/>
          <w:i/>
          <w:snapToGrid/>
          <w:szCs w:val="22"/>
          <w:lang w:val="lt-LT"/>
        </w:rPr>
        <w:t xml:space="preserve"> </w:t>
      </w:r>
      <w:r>
        <w:rPr>
          <w:b/>
          <w:bCs/>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890384" w14:paraId="3376E79B" w14:textId="77777777">
        <w:trPr>
          <w:trHeight w:val="1250"/>
        </w:trPr>
        <w:tc>
          <w:tcPr>
            <w:tcW w:w="3212" w:type="dxa"/>
          </w:tcPr>
          <w:p w14:paraId="38192128" w14:textId="77777777" w:rsidR="00890384" w:rsidRDefault="00890384">
            <w:pPr>
              <w:widowControl w:val="0"/>
              <w:tabs>
                <w:tab w:val="clear" w:pos="567"/>
              </w:tabs>
              <w:autoSpaceDE w:val="0"/>
              <w:autoSpaceDN w:val="0"/>
              <w:spacing w:line="240" w:lineRule="auto"/>
              <w:rPr>
                <w:snapToGrid/>
                <w:szCs w:val="22"/>
                <w:lang w:val="lt-LT"/>
              </w:rPr>
            </w:pPr>
          </w:p>
        </w:tc>
        <w:tc>
          <w:tcPr>
            <w:tcW w:w="1594" w:type="dxa"/>
          </w:tcPr>
          <w:p w14:paraId="3719D60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Apiksabanas </w:t>
            </w:r>
          </w:p>
          <w:p w14:paraId="75354E0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2 807</w:t>
            </w:r>
          </w:p>
          <w:p w14:paraId="18FEF07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529" w:type="dxa"/>
          </w:tcPr>
          <w:p w14:paraId="075C706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00520C53"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2 791</w:t>
            </w:r>
          </w:p>
          <w:p w14:paraId="66AF6FE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834" w:type="dxa"/>
          </w:tcPr>
          <w:p w14:paraId="73647051"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001" w:type="dxa"/>
          </w:tcPr>
          <w:p w14:paraId="6F35D0A1" w14:textId="77777777" w:rsidR="00890384" w:rsidRDefault="00890384">
            <w:pPr>
              <w:widowControl w:val="0"/>
              <w:tabs>
                <w:tab w:val="clear" w:pos="567"/>
              </w:tabs>
              <w:autoSpaceDE w:val="0"/>
              <w:autoSpaceDN w:val="0"/>
              <w:spacing w:line="240" w:lineRule="auto"/>
              <w:jc w:val="center"/>
              <w:rPr>
                <w:b/>
                <w:snapToGrid/>
                <w:szCs w:val="22"/>
                <w:lang w:val="lt-LT"/>
              </w:rPr>
            </w:pPr>
          </w:p>
          <w:p w14:paraId="7E919E6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890384" w14:paraId="220D1D28" w14:textId="77777777">
        <w:trPr>
          <w:trHeight w:val="253"/>
        </w:trPr>
        <w:tc>
          <w:tcPr>
            <w:tcW w:w="3212" w:type="dxa"/>
          </w:tcPr>
          <w:p w14:paraId="739FE77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Insultas ar sisteminė embolija*</w:t>
            </w:r>
          </w:p>
        </w:tc>
        <w:tc>
          <w:tcPr>
            <w:tcW w:w="1594" w:type="dxa"/>
          </w:tcPr>
          <w:p w14:paraId="587FCF5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51 (1,62)</w:t>
            </w:r>
          </w:p>
        </w:tc>
        <w:tc>
          <w:tcPr>
            <w:tcW w:w="1529" w:type="dxa"/>
          </w:tcPr>
          <w:p w14:paraId="3A423A6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113 (3,63)</w:t>
            </w:r>
          </w:p>
        </w:tc>
        <w:tc>
          <w:tcPr>
            <w:tcW w:w="1834" w:type="dxa"/>
          </w:tcPr>
          <w:p w14:paraId="19C7A70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0,45 (0,32, 0,62)</w:t>
            </w:r>
          </w:p>
        </w:tc>
        <w:tc>
          <w:tcPr>
            <w:tcW w:w="1001" w:type="dxa"/>
          </w:tcPr>
          <w:p w14:paraId="1B5EE1E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890384" w14:paraId="4ED4FEF1" w14:textId="77777777">
        <w:trPr>
          <w:trHeight w:val="254"/>
        </w:trPr>
        <w:tc>
          <w:tcPr>
            <w:tcW w:w="3212" w:type="dxa"/>
          </w:tcPr>
          <w:p w14:paraId="6C2450E2"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Insultas</w:t>
            </w:r>
          </w:p>
        </w:tc>
        <w:tc>
          <w:tcPr>
            <w:tcW w:w="1594" w:type="dxa"/>
          </w:tcPr>
          <w:p w14:paraId="483FE7A3"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529" w:type="dxa"/>
          </w:tcPr>
          <w:p w14:paraId="56A623AB"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834" w:type="dxa"/>
          </w:tcPr>
          <w:p w14:paraId="3EB32D97"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001" w:type="dxa"/>
          </w:tcPr>
          <w:p w14:paraId="7AE8C4DB"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153DBA3C" w14:textId="77777777">
        <w:trPr>
          <w:trHeight w:val="251"/>
        </w:trPr>
        <w:tc>
          <w:tcPr>
            <w:tcW w:w="3212" w:type="dxa"/>
          </w:tcPr>
          <w:p w14:paraId="5C454747"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Išeminis ar nepatikslintas</w:t>
            </w:r>
          </w:p>
        </w:tc>
        <w:tc>
          <w:tcPr>
            <w:tcW w:w="1594" w:type="dxa"/>
          </w:tcPr>
          <w:p w14:paraId="68CC65E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43 (1,37)</w:t>
            </w:r>
          </w:p>
        </w:tc>
        <w:tc>
          <w:tcPr>
            <w:tcW w:w="1529" w:type="dxa"/>
          </w:tcPr>
          <w:p w14:paraId="046F2D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97 (3,11)</w:t>
            </w:r>
          </w:p>
        </w:tc>
        <w:tc>
          <w:tcPr>
            <w:tcW w:w="1834" w:type="dxa"/>
          </w:tcPr>
          <w:p w14:paraId="3842E95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0,44 (0,31, 0,63)</w:t>
            </w:r>
          </w:p>
        </w:tc>
        <w:tc>
          <w:tcPr>
            <w:tcW w:w="1001" w:type="dxa"/>
          </w:tcPr>
          <w:p w14:paraId="79FDB60B"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2660F2E7" w14:textId="77777777">
        <w:trPr>
          <w:trHeight w:val="253"/>
        </w:trPr>
        <w:tc>
          <w:tcPr>
            <w:tcW w:w="3212" w:type="dxa"/>
          </w:tcPr>
          <w:p w14:paraId="7C1E5B8C"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Hemoraginis</w:t>
            </w:r>
          </w:p>
        </w:tc>
        <w:tc>
          <w:tcPr>
            <w:tcW w:w="1594" w:type="dxa"/>
          </w:tcPr>
          <w:p w14:paraId="33AAFC3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(0,19)</w:t>
            </w:r>
          </w:p>
        </w:tc>
        <w:tc>
          <w:tcPr>
            <w:tcW w:w="1529" w:type="dxa"/>
          </w:tcPr>
          <w:p w14:paraId="419A118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 (0,28)</w:t>
            </w:r>
          </w:p>
        </w:tc>
        <w:tc>
          <w:tcPr>
            <w:tcW w:w="1834" w:type="dxa"/>
          </w:tcPr>
          <w:p w14:paraId="4EA07D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0,67 (0,24, 1,88)</w:t>
            </w:r>
          </w:p>
        </w:tc>
        <w:tc>
          <w:tcPr>
            <w:tcW w:w="1001" w:type="dxa"/>
          </w:tcPr>
          <w:p w14:paraId="7DF7CC2E"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4C0C829E" w14:textId="77777777">
        <w:trPr>
          <w:trHeight w:val="251"/>
        </w:trPr>
        <w:tc>
          <w:tcPr>
            <w:tcW w:w="3212" w:type="dxa"/>
          </w:tcPr>
          <w:p w14:paraId="70535ADC"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Sisteminė embolija</w:t>
            </w:r>
          </w:p>
        </w:tc>
        <w:tc>
          <w:tcPr>
            <w:tcW w:w="1594" w:type="dxa"/>
          </w:tcPr>
          <w:p w14:paraId="48D1AD0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 (0,06)</w:t>
            </w:r>
          </w:p>
        </w:tc>
        <w:tc>
          <w:tcPr>
            <w:tcW w:w="1529" w:type="dxa"/>
          </w:tcPr>
          <w:p w14:paraId="2EE87A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 (0,41)</w:t>
            </w:r>
          </w:p>
        </w:tc>
        <w:tc>
          <w:tcPr>
            <w:tcW w:w="1834" w:type="dxa"/>
          </w:tcPr>
          <w:p w14:paraId="27ACA17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 (0,03, 0,68)</w:t>
            </w:r>
          </w:p>
        </w:tc>
        <w:tc>
          <w:tcPr>
            <w:tcW w:w="1001" w:type="dxa"/>
          </w:tcPr>
          <w:p w14:paraId="24BB99EB"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62A89A3A" w14:textId="77777777">
        <w:trPr>
          <w:trHeight w:val="760"/>
        </w:trPr>
        <w:tc>
          <w:tcPr>
            <w:tcW w:w="3212" w:type="dxa"/>
          </w:tcPr>
          <w:p w14:paraId="16FBD4B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Insultas, sisteminė embolija, MI arba mirtis, kurios priežastis – kraujagyslių sutrikimai </w:t>
            </w:r>
            <w:r>
              <w:rPr>
                <w:b/>
                <w:snapToGrid/>
                <w:szCs w:val="22"/>
                <w:lang w:val="lt-LT"/>
              </w:rPr>
              <w:t>*</w:t>
            </w:r>
            <w:r>
              <w:rPr>
                <w:snapToGrid/>
                <w:szCs w:val="22"/>
                <w:vertAlign w:val="superscript"/>
                <w:lang w:val="lt-LT"/>
              </w:rPr>
              <w:t>†</w:t>
            </w:r>
          </w:p>
        </w:tc>
        <w:tc>
          <w:tcPr>
            <w:tcW w:w="1594" w:type="dxa"/>
          </w:tcPr>
          <w:p w14:paraId="561C713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132 (4,21)</w:t>
            </w:r>
          </w:p>
        </w:tc>
        <w:tc>
          <w:tcPr>
            <w:tcW w:w="1529" w:type="dxa"/>
          </w:tcPr>
          <w:p w14:paraId="1C2FDA5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197 (6,35)</w:t>
            </w:r>
          </w:p>
        </w:tc>
        <w:tc>
          <w:tcPr>
            <w:tcW w:w="1834" w:type="dxa"/>
          </w:tcPr>
          <w:p w14:paraId="72D81E8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0,66 (0,53, 0,83)</w:t>
            </w:r>
          </w:p>
        </w:tc>
        <w:tc>
          <w:tcPr>
            <w:tcW w:w="1001" w:type="dxa"/>
          </w:tcPr>
          <w:p w14:paraId="6817586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0,003</w:t>
            </w:r>
          </w:p>
        </w:tc>
      </w:tr>
      <w:tr w:rsidR="00890384" w14:paraId="2D3A88E8" w14:textId="77777777">
        <w:trPr>
          <w:trHeight w:val="251"/>
        </w:trPr>
        <w:tc>
          <w:tcPr>
            <w:tcW w:w="3212" w:type="dxa"/>
          </w:tcPr>
          <w:p w14:paraId="79317F3B"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Miokardo infarktas</w:t>
            </w:r>
          </w:p>
        </w:tc>
        <w:tc>
          <w:tcPr>
            <w:tcW w:w="1594" w:type="dxa"/>
          </w:tcPr>
          <w:p w14:paraId="7AEAE44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24 (0,76)</w:t>
            </w:r>
          </w:p>
        </w:tc>
        <w:tc>
          <w:tcPr>
            <w:tcW w:w="1529" w:type="dxa"/>
          </w:tcPr>
          <w:p w14:paraId="2045778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28 (0,89)</w:t>
            </w:r>
          </w:p>
        </w:tc>
        <w:tc>
          <w:tcPr>
            <w:tcW w:w="1834" w:type="dxa"/>
          </w:tcPr>
          <w:p w14:paraId="24064A6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0,86 (0,50, 1,48)</w:t>
            </w:r>
          </w:p>
        </w:tc>
        <w:tc>
          <w:tcPr>
            <w:tcW w:w="1001" w:type="dxa"/>
          </w:tcPr>
          <w:p w14:paraId="2060661F"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4327E723" w14:textId="77777777">
        <w:trPr>
          <w:trHeight w:val="506"/>
        </w:trPr>
        <w:tc>
          <w:tcPr>
            <w:tcW w:w="3212" w:type="dxa"/>
          </w:tcPr>
          <w:p w14:paraId="39A2F75C"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Mirtis, kurios priežastis – kraujagyslių sutrikimai</w:t>
            </w:r>
          </w:p>
        </w:tc>
        <w:tc>
          <w:tcPr>
            <w:tcW w:w="1594" w:type="dxa"/>
          </w:tcPr>
          <w:p w14:paraId="3BF85E6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84 (2,65)</w:t>
            </w:r>
          </w:p>
        </w:tc>
        <w:tc>
          <w:tcPr>
            <w:tcW w:w="1529" w:type="dxa"/>
          </w:tcPr>
          <w:p w14:paraId="424AC1C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96 (3,03)</w:t>
            </w:r>
          </w:p>
        </w:tc>
        <w:tc>
          <w:tcPr>
            <w:tcW w:w="1834" w:type="dxa"/>
          </w:tcPr>
          <w:p w14:paraId="48F7DA4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0,87 (0,65, 1,17)</w:t>
            </w:r>
          </w:p>
        </w:tc>
        <w:tc>
          <w:tcPr>
            <w:tcW w:w="1001" w:type="dxa"/>
          </w:tcPr>
          <w:p w14:paraId="677D0B50"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65768F88" w14:textId="77777777">
        <w:trPr>
          <w:trHeight w:val="504"/>
        </w:trPr>
        <w:tc>
          <w:tcPr>
            <w:tcW w:w="3212" w:type="dxa"/>
          </w:tcPr>
          <w:p w14:paraId="6CDAF2D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Mirtis, įvykusi dėl bet kurios priežasties </w:t>
            </w:r>
            <w:r>
              <w:rPr>
                <w:snapToGrid/>
                <w:szCs w:val="22"/>
                <w:vertAlign w:val="superscript"/>
                <w:lang w:val="lt-LT"/>
              </w:rPr>
              <w:t>†</w:t>
            </w:r>
          </w:p>
        </w:tc>
        <w:tc>
          <w:tcPr>
            <w:tcW w:w="1594" w:type="dxa"/>
          </w:tcPr>
          <w:p w14:paraId="26A32D1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111 (3,51)</w:t>
            </w:r>
          </w:p>
        </w:tc>
        <w:tc>
          <w:tcPr>
            <w:tcW w:w="1529" w:type="dxa"/>
          </w:tcPr>
          <w:p w14:paraId="5D05EFD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140 (4,42)</w:t>
            </w:r>
          </w:p>
        </w:tc>
        <w:tc>
          <w:tcPr>
            <w:tcW w:w="1834" w:type="dxa"/>
          </w:tcPr>
          <w:p w14:paraId="47CE400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0,79 (0,62, 1,02)</w:t>
            </w:r>
          </w:p>
        </w:tc>
        <w:tc>
          <w:tcPr>
            <w:tcW w:w="1001" w:type="dxa"/>
          </w:tcPr>
          <w:p w14:paraId="4E7B263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0,068</w:t>
            </w:r>
          </w:p>
        </w:tc>
      </w:tr>
    </w:tbl>
    <w:p w14:paraId="106D360B" w14:textId="77777777" w:rsidR="00890384" w:rsidRDefault="00B26795">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Įvertinant pagal nuosekliąją bandymų strategiją, skirtą I tipo klaidoms kontroliuoti tyrimų metu.</w:t>
      </w:r>
    </w:p>
    <w:p w14:paraId="48BEEB1C" w14:textId="77777777" w:rsidR="00890384" w:rsidRDefault="00B26795">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w:t>
      </w:r>
      <w:r>
        <w:rPr>
          <w:snapToGrid/>
          <w:sz w:val="20"/>
          <w:szCs w:val="22"/>
          <w:lang w:val="lt-LT"/>
        </w:rPr>
        <w:t xml:space="preserve"> Antrinė vertinamoji baigtis.</w:t>
      </w:r>
    </w:p>
    <w:p w14:paraId="5F4E63F7" w14:textId="77777777" w:rsidR="00890384" w:rsidRDefault="00890384">
      <w:pPr>
        <w:widowControl w:val="0"/>
        <w:tabs>
          <w:tab w:val="clear" w:pos="567"/>
        </w:tabs>
        <w:autoSpaceDE w:val="0"/>
        <w:autoSpaceDN w:val="0"/>
        <w:spacing w:line="240" w:lineRule="auto"/>
        <w:rPr>
          <w:snapToGrid/>
          <w:szCs w:val="22"/>
          <w:lang w:val="lt-LT"/>
        </w:rPr>
      </w:pPr>
    </w:p>
    <w:p w14:paraId="5D5DEFE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Statistiškai reikšmingų stipraus kraujavimo dažnio skirtumų vartojant apiksabaną ar ASR nebuvo (žr. 7 lentelę).</w:t>
      </w:r>
    </w:p>
    <w:p w14:paraId="77C9E781" w14:textId="77777777" w:rsidR="00890384" w:rsidRDefault="00890384">
      <w:pPr>
        <w:widowControl w:val="0"/>
        <w:tabs>
          <w:tab w:val="clear" w:pos="567"/>
        </w:tabs>
        <w:autoSpaceDE w:val="0"/>
        <w:autoSpaceDN w:val="0"/>
        <w:spacing w:line="240" w:lineRule="auto"/>
        <w:rPr>
          <w:snapToGrid/>
          <w:szCs w:val="22"/>
          <w:lang w:val="lt-LT"/>
        </w:rPr>
      </w:pPr>
    </w:p>
    <w:p w14:paraId="17C3379A" w14:textId="52C2D99A" w:rsidR="00890384" w:rsidRDefault="00B26795">
      <w:pPr>
        <w:widowControl w:val="0"/>
        <w:tabs>
          <w:tab w:val="clear" w:pos="567"/>
          <w:tab w:val="left" w:pos="401"/>
        </w:tabs>
        <w:autoSpaceDE w:val="0"/>
        <w:autoSpaceDN w:val="0"/>
        <w:spacing w:line="240" w:lineRule="auto"/>
        <w:outlineLvl w:val="1"/>
        <w:rPr>
          <w:b/>
          <w:snapToGrid/>
          <w:szCs w:val="22"/>
          <w:lang w:val="lt-LT"/>
        </w:rPr>
      </w:pPr>
      <w:r>
        <w:rPr>
          <w:b/>
          <w:bCs/>
          <w:snapToGrid/>
          <w:szCs w:val="22"/>
          <w:lang w:val="lt-LT"/>
        </w:rPr>
        <w:t xml:space="preserve">8 lentelė. Kraujavimo reiškiniai pacientams, kuriems pasireiškė prieširdžių virpėjimas, </w:t>
      </w:r>
      <w:r>
        <w:rPr>
          <w:b/>
          <w:snapToGrid/>
          <w:szCs w:val="22"/>
          <w:lang w:val="lt-LT"/>
        </w:rPr>
        <w:t>AVERROES</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890384" w14:paraId="1CAE0412" w14:textId="77777777">
        <w:trPr>
          <w:trHeight w:val="860"/>
        </w:trPr>
        <w:tc>
          <w:tcPr>
            <w:tcW w:w="2127" w:type="dxa"/>
          </w:tcPr>
          <w:p w14:paraId="3738CC9D" w14:textId="77777777" w:rsidR="00890384" w:rsidRDefault="00890384">
            <w:pPr>
              <w:widowControl w:val="0"/>
              <w:tabs>
                <w:tab w:val="clear" w:pos="567"/>
              </w:tabs>
              <w:autoSpaceDE w:val="0"/>
              <w:autoSpaceDN w:val="0"/>
              <w:spacing w:line="240" w:lineRule="auto"/>
              <w:rPr>
                <w:snapToGrid/>
                <w:szCs w:val="22"/>
                <w:lang w:val="lt-LT"/>
              </w:rPr>
            </w:pPr>
          </w:p>
        </w:tc>
        <w:tc>
          <w:tcPr>
            <w:tcW w:w="1980" w:type="dxa"/>
            <w:vAlign w:val="center"/>
          </w:tcPr>
          <w:p w14:paraId="190E695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p w14:paraId="58EB30C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2 798</w:t>
            </w:r>
          </w:p>
          <w:p w14:paraId="51BC034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09" w:type="dxa"/>
            <w:vAlign w:val="center"/>
          </w:tcPr>
          <w:p w14:paraId="34D6E70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36ACE44"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2 780</w:t>
            </w:r>
          </w:p>
          <w:p w14:paraId="2377D9C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2071" w:type="dxa"/>
            <w:vAlign w:val="center"/>
          </w:tcPr>
          <w:p w14:paraId="47EB51C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989" w:type="dxa"/>
            <w:vAlign w:val="center"/>
          </w:tcPr>
          <w:p w14:paraId="29AE3EDA"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890384" w14:paraId="12EC9DC3" w14:textId="77777777">
        <w:trPr>
          <w:trHeight w:val="280"/>
        </w:trPr>
        <w:tc>
          <w:tcPr>
            <w:tcW w:w="2127" w:type="dxa"/>
          </w:tcPr>
          <w:p w14:paraId="5ADED5F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80" w:type="dxa"/>
          </w:tcPr>
          <w:p w14:paraId="31C3641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45 (1,41)</w:t>
            </w:r>
          </w:p>
        </w:tc>
        <w:tc>
          <w:tcPr>
            <w:tcW w:w="1709" w:type="dxa"/>
          </w:tcPr>
          <w:p w14:paraId="2FE457E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29 (0,92)</w:t>
            </w:r>
          </w:p>
        </w:tc>
        <w:tc>
          <w:tcPr>
            <w:tcW w:w="2071" w:type="dxa"/>
          </w:tcPr>
          <w:p w14:paraId="660DB2B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1,54 (0,96, 2,45)</w:t>
            </w:r>
          </w:p>
        </w:tc>
        <w:tc>
          <w:tcPr>
            <w:tcW w:w="989" w:type="dxa"/>
          </w:tcPr>
          <w:p w14:paraId="368E7A0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0,0716</w:t>
            </w:r>
          </w:p>
        </w:tc>
      </w:tr>
      <w:tr w:rsidR="00890384" w14:paraId="5649BACC" w14:textId="77777777">
        <w:trPr>
          <w:trHeight w:val="268"/>
        </w:trPr>
        <w:tc>
          <w:tcPr>
            <w:tcW w:w="2127" w:type="dxa"/>
          </w:tcPr>
          <w:p w14:paraId="1A6D0A4C"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Mirtinas, n</w:t>
            </w:r>
          </w:p>
        </w:tc>
        <w:tc>
          <w:tcPr>
            <w:tcW w:w="1980" w:type="dxa"/>
          </w:tcPr>
          <w:p w14:paraId="6430D1E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1709" w:type="dxa"/>
          </w:tcPr>
          <w:p w14:paraId="3FF0C7D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2071" w:type="dxa"/>
          </w:tcPr>
          <w:p w14:paraId="133006F6"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989" w:type="dxa"/>
          </w:tcPr>
          <w:p w14:paraId="3487BC26"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02C32BE6" w14:textId="77777777">
        <w:trPr>
          <w:trHeight w:val="310"/>
        </w:trPr>
        <w:tc>
          <w:tcPr>
            <w:tcW w:w="2127" w:type="dxa"/>
          </w:tcPr>
          <w:p w14:paraId="658FF867" w14:textId="77777777" w:rsidR="00890384" w:rsidRDefault="00B26795">
            <w:pPr>
              <w:widowControl w:val="0"/>
              <w:tabs>
                <w:tab w:val="clear" w:pos="567"/>
              </w:tabs>
              <w:autoSpaceDE w:val="0"/>
              <w:autoSpaceDN w:val="0"/>
              <w:spacing w:line="240" w:lineRule="auto"/>
              <w:ind w:left="270"/>
              <w:rPr>
                <w:snapToGrid/>
                <w:szCs w:val="22"/>
                <w:lang w:val="lt-LT"/>
              </w:rPr>
            </w:pPr>
            <w:r>
              <w:rPr>
                <w:snapToGrid/>
                <w:szCs w:val="22"/>
                <w:lang w:val="lt-LT"/>
              </w:rPr>
              <w:t>Intrakranijinis,  n</w:t>
            </w:r>
          </w:p>
        </w:tc>
        <w:tc>
          <w:tcPr>
            <w:tcW w:w="1980" w:type="dxa"/>
          </w:tcPr>
          <w:p w14:paraId="5F396E8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(0,34)</w:t>
            </w:r>
          </w:p>
        </w:tc>
        <w:tc>
          <w:tcPr>
            <w:tcW w:w="1709" w:type="dxa"/>
          </w:tcPr>
          <w:p w14:paraId="3951BBC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(0,35)</w:t>
            </w:r>
          </w:p>
        </w:tc>
        <w:tc>
          <w:tcPr>
            <w:tcW w:w="2071" w:type="dxa"/>
          </w:tcPr>
          <w:p w14:paraId="0F9CDA58"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989" w:type="dxa"/>
          </w:tcPr>
          <w:p w14:paraId="0F7125C8"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5EB56D1D" w14:textId="77777777">
        <w:trPr>
          <w:trHeight w:val="278"/>
        </w:trPr>
        <w:tc>
          <w:tcPr>
            <w:tcW w:w="2127" w:type="dxa"/>
          </w:tcPr>
          <w:p w14:paraId="1477B98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80" w:type="dxa"/>
          </w:tcPr>
          <w:p w14:paraId="5016030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140 (4,46)</w:t>
            </w:r>
          </w:p>
        </w:tc>
        <w:tc>
          <w:tcPr>
            <w:tcW w:w="1709" w:type="dxa"/>
          </w:tcPr>
          <w:p w14:paraId="777F2C3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101 (3,24)</w:t>
            </w:r>
          </w:p>
        </w:tc>
        <w:tc>
          <w:tcPr>
            <w:tcW w:w="2071" w:type="dxa"/>
          </w:tcPr>
          <w:p w14:paraId="64CFF97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1,38 (1,07, 1,78)</w:t>
            </w:r>
          </w:p>
        </w:tc>
        <w:tc>
          <w:tcPr>
            <w:tcW w:w="989" w:type="dxa"/>
          </w:tcPr>
          <w:p w14:paraId="19A15E9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0,0144</w:t>
            </w:r>
          </w:p>
        </w:tc>
      </w:tr>
      <w:tr w:rsidR="00890384" w14:paraId="02F61F96" w14:textId="77777777">
        <w:trPr>
          <w:trHeight w:val="96"/>
        </w:trPr>
        <w:tc>
          <w:tcPr>
            <w:tcW w:w="2127" w:type="dxa"/>
          </w:tcPr>
          <w:p w14:paraId="7127D13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1980" w:type="dxa"/>
          </w:tcPr>
          <w:p w14:paraId="1F92297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325 (10,85)</w:t>
            </w:r>
          </w:p>
        </w:tc>
        <w:tc>
          <w:tcPr>
            <w:tcW w:w="1709" w:type="dxa"/>
          </w:tcPr>
          <w:p w14:paraId="454D5EB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250 (8,32)</w:t>
            </w:r>
          </w:p>
        </w:tc>
        <w:tc>
          <w:tcPr>
            <w:tcW w:w="2071" w:type="dxa"/>
          </w:tcPr>
          <w:p w14:paraId="4437A44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1,30 (1,10, 1,53)</w:t>
            </w:r>
          </w:p>
        </w:tc>
        <w:tc>
          <w:tcPr>
            <w:tcW w:w="989" w:type="dxa"/>
          </w:tcPr>
          <w:p w14:paraId="25A696D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0,0017</w:t>
            </w:r>
          </w:p>
        </w:tc>
      </w:tr>
    </w:tbl>
    <w:p w14:paraId="372670AB" w14:textId="77777777" w:rsidR="00890384" w:rsidRDefault="00B26795">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International Society on Thrombosis and Haemostasis [ISTH]</w:t>
      </w:r>
      <w:r>
        <w:rPr>
          <w:snapToGrid/>
          <w:sz w:val="20"/>
          <w:szCs w:val="22"/>
          <w:lang w:val="lt-LT"/>
        </w:rPr>
        <w:t>) kriterijus.</w:t>
      </w:r>
    </w:p>
    <w:p w14:paraId="58BD2C49" w14:textId="77777777" w:rsidR="00890384" w:rsidRDefault="00B26795">
      <w:pPr>
        <w:widowControl w:val="0"/>
        <w:tabs>
          <w:tab w:val="clear" w:pos="567"/>
        </w:tabs>
        <w:autoSpaceDE w:val="0"/>
        <w:autoSpaceDN w:val="0"/>
        <w:spacing w:line="240" w:lineRule="auto"/>
        <w:ind w:left="360" w:hanging="360"/>
        <w:rPr>
          <w:snapToGrid/>
          <w:sz w:val="20"/>
          <w:szCs w:val="22"/>
          <w:lang w:val="lt-LT"/>
        </w:rPr>
      </w:pPr>
      <w:r>
        <w:rPr>
          <w:snapToGrid/>
          <w:sz w:val="20"/>
          <w:szCs w:val="22"/>
          <w:vertAlign w:val="superscript"/>
          <w:lang w:val="lt-LT"/>
        </w:rPr>
        <w:t>†</w:t>
      </w:r>
      <w:r>
        <w:rPr>
          <w:snapToGrid/>
          <w:sz w:val="20"/>
          <w:szCs w:val="22"/>
          <w:lang w:val="lt-LT"/>
        </w:rPr>
        <w:t xml:space="preserve"> Kliniškai reikšmingas, nestiprus.</w:t>
      </w:r>
    </w:p>
    <w:p w14:paraId="6C58C708" w14:textId="77777777" w:rsidR="00890384" w:rsidRDefault="00890384">
      <w:pPr>
        <w:widowControl w:val="0"/>
        <w:tabs>
          <w:tab w:val="clear" w:pos="567"/>
        </w:tabs>
        <w:autoSpaceDE w:val="0"/>
        <w:autoSpaceDN w:val="0"/>
        <w:spacing w:line="240" w:lineRule="auto"/>
        <w:rPr>
          <w:i/>
          <w:snapToGrid/>
          <w:szCs w:val="22"/>
          <w:u w:val="single"/>
          <w:lang w:val="lt-LT"/>
        </w:rPr>
      </w:pPr>
    </w:p>
    <w:p w14:paraId="24D867EF"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pasireiškė VNPV ir sirgo ŪKS, ir (arba) kuriems atlikta PVAI</w:t>
      </w:r>
    </w:p>
    <w:p w14:paraId="1D17F03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Atvirame atsitiktinių imčių, kontroliuojamame, 2 x 2 veiksnių modelio tyrime AUGUSTUS dalyvavo 4 614 VNPV patyrusių suaugusių pacientų, kurie sirgo ŪKS (43 %) ir (arba) kuriems atlikta PVAI (56 %). Visiems pacientams skirtas bazinis gydymas P2Y12 inhibitoriumi (klopidogreliu: 90,3 %) pagal vietos sveikatos priežiūros standartą.</w:t>
      </w:r>
    </w:p>
    <w:p w14:paraId="3A66AD18" w14:textId="77777777" w:rsidR="00890384" w:rsidRDefault="00890384">
      <w:pPr>
        <w:widowControl w:val="0"/>
        <w:tabs>
          <w:tab w:val="clear" w:pos="567"/>
        </w:tabs>
        <w:autoSpaceDE w:val="0"/>
        <w:autoSpaceDN w:val="0"/>
        <w:spacing w:line="240" w:lineRule="auto"/>
        <w:rPr>
          <w:snapToGrid/>
          <w:szCs w:val="22"/>
          <w:lang w:val="lt-LT"/>
        </w:rPr>
      </w:pPr>
    </w:p>
    <w:p w14:paraId="100B400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Pacientai per 14 dienų po ŪKS ir (arba) PVAI laikotarpį atsitiktinių imčių būdu buvo priskirti vartoti po 5 mg apiksabano du kartus per parą (po 2,5 mg du kartus per parą, jeigu atitiko du arba daugiau dozės mažinimo kriterijų; 10 % vartojo mažesnę dozę) arba VKA, kartu skiriant ASR (81 mg vieną kartą per parą) arba placebo. Pacientų amžiaus vidurkis buvo 69,9 metų; 94 % atsitiktinėms imtims priskirtų pacientų nustatytas &gt; 2 balų vertinimas pagal CHA2DS</w:t>
      </w:r>
      <w:r>
        <w:rPr>
          <w:snapToGrid/>
          <w:szCs w:val="22"/>
          <w:vertAlign w:val="subscript"/>
          <w:lang w:val="lt-LT"/>
        </w:rPr>
        <w:t>2</w:t>
      </w:r>
      <w:r>
        <w:rPr>
          <w:snapToGrid/>
          <w:szCs w:val="22"/>
          <w:lang w:val="lt-LT"/>
        </w:rPr>
        <w:t>-VASc, o 47 % nustatytas &gt; 3 balų vertinimas pagal HAS-BLED. Pacientų, kuriems atsitiktinių imčių būdu buvo skirta vartoti VKA, laiko, kai vertės atitiko terapines ribas (TTR) (TNS 2–3), proporcinė dalis siekė 56 %; laiko, kai vertės buvo mažesnės nei TTR – 32 %, o laiko, kai vertės buvo aukštesnės už TTR –12 %.</w:t>
      </w:r>
    </w:p>
    <w:p w14:paraId="1AA3D28A" w14:textId="77777777" w:rsidR="00890384" w:rsidRDefault="00890384">
      <w:pPr>
        <w:widowControl w:val="0"/>
        <w:tabs>
          <w:tab w:val="clear" w:pos="567"/>
        </w:tabs>
        <w:autoSpaceDE w:val="0"/>
        <w:autoSpaceDN w:val="0"/>
        <w:spacing w:line="240" w:lineRule="auto"/>
        <w:rPr>
          <w:snapToGrid/>
          <w:szCs w:val="22"/>
          <w:lang w:val="lt-LT"/>
        </w:rPr>
      </w:pPr>
    </w:p>
    <w:p w14:paraId="19D0BFF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241 (10,5 %) pacientui apiksabano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kvartilės TTR. Kraujavimų dažnis apiksabano ir didžiausio kvartilio TTR pogrupiuose buvo panašus.</w:t>
      </w:r>
    </w:p>
    <w:p w14:paraId="78622E2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Palyginus ASR su placebu, pirminė vertinamoji baigtis stiprus kraujavimas pagal ISTH</w:t>
      </w:r>
      <w:r>
        <w:rPr>
          <w:i/>
          <w:snapToGrid/>
          <w:szCs w:val="22"/>
          <w:lang w:val="lt-LT"/>
        </w:rPr>
        <w:t xml:space="preserve"> </w:t>
      </w:r>
      <w:r>
        <w:rPr>
          <w:snapToGrid/>
          <w:szCs w:val="22"/>
          <w:lang w:val="lt-LT"/>
        </w:rPr>
        <w:t>arba KRNS kraujavimas 6-ąjį mėnesį nustatyta atitinkamai 367 (16,1 %) pacientams ASR grupėje ir 204 (9,0 %) pacientams placebo grupėje (SR = 1,88; 95 % PI: 1,58; 2,23; dvipusio kriterijaus p &lt; 0,0001).</w:t>
      </w:r>
    </w:p>
    <w:p w14:paraId="6991F89E" w14:textId="77777777" w:rsidR="00890384" w:rsidRDefault="00890384">
      <w:pPr>
        <w:widowControl w:val="0"/>
        <w:tabs>
          <w:tab w:val="clear" w:pos="567"/>
        </w:tabs>
        <w:autoSpaceDE w:val="0"/>
        <w:autoSpaceDN w:val="0"/>
        <w:spacing w:line="240" w:lineRule="auto"/>
        <w:rPr>
          <w:snapToGrid/>
          <w:szCs w:val="22"/>
          <w:lang w:val="lt-LT"/>
        </w:rPr>
      </w:pPr>
    </w:p>
    <w:p w14:paraId="1FFBACE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Nagrinėjant konkrečiai, apiksabanu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1523E14C" w14:textId="77777777" w:rsidR="00890384" w:rsidRDefault="00890384">
      <w:pPr>
        <w:widowControl w:val="0"/>
        <w:tabs>
          <w:tab w:val="clear" w:pos="567"/>
        </w:tabs>
        <w:autoSpaceDE w:val="0"/>
        <w:autoSpaceDN w:val="0"/>
        <w:spacing w:line="240" w:lineRule="auto"/>
        <w:rPr>
          <w:snapToGrid/>
          <w:szCs w:val="22"/>
          <w:lang w:val="lt-LT"/>
        </w:rPr>
      </w:pPr>
    </w:p>
    <w:p w14:paraId="1C86E4D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Kiti gydymo poveikiai vertinti kaip antrinis tyrimo tikslas, atsižvelgiant į sudėtines vertinamąsias baigtis.</w:t>
      </w:r>
    </w:p>
    <w:p w14:paraId="7E0704B1" w14:textId="77777777" w:rsidR="00890384" w:rsidRDefault="00890384">
      <w:pPr>
        <w:widowControl w:val="0"/>
        <w:tabs>
          <w:tab w:val="clear" w:pos="567"/>
        </w:tabs>
        <w:autoSpaceDE w:val="0"/>
        <w:autoSpaceDN w:val="0"/>
        <w:spacing w:line="240" w:lineRule="auto"/>
        <w:rPr>
          <w:snapToGrid/>
          <w:szCs w:val="22"/>
          <w:lang w:val="lt-LT"/>
        </w:rPr>
      </w:pPr>
    </w:p>
    <w:p w14:paraId="6E4BF7A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skubi revaskuliarizacija) nustatyta atitinkamai 170 (7,4 %) pacientų apiksabano grupėje ir 182 (7,9 %) pacientams VKA grupėje.</w:t>
      </w:r>
    </w:p>
    <w:p w14:paraId="7368BD86" w14:textId="77777777" w:rsidR="00890384" w:rsidRDefault="00890384">
      <w:pPr>
        <w:widowControl w:val="0"/>
        <w:tabs>
          <w:tab w:val="clear" w:pos="567"/>
        </w:tabs>
        <w:autoSpaceDE w:val="0"/>
        <w:autoSpaceDN w:val="0"/>
        <w:spacing w:line="240" w:lineRule="auto"/>
        <w:rPr>
          <w:snapToGrid/>
          <w:szCs w:val="22"/>
          <w:lang w:val="lt-LT"/>
        </w:rPr>
      </w:pPr>
    </w:p>
    <w:p w14:paraId="143BA14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Palyginus ASR su placebu, sudėtinė vertinamoji baigtis „mirtis arba kartotinė hospitalizacija“ nustatyta atitinkamai 604 (26,2 %) pacientams ASR grupėje ir 569 (24,7 %) pacientams placebo grupėje.</w:t>
      </w:r>
    </w:p>
    <w:p w14:paraId="4EA64A4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Sudėtinė vertinamoji baigtis „mirtis arba išeminis įvykis“ (insultas, miokardo infarktas, stento trombozė arba skubi revaskuliarizacija) nustatyta atitinkamai 163 (7,1 %) pacientams ASR grupėje ir 189 (8,2 %) pacientams placebo grupėje.</w:t>
      </w:r>
    </w:p>
    <w:p w14:paraId="5C7B5AF5" w14:textId="77777777" w:rsidR="00890384" w:rsidRDefault="00890384">
      <w:pPr>
        <w:widowControl w:val="0"/>
        <w:tabs>
          <w:tab w:val="clear" w:pos="567"/>
        </w:tabs>
        <w:autoSpaceDE w:val="0"/>
        <w:autoSpaceDN w:val="0"/>
        <w:spacing w:line="240" w:lineRule="auto"/>
        <w:rPr>
          <w:snapToGrid/>
          <w:szCs w:val="22"/>
          <w:lang w:val="lt-LT"/>
        </w:rPr>
      </w:pPr>
    </w:p>
    <w:p w14:paraId="035D3D74" w14:textId="77777777" w:rsidR="00890384" w:rsidRDefault="00B26795">
      <w:pPr>
        <w:widowControl w:val="0"/>
        <w:tabs>
          <w:tab w:val="clear" w:pos="567"/>
        </w:tabs>
        <w:autoSpaceDE w:val="0"/>
        <w:autoSpaceDN w:val="0"/>
        <w:spacing w:line="240" w:lineRule="auto"/>
        <w:rPr>
          <w:i/>
          <w:iCs/>
          <w:snapToGrid/>
          <w:szCs w:val="22"/>
          <w:u w:val="single"/>
          <w:lang w:val="lt-LT"/>
        </w:rPr>
      </w:pPr>
      <w:r>
        <w:rPr>
          <w:i/>
          <w:iCs/>
          <w:snapToGrid/>
          <w:szCs w:val="22"/>
          <w:u w:val="single"/>
          <w:lang w:val="lt-LT"/>
        </w:rPr>
        <w:t>Pacientams, kuriems atliekama kardioversija</w:t>
      </w:r>
    </w:p>
    <w:p w14:paraId="2B0B337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Atvirame daugiacentriame tyrime EMANATE dalyvavo 1500  suaugusių pacientų, kuriems paskirta kardioversija dėl VNPV ir kurie anksčiau nesigydė per burną vartojamais antikoaguliantais arba jais buvo gydomi mažiau kaip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w:t>
      </w:r>
    </w:p>
    <w:p w14:paraId="67C1B856" w14:textId="77777777" w:rsidR="00890384" w:rsidRDefault="00890384">
      <w:pPr>
        <w:widowControl w:val="0"/>
        <w:tabs>
          <w:tab w:val="clear" w:pos="567"/>
        </w:tabs>
        <w:autoSpaceDE w:val="0"/>
        <w:autoSpaceDN w:val="0"/>
        <w:spacing w:line="240" w:lineRule="auto"/>
        <w:rPr>
          <w:snapToGrid/>
          <w:szCs w:val="22"/>
          <w:lang w:val="lt-LT"/>
        </w:rPr>
      </w:pPr>
    </w:p>
    <w:p w14:paraId="0DC9BB3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grupėje insultų nebuvo (0 %) (n = 753), o heparino ir (arba) VKA grupėje įvyko 6 (0,80 %) insultai (n = 747; RS 0,00; 95 % PI 0,00; 0,64). Dėl įvairių priežasčių mirė 2 pacientai (0,27 %) apiksabano grupėje ir 1 pacientas (0,13 %) heparino ir (arba) VKA grupėje. Apie sisteminės embolijos reiškinius pranešimų negauta.</w:t>
      </w:r>
    </w:p>
    <w:p w14:paraId="0F20367A" w14:textId="77777777" w:rsidR="00890384" w:rsidRDefault="00890384">
      <w:pPr>
        <w:widowControl w:val="0"/>
        <w:tabs>
          <w:tab w:val="clear" w:pos="567"/>
        </w:tabs>
        <w:autoSpaceDE w:val="0"/>
        <w:autoSpaceDN w:val="0"/>
        <w:spacing w:line="240" w:lineRule="auto"/>
        <w:rPr>
          <w:snapToGrid/>
          <w:szCs w:val="22"/>
          <w:lang w:val="lt-LT"/>
        </w:rPr>
      </w:pPr>
    </w:p>
    <w:p w14:paraId="61D6A5B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Stipraus kraujavimo ir KRNS kraujavimo reiškinių atitinkamai patyrė 3 (0,41 %) ir 11 (1,50 %) pacientų apiksabano grupėje, palyginti su 6 (0,83 %) ir 13 (1,80 %) pacientų heparino ir (arba) VKA grupėje.</w:t>
      </w:r>
    </w:p>
    <w:p w14:paraId="02A00439" w14:textId="77777777" w:rsidR="00890384" w:rsidRDefault="00890384">
      <w:pPr>
        <w:widowControl w:val="0"/>
        <w:tabs>
          <w:tab w:val="clear" w:pos="567"/>
        </w:tabs>
        <w:autoSpaceDE w:val="0"/>
        <w:autoSpaceDN w:val="0"/>
        <w:spacing w:line="240" w:lineRule="auto"/>
        <w:rPr>
          <w:snapToGrid/>
          <w:szCs w:val="22"/>
          <w:lang w:val="lt-LT"/>
        </w:rPr>
      </w:pPr>
    </w:p>
    <w:p w14:paraId="4FCEAEA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Šis žvalgomasis tyrimas parodė, kad veiksmingumas ir saugumas apiksabano ir heparino bei (arba) VKA grupėse, vaistinių preparatų skiriant prieš kardioversiją, yra panašūs.</w:t>
      </w:r>
    </w:p>
    <w:p w14:paraId="470F6CD4" w14:textId="77777777" w:rsidR="00890384" w:rsidRDefault="00890384">
      <w:pPr>
        <w:widowControl w:val="0"/>
        <w:tabs>
          <w:tab w:val="clear" w:pos="567"/>
        </w:tabs>
        <w:autoSpaceDE w:val="0"/>
        <w:autoSpaceDN w:val="0"/>
        <w:spacing w:line="240" w:lineRule="auto"/>
        <w:rPr>
          <w:snapToGrid/>
          <w:szCs w:val="22"/>
          <w:lang w:val="lt-LT"/>
        </w:rPr>
      </w:pPr>
    </w:p>
    <w:p w14:paraId="35CECCEB"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GVT gydymas, PE gydymas ir pasikartojančios GVT bei PE (VTEt) profilaktika</w:t>
      </w:r>
    </w:p>
    <w:p w14:paraId="59982D4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Klinikinė programa (AMPLIFY: apiksabanas, palyginti su enoksaparinu/varfarinu; AMPLIFY-EXT: apiksabanas, palyginti su placebu) buvo suplanuota taip, kad parodytų apiksabano veiksmingumą ir saugumą gydant GVT ir (arba) PE (AMPLIFY) ir kai po 6–12 mėnesių trukmės GVT ir (arba) PE gydymo </w:t>
      </w:r>
      <w:r>
        <w:rPr>
          <w:snapToGrid/>
          <w:szCs w:val="22"/>
          <w:lang w:val="lt-LT"/>
        </w:rPr>
        <w:lastRenderedPageBreak/>
        <w:t>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koduotu būdu išnagrinėjo nepriklausomas komitetas.</w:t>
      </w:r>
    </w:p>
    <w:p w14:paraId="3E0E2229" w14:textId="77777777" w:rsidR="00890384" w:rsidRDefault="00890384">
      <w:pPr>
        <w:widowControl w:val="0"/>
        <w:tabs>
          <w:tab w:val="clear" w:pos="567"/>
        </w:tabs>
        <w:autoSpaceDE w:val="0"/>
        <w:autoSpaceDN w:val="0"/>
        <w:spacing w:line="240" w:lineRule="auto"/>
        <w:rPr>
          <w:snapToGrid/>
          <w:szCs w:val="22"/>
          <w:lang w:val="lt-LT"/>
        </w:rPr>
      </w:pPr>
    </w:p>
    <w:p w14:paraId="3F41542A"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AMPLIFY tyrimas</w:t>
      </w:r>
    </w:p>
    <w:p w14:paraId="48469DD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Į AMPLIFY tyrimą atsitiktiniu būdu iš viso buvo atrinkti 5 395  suaugę pacientai, kurie buvo gydomi per burną vartojamu apiksabanu (7 paras du kartus per parą po 10 mg, po to 6 mėnesius du kartus per parą po 5 mg) arba po oda skiriamu enoksaparinu (bent 5 paras du kartus per parą po 1 mg/kg [tol, kol TNS pasieks ≥ 2]) ir 6 mėnesius per burną vartojamu varfarinu (tikslinis TNS: 2,0–3,0).</w:t>
      </w:r>
    </w:p>
    <w:p w14:paraId="5822C927" w14:textId="77777777" w:rsidR="00890384" w:rsidRDefault="00890384">
      <w:pPr>
        <w:widowControl w:val="0"/>
        <w:tabs>
          <w:tab w:val="clear" w:pos="567"/>
        </w:tabs>
        <w:autoSpaceDE w:val="0"/>
        <w:autoSpaceDN w:val="0"/>
        <w:spacing w:line="240" w:lineRule="auto"/>
        <w:rPr>
          <w:snapToGrid/>
          <w:szCs w:val="22"/>
          <w:lang w:val="lt-LT"/>
        </w:rPr>
      </w:pPr>
    </w:p>
    <w:p w14:paraId="498BBAE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Vidutinis tiriamųjų amžius buvo 56,9 m. ir 89,8 % atsitiktinėms imtims priskirtų pacientų buvo patyrę neišprovokuotų VTE reiškinių.</w:t>
      </w:r>
    </w:p>
    <w:p w14:paraId="108E12AD" w14:textId="77777777" w:rsidR="00890384" w:rsidRDefault="00890384">
      <w:pPr>
        <w:widowControl w:val="0"/>
        <w:tabs>
          <w:tab w:val="clear" w:pos="567"/>
        </w:tabs>
        <w:autoSpaceDE w:val="0"/>
        <w:autoSpaceDN w:val="0"/>
        <w:spacing w:line="240" w:lineRule="auto"/>
        <w:rPr>
          <w:snapToGrid/>
          <w:szCs w:val="22"/>
          <w:lang w:val="lt-LT"/>
        </w:rPr>
      </w:pPr>
    </w:p>
    <w:p w14:paraId="356F39C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Pacientų, kuriems atsitiktiniu būdu buvo paskirta vartoti varfarino, vidutinis procentinis laikas terapinėse ribose (TNS 2,0–3,0)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enoksaparinu/varfarinu, buvo 0,79 (95 % PI, 0,39, 1,61).</w:t>
      </w:r>
    </w:p>
    <w:p w14:paraId="0707A930" w14:textId="77777777" w:rsidR="00890384" w:rsidRDefault="00890384">
      <w:pPr>
        <w:widowControl w:val="0"/>
        <w:tabs>
          <w:tab w:val="clear" w:pos="567"/>
        </w:tabs>
        <w:autoSpaceDE w:val="0"/>
        <w:autoSpaceDN w:val="0"/>
        <w:spacing w:line="240" w:lineRule="auto"/>
        <w:rPr>
          <w:snapToGrid/>
          <w:szCs w:val="22"/>
          <w:lang w:val="lt-LT"/>
        </w:rPr>
      </w:pPr>
    </w:p>
    <w:p w14:paraId="4BF24485" w14:textId="1822CE07" w:rsidR="00890384" w:rsidRDefault="00B26795">
      <w:pPr>
        <w:keepNext/>
        <w:widowControl w:val="0"/>
        <w:tabs>
          <w:tab w:val="clear" w:pos="567"/>
        </w:tabs>
        <w:autoSpaceDE w:val="0"/>
        <w:autoSpaceDN w:val="0"/>
        <w:spacing w:line="240" w:lineRule="auto"/>
        <w:rPr>
          <w:snapToGrid/>
          <w:szCs w:val="22"/>
          <w:lang w:val="lt-LT"/>
        </w:rPr>
      </w:pPr>
      <w:r>
        <w:rPr>
          <w:snapToGrid/>
          <w:szCs w:val="22"/>
          <w:lang w:val="lt-LT"/>
        </w:rPr>
        <w:t xml:space="preserve">Šio tyrimo duomenys rodo, kad, vertinant pagal sudėtinę pagrindinę baigtį (t. y. pagal pripažintų pasikartojančių simptominių VTE reiškinių (nemirtinos GVT arba nemirtinos PE) arba su VTE susijusios mirties atvejų skaičių), gydymas enoksaparinu/varfarinu nebuvo blogesnis (angl. </w:t>
      </w:r>
      <w:r>
        <w:rPr>
          <w:i/>
          <w:snapToGrid/>
          <w:szCs w:val="22"/>
          <w:lang w:val="lt-LT"/>
        </w:rPr>
        <w:t>non-inferior</w:t>
      </w:r>
      <w:r>
        <w:rPr>
          <w:snapToGrid/>
          <w:szCs w:val="22"/>
          <w:lang w:val="lt-LT"/>
        </w:rPr>
        <w:t>) už gydymą apiksabanu (žr. 9 lentelę).</w:t>
      </w:r>
    </w:p>
    <w:p w14:paraId="283B70FE" w14:textId="77777777" w:rsidR="00890384" w:rsidRDefault="00890384">
      <w:pPr>
        <w:keepNext/>
        <w:widowControl w:val="0"/>
        <w:tabs>
          <w:tab w:val="clear" w:pos="567"/>
        </w:tabs>
        <w:autoSpaceDE w:val="0"/>
        <w:autoSpaceDN w:val="0"/>
        <w:spacing w:line="240" w:lineRule="auto"/>
        <w:rPr>
          <w:snapToGrid/>
          <w:szCs w:val="22"/>
          <w:lang w:val="lt-LT"/>
        </w:rPr>
      </w:pPr>
    </w:p>
    <w:p w14:paraId="0B6A8F7A" w14:textId="0A46974C" w:rsidR="00890384" w:rsidRDefault="00B26795">
      <w:pPr>
        <w:keepNext/>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 xml:space="preserve">9 lentelė. </w:t>
      </w:r>
      <w:r>
        <w:rPr>
          <w:b/>
          <w:bCs/>
          <w:iCs/>
          <w:snapToGrid/>
          <w:szCs w:val="22"/>
          <w:lang w:val="lt-LT"/>
        </w:rPr>
        <w:t>AMPLIFY</w:t>
      </w:r>
      <w:r>
        <w:rPr>
          <w:b/>
          <w:bCs/>
          <w:snapToGrid/>
          <w:szCs w:val="22"/>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890384" w14:paraId="52C06154" w14:textId="77777777">
        <w:trPr>
          <w:trHeight w:val="841"/>
        </w:trPr>
        <w:tc>
          <w:tcPr>
            <w:tcW w:w="3070" w:type="dxa"/>
          </w:tcPr>
          <w:p w14:paraId="120EEE93" w14:textId="77777777" w:rsidR="00890384" w:rsidRDefault="00890384">
            <w:pPr>
              <w:keepNext/>
              <w:widowControl w:val="0"/>
              <w:tabs>
                <w:tab w:val="clear" w:pos="567"/>
              </w:tabs>
              <w:autoSpaceDE w:val="0"/>
              <w:autoSpaceDN w:val="0"/>
              <w:spacing w:line="240" w:lineRule="auto"/>
              <w:rPr>
                <w:snapToGrid/>
                <w:szCs w:val="22"/>
                <w:lang w:val="lt-LT"/>
              </w:rPr>
            </w:pPr>
          </w:p>
        </w:tc>
        <w:tc>
          <w:tcPr>
            <w:tcW w:w="1560" w:type="dxa"/>
          </w:tcPr>
          <w:p w14:paraId="61E33A2B"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Apiksabanas </w:t>
            </w:r>
          </w:p>
          <w:p w14:paraId="653B695F"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N = 2 609</w:t>
            </w:r>
          </w:p>
          <w:p w14:paraId="334654FA"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1985" w:type="dxa"/>
          </w:tcPr>
          <w:p w14:paraId="2C36D124"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Enoksaparinas / varfarinas</w:t>
            </w:r>
          </w:p>
          <w:p w14:paraId="4E020F25"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N = 2 635 </w:t>
            </w:r>
          </w:p>
          <w:p w14:paraId="400BD9B4"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981" w:type="dxa"/>
          </w:tcPr>
          <w:p w14:paraId="21ABB160" w14:textId="77777777" w:rsidR="00890384" w:rsidRDefault="00B26795">
            <w:pPr>
              <w:keepNext/>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890384" w14:paraId="00D0F8DB" w14:textId="77777777">
        <w:trPr>
          <w:trHeight w:val="385"/>
        </w:trPr>
        <w:tc>
          <w:tcPr>
            <w:tcW w:w="3070" w:type="dxa"/>
          </w:tcPr>
          <w:p w14:paraId="3962A8DC" w14:textId="77777777" w:rsidR="00890384" w:rsidRDefault="00B26795">
            <w:pPr>
              <w:keepNext/>
              <w:widowControl w:val="0"/>
              <w:tabs>
                <w:tab w:val="clear" w:pos="567"/>
              </w:tabs>
              <w:autoSpaceDE w:val="0"/>
              <w:autoSpaceDN w:val="0"/>
              <w:spacing w:line="240" w:lineRule="auto"/>
              <w:rPr>
                <w:snapToGrid/>
                <w:szCs w:val="22"/>
                <w:lang w:val="lt-LT"/>
              </w:rPr>
            </w:pPr>
            <w:r>
              <w:rPr>
                <w:snapToGrid/>
                <w:szCs w:val="22"/>
                <w:lang w:val="lt-LT"/>
              </w:rPr>
              <w:t>VTE arba su VTE susijusi mirtis</w:t>
            </w:r>
          </w:p>
        </w:tc>
        <w:tc>
          <w:tcPr>
            <w:tcW w:w="1560" w:type="dxa"/>
          </w:tcPr>
          <w:p w14:paraId="18F4D57E"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59 (2,3)</w:t>
            </w:r>
          </w:p>
        </w:tc>
        <w:tc>
          <w:tcPr>
            <w:tcW w:w="1985" w:type="dxa"/>
          </w:tcPr>
          <w:p w14:paraId="03AF06E3"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71 (2,7)</w:t>
            </w:r>
          </w:p>
        </w:tc>
        <w:tc>
          <w:tcPr>
            <w:tcW w:w="2981" w:type="dxa"/>
          </w:tcPr>
          <w:p w14:paraId="6CA7EA36"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0,84 (0,60, 1,18)*</w:t>
            </w:r>
          </w:p>
        </w:tc>
      </w:tr>
      <w:tr w:rsidR="00890384" w14:paraId="79DCA01D" w14:textId="77777777">
        <w:trPr>
          <w:trHeight w:val="371"/>
        </w:trPr>
        <w:tc>
          <w:tcPr>
            <w:tcW w:w="3070" w:type="dxa"/>
          </w:tcPr>
          <w:p w14:paraId="6BE797F0" w14:textId="77777777" w:rsidR="00890384" w:rsidRDefault="00B26795">
            <w:pPr>
              <w:keepNext/>
              <w:widowControl w:val="0"/>
              <w:tabs>
                <w:tab w:val="clear" w:pos="567"/>
              </w:tabs>
              <w:autoSpaceDE w:val="0"/>
              <w:autoSpaceDN w:val="0"/>
              <w:spacing w:line="240" w:lineRule="auto"/>
              <w:ind w:left="340"/>
              <w:rPr>
                <w:snapToGrid/>
                <w:szCs w:val="22"/>
                <w:lang w:val="lt-LT"/>
              </w:rPr>
            </w:pPr>
            <w:r>
              <w:rPr>
                <w:snapToGrid/>
                <w:szCs w:val="22"/>
                <w:lang w:val="lt-LT"/>
              </w:rPr>
              <w:t>GVT</w:t>
            </w:r>
          </w:p>
        </w:tc>
        <w:tc>
          <w:tcPr>
            <w:tcW w:w="1560" w:type="dxa"/>
          </w:tcPr>
          <w:p w14:paraId="2EBCBCBD"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20 (0,7)</w:t>
            </w:r>
          </w:p>
        </w:tc>
        <w:tc>
          <w:tcPr>
            <w:tcW w:w="1985" w:type="dxa"/>
          </w:tcPr>
          <w:p w14:paraId="19A168EB"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33 (1,2)</w:t>
            </w:r>
          </w:p>
        </w:tc>
        <w:tc>
          <w:tcPr>
            <w:tcW w:w="2981" w:type="dxa"/>
          </w:tcPr>
          <w:p w14:paraId="6042B312" w14:textId="77777777" w:rsidR="00890384" w:rsidRDefault="00890384">
            <w:pPr>
              <w:keepNext/>
              <w:widowControl w:val="0"/>
              <w:tabs>
                <w:tab w:val="clear" w:pos="567"/>
              </w:tabs>
              <w:autoSpaceDE w:val="0"/>
              <w:autoSpaceDN w:val="0"/>
              <w:spacing w:line="240" w:lineRule="auto"/>
              <w:jc w:val="center"/>
              <w:rPr>
                <w:snapToGrid/>
                <w:szCs w:val="22"/>
                <w:lang w:val="lt-LT"/>
              </w:rPr>
            </w:pPr>
          </w:p>
        </w:tc>
      </w:tr>
      <w:tr w:rsidR="00890384" w14:paraId="0BA7CFA5" w14:textId="77777777">
        <w:trPr>
          <w:trHeight w:val="374"/>
        </w:trPr>
        <w:tc>
          <w:tcPr>
            <w:tcW w:w="3070" w:type="dxa"/>
          </w:tcPr>
          <w:p w14:paraId="1FF76BED" w14:textId="77777777" w:rsidR="00890384" w:rsidRDefault="00B26795">
            <w:pPr>
              <w:keepNext/>
              <w:widowControl w:val="0"/>
              <w:tabs>
                <w:tab w:val="clear" w:pos="567"/>
              </w:tabs>
              <w:autoSpaceDE w:val="0"/>
              <w:autoSpaceDN w:val="0"/>
              <w:spacing w:line="240" w:lineRule="auto"/>
              <w:ind w:left="340"/>
              <w:rPr>
                <w:snapToGrid/>
                <w:szCs w:val="22"/>
                <w:lang w:val="lt-LT"/>
              </w:rPr>
            </w:pPr>
            <w:r>
              <w:rPr>
                <w:snapToGrid/>
                <w:szCs w:val="22"/>
                <w:lang w:val="lt-LT"/>
              </w:rPr>
              <w:t>PE</w:t>
            </w:r>
          </w:p>
        </w:tc>
        <w:tc>
          <w:tcPr>
            <w:tcW w:w="1560" w:type="dxa"/>
          </w:tcPr>
          <w:p w14:paraId="71F43272"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27 (1,0)</w:t>
            </w:r>
          </w:p>
        </w:tc>
        <w:tc>
          <w:tcPr>
            <w:tcW w:w="1985" w:type="dxa"/>
          </w:tcPr>
          <w:p w14:paraId="404026F7"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23 (0,9)</w:t>
            </w:r>
          </w:p>
        </w:tc>
        <w:tc>
          <w:tcPr>
            <w:tcW w:w="2981" w:type="dxa"/>
          </w:tcPr>
          <w:p w14:paraId="7823ACC4" w14:textId="77777777" w:rsidR="00890384" w:rsidRDefault="00890384">
            <w:pPr>
              <w:keepNext/>
              <w:widowControl w:val="0"/>
              <w:tabs>
                <w:tab w:val="clear" w:pos="567"/>
              </w:tabs>
              <w:autoSpaceDE w:val="0"/>
              <w:autoSpaceDN w:val="0"/>
              <w:spacing w:line="240" w:lineRule="auto"/>
              <w:jc w:val="center"/>
              <w:rPr>
                <w:snapToGrid/>
                <w:szCs w:val="22"/>
                <w:lang w:val="lt-LT"/>
              </w:rPr>
            </w:pPr>
          </w:p>
        </w:tc>
      </w:tr>
      <w:tr w:rsidR="00890384" w14:paraId="1C1D31B8" w14:textId="77777777">
        <w:trPr>
          <w:trHeight w:val="373"/>
        </w:trPr>
        <w:tc>
          <w:tcPr>
            <w:tcW w:w="3070" w:type="dxa"/>
          </w:tcPr>
          <w:p w14:paraId="3FD5AAE8" w14:textId="77777777" w:rsidR="00890384" w:rsidRDefault="00B26795">
            <w:pPr>
              <w:keepNext/>
              <w:widowControl w:val="0"/>
              <w:tabs>
                <w:tab w:val="clear" w:pos="567"/>
              </w:tabs>
              <w:autoSpaceDE w:val="0"/>
              <w:autoSpaceDN w:val="0"/>
              <w:spacing w:line="240" w:lineRule="auto"/>
              <w:ind w:left="340"/>
              <w:rPr>
                <w:snapToGrid/>
                <w:szCs w:val="22"/>
                <w:lang w:val="lt-LT"/>
              </w:rPr>
            </w:pPr>
            <w:r>
              <w:rPr>
                <w:snapToGrid/>
                <w:szCs w:val="22"/>
                <w:lang w:val="lt-LT"/>
              </w:rPr>
              <w:t>Su VTE susijusi mirtis</w:t>
            </w:r>
          </w:p>
        </w:tc>
        <w:tc>
          <w:tcPr>
            <w:tcW w:w="1560" w:type="dxa"/>
          </w:tcPr>
          <w:p w14:paraId="030A6871"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12 (0,4)</w:t>
            </w:r>
          </w:p>
        </w:tc>
        <w:tc>
          <w:tcPr>
            <w:tcW w:w="1985" w:type="dxa"/>
          </w:tcPr>
          <w:p w14:paraId="41556894"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981" w:type="dxa"/>
          </w:tcPr>
          <w:p w14:paraId="0499D215" w14:textId="77777777" w:rsidR="00890384" w:rsidRDefault="00890384">
            <w:pPr>
              <w:keepNext/>
              <w:widowControl w:val="0"/>
              <w:tabs>
                <w:tab w:val="clear" w:pos="567"/>
              </w:tabs>
              <w:autoSpaceDE w:val="0"/>
              <w:autoSpaceDN w:val="0"/>
              <w:spacing w:line="240" w:lineRule="auto"/>
              <w:jc w:val="center"/>
              <w:rPr>
                <w:snapToGrid/>
                <w:szCs w:val="22"/>
                <w:lang w:val="lt-LT"/>
              </w:rPr>
            </w:pPr>
          </w:p>
        </w:tc>
      </w:tr>
      <w:tr w:rsidR="00890384" w14:paraId="275C3FC2"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7091B4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2367B4C1"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5C8E1AAA"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52A1E1B2"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0,82 (0,61, 1,08)</w:t>
            </w:r>
          </w:p>
        </w:tc>
      </w:tr>
      <w:tr w:rsidR="00890384" w14:paraId="0E0E1E1D"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1906C40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339A1BA0"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A22AAFB"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5F064190"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0,80 (0,57, 1,11)</w:t>
            </w:r>
          </w:p>
        </w:tc>
      </w:tr>
      <w:tr w:rsidR="00890384" w14:paraId="391F0B71"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4EA5E81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4DC6BFD5"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5CBA2EA9"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6D9CF2E4" w14:textId="77777777" w:rsidR="00890384" w:rsidRDefault="00B26795">
            <w:pPr>
              <w:keepNext/>
              <w:widowControl w:val="0"/>
              <w:tabs>
                <w:tab w:val="clear" w:pos="567"/>
              </w:tabs>
              <w:autoSpaceDE w:val="0"/>
              <w:autoSpaceDN w:val="0"/>
              <w:spacing w:line="240" w:lineRule="auto"/>
              <w:jc w:val="center"/>
              <w:rPr>
                <w:snapToGrid/>
                <w:szCs w:val="22"/>
                <w:lang w:val="lt-LT"/>
              </w:rPr>
            </w:pPr>
            <w:r>
              <w:rPr>
                <w:snapToGrid/>
                <w:szCs w:val="22"/>
                <w:lang w:val="lt-LT"/>
              </w:rPr>
              <w:t>0,62 (0,47, 0,83)</w:t>
            </w:r>
          </w:p>
        </w:tc>
      </w:tr>
    </w:tbl>
    <w:p w14:paraId="7706B634" w14:textId="77777777" w:rsidR="00890384" w:rsidRDefault="00B26795">
      <w:pPr>
        <w:keepNext/>
        <w:widowControl w:val="0"/>
        <w:tabs>
          <w:tab w:val="clear" w:pos="567"/>
          <w:tab w:val="left" w:pos="368"/>
        </w:tabs>
        <w:autoSpaceDE w:val="0"/>
        <w:autoSpaceDN w:val="0"/>
        <w:spacing w:line="240" w:lineRule="auto"/>
        <w:rPr>
          <w:snapToGrid/>
          <w:szCs w:val="22"/>
          <w:lang w:val="lt-LT"/>
        </w:rPr>
      </w:pPr>
      <w:r>
        <w:rPr>
          <w:snapToGrid/>
          <w:sz w:val="20"/>
          <w:szCs w:val="22"/>
          <w:lang w:val="lt-LT"/>
        </w:rPr>
        <w:t>* Rezultatai nebuvo blogesni nei enoksaparino/varfarino (p rodmuo &lt; 0,0001)</w:t>
      </w:r>
    </w:p>
    <w:p w14:paraId="5788E605" w14:textId="77777777" w:rsidR="00890384" w:rsidRDefault="00890384">
      <w:pPr>
        <w:keepNext/>
        <w:widowControl w:val="0"/>
        <w:tabs>
          <w:tab w:val="clear" w:pos="567"/>
        </w:tabs>
        <w:autoSpaceDE w:val="0"/>
        <w:autoSpaceDN w:val="0"/>
        <w:spacing w:line="240" w:lineRule="auto"/>
        <w:rPr>
          <w:snapToGrid/>
          <w:szCs w:val="22"/>
          <w:lang w:val="lt-LT"/>
        </w:rPr>
      </w:pPr>
    </w:p>
    <w:p w14:paraId="39ED34D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VTE gydymo pradžioje apiksabanas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5C1112F1" w14:textId="77777777" w:rsidR="00890384" w:rsidRDefault="00890384">
      <w:pPr>
        <w:widowControl w:val="0"/>
        <w:tabs>
          <w:tab w:val="clear" w:pos="567"/>
        </w:tabs>
        <w:autoSpaceDE w:val="0"/>
        <w:autoSpaceDN w:val="0"/>
        <w:spacing w:line="240" w:lineRule="auto"/>
        <w:rPr>
          <w:snapToGrid/>
          <w:szCs w:val="22"/>
          <w:lang w:val="lt-LT"/>
        </w:rPr>
      </w:pPr>
    </w:p>
    <w:p w14:paraId="1610848A" w14:textId="5126ED4A"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Svarbiausioji saugumo vertinamoji baigtis buvo stiprus kraujavimas. Šio tyrimo duomenys rodo, kad svarbiausiosios vertinamosios baigties požiūriu apiksabanas buvo statistiškai reikšmingai geresnis (angl. </w:t>
      </w:r>
      <w:r>
        <w:rPr>
          <w:i/>
          <w:snapToGrid/>
          <w:szCs w:val="22"/>
          <w:lang w:val="lt-LT"/>
        </w:rPr>
        <w:t>superior</w:t>
      </w:r>
      <w:r>
        <w:rPr>
          <w:snapToGrid/>
          <w:szCs w:val="22"/>
          <w:lang w:val="lt-LT"/>
        </w:rPr>
        <w:t>) už enoksapariną/varfariną [santykinė rizika 0,31, 95 % pasikliautinasis intervalas (0,17, 0,55), p rodmuo &lt; 0,0001] (žr. 10 lentelę).</w:t>
      </w:r>
    </w:p>
    <w:p w14:paraId="12B96592" w14:textId="77777777" w:rsidR="00890384" w:rsidRDefault="00890384">
      <w:pPr>
        <w:widowControl w:val="0"/>
        <w:tabs>
          <w:tab w:val="clear" w:pos="567"/>
        </w:tabs>
        <w:autoSpaceDE w:val="0"/>
        <w:autoSpaceDN w:val="0"/>
        <w:spacing w:line="240" w:lineRule="auto"/>
        <w:rPr>
          <w:snapToGrid/>
          <w:szCs w:val="22"/>
          <w:lang w:val="lt-LT"/>
        </w:rPr>
      </w:pPr>
    </w:p>
    <w:p w14:paraId="6D7A57CB" w14:textId="5D6A0FF0" w:rsidR="00890384" w:rsidRDefault="00B26795">
      <w:pPr>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10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890384" w14:paraId="0362E3FB" w14:textId="77777777">
        <w:trPr>
          <w:trHeight w:val="1066"/>
        </w:trPr>
        <w:tc>
          <w:tcPr>
            <w:tcW w:w="2317" w:type="dxa"/>
          </w:tcPr>
          <w:p w14:paraId="09870B13" w14:textId="77777777" w:rsidR="00890384" w:rsidRDefault="00890384">
            <w:pPr>
              <w:widowControl w:val="0"/>
              <w:tabs>
                <w:tab w:val="clear" w:pos="567"/>
              </w:tabs>
              <w:autoSpaceDE w:val="0"/>
              <w:autoSpaceDN w:val="0"/>
              <w:spacing w:line="240" w:lineRule="auto"/>
              <w:rPr>
                <w:snapToGrid/>
                <w:szCs w:val="22"/>
                <w:lang w:val="lt-LT"/>
              </w:rPr>
            </w:pPr>
          </w:p>
        </w:tc>
        <w:tc>
          <w:tcPr>
            <w:tcW w:w="2189" w:type="dxa"/>
          </w:tcPr>
          <w:p w14:paraId="1CC082F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 n = 2 676</w:t>
            </w:r>
          </w:p>
          <w:p w14:paraId="206DE86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3379454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Enoksaparinas / varfarinas</w:t>
            </w:r>
          </w:p>
          <w:p w14:paraId="4E63A5C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2 689</w:t>
            </w:r>
          </w:p>
          <w:p w14:paraId="5FDBE68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1228F44A"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 xml:space="preserve">Santykinė rizika </w:t>
            </w:r>
          </w:p>
          <w:p w14:paraId="4830636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(95 % PI)</w:t>
            </w:r>
          </w:p>
        </w:tc>
      </w:tr>
      <w:tr w:rsidR="00890384" w14:paraId="0631D88E" w14:textId="77777777">
        <w:trPr>
          <w:trHeight w:val="371"/>
        </w:trPr>
        <w:tc>
          <w:tcPr>
            <w:tcW w:w="2317" w:type="dxa"/>
          </w:tcPr>
          <w:p w14:paraId="03D0BB1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2189" w:type="dxa"/>
          </w:tcPr>
          <w:p w14:paraId="79A585C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189" w:type="dxa"/>
          </w:tcPr>
          <w:p w14:paraId="5E0A97E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49 (1,8)</w:t>
            </w:r>
          </w:p>
        </w:tc>
        <w:tc>
          <w:tcPr>
            <w:tcW w:w="2189" w:type="dxa"/>
          </w:tcPr>
          <w:p w14:paraId="577387E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0,31 (0,17, 0,55)</w:t>
            </w:r>
          </w:p>
        </w:tc>
      </w:tr>
      <w:tr w:rsidR="00890384" w14:paraId="6875BA7B" w14:textId="77777777">
        <w:trPr>
          <w:trHeight w:val="373"/>
        </w:trPr>
        <w:tc>
          <w:tcPr>
            <w:tcW w:w="2317" w:type="dxa"/>
          </w:tcPr>
          <w:p w14:paraId="414D6A1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2189" w:type="dxa"/>
          </w:tcPr>
          <w:p w14:paraId="51EB0E0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115 (4,3)</w:t>
            </w:r>
          </w:p>
        </w:tc>
        <w:tc>
          <w:tcPr>
            <w:tcW w:w="2189" w:type="dxa"/>
          </w:tcPr>
          <w:p w14:paraId="4185118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261 (9,7)</w:t>
            </w:r>
          </w:p>
        </w:tc>
        <w:tc>
          <w:tcPr>
            <w:tcW w:w="2189" w:type="dxa"/>
          </w:tcPr>
          <w:p w14:paraId="28FF629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0,44 (0,36, 0,55)</w:t>
            </w:r>
          </w:p>
        </w:tc>
      </w:tr>
      <w:tr w:rsidR="00890384" w14:paraId="0BE92A71" w14:textId="77777777">
        <w:trPr>
          <w:trHeight w:val="371"/>
        </w:trPr>
        <w:tc>
          <w:tcPr>
            <w:tcW w:w="2317" w:type="dxa"/>
          </w:tcPr>
          <w:p w14:paraId="077FDE0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2189" w:type="dxa"/>
          </w:tcPr>
          <w:p w14:paraId="4F76324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313 (11,7)</w:t>
            </w:r>
          </w:p>
        </w:tc>
        <w:tc>
          <w:tcPr>
            <w:tcW w:w="2189" w:type="dxa"/>
          </w:tcPr>
          <w:p w14:paraId="04737EF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505 (18,8)</w:t>
            </w:r>
          </w:p>
        </w:tc>
        <w:tc>
          <w:tcPr>
            <w:tcW w:w="2189" w:type="dxa"/>
          </w:tcPr>
          <w:p w14:paraId="5DD9E9B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0,62 (0,54, 0,70)</w:t>
            </w:r>
          </w:p>
        </w:tc>
      </w:tr>
      <w:tr w:rsidR="00890384" w14:paraId="74E82299" w14:textId="77777777">
        <w:trPr>
          <w:trHeight w:val="373"/>
        </w:trPr>
        <w:tc>
          <w:tcPr>
            <w:tcW w:w="2317" w:type="dxa"/>
          </w:tcPr>
          <w:p w14:paraId="0B0DF3A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2189" w:type="dxa"/>
          </w:tcPr>
          <w:p w14:paraId="3149869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402 (15,0)</w:t>
            </w:r>
          </w:p>
        </w:tc>
        <w:tc>
          <w:tcPr>
            <w:tcW w:w="2189" w:type="dxa"/>
          </w:tcPr>
          <w:p w14:paraId="6CBD33C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676 (25,1)</w:t>
            </w:r>
          </w:p>
        </w:tc>
        <w:tc>
          <w:tcPr>
            <w:tcW w:w="2189" w:type="dxa"/>
          </w:tcPr>
          <w:p w14:paraId="3178733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0,59 (0,53, 0,66)</w:t>
            </w:r>
          </w:p>
        </w:tc>
      </w:tr>
    </w:tbl>
    <w:p w14:paraId="088434D5" w14:textId="77777777" w:rsidR="00890384" w:rsidRDefault="00890384">
      <w:pPr>
        <w:widowControl w:val="0"/>
        <w:tabs>
          <w:tab w:val="clear" w:pos="567"/>
        </w:tabs>
        <w:autoSpaceDE w:val="0"/>
        <w:autoSpaceDN w:val="0"/>
        <w:spacing w:line="240" w:lineRule="auto"/>
        <w:rPr>
          <w:b/>
          <w:snapToGrid/>
          <w:szCs w:val="22"/>
          <w:lang w:val="lt-LT"/>
        </w:rPr>
      </w:pPr>
    </w:p>
    <w:p w14:paraId="52EB7C8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Palyginti su enoksaparino/varfarino grupe, pripažinto stipraus kraujavimo ir KRNS kraujavimo iš bet kurios anatominės vietos atvejų skaičius apiksabano grupėje įprastai buvo mažesnis. Pripažintas stiprus kraujavimas iš virškinimo trakto pagal ISTH pasireiškė 6 (0,2 %) apiksabanu gydytiems pacientams ir 17 (0,6 %) enoksaparinu/varfarinu gydytų pacientų.</w:t>
      </w:r>
    </w:p>
    <w:p w14:paraId="2F166818" w14:textId="77777777" w:rsidR="00890384" w:rsidRDefault="00890384">
      <w:pPr>
        <w:widowControl w:val="0"/>
        <w:tabs>
          <w:tab w:val="clear" w:pos="567"/>
        </w:tabs>
        <w:autoSpaceDE w:val="0"/>
        <w:autoSpaceDN w:val="0"/>
        <w:spacing w:line="240" w:lineRule="auto"/>
        <w:rPr>
          <w:snapToGrid/>
          <w:szCs w:val="22"/>
          <w:lang w:val="lt-LT"/>
        </w:rPr>
      </w:pPr>
    </w:p>
    <w:p w14:paraId="09A43B03" w14:textId="77777777" w:rsidR="00890384" w:rsidRDefault="00B26795">
      <w:pPr>
        <w:widowControl w:val="0"/>
        <w:tabs>
          <w:tab w:val="clear" w:pos="567"/>
        </w:tabs>
        <w:autoSpaceDE w:val="0"/>
        <w:autoSpaceDN w:val="0"/>
        <w:spacing w:line="240" w:lineRule="auto"/>
        <w:rPr>
          <w:i/>
          <w:snapToGrid/>
          <w:szCs w:val="22"/>
          <w:lang w:val="lt-LT"/>
        </w:rPr>
      </w:pPr>
      <w:r>
        <w:rPr>
          <w:i/>
          <w:snapToGrid/>
          <w:szCs w:val="22"/>
          <w:u w:val="single"/>
          <w:lang w:val="lt-LT"/>
        </w:rPr>
        <w:t>AMPLIFY-EXT tyrimas</w:t>
      </w:r>
    </w:p>
    <w:p w14:paraId="7C7890D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AMPLIFY-EXT tyrime atsitiktinėms imtims iš viso buvo priskirti 2 482 suaugę pacientai, kurie 12 mėnesių buvo gydomi per burną vartojamu apiksabanu (du kartus per parą po 2,5 mg arba du kartus per parą po 5 mg) arba placebu po to, kai buvo baigtas 6–12 mėnesių trukmės pirminis gydymas antikoaguliantais. Prieš pradėdami dalyvauti AMPLIFY-EXT tyrime 836 iš šių pacientų (33,7 %) dalyvavo AMPLIFY tyrime.</w:t>
      </w:r>
    </w:p>
    <w:p w14:paraId="3859957F" w14:textId="77777777" w:rsidR="00890384" w:rsidRDefault="00890384">
      <w:pPr>
        <w:widowControl w:val="0"/>
        <w:tabs>
          <w:tab w:val="clear" w:pos="567"/>
        </w:tabs>
        <w:autoSpaceDE w:val="0"/>
        <w:autoSpaceDN w:val="0"/>
        <w:spacing w:line="240" w:lineRule="auto"/>
        <w:rPr>
          <w:snapToGrid/>
          <w:szCs w:val="22"/>
          <w:lang w:val="lt-LT"/>
        </w:rPr>
      </w:pPr>
    </w:p>
    <w:p w14:paraId="5FC8F9A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Vidutinis tiriamųjų amžius buvo 56,7 m. ir 91,7 % pacientų buvo patyrę neišprovokuotų VTE reiškinių.</w:t>
      </w:r>
    </w:p>
    <w:p w14:paraId="3C1F9287" w14:textId="77777777" w:rsidR="00890384" w:rsidRDefault="00890384">
      <w:pPr>
        <w:widowControl w:val="0"/>
        <w:tabs>
          <w:tab w:val="clear" w:pos="567"/>
        </w:tabs>
        <w:autoSpaceDE w:val="0"/>
        <w:autoSpaceDN w:val="0"/>
        <w:spacing w:line="240" w:lineRule="auto"/>
        <w:rPr>
          <w:snapToGrid/>
          <w:szCs w:val="22"/>
          <w:lang w:val="lt-LT"/>
        </w:rPr>
      </w:pPr>
    </w:p>
    <w:p w14:paraId="22452AB9" w14:textId="48F26525"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Šio tyrimo duomenimis, vertinant pagal svarbiausiąją vertinamąją baigtį (simptominiai, pasikartojantys VTE reiškiniai (nemirtina GVT arba nemirtina PE) arba mirtis, įvykusi dėl bet kurios priežasties), abi apiksabano dozės buvo statistiškai geresnės už placebo (žr. 11 lentelę).</w:t>
      </w:r>
    </w:p>
    <w:p w14:paraId="5284C157" w14:textId="77777777" w:rsidR="00890384" w:rsidRDefault="00890384">
      <w:pPr>
        <w:widowControl w:val="0"/>
        <w:tabs>
          <w:tab w:val="clear" w:pos="567"/>
        </w:tabs>
        <w:autoSpaceDE w:val="0"/>
        <w:autoSpaceDN w:val="0"/>
        <w:spacing w:line="240" w:lineRule="auto"/>
        <w:rPr>
          <w:snapToGrid/>
          <w:szCs w:val="22"/>
          <w:lang w:val="lt-LT"/>
        </w:rPr>
      </w:pPr>
    </w:p>
    <w:p w14:paraId="49FA010B" w14:textId="161F190E" w:rsidR="00890384" w:rsidRDefault="00B26795">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11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890384" w14:paraId="7179B49D" w14:textId="77777777">
        <w:trPr>
          <w:trHeight w:val="625"/>
        </w:trPr>
        <w:tc>
          <w:tcPr>
            <w:tcW w:w="1938" w:type="dxa"/>
          </w:tcPr>
          <w:p w14:paraId="1706E60E" w14:textId="77777777" w:rsidR="00890384" w:rsidRDefault="00890384">
            <w:pPr>
              <w:widowControl w:val="0"/>
              <w:tabs>
                <w:tab w:val="clear" w:pos="567"/>
              </w:tabs>
              <w:autoSpaceDE w:val="0"/>
              <w:autoSpaceDN w:val="0"/>
              <w:spacing w:line="240" w:lineRule="auto"/>
              <w:rPr>
                <w:snapToGrid/>
                <w:szCs w:val="22"/>
                <w:lang w:val="lt-LT"/>
              </w:rPr>
            </w:pPr>
          </w:p>
        </w:tc>
        <w:tc>
          <w:tcPr>
            <w:tcW w:w="1275" w:type="dxa"/>
          </w:tcPr>
          <w:p w14:paraId="7EB45F81"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Apiksaba nas</w:t>
            </w:r>
          </w:p>
        </w:tc>
        <w:tc>
          <w:tcPr>
            <w:tcW w:w="1561" w:type="dxa"/>
          </w:tcPr>
          <w:p w14:paraId="68C0CF7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tc>
        <w:tc>
          <w:tcPr>
            <w:tcW w:w="1278" w:type="dxa"/>
          </w:tcPr>
          <w:p w14:paraId="47E344B8"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3402" w:type="dxa"/>
            <w:gridSpan w:val="2"/>
          </w:tcPr>
          <w:p w14:paraId="74D02DCB"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Santykinė rizika (95 % PI)</w:t>
            </w:r>
          </w:p>
        </w:tc>
      </w:tr>
      <w:tr w:rsidR="00890384" w14:paraId="24BAB256" w14:textId="77777777">
        <w:trPr>
          <w:trHeight w:val="746"/>
        </w:trPr>
        <w:tc>
          <w:tcPr>
            <w:tcW w:w="1938" w:type="dxa"/>
          </w:tcPr>
          <w:p w14:paraId="6512CC37" w14:textId="77777777" w:rsidR="00890384" w:rsidRDefault="00890384">
            <w:pPr>
              <w:widowControl w:val="0"/>
              <w:tabs>
                <w:tab w:val="clear" w:pos="567"/>
              </w:tabs>
              <w:autoSpaceDE w:val="0"/>
              <w:autoSpaceDN w:val="0"/>
              <w:spacing w:line="240" w:lineRule="auto"/>
              <w:rPr>
                <w:snapToGrid/>
                <w:szCs w:val="22"/>
                <w:lang w:val="lt-LT"/>
              </w:rPr>
            </w:pPr>
          </w:p>
        </w:tc>
        <w:tc>
          <w:tcPr>
            <w:tcW w:w="1275" w:type="dxa"/>
          </w:tcPr>
          <w:p w14:paraId="1D314A73"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0701E9E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840</w:t>
            </w:r>
          </w:p>
        </w:tc>
        <w:tc>
          <w:tcPr>
            <w:tcW w:w="1561" w:type="dxa"/>
          </w:tcPr>
          <w:p w14:paraId="6F7731B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4ABBEBF0"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813</w:t>
            </w:r>
          </w:p>
        </w:tc>
        <w:tc>
          <w:tcPr>
            <w:tcW w:w="1278" w:type="dxa"/>
          </w:tcPr>
          <w:p w14:paraId="26572CBB" w14:textId="77777777" w:rsidR="00890384" w:rsidRDefault="00890384">
            <w:pPr>
              <w:widowControl w:val="0"/>
              <w:tabs>
                <w:tab w:val="clear" w:pos="567"/>
              </w:tabs>
              <w:autoSpaceDE w:val="0"/>
              <w:autoSpaceDN w:val="0"/>
              <w:spacing w:line="240" w:lineRule="auto"/>
              <w:jc w:val="center"/>
              <w:rPr>
                <w:b/>
                <w:snapToGrid/>
                <w:szCs w:val="22"/>
                <w:lang w:val="lt-LT"/>
              </w:rPr>
            </w:pPr>
          </w:p>
          <w:p w14:paraId="795BD3E7"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N = 829</w:t>
            </w:r>
          </w:p>
        </w:tc>
        <w:tc>
          <w:tcPr>
            <w:tcW w:w="1700" w:type="dxa"/>
          </w:tcPr>
          <w:p w14:paraId="52DD3A2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 apiks.</w:t>
            </w:r>
          </w:p>
          <w:p w14:paraId="0C0DDAE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1702" w:type="dxa"/>
          </w:tcPr>
          <w:p w14:paraId="0A93310D"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 apiks.</w:t>
            </w:r>
          </w:p>
          <w:p w14:paraId="4BCD797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890384" w14:paraId="60CAC533" w14:textId="77777777">
        <w:trPr>
          <w:trHeight w:val="373"/>
        </w:trPr>
        <w:tc>
          <w:tcPr>
            <w:tcW w:w="1938" w:type="dxa"/>
          </w:tcPr>
          <w:p w14:paraId="295865BC" w14:textId="77777777" w:rsidR="00890384" w:rsidRDefault="00890384">
            <w:pPr>
              <w:widowControl w:val="0"/>
              <w:tabs>
                <w:tab w:val="clear" w:pos="567"/>
              </w:tabs>
              <w:autoSpaceDE w:val="0"/>
              <w:autoSpaceDN w:val="0"/>
              <w:spacing w:line="240" w:lineRule="auto"/>
              <w:rPr>
                <w:snapToGrid/>
                <w:szCs w:val="22"/>
                <w:lang w:val="lt-LT"/>
              </w:rPr>
            </w:pPr>
          </w:p>
        </w:tc>
        <w:tc>
          <w:tcPr>
            <w:tcW w:w="4114" w:type="dxa"/>
            <w:gridSpan w:val="3"/>
          </w:tcPr>
          <w:p w14:paraId="3F43A4A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700" w:type="dxa"/>
          </w:tcPr>
          <w:p w14:paraId="210F8B55"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702" w:type="dxa"/>
          </w:tcPr>
          <w:p w14:paraId="6C61035C"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798E7278" w14:textId="77777777">
        <w:trPr>
          <w:trHeight w:val="957"/>
        </w:trPr>
        <w:tc>
          <w:tcPr>
            <w:tcW w:w="1938" w:type="dxa"/>
          </w:tcPr>
          <w:p w14:paraId="5DFC1B3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Pasikartojantys VTE reiškiniai arba mirtis, įvykusi dėl bet kurios priežasties</w:t>
            </w:r>
          </w:p>
        </w:tc>
        <w:tc>
          <w:tcPr>
            <w:tcW w:w="1275" w:type="dxa"/>
          </w:tcPr>
          <w:p w14:paraId="2BAC866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19 (2,3)</w:t>
            </w:r>
          </w:p>
        </w:tc>
        <w:tc>
          <w:tcPr>
            <w:tcW w:w="1561" w:type="dxa"/>
          </w:tcPr>
          <w:p w14:paraId="14AC5E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33AE787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77 (9,3)</w:t>
            </w:r>
          </w:p>
        </w:tc>
        <w:tc>
          <w:tcPr>
            <w:tcW w:w="1700" w:type="dxa"/>
          </w:tcPr>
          <w:p w14:paraId="475098B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0,24</w:t>
            </w:r>
          </w:p>
          <w:p w14:paraId="7A00823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(0,15, 0,40)</w:t>
            </w:r>
            <w:r>
              <w:rPr>
                <w:snapToGrid/>
                <w:szCs w:val="22"/>
                <w:vertAlign w:val="superscript"/>
                <w:lang w:val="lt-LT"/>
              </w:rPr>
              <w:t>¥</w:t>
            </w:r>
          </w:p>
        </w:tc>
        <w:tc>
          <w:tcPr>
            <w:tcW w:w="1702" w:type="dxa"/>
          </w:tcPr>
          <w:p w14:paraId="009180D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69082C0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(0,11, 0,33)</w:t>
            </w:r>
            <w:r>
              <w:rPr>
                <w:snapToGrid/>
                <w:szCs w:val="22"/>
                <w:vertAlign w:val="superscript"/>
                <w:lang w:val="lt-LT"/>
              </w:rPr>
              <w:t>¥</w:t>
            </w:r>
          </w:p>
        </w:tc>
      </w:tr>
      <w:tr w:rsidR="00890384" w14:paraId="63A9B7E8" w14:textId="77777777">
        <w:trPr>
          <w:trHeight w:val="371"/>
        </w:trPr>
        <w:tc>
          <w:tcPr>
            <w:tcW w:w="1938" w:type="dxa"/>
          </w:tcPr>
          <w:p w14:paraId="68CA4E0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GVT*</w:t>
            </w:r>
          </w:p>
        </w:tc>
        <w:tc>
          <w:tcPr>
            <w:tcW w:w="1275" w:type="dxa"/>
          </w:tcPr>
          <w:p w14:paraId="3420DDE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6BEEB67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 (0,9)</w:t>
            </w:r>
          </w:p>
        </w:tc>
        <w:tc>
          <w:tcPr>
            <w:tcW w:w="1278" w:type="dxa"/>
          </w:tcPr>
          <w:p w14:paraId="3FDA1C1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2D746EC1" w14:textId="77777777" w:rsidR="00890384" w:rsidRDefault="00890384">
            <w:pPr>
              <w:widowControl w:val="0"/>
              <w:tabs>
                <w:tab w:val="clear" w:pos="567"/>
              </w:tabs>
              <w:autoSpaceDE w:val="0"/>
              <w:autoSpaceDN w:val="0"/>
              <w:spacing w:line="240" w:lineRule="auto"/>
              <w:rPr>
                <w:snapToGrid/>
                <w:szCs w:val="22"/>
                <w:lang w:val="lt-LT"/>
              </w:rPr>
            </w:pPr>
          </w:p>
        </w:tc>
        <w:tc>
          <w:tcPr>
            <w:tcW w:w="1702" w:type="dxa"/>
          </w:tcPr>
          <w:p w14:paraId="66C9B821"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443D1D00" w14:textId="77777777">
        <w:trPr>
          <w:trHeight w:val="373"/>
        </w:trPr>
        <w:tc>
          <w:tcPr>
            <w:tcW w:w="1938" w:type="dxa"/>
          </w:tcPr>
          <w:p w14:paraId="01012B0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PE*</w:t>
            </w:r>
          </w:p>
        </w:tc>
        <w:tc>
          <w:tcPr>
            <w:tcW w:w="1275" w:type="dxa"/>
          </w:tcPr>
          <w:p w14:paraId="24DC8D0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561" w:type="dxa"/>
          </w:tcPr>
          <w:p w14:paraId="3C1B051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739EDD2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13 (1,6)</w:t>
            </w:r>
          </w:p>
        </w:tc>
        <w:tc>
          <w:tcPr>
            <w:tcW w:w="1700" w:type="dxa"/>
          </w:tcPr>
          <w:p w14:paraId="30979762" w14:textId="77777777" w:rsidR="00890384" w:rsidRDefault="00890384">
            <w:pPr>
              <w:widowControl w:val="0"/>
              <w:tabs>
                <w:tab w:val="clear" w:pos="567"/>
              </w:tabs>
              <w:autoSpaceDE w:val="0"/>
              <w:autoSpaceDN w:val="0"/>
              <w:spacing w:line="240" w:lineRule="auto"/>
              <w:rPr>
                <w:snapToGrid/>
                <w:szCs w:val="22"/>
                <w:lang w:val="lt-LT"/>
              </w:rPr>
            </w:pPr>
          </w:p>
        </w:tc>
        <w:tc>
          <w:tcPr>
            <w:tcW w:w="1702" w:type="dxa"/>
          </w:tcPr>
          <w:p w14:paraId="42975FA5"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0F0FD46F" w14:textId="77777777">
        <w:trPr>
          <w:trHeight w:val="878"/>
        </w:trPr>
        <w:tc>
          <w:tcPr>
            <w:tcW w:w="1938" w:type="dxa"/>
          </w:tcPr>
          <w:p w14:paraId="778E5D9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275" w:type="dxa"/>
          </w:tcPr>
          <w:p w14:paraId="2BA96CD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1DC0EE5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0D84339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11 (1,3)</w:t>
            </w:r>
          </w:p>
        </w:tc>
        <w:tc>
          <w:tcPr>
            <w:tcW w:w="1700" w:type="dxa"/>
          </w:tcPr>
          <w:p w14:paraId="23BC9D66" w14:textId="77777777" w:rsidR="00890384" w:rsidRDefault="00890384">
            <w:pPr>
              <w:widowControl w:val="0"/>
              <w:tabs>
                <w:tab w:val="clear" w:pos="567"/>
              </w:tabs>
              <w:autoSpaceDE w:val="0"/>
              <w:autoSpaceDN w:val="0"/>
              <w:spacing w:line="240" w:lineRule="auto"/>
              <w:rPr>
                <w:snapToGrid/>
                <w:szCs w:val="22"/>
                <w:lang w:val="lt-LT"/>
              </w:rPr>
            </w:pPr>
          </w:p>
        </w:tc>
        <w:tc>
          <w:tcPr>
            <w:tcW w:w="1702" w:type="dxa"/>
          </w:tcPr>
          <w:p w14:paraId="15EF0E9A" w14:textId="77777777" w:rsidR="00890384" w:rsidRDefault="00890384">
            <w:pPr>
              <w:widowControl w:val="0"/>
              <w:tabs>
                <w:tab w:val="clear" w:pos="567"/>
              </w:tabs>
              <w:autoSpaceDE w:val="0"/>
              <w:autoSpaceDN w:val="0"/>
              <w:spacing w:line="240" w:lineRule="auto"/>
              <w:rPr>
                <w:snapToGrid/>
                <w:szCs w:val="22"/>
                <w:lang w:val="lt-LT"/>
              </w:rPr>
            </w:pPr>
          </w:p>
        </w:tc>
      </w:tr>
      <w:tr w:rsidR="00890384" w14:paraId="096CBC6D" w14:textId="77777777">
        <w:trPr>
          <w:trHeight w:val="1132"/>
        </w:trPr>
        <w:tc>
          <w:tcPr>
            <w:tcW w:w="1938" w:type="dxa"/>
          </w:tcPr>
          <w:p w14:paraId="6D55596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Pasikartojantys VTE įvykiai arba su VTE susijusi mirtis</w:t>
            </w:r>
          </w:p>
        </w:tc>
        <w:tc>
          <w:tcPr>
            <w:tcW w:w="1275" w:type="dxa"/>
          </w:tcPr>
          <w:p w14:paraId="7E547FC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0AB7567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367C738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73 (8,8)</w:t>
            </w:r>
          </w:p>
        </w:tc>
        <w:tc>
          <w:tcPr>
            <w:tcW w:w="1700" w:type="dxa"/>
          </w:tcPr>
          <w:p w14:paraId="5F692EF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613C0F5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(0,11, 0,33)</w:t>
            </w:r>
          </w:p>
        </w:tc>
        <w:tc>
          <w:tcPr>
            <w:tcW w:w="1702" w:type="dxa"/>
          </w:tcPr>
          <w:p w14:paraId="5825C41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0,20</w:t>
            </w:r>
          </w:p>
          <w:p w14:paraId="3BDF87E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(0,11, 0,34)</w:t>
            </w:r>
          </w:p>
        </w:tc>
      </w:tr>
      <w:tr w:rsidR="00890384" w14:paraId="6A63FEDC" w14:textId="77777777">
        <w:trPr>
          <w:trHeight w:val="1252"/>
        </w:trPr>
        <w:tc>
          <w:tcPr>
            <w:tcW w:w="1938" w:type="dxa"/>
          </w:tcPr>
          <w:p w14:paraId="2B85547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Pasikartojantys VTE įvykiai arba su širdies ir kraujagyslių ligomis susijusi mirtis</w:t>
            </w:r>
          </w:p>
        </w:tc>
        <w:tc>
          <w:tcPr>
            <w:tcW w:w="1275" w:type="dxa"/>
          </w:tcPr>
          <w:p w14:paraId="35068C9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574D10A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42853B5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76 (9,2)</w:t>
            </w:r>
          </w:p>
        </w:tc>
        <w:tc>
          <w:tcPr>
            <w:tcW w:w="1700" w:type="dxa"/>
          </w:tcPr>
          <w:p w14:paraId="0C42AD4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0,18</w:t>
            </w:r>
          </w:p>
          <w:p w14:paraId="74FD945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(0,10, 0,32)</w:t>
            </w:r>
          </w:p>
        </w:tc>
        <w:tc>
          <w:tcPr>
            <w:tcW w:w="1702" w:type="dxa"/>
          </w:tcPr>
          <w:p w14:paraId="3F30C5D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4D239DA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(0,11, 0,33)</w:t>
            </w:r>
          </w:p>
        </w:tc>
      </w:tr>
      <w:tr w:rsidR="00890384" w14:paraId="7B552CA4" w14:textId="77777777">
        <w:trPr>
          <w:trHeight w:val="746"/>
        </w:trPr>
        <w:tc>
          <w:tcPr>
            <w:tcW w:w="1938" w:type="dxa"/>
          </w:tcPr>
          <w:p w14:paraId="19352D0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Nemirtina GVT</w:t>
            </w:r>
            <w:r>
              <w:rPr>
                <w:snapToGrid/>
                <w:szCs w:val="22"/>
                <w:vertAlign w:val="superscript"/>
                <w:lang w:val="lt-LT"/>
              </w:rPr>
              <w:t>†</w:t>
            </w:r>
          </w:p>
        </w:tc>
        <w:tc>
          <w:tcPr>
            <w:tcW w:w="1275" w:type="dxa"/>
          </w:tcPr>
          <w:p w14:paraId="280DC0C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32A9A4E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278" w:type="dxa"/>
          </w:tcPr>
          <w:p w14:paraId="312903F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0D8B16B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0,11</w:t>
            </w:r>
          </w:p>
          <w:p w14:paraId="2BF261F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(0,05, 0,26)</w:t>
            </w:r>
          </w:p>
        </w:tc>
        <w:tc>
          <w:tcPr>
            <w:tcW w:w="1702" w:type="dxa"/>
          </w:tcPr>
          <w:p w14:paraId="0CA4F62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0,15</w:t>
            </w:r>
          </w:p>
          <w:p w14:paraId="2F84239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(0,07, 0,32)</w:t>
            </w:r>
          </w:p>
        </w:tc>
      </w:tr>
      <w:tr w:rsidR="00890384" w14:paraId="2A44C948" w14:textId="77777777">
        <w:trPr>
          <w:trHeight w:val="745"/>
        </w:trPr>
        <w:tc>
          <w:tcPr>
            <w:tcW w:w="1938" w:type="dxa"/>
          </w:tcPr>
          <w:p w14:paraId="0D9E8DE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Nemirtina PE</w:t>
            </w:r>
            <w:r>
              <w:rPr>
                <w:snapToGrid/>
                <w:szCs w:val="22"/>
                <w:vertAlign w:val="superscript"/>
                <w:lang w:val="lt-LT"/>
              </w:rPr>
              <w:t>†</w:t>
            </w:r>
          </w:p>
        </w:tc>
        <w:tc>
          <w:tcPr>
            <w:tcW w:w="1275" w:type="dxa"/>
          </w:tcPr>
          <w:p w14:paraId="16B6E0B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561" w:type="dxa"/>
          </w:tcPr>
          <w:p w14:paraId="00D78162"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668B493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15 (1,8)</w:t>
            </w:r>
          </w:p>
        </w:tc>
        <w:tc>
          <w:tcPr>
            <w:tcW w:w="1700" w:type="dxa"/>
          </w:tcPr>
          <w:p w14:paraId="0884C12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0,51</w:t>
            </w:r>
          </w:p>
          <w:p w14:paraId="67F322B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(0,22, 1,21)</w:t>
            </w:r>
          </w:p>
        </w:tc>
        <w:tc>
          <w:tcPr>
            <w:tcW w:w="1702" w:type="dxa"/>
          </w:tcPr>
          <w:p w14:paraId="758720F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0,27</w:t>
            </w:r>
          </w:p>
          <w:p w14:paraId="5C07975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(0,09, 0,80)</w:t>
            </w:r>
          </w:p>
        </w:tc>
      </w:tr>
      <w:tr w:rsidR="00890384" w14:paraId="50588EDF" w14:textId="77777777">
        <w:trPr>
          <w:trHeight w:val="746"/>
        </w:trPr>
        <w:tc>
          <w:tcPr>
            <w:tcW w:w="1938" w:type="dxa"/>
          </w:tcPr>
          <w:p w14:paraId="2BEA943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 VTE susijusi mirtis</w:t>
            </w:r>
          </w:p>
        </w:tc>
        <w:tc>
          <w:tcPr>
            <w:tcW w:w="1275" w:type="dxa"/>
          </w:tcPr>
          <w:p w14:paraId="6145D42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561" w:type="dxa"/>
          </w:tcPr>
          <w:p w14:paraId="4EE7EC6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3263F86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700" w:type="dxa"/>
          </w:tcPr>
          <w:p w14:paraId="403DD6A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0,28</w:t>
            </w:r>
          </w:p>
          <w:p w14:paraId="1F6147F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(0,06, 1,37)</w:t>
            </w:r>
          </w:p>
        </w:tc>
        <w:tc>
          <w:tcPr>
            <w:tcW w:w="1702" w:type="dxa"/>
          </w:tcPr>
          <w:p w14:paraId="7213CE5C"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0,45</w:t>
            </w:r>
          </w:p>
          <w:p w14:paraId="7CE09F9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(0,12, 1,71)</w:t>
            </w:r>
          </w:p>
        </w:tc>
      </w:tr>
    </w:tbl>
    <w:p w14:paraId="706DE171" w14:textId="77777777" w:rsidR="00890384" w:rsidRDefault="00B26795">
      <w:pPr>
        <w:widowControl w:val="0"/>
        <w:tabs>
          <w:tab w:val="clear" w:pos="567"/>
        </w:tabs>
        <w:autoSpaceDE w:val="0"/>
        <w:autoSpaceDN w:val="0"/>
        <w:spacing w:line="240" w:lineRule="auto"/>
        <w:rPr>
          <w:snapToGrid/>
          <w:szCs w:val="22"/>
          <w:lang w:val="lt-LT"/>
        </w:rPr>
      </w:pPr>
      <w:r>
        <w:rPr>
          <w:snapToGrid/>
          <w:position w:val="6"/>
          <w:sz w:val="20"/>
          <w:szCs w:val="22"/>
          <w:lang w:val="lt-LT"/>
        </w:rPr>
        <w:t xml:space="preserve">¥ </w:t>
      </w:r>
      <w:r>
        <w:rPr>
          <w:snapToGrid/>
          <w:sz w:val="20"/>
          <w:szCs w:val="22"/>
          <w:lang w:val="lt-LT"/>
        </w:rPr>
        <w:t>p rodmuo &lt; </w:t>
      </w:r>
      <w:r>
        <w:rPr>
          <w:snapToGrid/>
          <w:szCs w:val="22"/>
          <w:lang w:val="lt-LT"/>
        </w:rPr>
        <w:t>0,0001</w:t>
      </w:r>
    </w:p>
    <w:p w14:paraId="426EA37D" w14:textId="77777777" w:rsidR="00890384" w:rsidRDefault="00B26795">
      <w:pPr>
        <w:widowControl w:val="0"/>
        <w:tabs>
          <w:tab w:val="clear" w:pos="567"/>
          <w:tab w:val="left" w:pos="371"/>
        </w:tabs>
        <w:autoSpaceDE w:val="0"/>
        <w:autoSpaceDN w:val="0"/>
        <w:spacing w:line="240" w:lineRule="auto"/>
        <w:rPr>
          <w:snapToGrid/>
          <w:sz w:val="20"/>
          <w:lang w:val="lt-LT"/>
        </w:rPr>
      </w:pPr>
      <w:r>
        <w:rPr>
          <w:snapToGrid/>
          <w:sz w:val="20"/>
          <w:lang w:val="lt-LT"/>
        </w:rPr>
        <w:t>* Jei pacientui pasireiškė daugiau nei vienas sudėtinei vertinamajai baigčiai priskiriamas įvykis, pranešama tik apie pirmąjį įvykį (pvz., jei tiriamasis iš pradžių patyrė GVT, o vėliau – PE, pranešama tik apie GVT).</w:t>
      </w:r>
    </w:p>
    <w:p w14:paraId="2982BA91" w14:textId="77777777" w:rsidR="00890384" w:rsidRDefault="00B26795">
      <w:pPr>
        <w:widowControl w:val="0"/>
        <w:tabs>
          <w:tab w:val="clear" w:pos="567"/>
        </w:tabs>
        <w:autoSpaceDE w:val="0"/>
        <w:autoSpaceDN w:val="0"/>
        <w:spacing w:line="240" w:lineRule="auto"/>
        <w:rPr>
          <w:snapToGrid/>
          <w:sz w:val="20"/>
          <w:szCs w:val="22"/>
          <w:lang w:val="lt-LT"/>
        </w:rPr>
      </w:pPr>
      <w:r>
        <w:rPr>
          <w:snapToGrid/>
          <w:sz w:val="20"/>
          <w:vertAlign w:val="superscript"/>
          <w:lang w:val="lt-LT"/>
        </w:rPr>
        <w:t>†</w:t>
      </w:r>
      <w:r>
        <w:rPr>
          <w:snapToGrid/>
          <w:sz w:val="20"/>
          <w:lang w:val="lt-LT"/>
        </w:rPr>
        <w:t xml:space="preserve"> Kai kuriems tiriamiesiems gali pasireikšti daugiau nei vienas įvykis ir jie gali </w:t>
      </w:r>
      <w:r>
        <w:rPr>
          <w:snapToGrid/>
          <w:sz w:val="20"/>
          <w:szCs w:val="22"/>
          <w:lang w:val="lt-LT"/>
        </w:rPr>
        <w:t>būti pateikti abiejose klasifikacijose.</w:t>
      </w:r>
    </w:p>
    <w:p w14:paraId="173C2372" w14:textId="77777777" w:rsidR="00890384" w:rsidRDefault="00890384">
      <w:pPr>
        <w:widowControl w:val="0"/>
        <w:tabs>
          <w:tab w:val="clear" w:pos="567"/>
        </w:tabs>
        <w:autoSpaceDE w:val="0"/>
        <w:autoSpaceDN w:val="0"/>
        <w:spacing w:line="240" w:lineRule="auto"/>
        <w:rPr>
          <w:snapToGrid/>
          <w:szCs w:val="22"/>
          <w:lang w:val="lt-LT"/>
        </w:rPr>
      </w:pPr>
    </w:p>
    <w:p w14:paraId="79288CE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veiksmingumas VTE pasikartojimo profilaktikai išliko panašus visuose pogrupiuose, įskaitant pagal amžių, lytį, KMI ir inkstų funkciją sudarytus pogrupius.</w:t>
      </w:r>
    </w:p>
    <w:p w14:paraId="23B34900" w14:textId="77777777" w:rsidR="00890384" w:rsidRDefault="00890384">
      <w:pPr>
        <w:widowControl w:val="0"/>
        <w:tabs>
          <w:tab w:val="clear" w:pos="567"/>
        </w:tabs>
        <w:autoSpaceDE w:val="0"/>
        <w:autoSpaceDN w:val="0"/>
        <w:spacing w:line="240" w:lineRule="auto"/>
        <w:rPr>
          <w:snapToGrid/>
          <w:szCs w:val="22"/>
          <w:lang w:val="lt-LT"/>
        </w:rPr>
      </w:pPr>
    </w:p>
    <w:p w14:paraId="300443DE" w14:textId="4210F50B" w:rsidR="00890384" w:rsidRDefault="00B26795">
      <w:pPr>
        <w:widowControl w:val="0"/>
        <w:tabs>
          <w:tab w:val="clear" w:pos="567"/>
        </w:tabs>
        <w:autoSpaceDE w:val="0"/>
        <w:autoSpaceDN w:val="0"/>
        <w:spacing w:line="240" w:lineRule="auto"/>
        <w:rPr>
          <w:snapToGrid/>
          <w:szCs w:val="22"/>
          <w:lang w:val="lt-LT"/>
        </w:rPr>
      </w:pPr>
      <w:r>
        <w:rPr>
          <w:snapToGrid/>
          <w:szCs w:val="22"/>
          <w:lang w:val="lt-LT"/>
        </w:rPr>
        <w:t>Svarbiausioji vertinamoji baigtis buvo stiprus kraujavimas gydymo laikotarpiu. Šio tyrimo duomenys rodo, kad stipraus kraujavimo dažnis abiejų apiksabano dozių grupėse statistiškai reikšmingai nesiskyrė nuo to, kuris pasireiškė placebo grupėje. Tarp tų, kurie du kartus per parą vartojo po 2,5 mg apiksabano, ir placebo grupės nebuvo pastebėta statistiškai reikšmingų stipraus kraujavimo + KRNS, nestipraus kraujavimo ir visų kraujavimų dažnio skirtumų (žr. 12 lentelę).</w:t>
      </w:r>
    </w:p>
    <w:p w14:paraId="2EAC5E56" w14:textId="77777777" w:rsidR="00890384" w:rsidRDefault="00890384">
      <w:pPr>
        <w:widowControl w:val="0"/>
        <w:tabs>
          <w:tab w:val="clear" w:pos="567"/>
        </w:tabs>
        <w:autoSpaceDE w:val="0"/>
        <w:autoSpaceDN w:val="0"/>
        <w:spacing w:line="240" w:lineRule="auto"/>
        <w:rPr>
          <w:snapToGrid/>
          <w:szCs w:val="22"/>
          <w:lang w:val="lt-LT"/>
        </w:rPr>
      </w:pPr>
    </w:p>
    <w:p w14:paraId="25ABD60C" w14:textId="1F95815D" w:rsidR="00890384" w:rsidRDefault="00B26795">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12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890384" w14:paraId="0FEBAA6D" w14:textId="77777777">
        <w:trPr>
          <w:trHeight w:val="396"/>
        </w:trPr>
        <w:tc>
          <w:tcPr>
            <w:tcW w:w="1496" w:type="dxa"/>
          </w:tcPr>
          <w:p w14:paraId="4C3F44CE" w14:textId="77777777" w:rsidR="00890384" w:rsidRDefault="00890384">
            <w:pPr>
              <w:widowControl w:val="0"/>
              <w:tabs>
                <w:tab w:val="clear" w:pos="567"/>
              </w:tabs>
              <w:autoSpaceDE w:val="0"/>
              <w:autoSpaceDN w:val="0"/>
              <w:spacing w:line="240" w:lineRule="auto"/>
              <w:rPr>
                <w:snapToGrid/>
                <w:szCs w:val="22"/>
                <w:lang w:val="lt-LT"/>
              </w:rPr>
            </w:pPr>
          </w:p>
        </w:tc>
        <w:tc>
          <w:tcPr>
            <w:tcW w:w="1368" w:type="dxa"/>
          </w:tcPr>
          <w:p w14:paraId="323F6063"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tc>
        <w:tc>
          <w:tcPr>
            <w:tcW w:w="1368" w:type="dxa"/>
          </w:tcPr>
          <w:p w14:paraId="44618FBB"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Apiksabanas</w:t>
            </w:r>
          </w:p>
        </w:tc>
        <w:tc>
          <w:tcPr>
            <w:tcW w:w="1368" w:type="dxa"/>
          </w:tcPr>
          <w:p w14:paraId="6DD3C3A2"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4087" w:type="dxa"/>
            <w:gridSpan w:val="2"/>
          </w:tcPr>
          <w:p w14:paraId="700521B9"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890384" w14:paraId="166CEDAF" w14:textId="77777777">
        <w:trPr>
          <w:trHeight w:val="745"/>
        </w:trPr>
        <w:tc>
          <w:tcPr>
            <w:tcW w:w="1496" w:type="dxa"/>
          </w:tcPr>
          <w:p w14:paraId="5EF5C095" w14:textId="77777777" w:rsidR="00890384" w:rsidRDefault="00890384">
            <w:pPr>
              <w:widowControl w:val="0"/>
              <w:tabs>
                <w:tab w:val="clear" w:pos="567"/>
              </w:tabs>
              <w:autoSpaceDE w:val="0"/>
              <w:autoSpaceDN w:val="0"/>
              <w:spacing w:line="240" w:lineRule="auto"/>
              <w:rPr>
                <w:snapToGrid/>
                <w:szCs w:val="22"/>
                <w:lang w:val="lt-LT"/>
              </w:rPr>
            </w:pPr>
          </w:p>
        </w:tc>
        <w:tc>
          <w:tcPr>
            <w:tcW w:w="1368" w:type="dxa"/>
          </w:tcPr>
          <w:p w14:paraId="14E9FBAF"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6F691D1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840</w:t>
            </w:r>
          </w:p>
        </w:tc>
        <w:tc>
          <w:tcPr>
            <w:tcW w:w="1368" w:type="dxa"/>
          </w:tcPr>
          <w:p w14:paraId="2E8E2E9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1F9DF68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811</w:t>
            </w:r>
          </w:p>
        </w:tc>
        <w:tc>
          <w:tcPr>
            <w:tcW w:w="1368" w:type="dxa"/>
          </w:tcPr>
          <w:p w14:paraId="0A0852B2" w14:textId="77777777" w:rsidR="00890384" w:rsidRDefault="00890384">
            <w:pPr>
              <w:widowControl w:val="0"/>
              <w:tabs>
                <w:tab w:val="clear" w:pos="567"/>
              </w:tabs>
              <w:autoSpaceDE w:val="0"/>
              <w:autoSpaceDN w:val="0"/>
              <w:spacing w:line="240" w:lineRule="auto"/>
              <w:jc w:val="center"/>
              <w:rPr>
                <w:b/>
                <w:snapToGrid/>
                <w:szCs w:val="22"/>
                <w:lang w:val="lt-LT"/>
              </w:rPr>
            </w:pPr>
          </w:p>
          <w:p w14:paraId="7C59377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 826</w:t>
            </w:r>
          </w:p>
        </w:tc>
        <w:tc>
          <w:tcPr>
            <w:tcW w:w="1927" w:type="dxa"/>
          </w:tcPr>
          <w:p w14:paraId="05B221BC"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2,5 mg apiks.</w:t>
            </w:r>
          </w:p>
          <w:p w14:paraId="1DC4D7AE"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2160" w:type="dxa"/>
          </w:tcPr>
          <w:p w14:paraId="2392F266"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5,0 mg apiks.</w:t>
            </w:r>
          </w:p>
          <w:p w14:paraId="5769F1C5" w14:textId="77777777" w:rsidR="00890384" w:rsidRDefault="00B26795">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890384" w14:paraId="331FD45E" w14:textId="77777777">
        <w:trPr>
          <w:trHeight w:val="371"/>
        </w:trPr>
        <w:tc>
          <w:tcPr>
            <w:tcW w:w="1496" w:type="dxa"/>
          </w:tcPr>
          <w:p w14:paraId="6BE70141" w14:textId="77777777" w:rsidR="00890384" w:rsidRDefault="00890384">
            <w:pPr>
              <w:widowControl w:val="0"/>
              <w:tabs>
                <w:tab w:val="clear" w:pos="567"/>
              </w:tabs>
              <w:autoSpaceDE w:val="0"/>
              <w:autoSpaceDN w:val="0"/>
              <w:spacing w:line="240" w:lineRule="auto"/>
              <w:rPr>
                <w:snapToGrid/>
                <w:szCs w:val="22"/>
                <w:lang w:val="lt-LT"/>
              </w:rPr>
            </w:pPr>
          </w:p>
        </w:tc>
        <w:tc>
          <w:tcPr>
            <w:tcW w:w="1368" w:type="dxa"/>
          </w:tcPr>
          <w:p w14:paraId="1827FAAD"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368" w:type="dxa"/>
          </w:tcPr>
          <w:p w14:paraId="50C86D3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368" w:type="dxa"/>
          </w:tcPr>
          <w:p w14:paraId="3413349F"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1927" w:type="dxa"/>
          </w:tcPr>
          <w:p w14:paraId="5FD6767A" w14:textId="77777777" w:rsidR="00890384" w:rsidRDefault="00890384">
            <w:pPr>
              <w:widowControl w:val="0"/>
              <w:tabs>
                <w:tab w:val="clear" w:pos="567"/>
              </w:tabs>
              <w:autoSpaceDE w:val="0"/>
              <w:autoSpaceDN w:val="0"/>
              <w:spacing w:line="240" w:lineRule="auto"/>
              <w:jc w:val="center"/>
              <w:rPr>
                <w:snapToGrid/>
                <w:szCs w:val="22"/>
                <w:lang w:val="lt-LT"/>
              </w:rPr>
            </w:pPr>
          </w:p>
        </w:tc>
        <w:tc>
          <w:tcPr>
            <w:tcW w:w="2160" w:type="dxa"/>
          </w:tcPr>
          <w:p w14:paraId="418C016F" w14:textId="77777777" w:rsidR="00890384" w:rsidRDefault="00890384">
            <w:pPr>
              <w:widowControl w:val="0"/>
              <w:tabs>
                <w:tab w:val="clear" w:pos="567"/>
              </w:tabs>
              <w:autoSpaceDE w:val="0"/>
              <w:autoSpaceDN w:val="0"/>
              <w:spacing w:line="240" w:lineRule="auto"/>
              <w:jc w:val="center"/>
              <w:rPr>
                <w:snapToGrid/>
                <w:szCs w:val="22"/>
                <w:lang w:val="lt-LT"/>
              </w:rPr>
            </w:pPr>
          </w:p>
        </w:tc>
      </w:tr>
      <w:tr w:rsidR="00890384" w14:paraId="24F72FC2" w14:textId="77777777">
        <w:trPr>
          <w:trHeight w:val="745"/>
        </w:trPr>
        <w:tc>
          <w:tcPr>
            <w:tcW w:w="1496" w:type="dxa"/>
          </w:tcPr>
          <w:p w14:paraId="6722FA3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w:t>
            </w:r>
          </w:p>
        </w:tc>
        <w:tc>
          <w:tcPr>
            <w:tcW w:w="1368" w:type="dxa"/>
          </w:tcPr>
          <w:p w14:paraId="43E597D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368" w:type="dxa"/>
          </w:tcPr>
          <w:p w14:paraId="59FF3C7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 (0,1)</w:t>
            </w:r>
          </w:p>
        </w:tc>
        <w:tc>
          <w:tcPr>
            <w:tcW w:w="1368" w:type="dxa"/>
          </w:tcPr>
          <w:p w14:paraId="2FBEA85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927" w:type="dxa"/>
          </w:tcPr>
          <w:p w14:paraId="404E1EE0"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0,49</w:t>
            </w:r>
          </w:p>
          <w:p w14:paraId="10035377"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(0,09, 2,64)</w:t>
            </w:r>
          </w:p>
        </w:tc>
        <w:tc>
          <w:tcPr>
            <w:tcW w:w="2160" w:type="dxa"/>
          </w:tcPr>
          <w:p w14:paraId="6AA5B8C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0,25</w:t>
            </w:r>
          </w:p>
          <w:p w14:paraId="72AE54C6"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(0,03, 2,24)</w:t>
            </w:r>
          </w:p>
        </w:tc>
      </w:tr>
      <w:tr w:rsidR="00890384" w14:paraId="3D1622B3" w14:textId="77777777">
        <w:trPr>
          <w:trHeight w:val="746"/>
        </w:trPr>
        <w:tc>
          <w:tcPr>
            <w:tcW w:w="1496" w:type="dxa"/>
          </w:tcPr>
          <w:p w14:paraId="39EFFAD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368" w:type="dxa"/>
          </w:tcPr>
          <w:p w14:paraId="46761FD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27 (3,2)</w:t>
            </w:r>
          </w:p>
        </w:tc>
        <w:tc>
          <w:tcPr>
            <w:tcW w:w="1368" w:type="dxa"/>
          </w:tcPr>
          <w:p w14:paraId="3CB0FF0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35 (4,3)</w:t>
            </w:r>
          </w:p>
        </w:tc>
        <w:tc>
          <w:tcPr>
            <w:tcW w:w="1368" w:type="dxa"/>
          </w:tcPr>
          <w:p w14:paraId="6D34B404"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22 (2,7)</w:t>
            </w:r>
          </w:p>
        </w:tc>
        <w:tc>
          <w:tcPr>
            <w:tcW w:w="1927" w:type="dxa"/>
          </w:tcPr>
          <w:p w14:paraId="19EADCB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1,20</w:t>
            </w:r>
          </w:p>
          <w:p w14:paraId="622120AE"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(0,69, 2,10)</w:t>
            </w:r>
          </w:p>
        </w:tc>
        <w:tc>
          <w:tcPr>
            <w:tcW w:w="2160" w:type="dxa"/>
          </w:tcPr>
          <w:p w14:paraId="2BEF9DC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1,62</w:t>
            </w:r>
          </w:p>
          <w:p w14:paraId="2284008F"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(0,96, 2,73)</w:t>
            </w:r>
          </w:p>
        </w:tc>
      </w:tr>
      <w:tr w:rsidR="00890384" w14:paraId="5119432F" w14:textId="77777777">
        <w:trPr>
          <w:trHeight w:val="745"/>
        </w:trPr>
        <w:tc>
          <w:tcPr>
            <w:tcW w:w="1496" w:type="dxa"/>
          </w:tcPr>
          <w:p w14:paraId="153E021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1368" w:type="dxa"/>
          </w:tcPr>
          <w:p w14:paraId="06E24C9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75 (8,9)</w:t>
            </w:r>
          </w:p>
        </w:tc>
        <w:tc>
          <w:tcPr>
            <w:tcW w:w="1368" w:type="dxa"/>
          </w:tcPr>
          <w:p w14:paraId="32A15E2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98 (12,1)</w:t>
            </w:r>
          </w:p>
        </w:tc>
        <w:tc>
          <w:tcPr>
            <w:tcW w:w="1368" w:type="dxa"/>
          </w:tcPr>
          <w:p w14:paraId="73A6C0F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58 (7,0)</w:t>
            </w:r>
          </w:p>
        </w:tc>
        <w:tc>
          <w:tcPr>
            <w:tcW w:w="1927" w:type="dxa"/>
          </w:tcPr>
          <w:p w14:paraId="5F456453"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1,26</w:t>
            </w:r>
          </w:p>
          <w:p w14:paraId="04269E9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(0,91, 1,75)</w:t>
            </w:r>
          </w:p>
        </w:tc>
        <w:tc>
          <w:tcPr>
            <w:tcW w:w="2160" w:type="dxa"/>
          </w:tcPr>
          <w:p w14:paraId="589EE9E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1,70</w:t>
            </w:r>
          </w:p>
          <w:p w14:paraId="63806E6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(1,25, 2,31)</w:t>
            </w:r>
          </w:p>
        </w:tc>
      </w:tr>
      <w:tr w:rsidR="00890384" w14:paraId="714C3519" w14:textId="77777777">
        <w:trPr>
          <w:trHeight w:val="748"/>
        </w:trPr>
        <w:tc>
          <w:tcPr>
            <w:tcW w:w="1496" w:type="dxa"/>
          </w:tcPr>
          <w:p w14:paraId="5133380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Visi</w:t>
            </w:r>
          </w:p>
        </w:tc>
        <w:tc>
          <w:tcPr>
            <w:tcW w:w="1368" w:type="dxa"/>
          </w:tcPr>
          <w:p w14:paraId="34F8D868"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94 (11,2)</w:t>
            </w:r>
          </w:p>
        </w:tc>
        <w:tc>
          <w:tcPr>
            <w:tcW w:w="1368" w:type="dxa"/>
          </w:tcPr>
          <w:p w14:paraId="4992D749"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121 (14,9)</w:t>
            </w:r>
          </w:p>
        </w:tc>
        <w:tc>
          <w:tcPr>
            <w:tcW w:w="1368" w:type="dxa"/>
          </w:tcPr>
          <w:p w14:paraId="2159ECA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74 (9,0)</w:t>
            </w:r>
          </w:p>
        </w:tc>
        <w:tc>
          <w:tcPr>
            <w:tcW w:w="1927" w:type="dxa"/>
          </w:tcPr>
          <w:p w14:paraId="11D79F8D"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1,24</w:t>
            </w:r>
          </w:p>
          <w:p w14:paraId="1810AD8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(0,93, 1,65)</w:t>
            </w:r>
          </w:p>
        </w:tc>
        <w:tc>
          <w:tcPr>
            <w:tcW w:w="2160" w:type="dxa"/>
          </w:tcPr>
          <w:p w14:paraId="52DCFA11"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1,65</w:t>
            </w:r>
          </w:p>
          <w:p w14:paraId="02722D9B"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(1,26, 2,16)</w:t>
            </w:r>
          </w:p>
        </w:tc>
      </w:tr>
    </w:tbl>
    <w:p w14:paraId="139DFD38" w14:textId="77777777" w:rsidR="00890384" w:rsidRDefault="00890384">
      <w:pPr>
        <w:widowControl w:val="0"/>
        <w:tabs>
          <w:tab w:val="clear" w:pos="567"/>
        </w:tabs>
        <w:autoSpaceDE w:val="0"/>
        <w:autoSpaceDN w:val="0"/>
        <w:spacing w:line="240" w:lineRule="auto"/>
        <w:rPr>
          <w:b/>
          <w:snapToGrid/>
          <w:szCs w:val="22"/>
          <w:lang w:val="lt-LT"/>
        </w:rPr>
      </w:pPr>
    </w:p>
    <w:p w14:paraId="2F07FE9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60BE0DD7" w14:textId="77777777" w:rsidR="00890384" w:rsidRDefault="00890384">
      <w:pPr>
        <w:widowControl w:val="0"/>
        <w:tabs>
          <w:tab w:val="clear" w:pos="567"/>
        </w:tabs>
        <w:autoSpaceDE w:val="0"/>
        <w:autoSpaceDN w:val="0"/>
        <w:spacing w:line="240" w:lineRule="auto"/>
        <w:rPr>
          <w:snapToGrid/>
          <w:szCs w:val="22"/>
          <w:lang w:val="lt-LT"/>
        </w:rPr>
      </w:pPr>
    </w:p>
    <w:p w14:paraId="7625D30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Vaikų populiacija</w:t>
      </w:r>
    </w:p>
    <w:p w14:paraId="241DE99F" w14:textId="77777777" w:rsidR="00890384" w:rsidRDefault="00890384">
      <w:pPr>
        <w:widowControl w:val="0"/>
        <w:tabs>
          <w:tab w:val="clear" w:pos="567"/>
        </w:tabs>
        <w:autoSpaceDE w:val="0"/>
        <w:autoSpaceDN w:val="0"/>
        <w:spacing w:line="240" w:lineRule="auto"/>
      </w:pPr>
    </w:p>
    <w:p w14:paraId="2A983B3A" w14:textId="53EB9822" w:rsidR="00890384" w:rsidRDefault="00B26795">
      <w:pPr>
        <w:widowControl w:val="0"/>
        <w:tabs>
          <w:tab w:val="clear" w:pos="567"/>
        </w:tabs>
        <w:autoSpaceDE w:val="0"/>
        <w:autoSpaceDN w:val="0"/>
        <w:spacing w:line="240" w:lineRule="auto"/>
        <w:rPr>
          <w:i/>
          <w:iCs/>
        </w:rPr>
      </w:pPr>
      <w:r>
        <w:rPr>
          <w:i/>
          <w:iCs/>
        </w:rPr>
        <w:t>Venų tromboembolijos (VTE) gydymas ir VTE pasikartojimo profilaktika pacientams vaikams nuo 28 dienų iki 18 metų</w:t>
      </w:r>
    </w:p>
    <w:p w14:paraId="2D24D7F8" w14:textId="07BF6333" w:rsidR="00890384" w:rsidRDefault="00B26795">
      <w:pPr>
        <w:widowControl w:val="0"/>
        <w:tabs>
          <w:tab w:val="clear" w:pos="567"/>
        </w:tabs>
        <w:autoSpaceDE w:val="0"/>
        <w:autoSpaceDN w:val="0"/>
        <w:spacing w:line="240" w:lineRule="auto"/>
      </w:pPr>
      <w:r>
        <w:t xml:space="preserve">Tyrimas CV185325 buvo atsitiktinių imčių, aktyviai kontroliuojamas, atviras, daugiacentris tyrimas, skirtas įvertinti apiksabano vartojimą pacientų vaikų VTE gydymui. Šiame aprašomajame veiksmingumo ir saugumo tyrime dalyvavo 217 vaikų, kuriems reikėjo antikoaguliacinio gydymo dėl VTE ir dėl VTE pasikartojimo profilaktikos; 137 pacientai pateko į 1-ąją amžiaus grupę (nuo 12 iki18 metų), 44 pacientai – į 2-ąją amžiaus grupę (nuo 2 iki 12 metų), 32 pacientai – į 3- iąją amžiaus grupę (nuo 28 dienų iki &lt; 2 metų) ir 4 pacientai – į 4-ąją amžiaus grupę (nuo gimimo iki 28 dienų). Pradinė VTE buvo patvirtinta vaizdiniu tyrimu ir nepriklausomai įvertinta. Prieš randomizaciją pacientai gavo standartinį antikoaguliacinį gydymą iki 14 dienų </w:t>
      </w:r>
      <w:r>
        <w:lastRenderedPageBreak/>
        <w:t>(vidutinė standartinio antikoaguliacinio gydymo trukmė (SN) prieš tiriamojo vaistinio preparato vartojimo pradžią buvo 4,8 (2,5) dienos, o 92,3 % pacientų tyrimą pradėjo po ≤</w:t>
      </w:r>
      <w:r w:rsidR="00E10510">
        <w:t> </w:t>
      </w:r>
      <w:r>
        <w:t>7 dienų). Pacientai buvo santykiu 2:1 randomizuoti vartoti pagal amžių pritaikytą apiksabano formą (dozės koreguotos pagal svorį, kad atitiktų dozavimą suaugusiesiems, kai iš pradžių skiriama įsotinamoji 10 mg dozė du kartus per parą 7 paras, o paskui po 5 mg du kartus per parą) arba gauti standartinį gydymą (SG). Pacientams nuo 2 iki 18 metų SG sudarė mažos molekulinės masės heparinai (MMMH), nefrakcionuoti heparinai (NFH) arba vitamino K antagonistai (VKA). Pacientams, kurių amžius nuo 28 dienų iki &lt; 2 metų, SG apsiribo</w:t>
      </w:r>
      <w:r w:rsidR="00E10510">
        <w:t>jo</w:t>
      </w:r>
      <w:r>
        <w:t xml:space="preserve"> heparinais (NFH arba MMMH). Pagrindinis gydymo etapas truko nuo 42 iki 84 dienų &lt;</w:t>
      </w:r>
      <w:r w:rsidR="00E10510">
        <w:t> </w:t>
      </w:r>
      <w:r>
        <w:t>2 metų amžiaus pacientams ir 84 dienas &gt; 2 metų amžiaus pacientams. Nuo 28 dienų iki 18 metų pacientai, kurie buvo randomizuoti vartoti apiksabaną, turėjo galimybę tęsti apiksabano vartojimą dar nuo 6 iki 12 savaičių tęstiniame etape.</w:t>
      </w:r>
    </w:p>
    <w:p w14:paraId="797E0BE6" w14:textId="77777777" w:rsidR="00890384" w:rsidRDefault="00890384">
      <w:pPr>
        <w:widowControl w:val="0"/>
        <w:tabs>
          <w:tab w:val="clear" w:pos="567"/>
        </w:tabs>
        <w:autoSpaceDE w:val="0"/>
        <w:autoSpaceDN w:val="0"/>
        <w:spacing w:line="240" w:lineRule="auto"/>
      </w:pPr>
    </w:p>
    <w:p w14:paraId="739B6958" w14:textId="77777777" w:rsidR="00890384" w:rsidRDefault="00B26795">
      <w:pPr>
        <w:widowControl w:val="0"/>
        <w:tabs>
          <w:tab w:val="clear" w:pos="567"/>
        </w:tabs>
        <w:autoSpaceDE w:val="0"/>
        <w:autoSpaceDN w:val="0"/>
        <w:spacing w:line="240" w:lineRule="auto"/>
      </w:pPr>
      <w:r>
        <w:t>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apiksabano grupėje ir 2 (2,8 %) pacientai SG grupėje patyrė bent 1 nepriklausomų vertintojų patvirtintą simptominį arba nesimptominį VTE pasikartojimo reiškinį.</w:t>
      </w:r>
    </w:p>
    <w:p w14:paraId="2C25394D" w14:textId="77777777" w:rsidR="00890384" w:rsidRDefault="00890384">
      <w:pPr>
        <w:widowControl w:val="0"/>
        <w:tabs>
          <w:tab w:val="clear" w:pos="567"/>
        </w:tabs>
        <w:autoSpaceDE w:val="0"/>
        <w:autoSpaceDN w:val="0"/>
        <w:spacing w:line="240" w:lineRule="auto"/>
      </w:pPr>
    </w:p>
    <w:p w14:paraId="60ED3654" w14:textId="77777777" w:rsidR="00E10510" w:rsidRDefault="00B26795">
      <w:pPr>
        <w:widowControl w:val="0"/>
        <w:tabs>
          <w:tab w:val="clear" w:pos="567"/>
        </w:tabs>
        <w:autoSpaceDE w:val="0"/>
        <w:autoSpaceDN w:val="0"/>
        <w:spacing w:line="240" w:lineRule="auto"/>
      </w:pPr>
      <w:r>
        <w:t>Ekspozicijos trukmės mediana 143 gydytiems pacientams apiksabano grupėje buvo 84,0 dienos. Ekspozicija buvo ilgesnė nei 84 dienos 67 pacientams (46,9 %). Pagrindinė (pirminė) saugumo vertinamoji baigtis, kurią sudarė sudėtinis stipraus ir KRNS kraujavimo rodiklis, buvo fiksuota 2 (1,4 %) pacientams apiksabano grupėje, plg. su 1 (1,4 %) pacientu SG grupėje, o RS buvo 0,99 (95 % PI 0,1;10,8).</w:t>
      </w:r>
    </w:p>
    <w:p w14:paraId="4CDCBDF0" w14:textId="77777777" w:rsidR="00E10510" w:rsidRDefault="00E10510">
      <w:pPr>
        <w:widowControl w:val="0"/>
        <w:tabs>
          <w:tab w:val="clear" w:pos="567"/>
        </w:tabs>
        <w:autoSpaceDE w:val="0"/>
        <w:autoSpaceDN w:val="0"/>
        <w:spacing w:line="240" w:lineRule="auto"/>
      </w:pPr>
    </w:p>
    <w:p w14:paraId="2B13FAD8" w14:textId="544D615C" w:rsidR="00890384" w:rsidRDefault="00B26795">
      <w:pPr>
        <w:widowControl w:val="0"/>
        <w:tabs>
          <w:tab w:val="clear" w:pos="567"/>
        </w:tabs>
        <w:autoSpaceDE w:val="0"/>
        <w:autoSpaceDN w:val="0"/>
        <w:spacing w:line="240" w:lineRule="auto"/>
      </w:pPr>
      <w:r>
        <w:t>Visais atvejais tai buvo susiję su KRNS kraujavimu. Mažas kraujavimas pasireiškė 51 (35,7 %) pacientui apiksabano grupėje ir 21 (29,6 %) pacientui SG grupėje, o RS buvo 1,19 (95 % PI 0,8; 1,8).</w:t>
      </w:r>
    </w:p>
    <w:p w14:paraId="388AE8F7" w14:textId="77777777" w:rsidR="00890384" w:rsidRDefault="00890384">
      <w:pPr>
        <w:widowControl w:val="0"/>
        <w:tabs>
          <w:tab w:val="clear" w:pos="567"/>
        </w:tabs>
        <w:autoSpaceDE w:val="0"/>
        <w:autoSpaceDN w:val="0"/>
        <w:spacing w:line="240" w:lineRule="auto"/>
      </w:pPr>
    </w:p>
    <w:p w14:paraId="441823EC" w14:textId="502E9EFD" w:rsidR="00890384" w:rsidRDefault="00B26795">
      <w:pPr>
        <w:widowControl w:val="0"/>
        <w:tabs>
          <w:tab w:val="clear" w:pos="567"/>
        </w:tabs>
        <w:autoSpaceDE w:val="0"/>
        <w:autoSpaceDN w:val="0"/>
        <w:spacing w:line="240" w:lineRule="auto"/>
      </w:pPr>
      <w:r>
        <w:t xml:space="preserve">Dideliu kraujavimu buvo apibūdinamas kraujavimas, atitinkantis vieną ar daugiau iš šių kriterijų: </w:t>
      </w:r>
      <w:r w:rsidR="00E10510">
        <w:t>I</w:t>
      </w:r>
      <w:r>
        <w:t xml:space="preserve">) mirtinas kraujavimas; </w:t>
      </w:r>
      <w:r w:rsidR="00E10510">
        <w:t>II</w:t>
      </w:r>
      <w:r>
        <w:t xml:space="preserve">) kliniškai ryškus kraujavimas, susijęs su hemoglobino (HB) koncentracijos sumažėjimu bent 20 g/l (2 g/dl) per 24 valandas; </w:t>
      </w:r>
      <w:r w:rsidR="00E10510">
        <w:t>III</w:t>
      </w:r>
      <w:r>
        <w:t xml:space="preserve">) kraujavimas, kuris yra retroperitoninis, plaučių, intrakranijinis ar kitaip susijęs su centrine nervų sistema; </w:t>
      </w:r>
      <w:r w:rsidR="00E10510">
        <w:t>IV</w:t>
      </w:r>
      <w:r>
        <w:t>) kraujavimas, dėl kurio reikia chirurginės intervencijos operacinėje (įskaitant intervencinę radiologiją).</w:t>
      </w:r>
    </w:p>
    <w:p w14:paraId="6D26E68E" w14:textId="77777777" w:rsidR="00890384" w:rsidRDefault="00890384">
      <w:pPr>
        <w:widowControl w:val="0"/>
        <w:tabs>
          <w:tab w:val="clear" w:pos="567"/>
        </w:tabs>
        <w:autoSpaceDE w:val="0"/>
        <w:autoSpaceDN w:val="0"/>
        <w:spacing w:line="240" w:lineRule="auto"/>
      </w:pPr>
    </w:p>
    <w:p w14:paraId="0867BCEA" w14:textId="104DCED0" w:rsidR="00890384" w:rsidRDefault="00B26795">
      <w:pPr>
        <w:widowControl w:val="0"/>
        <w:tabs>
          <w:tab w:val="clear" w:pos="567"/>
        </w:tabs>
        <w:autoSpaceDE w:val="0"/>
        <w:autoSpaceDN w:val="0"/>
        <w:spacing w:line="240" w:lineRule="auto"/>
      </w:pPr>
      <w:r>
        <w:t xml:space="preserve">KRNS </w:t>
      </w:r>
      <w:r w:rsidR="00E10510">
        <w:t xml:space="preserve">kraujavimas </w:t>
      </w:r>
      <w:r>
        <w:t>buvo apibrėžiamas kaip kraujavimas, kuris atitinka vieną arba abu toliau nurodytų požymių: (</w:t>
      </w:r>
      <w:r w:rsidR="00E10510">
        <w:t>I</w:t>
      </w:r>
      <w:r>
        <w:t>) akivaizdus kraujavimas, dėl kurio skiriamas kraujo preparatas ir kuris nėra tiesiogiai susijęs su tiriamojo sveikatos būkle, ir (</w:t>
      </w:r>
      <w:r w:rsidR="00E10510">
        <w:t>II</w:t>
      </w:r>
      <w:r>
        <w:t>) kraujavimas, kuriam reikia medicininės ar chirurginės intervencijos, kad būtų atkurta hemostazė, išskyrus operacinę.</w:t>
      </w:r>
    </w:p>
    <w:p w14:paraId="0EC72312" w14:textId="77777777" w:rsidR="00890384" w:rsidRDefault="00890384">
      <w:pPr>
        <w:widowControl w:val="0"/>
        <w:tabs>
          <w:tab w:val="clear" w:pos="567"/>
        </w:tabs>
        <w:autoSpaceDE w:val="0"/>
        <w:autoSpaceDN w:val="0"/>
        <w:spacing w:line="240" w:lineRule="auto"/>
      </w:pPr>
    </w:p>
    <w:p w14:paraId="089916A6" w14:textId="77777777" w:rsidR="00890384" w:rsidRDefault="00B26795">
      <w:pPr>
        <w:widowControl w:val="0"/>
        <w:tabs>
          <w:tab w:val="clear" w:pos="567"/>
        </w:tabs>
        <w:autoSpaceDE w:val="0"/>
        <w:autoSpaceDN w:val="0"/>
        <w:spacing w:line="240" w:lineRule="auto"/>
      </w:pPr>
      <w:r>
        <w:t>Mažas kraujavimas buvo apibrėžiamas kaip bet koks akivaizdus ar makroskopinis kraujavimas, neatitinkantis pirmiau nurodytų didelio kraujavimo arba kliniškai reikšmingo nedidelio kraujavimo kriterijų. Mėnesinių kraujavimas buvo priskiriamas prie mažų kraujavimų, o ne prie kliniškai reikšmingų nedidelių kraujavimų.</w:t>
      </w:r>
    </w:p>
    <w:p w14:paraId="74069F1D" w14:textId="77777777" w:rsidR="00890384" w:rsidRDefault="00890384">
      <w:pPr>
        <w:widowControl w:val="0"/>
        <w:tabs>
          <w:tab w:val="clear" w:pos="567"/>
        </w:tabs>
        <w:autoSpaceDE w:val="0"/>
        <w:autoSpaceDN w:val="0"/>
        <w:spacing w:line="240" w:lineRule="auto"/>
      </w:pPr>
    </w:p>
    <w:p w14:paraId="3D13204F" w14:textId="7027D111" w:rsidR="00890384" w:rsidRDefault="00B26795">
      <w:pPr>
        <w:widowControl w:val="0"/>
        <w:tabs>
          <w:tab w:val="clear" w:pos="567"/>
        </w:tabs>
        <w:autoSpaceDE w:val="0"/>
        <w:autoSpaceDN w:val="0"/>
        <w:spacing w:line="240" w:lineRule="auto"/>
      </w:pPr>
      <w:r>
        <w:t>Tarp 53 pacientų, kurie perėjo į tęstinį etapą ir vartojo apiksaban</w:t>
      </w:r>
      <w:r w:rsidR="00E10510">
        <w:t>o</w:t>
      </w:r>
      <w:r>
        <w:t>, simptominės ir nesimptominės pasikartojančios VTE ar su VTE susijusios mirties atvejų neužfiksuota. Tęstinio etapo metu nė vienas pacientas nepatyrė nepriklausomų vertintojų patvirtinto stipraus ar KRNS kraujavimo reiškinio. Aštuoni (8/53; 15,1</w:t>
      </w:r>
      <w:r w:rsidR="00E10510">
        <w:t> </w:t>
      </w:r>
      <w:r>
        <w:t>%) pacientai tęstinio etapo metu patyrė mažo kraujavimo reiškinius.</w:t>
      </w:r>
    </w:p>
    <w:p w14:paraId="78390272" w14:textId="77777777" w:rsidR="00E10510" w:rsidRDefault="00E10510">
      <w:pPr>
        <w:widowControl w:val="0"/>
        <w:tabs>
          <w:tab w:val="clear" w:pos="567"/>
        </w:tabs>
        <w:autoSpaceDE w:val="0"/>
        <w:autoSpaceDN w:val="0"/>
        <w:spacing w:line="240" w:lineRule="auto"/>
      </w:pPr>
    </w:p>
    <w:p w14:paraId="21CB4B72" w14:textId="6EE23C87" w:rsidR="00890384" w:rsidRDefault="00B26795">
      <w:pPr>
        <w:widowControl w:val="0"/>
        <w:tabs>
          <w:tab w:val="clear" w:pos="567"/>
        </w:tabs>
        <w:autoSpaceDE w:val="0"/>
        <w:autoSpaceDN w:val="0"/>
        <w:spacing w:line="240" w:lineRule="auto"/>
      </w:pPr>
      <w:r>
        <w:t>Apiksabano grupėje įvyko 3 mirtys, o SG grupėje – 1 mirtis; visi šie atvejai buvo tyrėjo įvertinti kaip su gydymu nesusiję. Remiantis nepriklausomo reiškinių vertinimo komiteto išvada, nė viena iš tų mirčių neįvyko dėl VTE arba kraujavimo reiškinio.</w:t>
      </w:r>
    </w:p>
    <w:p w14:paraId="0F1A189A" w14:textId="77777777" w:rsidR="00890384" w:rsidRDefault="00B26795">
      <w:pPr>
        <w:widowControl w:val="0"/>
        <w:tabs>
          <w:tab w:val="clear" w:pos="567"/>
        </w:tabs>
        <w:autoSpaceDE w:val="0"/>
        <w:autoSpaceDN w:val="0"/>
        <w:spacing w:line="240" w:lineRule="auto"/>
      </w:pPr>
      <w:r>
        <w:t>Apiksabano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apiksabanu.</w:t>
      </w:r>
    </w:p>
    <w:p w14:paraId="772E8AA8" w14:textId="77777777" w:rsidR="00890384" w:rsidRDefault="00890384">
      <w:pPr>
        <w:widowControl w:val="0"/>
        <w:tabs>
          <w:tab w:val="clear" w:pos="567"/>
        </w:tabs>
        <w:autoSpaceDE w:val="0"/>
        <w:autoSpaceDN w:val="0"/>
        <w:spacing w:line="240" w:lineRule="auto"/>
      </w:pPr>
    </w:p>
    <w:p w14:paraId="4F8A5082" w14:textId="77777777" w:rsidR="00890384" w:rsidRDefault="00B26795">
      <w:pPr>
        <w:widowControl w:val="0"/>
        <w:tabs>
          <w:tab w:val="clear" w:pos="567"/>
        </w:tabs>
        <w:autoSpaceDE w:val="0"/>
        <w:autoSpaceDN w:val="0"/>
        <w:spacing w:line="240" w:lineRule="auto"/>
      </w:pPr>
      <w:r>
        <w:t>Patvirtintos pediatrinės indikacijos pirminei VTE profilaktikai nėra.</w:t>
      </w:r>
    </w:p>
    <w:p w14:paraId="083F6046" w14:textId="77777777" w:rsidR="00890384" w:rsidRDefault="00890384">
      <w:pPr>
        <w:widowControl w:val="0"/>
        <w:tabs>
          <w:tab w:val="clear" w:pos="567"/>
        </w:tabs>
        <w:autoSpaceDE w:val="0"/>
        <w:autoSpaceDN w:val="0"/>
        <w:spacing w:line="240" w:lineRule="auto"/>
      </w:pPr>
    </w:p>
    <w:p w14:paraId="025D1721" w14:textId="77777777" w:rsidR="00890384" w:rsidRDefault="00B26795">
      <w:pPr>
        <w:widowControl w:val="0"/>
        <w:tabs>
          <w:tab w:val="clear" w:pos="567"/>
        </w:tabs>
        <w:autoSpaceDE w:val="0"/>
        <w:autoSpaceDN w:val="0"/>
        <w:spacing w:line="240" w:lineRule="auto"/>
        <w:rPr>
          <w:i/>
          <w:iCs/>
          <w:u w:val="single"/>
        </w:rPr>
      </w:pPr>
      <w:r>
        <w:rPr>
          <w:i/>
          <w:iCs/>
          <w:u w:val="single"/>
        </w:rPr>
        <w:t>VTE profilaktika pacientams vaikams, sergantiems ūmine limfoblastine leukemija arba limfoblastine limfoma (ŪLL, LL)</w:t>
      </w:r>
    </w:p>
    <w:p w14:paraId="484CFB38" w14:textId="1E8A190F" w:rsidR="00890384" w:rsidRDefault="00B26795">
      <w:pPr>
        <w:widowControl w:val="0"/>
        <w:tabs>
          <w:tab w:val="clear" w:pos="567"/>
        </w:tabs>
        <w:autoSpaceDE w:val="0"/>
        <w:autoSpaceDN w:val="0"/>
        <w:spacing w:line="240" w:lineRule="auto"/>
        <w:rPr>
          <w:snapToGrid/>
          <w:szCs w:val="22"/>
          <w:lang w:val="lt-LT"/>
        </w:rPr>
      </w:pPr>
      <w:r>
        <w:t xml:space="preserve">Atliekant tyrimą PREVAPIX-ALL, iš viso 512 naujai diagnozuota ŪLL arba LL sergančių pacientų, kurių </w:t>
      </w:r>
      <w:r>
        <w:lastRenderedPageBreak/>
        <w:t>amžius nuo 1 iki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15 lentelę). Apiksabano skirta 2,5 mg tablečių, 0,5 mg tablečių arba 0,4 mg/ml geriamojo tirpalo forma. Ekspozicijos trukmės mediana apiksabano grupėje buvo 25 paros.</w:t>
      </w:r>
    </w:p>
    <w:p w14:paraId="4C4E6FF5" w14:textId="77777777" w:rsidR="00890384" w:rsidRDefault="00890384">
      <w:pPr>
        <w:widowControl w:val="0"/>
        <w:tabs>
          <w:tab w:val="clear" w:pos="567"/>
        </w:tabs>
        <w:autoSpaceDE w:val="0"/>
        <w:autoSpaceDN w:val="0"/>
        <w:spacing w:line="240" w:lineRule="auto"/>
        <w:rPr>
          <w:snapToGrid/>
          <w:szCs w:val="22"/>
          <w:lang w:val="lt-LT"/>
        </w:rPr>
      </w:pPr>
    </w:p>
    <w:p w14:paraId="7829E7F6" w14:textId="77777777" w:rsidR="00890384" w:rsidRDefault="00B26795">
      <w:pPr>
        <w:widowControl w:val="0"/>
        <w:tabs>
          <w:tab w:val="clear" w:pos="567"/>
        </w:tabs>
        <w:spacing w:line="240" w:lineRule="auto"/>
        <w:rPr>
          <w:b/>
          <w:bCs/>
          <w:noProof/>
          <w:snapToGrid/>
          <w:szCs w:val="22"/>
          <w:lang w:val="en-US" w:eastAsia="sl-SI"/>
        </w:rPr>
      </w:pPr>
      <w:r>
        <w:rPr>
          <w:b/>
          <w:bCs/>
        </w:rPr>
        <w:t>13 lentelė. Apiksabano dozavimas PREVAPIX-ALL tyrimo metu</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8"/>
        <w:gridCol w:w="3333"/>
      </w:tblGrid>
      <w:tr w:rsidR="00890384" w14:paraId="096F89EC" w14:textId="77777777">
        <w:trPr>
          <w:trHeight w:val="339"/>
        </w:trPr>
        <w:tc>
          <w:tcPr>
            <w:tcW w:w="3148" w:type="dxa"/>
          </w:tcPr>
          <w:p w14:paraId="7AB4C006" w14:textId="77777777" w:rsidR="00890384" w:rsidRDefault="00B26795">
            <w:pPr>
              <w:widowControl w:val="0"/>
              <w:tabs>
                <w:tab w:val="clear" w:pos="567"/>
              </w:tabs>
              <w:spacing w:line="240" w:lineRule="auto"/>
              <w:jc w:val="center"/>
              <w:rPr>
                <w:b/>
                <w:bCs/>
                <w:noProof/>
                <w:snapToGrid/>
                <w:szCs w:val="22"/>
                <w:lang w:val="en-US" w:eastAsia="sl-SI"/>
              </w:rPr>
            </w:pPr>
            <w:r>
              <w:rPr>
                <w:b/>
                <w:bCs/>
              </w:rPr>
              <w:t>Kūno masės diapazonas</w:t>
            </w:r>
          </w:p>
        </w:tc>
        <w:tc>
          <w:tcPr>
            <w:tcW w:w="3333" w:type="dxa"/>
          </w:tcPr>
          <w:p w14:paraId="0337A988" w14:textId="77777777" w:rsidR="00890384" w:rsidRDefault="00B26795">
            <w:pPr>
              <w:widowControl w:val="0"/>
              <w:tabs>
                <w:tab w:val="clear" w:pos="567"/>
              </w:tabs>
              <w:spacing w:line="240" w:lineRule="auto"/>
              <w:jc w:val="center"/>
              <w:rPr>
                <w:b/>
                <w:bCs/>
                <w:noProof/>
                <w:snapToGrid/>
                <w:szCs w:val="22"/>
                <w:lang w:val="en-US" w:eastAsia="sl-SI"/>
              </w:rPr>
            </w:pPr>
            <w:r>
              <w:rPr>
                <w:b/>
                <w:bCs/>
              </w:rPr>
              <w:t>Dozavimo planas</w:t>
            </w:r>
          </w:p>
        </w:tc>
      </w:tr>
      <w:tr w:rsidR="00890384" w14:paraId="6F1654BA" w14:textId="77777777">
        <w:trPr>
          <w:trHeight w:val="339"/>
        </w:trPr>
        <w:tc>
          <w:tcPr>
            <w:tcW w:w="3148" w:type="dxa"/>
          </w:tcPr>
          <w:p w14:paraId="170AC91A" w14:textId="32F01770"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6 iki &lt;</w:t>
            </w:r>
            <w:r w:rsidR="00E1598B">
              <w:rPr>
                <w:noProof/>
                <w:snapToGrid/>
                <w:szCs w:val="22"/>
                <w:lang w:val="en-US" w:eastAsia="sl-SI"/>
              </w:rPr>
              <w:t> </w:t>
            </w:r>
            <w:r>
              <w:rPr>
                <w:noProof/>
                <w:snapToGrid/>
                <w:szCs w:val="22"/>
                <w:lang w:val="en-US" w:eastAsia="sl-SI"/>
              </w:rPr>
              <w:t>10,5 kg</w:t>
            </w:r>
          </w:p>
        </w:tc>
        <w:tc>
          <w:tcPr>
            <w:tcW w:w="3333" w:type="dxa"/>
          </w:tcPr>
          <w:p w14:paraId="13D1B4EB"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0,5 mg du kartus per parą</w:t>
            </w:r>
          </w:p>
        </w:tc>
      </w:tr>
      <w:tr w:rsidR="00890384" w14:paraId="5AFC358F" w14:textId="77777777">
        <w:trPr>
          <w:trHeight w:val="339"/>
        </w:trPr>
        <w:tc>
          <w:tcPr>
            <w:tcW w:w="3148" w:type="dxa"/>
          </w:tcPr>
          <w:p w14:paraId="46BD525A" w14:textId="3FBFE600"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10,5 iki &lt;</w:t>
            </w:r>
            <w:r w:rsidR="00E1598B">
              <w:rPr>
                <w:noProof/>
                <w:snapToGrid/>
                <w:szCs w:val="22"/>
                <w:lang w:val="en-US" w:eastAsia="sl-SI"/>
              </w:rPr>
              <w:t> </w:t>
            </w:r>
            <w:r>
              <w:rPr>
                <w:noProof/>
                <w:snapToGrid/>
                <w:szCs w:val="22"/>
                <w:lang w:val="en-US" w:eastAsia="sl-SI"/>
              </w:rPr>
              <w:t>18 kg</w:t>
            </w:r>
          </w:p>
        </w:tc>
        <w:tc>
          <w:tcPr>
            <w:tcW w:w="3333" w:type="dxa"/>
          </w:tcPr>
          <w:p w14:paraId="680D22C8"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1 mg du kartus per parą</w:t>
            </w:r>
          </w:p>
        </w:tc>
      </w:tr>
      <w:tr w:rsidR="00890384" w14:paraId="4F9C3A9D" w14:textId="77777777">
        <w:trPr>
          <w:trHeight w:val="339"/>
        </w:trPr>
        <w:tc>
          <w:tcPr>
            <w:tcW w:w="3148" w:type="dxa"/>
          </w:tcPr>
          <w:p w14:paraId="189FA62A" w14:textId="3FE75E53"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18 iki &lt;</w:t>
            </w:r>
            <w:r w:rsidR="00E1598B">
              <w:rPr>
                <w:noProof/>
                <w:snapToGrid/>
                <w:szCs w:val="22"/>
                <w:lang w:val="en-US" w:eastAsia="sl-SI"/>
              </w:rPr>
              <w:t> </w:t>
            </w:r>
            <w:r>
              <w:rPr>
                <w:noProof/>
                <w:snapToGrid/>
                <w:szCs w:val="22"/>
                <w:lang w:val="en-US" w:eastAsia="sl-SI"/>
              </w:rPr>
              <w:t>25 kg</w:t>
            </w:r>
          </w:p>
        </w:tc>
        <w:tc>
          <w:tcPr>
            <w:tcW w:w="3333" w:type="dxa"/>
          </w:tcPr>
          <w:p w14:paraId="3FB64C5C"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1,5 mg du kartus per parą</w:t>
            </w:r>
          </w:p>
        </w:tc>
      </w:tr>
      <w:tr w:rsidR="00890384" w14:paraId="71646356" w14:textId="77777777">
        <w:trPr>
          <w:trHeight w:val="339"/>
        </w:trPr>
        <w:tc>
          <w:tcPr>
            <w:tcW w:w="3148" w:type="dxa"/>
          </w:tcPr>
          <w:p w14:paraId="37818708" w14:textId="2A1A6534"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25 iki &lt;</w:t>
            </w:r>
            <w:r w:rsidR="00E1598B">
              <w:rPr>
                <w:noProof/>
                <w:snapToGrid/>
                <w:szCs w:val="22"/>
                <w:lang w:val="en-US" w:eastAsia="sl-SI"/>
              </w:rPr>
              <w:t> </w:t>
            </w:r>
            <w:r>
              <w:rPr>
                <w:noProof/>
                <w:snapToGrid/>
                <w:szCs w:val="22"/>
                <w:lang w:val="en-US" w:eastAsia="sl-SI"/>
              </w:rPr>
              <w:t>35 kg</w:t>
            </w:r>
          </w:p>
        </w:tc>
        <w:tc>
          <w:tcPr>
            <w:tcW w:w="3333" w:type="dxa"/>
          </w:tcPr>
          <w:p w14:paraId="7F260A41"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2 mg du kartus per parą</w:t>
            </w:r>
          </w:p>
        </w:tc>
      </w:tr>
      <w:tr w:rsidR="00890384" w14:paraId="34D3CFDD" w14:textId="77777777">
        <w:trPr>
          <w:trHeight w:val="339"/>
        </w:trPr>
        <w:tc>
          <w:tcPr>
            <w:tcW w:w="3148" w:type="dxa"/>
          </w:tcPr>
          <w:p w14:paraId="3343C0AC" w14:textId="51A94791"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w:t>
            </w:r>
            <w:r w:rsidR="00E1598B">
              <w:rPr>
                <w:noProof/>
                <w:snapToGrid/>
                <w:szCs w:val="22"/>
                <w:lang w:val="en-US" w:eastAsia="sl-SI"/>
              </w:rPr>
              <w:t> </w:t>
            </w:r>
            <w:r>
              <w:rPr>
                <w:noProof/>
                <w:snapToGrid/>
                <w:szCs w:val="22"/>
                <w:lang w:val="en-US" w:eastAsia="sl-SI"/>
              </w:rPr>
              <w:t>35 kg</w:t>
            </w:r>
          </w:p>
        </w:tc>
        <w:tc>
          <w:tcPr>
            <w:tcW w:w="3333" w:type="dxa"/>
          </w:tcPr>
          <w:p w14:paraId="494345A6"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Po 2,5 mg du kartus per parą</w:t>
            </w:r>
          </w:p>
        </w:tc>
      </w:tr>
    </w:tbl>
    <w:p w14:paraId="3CDA33F7" w14:textId="77777777" w:rsidR="00890384" w:rsidRDefault="00890384">
      <w:pPr>
        <w:widowControl w:val="0"/>
        <w:tabs>
          <w:tab w:val="clear" w:pos="567"/>
        </w:tabs>
        <w:spacing w:line="240" w:lineRule="auto"/>
        <w:jc w:val="both"/>
        <w:rPr>
          <w:noProof/>
          <w:snapToGrid/>
          <w:szCs w:val="22"/>
          <w:lang w:val="en-US" w:eastAsia="sl-SI"/>
        </w:rPr>
      </w:pPr>
    </w:p>
    <w:p w14:paraId="1A086D0A" w14:textId="77777777" w:rsidR="00890384" w:rsidRDefault="00B26795">
      <w:pPr>
        <w:widowControl w:val="0"/>
        <w:tabs>
          <w:tab w:val="clear" w:pos="567"/>
        </w:tabs>
        <w:autoSpaceDE w:val="0"/>
        <w:autoSpaceDN w:val="0"/>
        <w:spacing w:line="240" w:lineRule="auto"/>
      </w:pPr>
      <w:r>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Pirminės veiksmingumo vertinamosios baigties dažnis apiksabano grupėje buvo 31 (12,1 %), palyginti su 45 (17,6 %) standartinės priežiūros grupėje. Santykinis rizikos sumažėjimas nebuvo reikšmingas.</w:t>
      </w:r>
    </w:p>
    <w:p w14:paraId="504BD819" w14:textId="77777777" w:rsidR="00890384" w:rsidRDefault="00890384">
      <w:pPr>
        <w:widowControl w:val="0"/>
        <w:tabs>
          <w:tab w:val="clear" w:pos="567"/>
        </w:tabs>
        <w:autoSpaceDE w:val="0"/>
        <w:autoSpaceDN w:val="0"/>
        <w:spacing w:line="240" w:lineRule="auto"/>
      </w:pPr>
    </w:p>
    <w:p w14:paraId="08AE0B28" w14:textId="77777777" w:rsidR="00890384" w:rsidRDefault="00B26795">
      <w:pPr>
        <w:widowControl w:val="0"/>
        <w:tabs>
          <w:tab w:val="clear" w:pos="567"/>
        </w:tabs>
        <w:autoSpaceDE w:val="0"/>
        <w:autoSpaceDN w:val="0"/>
        <w:spacing w:line="240" w:lineRule="auto"/>
      </w:pPr>
      <w:r>
        <w:t>Saugumo vertinamosios baigtys vertintos pagal ISTH kriterijus. Pagrindinė saugumo vertinamoji baigtis – stiprus kraujavimas, pasireiškė po 0,8 % pacientų kiekvienoje gydymo grupėje. KRNS kraujavimas nustatytas 11 pacientų (4,3 %) apiksabano grupėje ir 3 pacientams (1,2 %) standartinės priežiūros grupėje. Dažniausias KRNS kraujavimas, prisidėjęs prie gydymo grupių skirtumo, buvo lengvas ar vidutinio intensyvumo kraujavimas iš nosies. Nestipraus kraujavimo atvejų pasireiškė 37 pacientams (14,5 %) apiksabano grupėje ir 20 pacientų (7,8 %) standartinės priežiūros grupėje.</w:t>
      </w:r>
    </w:p>
    <w:p w14:paraId="17EEA95E" w14:textId="77777777" w:rsidR="00890384" w:rsidRDefault="00890384">
      <w:pPr>
        <w:widowControl w:val="0"/>
        <w:tabs>
          <w:tab w:val="clear" w:pos="567"/>
        </w:tabs>
        <w:autoSpaceDE w:val="0"/>
        <w:autoSpaceDN w:val="0"/>
        <w:spacing w:line="240" w:lineRule="auto"/>
      </w:pPr>
    </w:p>
    <w:p w14:paraId="39E43897" w14:textId="373FC9EE" w:rsidR="00890384" w:rsidRDefault="00B26795">
      <w:pPr>
        <w:widowControl w:val="0"/>
        <w:tabs>
          <w:tab w:val="clear" w:pos="567"/>
        </w:tabs>
        <w:autoSpaceDE w:val="0"/>
        <w:autoSpaceDN w:val="0"/>
        <w:spacing w:line="240" w:lineRule="auto"/>
        <w:rPr>
          <w:snapToGrid/>
          <w:szCs w:val="22"/>
          <w:lang w:val="lt-LT"/>
        </w:rPr>
      </w:pPr>
      <w:r>
        <w:rPr>
          <w:i/>
          <w:iCs/>
          <w:u w:val="single"/>
        </w:rPr>
        <w:t>Trombozės ir embolijos (TE) profilaktika pacientams vaikams, turintiems įgimtą arba įgytą širdies ligą</w:t>
      </w:r>
      <w:r>
        <w:t xml:space="preserve"> SAXOPHONE buvo atsitiktinių imčių, 2:1 santykio, atvirasis daugiacentris palyginamasis tyrimas su pacientais nuo 28 dienų iki 18 metų ir kurie sirgo įgimta arba įgyta širdies liga, kai reikia taikyti antikoaguliacinį gydymą. Pacientai vartojo apiksaban</w:t>
      </w:r>
      <w:r w:rsidR="00E1598B">
        <w:t>o</w:t>
      </w:r>
      <w:r>
        <w:t xml:space="preserve">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035BD09A" w14:textId="77777777" w:rsidR="00890384" w:rsidRDefault="00890384">
      <w:pPr>
        <w:widowControl w:val="0"/>
        <w:tabs>
          <w:tab w:val="clear" w:pos="567"/>
        </w:tabs>
        <w:autoSpaceDE w:val="0"/>
        <w:autoSpaceDN w:val="0"/>
        <w:spacing w:line="240" w:lineRule="auto"/>
        <w:rPr>
          <w:snapToGrid/>
          <w:szCs w:val="22"/>
          <w:lang w:val="lt-LT"/>
        </w:rPr>
      </w:pPr>
    </w:p>
    <w:p w14:paraId="745E4BF4" w14:textId="77777777" w:rsidR="00890384" w:rsidRDefault="00B26795">
      <w:pPr>
        <w:widowControl w:val="0"/>
        <w:tabs>
          <w:tab w:val="clear" w:pos="567"/>
        </w:tabs>
        <w:spacing w:line="240" w:lineRule="auto"/>
        <w:rPr>
          <w:b/>
          <w:bCs/>
          <w:noProof/>
          <w:snapToGrid/>
          <w:szCs w:val="22"/>
          <w:lang w:val="en-US" w:eastAsia="sl-SI"/>
        </w:rPr>
      </w:pPr>
      <w:r>
        <w:rPr>
          <w:b/>
          <w:bCs/>
          <w:noProof/>
          <w:snapToGrid/>
          <w:szCs w:val="22"/>
          <w:lang w:val="en-US" w:eastAsia="sl-SI"/>
        </w:rPr>
        <w:t xml:space="preserve">14 lentelė: </w:t>
      </w:r>
      <w:r>
        <w:rPr>
          <w:b/>
          <w:bCs/>
        </w:rPr>
        <w:t>Apiksabano dozavimas SAXOPHONE tyrimo metu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2"/>
        <w:gridCol w:w="3334"/>
      </w:tblGrid>
      <w:tr w:rsidR="00890384" w14:paraId="75BC418E" w14:textId="77777777">
        <w:trPr>
          <w:trHeight w:val="309"/>
        </w:trPr>
        <w:tc>
          <w:tcPr>
            <w:tcW w:w="3362" w:type="dxa"/>
          </w:tcPr>
          <w:p w14:paraId="6094CFB1" w14:textId="253288A1" w:rsidR="00890384" w:rsidRDefault="00B26795">
            <w:pPr>
              <w:widowControl w:val="0"/>
              <w:tabs>
                <w:tab w:val="clear" w:pos="567"/>
              </w:tabs>
              <w:spacing w:line="240" w:lineRule="auto"/>
              <w:jc w:val="center"/>
              <w:rPr>
                <w:b/>
                <w:bCs/>
                <w:noProof/>
                <w:snapToGrid/>
                <w:szCs w:val="22"/>
                <w:lang w:val="en-US" w:eastAsia="sl-SI"/>
              </w:rPr>
            </w:pPr>
            <w:r>
              <w:rPr>
                <w:b/>
                <w:bCs/>
              </w:rPr>
              <w:t>Kūno masės diapazonas</w:t>
            </w:r>
          </w:p>
        </w:tc>
        <w:tc>
          <w:tcPr>
            <w:tcW w:w="3334" w:type="dxa"/>
          </w:tcPr>
          <w:p w14:paraId="47F0A379" w14:textId="77777777" w:rsidR="00890384" w:rsidRDefault="00B26795">
            <w:pPr>
              <w:widowControl w:val="0"/>
              <w:tabs>
                <w:tab w:val="clear" w:pos="567"/>
              </w:tabs>
              <w:spacing w:line="240" w:lineRule="auto"/>
              <w:jc w:val="center"/>
              <w:rPr>
                <w:b/>
                <w:bCs/>
                <w:noProof/>
                <w:snapToGrid/>
                <w:szCs w:val="22"/>
                <w:lang w:val="en-US" w:eastAsia="sl-SI"/>
              </w:rPr>
            </w:pPr>
            <w:r>
              <w:rPr>
                <w:b/>
                <w:bCs/>
              </w:rPr>
              <w:t xml:space="preserve">Kūno masės diapazonas Dozavimo planas </w:t>
            </w:r>
          </w:p>
        </w:tc>
      </w:tr>
      <w:tr w:rsidR="00890384" w14:paraId="226A3167" w14:textId="77777777">
        <w:trPr>
          <w:trHeight w:val="307"/>
        </w:trPr>
        <w:tc>
          <w:tcPr>
            <w:tcW w:w="3362" w:type="dxa"/>
          </w:tcPr>
          <w:p w14:paraId="522BD44E" w14:textId="1EB041D0"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6 iki &lt;</w:t>
            </w:r>
            <w:r w:rsidR="00E1598B">
              <w:rPr>
                <w:noProof/>
                <w:snapToGrid/>
                <w:szCs w:val="22"/>
                <w:lang w:val="en-US" w:eastAsia="sl-SI"/>
              </w:rPr>
              <w:t> </w:t>
            </w:r>
            <w:r>
              <w:rPr>
                <w:noProof/>
                <w:snapToGrid/>
                <w:szCs w:val="22"/>
                <w:lang w:val="en-US" w:eastAsia="sl-SI"/>
              </w:rPr>
              <w:t>9 kg</w:t>
            </w:r>
          </w:p>
        </w:tc>
        <w:tc>
          <w:tcPr>
            <w:tcW w:w="3334" w:type="dxa"/>
          </w:tcPr>
          <w:p w14:paraId="767C8794"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1 mg du kartus per parą</w:t>
            </w:r>
          </w:p>
        </w:tc>
      </w:tr>
      <w:tr w:rsidR="00890384" w14:paraId="229B47BF" w14:textId="77777777">
        <w:trPr>
          <w:trHeight w:val="309"/>
        </w:trPr>
        <w:tc>
          <w:tcPr>
            <w:tcW w:w="3362" w:type="dxa"/>
          </w:tcPr>
          <w:p w14:paraId="5EF600FA" w14:textId="6AD97A50"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9 iki &lt;</w:t>
            </w:r>
            <w:r w:rsidR="00E1598B">
              <w:rPr>
                <w:noProof/>
                <w:snapToGrid/>
                <w:szCs w:val="22"/>
                <w:lang w:val="en-US" w:eastAsia="sl-SI"/>
              </w:rPr>
              <w:t> </w:t>
            </w:r>
            <w:r>
              <w:rPr>
                <w:noProof/>
                <w:snapToGrid/>
                <w:szCs w:val="22"/>
                <w:lang w:val="en-US" w:eastAsia="sl-SI"/>
              </w:rPr>
              <w:t>12 kg</w:t>
            </w:r>
          </w:p>
        </w:tc>
        <w:tc>
          <w:tcPr>
            <w:tcW w:w="3334" w:type="dxa"/>
          </w:tcPr>
          <w:p w14:paraId="1E905861"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1,5 mg du kartus per parą</w:t>
            </w:r>
          </w:p>
        </w:tc>
      </w:tr>
      <w:tr w:rsidR="00890384" w14:paraId="10F0CEAE" w14:textId="77777777">
        <w:trPr>
          <w:trHeight w:val="309"/>
        </w:trPr>
        <w:tc>
          <w:tcPr>
            <w:tcW w:w="3362" w:type="dxa"/>
          </w:tcPr>
          <w:p w14:paraId="3A1C414E" w14:textId="34364048"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12 iki &lt;</w:t>
            </w:r>
            <w:r w:rsidR="00E1598B">
              <w:rPr>
                <w:noProof/>
                <w:snapToGrid/>
                <w:szCs w:val="22"/>
                <w:lang w:val="en-US" w:eastAsia="sl-SI"/>
              </w:rPr>
              <w:t> </w:t>
            </w:r>
            <w:r>
              <w:rPr>
                <w:noProof/>
                <w:snapToGrid/>
                <w:szCs w:val="22"/>
                <w:lang w:val="en-US" w:eastAsia="sl-SI"/>
              </w:rPr>
              <w:t>18 kg</w:t>
            </w:r>
          </w:p>
        </w:tc>
        <w:tc>
          <w:tcPr>
            <w:tcW w:w="3334" w:type="dxa"/>
          </w:tcPr>
          <w:p w14:paraId="69021BC9"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2 mg du kartus per parą</w:t>
            </w:r>
          </w:p>
        </w:tc>
      </w:tr>
      <w:tr w:rsidR="00890384" w14:paraId="7D798559" w14:textId="77777777">
        <w:trPr>
          <w:trHeight w:val="309"/>
        </w:trPr>
        <w:tc>
          <w:tcPr>
            <w:tcW w:w="3362" w:type="dxa"/>
          </w:tcPr>
          <w:p w14:paraId="0135A8D4" w14:textId="204CCF51"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18 iki &lt;</w:t>
            </w:r>
            <w:r w:rsidR="00E1598B">
              <w:rPr>
                <w:noProof/>
                <w:snapToGrid/>
                <w:szCs w:val="22"/>
                <w:lang w:val="en-US" w:eastAsia="sl-SI"/>
              </w:rPr>
              <w:t> </w:t>
            </w:r>
            <w:r>
              <w:rPr>
                <w:noProof/>
                <w:snapToGrid/>
                <w:szCs w:val="22"/>
                <w:lang w:val="en-US" w:eastAsia="sl-SI"/>
              </w:rPr>
              <w:t>25 kg</w:t>
            </w:r>
          </w:p>
        </w:tc>
        <w:tc>
          <w:tcPr>
            <w:tcW w:w="3334" w:type="dxa"/>
          </w:tcPr>
          <w:p w14:paraId="029A88AA"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3 mg du kartus per parą</w:t>
            </w:r>
          </w:p>
        </w:tc>
      </w:tr>
      <w:tr w:rsidR="00890384" w14:paraId="772FF082" w14:textId="77777777">
        <w:trPr>
          <w:trHeight w:val="309"/>
        </w:trPr>
        <w:tc>
          <w:tcPr>
            <w:tcW w:w="3362" w:type="dxa"/>
          </w:tcPr>
          <w:p w14:paraId="39FD9763" w14:textId="3DBA2301"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nuo 25 iki &lt;</w:t>
            </w:r>
            <w:r w:rsidR="00E1598B">
              <w:rPr>
                <w:noProof/>
                <w:snapToGrid/>
                <w:szCs w:val="22"/>
                <w:lang w:val="en-US" w:eastAsia="sl-SI"/>
              </w:rPr>
              <w:t> </w:t>
            </w:r>
            <w:r>
              <w:rPr>
                <w:noProof/>
                <w:snapToGrid/>
                <w:szCs w:val="22"/>
                <w:lang w:val="en-US" w:eastAsia="sl-SI"/>
              </w:rPr>
              <w:t>35 kg</w:t>
            </w:r>
          </w:p>
        </w:tc>
        <w:tc>
          <w:tcPr>
            <w:tcW w:w="3334" w:type="dxa"/>
          </w:tcPr>
          <w:p w14:paraId="50A5796B"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4 mg du kartus per parą</w:t>
            </w:r>
          </w:p>
        </w:tc>
      </w:tr>
      <w:tr w:rsidR="00890384" w14:paraId="21533525" w14:textId="77777777">
        <w:trPr>
          <w:trHeight w:val="309"/>
        </w:trPr>
        <w:tc>
          <w:tcPr>
            <w:tcW w:w="3362" w:type="dxa"/>
          </w:tcPr>
          <w:p w14:paraId="052AA7FC" w14:textId="28DDA944"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w:t>
            </w:r>
            <w:r w:rsidR="00E1598B">
              <w:rPr>
                <w:noProof/>
                <w:snapToGrid/>
                <w:szCs w:val="22"/>
                <w:lang w:val="en-US" w:eastAsia="sl-SI"/>
              </w:rPr>
              <w:t> </w:t>
            </w:r>
            <w:r>
              <w:rPr>
                <w:noProof/>
                <w:snapToGrid/>
                <w:szCs w:val="22"/>
                <w:lang w:val="en-US" w:eastAsia="sl-SI"/>
              </w:rPr>
              <w:t>35 kg</w:t>
            </w:r>
          </w:p>
        </w:tc>
        <w:tc>
          <w:tcPr>
            <w:tcW w:w="3334" w:type="dxa"/>
          </w:tcPr>
          <w:p w14:paraId="507B32A8" w14:textId="77777777" w:rsidR="00890384" w:rsidRDefault="00B26795">
            <w:pPr>
              <w:widowControl w:val="0"/>
              <w:tabs>
                <w:tab w:val="clear" w:pos="567"/>
              </w:tabs>
              <w:spacing w:line="240" w:lineRule="auto"/>
              <w:jc w:val="center"/>
              <w:rPr>
                <w:noProof/>
                <w:snapToGrid/>
                <w:szCs w:val="22"/>
                <w:lang w:val="en-US" w:eastAsia="sl-SI"/>
              </w:rPr>
            </w:pPr>
            <w:r>
              <w:rPr>
                <w:noProof/>
                <w:snapToGrid/>
                <w:szCs w:val="22"/>
                <w:lang w:val="en-US" w:eastAsia="sl-SI"/>
              </w:rPr>
              <w:t>5 mg du kartus per parą</w:t>
            </w:r>
          </w:p>
        </w:tc>
      </w:tr>
    </w:tbl>
    <w:p w14:paraId="102A8551" w14:textId="77777777" w:rsidR="00890384" w:rsidRDefault="00890384">
      <w:pPr>
        <w:widowControl w:val="0"/>
        <w:tabs>
          <w:tab w:val="clear" w:pos="567"/>
        </w:tabs>
        <w:spacing w:line="240" w:lineRule="auto"/>
        <w:jc w:val="both"/>
        <w:rPr>
          <w:b/>
          <w:noProof/>
          <w:snapToGrid/>
          <w:szCs w:val="22"/>
          <w:lang w:val="en-US" w:eastAsia="sl-SI"/>
        </w:rPr>
      </w:pPr>
    </w:p>
    <w:p w14:paraId="4A4922BB" w14:textId="5AB36F9E" w:rsidR="00890384" w:rsidRDefault="00B26795">
      <w:pPr>
        <w:widowControl w:val="0"/>
        <w:tabs>
          <w:tab w:val="clear" w:pos="567"/>
        </w:tabs>
        <w:autoSpaceDE w:val="0"/>
        <w:autoSpaceDN w:val="0"/>
        <w:spacing w:line="240" w:lineRule="auto"/>
      </w:pPr>
      <w:r>
        <w:t>Pagrindinė saugumo vertinamoji baigtis – sudėtinis įvertintas ir pagal ISTH apibrėžtas stipraus bei KRNS kraujavimo rodiklis – nustatyta 1 iš 126 pacientų (0,8 %) apiksabano grupėje ir 3 iš 62 pacientų (4,8 %) standartinės priežiūros grupėje. Antrinių saugumo vertinamųjų baigčių – įvertintų stipraus, KRNS ir visų kraujavimo atvejų – dažnis abiejose gydymo grupėse buvo panašus. Antrinė saugumo vertinamoji baigtis – vaist</w:t>
      </w:r>
      <w:r w:rsidR="00E1598B">
        <w:t>inio preparato</w:t>
      </w:r>
      <w:r>
        <w:t xml:space="preserve"> vartojimo nutraukimas dėl nepageidaujamo reiškinio, netoleravimo arba kraujavimo, </w:t>
      </w:r>
      <w:r>
        <w:lastRenderedPageBreak/>
        <w:t>registruota 7 pacientams (5,6 %) apiksabano grupėje ir 1 pacientui (1,6 %) standartinės priežiūros grupėje. Nė vienas pacientas jokioje gydymo grupėje nepatyrė tromboembolijos reiškinio. Nė vienoje gydymo grupėje neregistruota mirties atvejų.</w:t>
      </w:r>
    </w:p>
    <w:p w14:paraId="72C64383" w14:textId="77777777" w:rsidR="00890384" w:rsidRDefault="00890384">
      <w:pPr>
        <w:widowControl w:val="0"/>
        <w:tabs>
          <w:tab w:val="clear" w:pos="567"/>
        </w:tabs>
        <w:autoSpaceDE w:val="0"/>
        <w:autoSpaceDN w:val="0"/>
        <w:spacing w:line="240" w:lineRule="auto"/>
      </w:pPr>
    </w:p>
    <w:p w14:paraId="3B18E1CA" w14:textId="77777777" w:rsidR="00890384" w:rsidRDefault="00B26795">
      <w:pPr>
        <w:widowControl w:val="0"/>
        <w:tabs>
          <w:tab w:val="clear" w:pos="567"/>
        </w:tabs>
        <w:autoSpaceDE w:val="0"/>
        <w:autoSpaceDN w:val="0"/>
        <w:spacing w:line="240" w:lineRule="auto"/>
        <w:rPr>
          <w:snapToGrid/>
          <w:szCs w:val="22"/>
          <w:lang w:val="lt-LT"/>
        </w:rPr>
      </w:pPr>
      <w: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449ADD1F" w14:textId="77777777" w:rsidR="00890384" w:rsidRDefault="00890384">
      <w:pPr>
        <w:widowControl w:val="0"/>
        <w:tabs>
          <w:tab w:val="clear" w:pos="567"/>
        </w:tabs>
        <w:autoSpaceDE w:val="0"/>
        <w:autoSpaceDN w:val="0"/>
        <w:spacing w:line="240" w:lineRule="auto"/>
        <w:rPr>
          <w:snapToGrid/>
          <w:szCs w:val="22"/>
          <w:lang w:val="lt-LT"/>
        </w:rPr>
      </w:pPr>
    </w:p>
    <w:p w14:paraId="0421C6D5" w14:textId="30CDD90A"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Europos vaistų agentūra atidėjo įsipareigojimą pateikti referentinio vaistinio preparato, kurio sudėtyje yra apiksabano, tyrimų rezultatus su viena ar daugiau vaikų populiacijos pogrupių, </w:t>
      </w:r>
      <w:r>
        <w:t>duomenis venų tromboembolijos gydymo indikacijai</w:t>
      </w:r>
      <w:r>
        <w:rPr>
          <w:snapToGrid/>
          <w:szCs w:val="22"/>
          <w:lang w:val="lt-LT"/>
        </w:rPr>
        <w:t xml:space="preserve"> (žr. 4.2 skyriuje informaciją apie vartojimą vaikams).</w:t>
      </w:r>
    </w:p>
    <w:p w14:paraId="1ED58151" w14:textId="77777777" w:rsidR="00890384" w:rsidRDefault="00890384">
      <w:pPr>
        <w:widowControl w:val="0"/>
        <w:tabs>
          <w:tab w:val="clear" w:pos="567"/>
        </w:tabs>
        <w:autoSpaceDE w:val="0"/>
        <w:autoSpaceDN w:val="0"/>
        <w:spacing w:line="240" w:lineRule="auto"/>
        <w:rPr>
          <w:snapToGrid/>
          <w:szCs w:val="22"/>
          <w:lang w:val="lt-LT"/>
        </w:rPr>
      </w:pPr>
    </w:p>
    <w:p w14:paraId="7FCED325" w14:textId="77777777" w:rsidR="00890384" w:rsidRDefault="00B26795">
      <w:pPr>
        <w:widowControl w:val="0"/>
        <w:numPr>
          <w:ilvl w:val="1"/>
          <w:numId w:val="40"/>
        </w:numPr>
        <w:autoSpaceDE w:val="0"/>
        <w:autoSpaceDN w:val="0"/>
        <w:spacing w:line="240" w:lineRule="auto"/>
        <w:outlineLvl w:val="1"/>
        <w:rPr>
          <w:b/>
          <w:bCs/>
          <w:snapToGrid/>
          <w:szCs w:val="22"/>
          <w:lang w:val="lt-LT"/>
        </w:rPr>
      </w:pPr>
      <w:r>
        <w:rPr>
          <w:b/>
          <w:bCs/>
          <w:snapToGrid/>
          <w:szCs w:val="22"/>
          <w:lang w:val="lt-LT"/>
        </w:rPr>
        <w:t>Farmakokinetinės savybės</w:t>
      </w:r>
    </w:p>
    <w:p w14:paraId="26FCD4BA" w14:textId="77777777" w:rsidR="00890384" w:rsidRDefault="00890384">
      <w:pPr>
        <w:widowControl w:val="0"/>
        <w:tabs>
          <w:tab w:val="clear" w:pos="567"/>
        </w:tabs>
        <w:autoSpaceDE w:val="0"/>
        <w:autoSpaceDN w:val="0"/>
        <w:spacing w:line="240" w:lineRule="auto"/>
        <w:rPr>
          <w:b/>
          <w:snapToGrid/>
          <w:szCs w:val="22"/>
          <w:lang w:val="lt-LT"/>
        </w:rPr>
      </w:pPr>
    </w:p>
    <w:p w14:paraId="4C79BB89"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Absorbcija</w:t>
      </w:r>
    </w:p>
    <w:p w14:paraId="751C5A0C" w14:textId="41B05185"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iki 10 mg apiksabano dozių absoliutus biologinis prieinamumas yra maždaug 50 %. Apiksabanas greitai absorbuojamas, o didžiausia jo koncentracija (C</w:t>
      </w:r>
      <w:r>
        <w:rPr>
          <w:snapToGrid/>
          <w:szCs w:val="22"/>
          <w:vertAlign w:val="subscript"/>
          <w:lang w:val="lt-LT"/>
        </w:rPr>
        <w:t>max</w:t>
      </w:r>
      <w:r>
        <w:rPr>
          <w:snapToGrid/>
          <w:szCs w:val="22"/>
          <w:lang w:val="lt-LT"/>
        </w:rPr>
        <w:t>) susidaro praėjus 3–4 valandoms po tabletės suvartojimo. Vartojant 10 mg apiksabano dozę su maistu, vaistinio preparato AUC ir C</w:t>
      </w:r>
      <w:r>
        <w:rPr>
          <w:snapToGrid/>
          <w:szCs w:val="22"/>
          <w:vertAlign w:val="subscript"/>
          <w:lang w:val="lt-LT"/>
        </w:rPr>
        <w:t>max</w:t>
      </w:r>
      <w:r>
        <w:rPr>
          <w:snapToGrid/>
          <w:szCs w:val="22"/>
          <w:lang w:val="lt-LT"/>
        </w:rPr>
        <w:t xml:space="preserve"> nekinta. Apiksabano galima vartoti valgant arba be maisto.</w:t>
      </w:r>
    </w:p>
    <w:p w14:paraId="5BB7720C" w14:textId="77777777" w:rsidR="00890384" w:rsidRDefault="00890384">
      <w:pPr>
        <w:widowControl w:val="0"/>
        <w:tabs>
          <w:tab w:val="clear" w:pos="567"/>
        </w:tabs>
        <w:autoSpaceDE w:val="0"/>
        <w:autoSpaceDN w:val="0"/>
        <w:spacing w:line="240" w:lineRule="auto"/>
        <w:rPr>
          <w:snapToGrid/>
          <w:szCs w:val="22"/>
          <w:lang w:val="lt-LT"/>
        </w:rPr>
      </w:pPr>
    </w:p>
    <w:p w14:paraId="279F219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Per burną vartojant iki 10 mg apiksabano dozes, vaistinio preparato farmakokinetika yra tiesinė, ir didinant dozę, proporcingai didėja ekspozicija. Vartojant 25 mg ir didesnes apiksabano dozes, dėl tirpumo ribojama absorbcija ir sumažėja biologinis prieinamumas. Apiksabano ekspozicijos rodmenų kintamumas yra nedidelis ar vidutinis, t. y., variacijos koeficientas (angl. </w:t>
      </w:r>
      <w:r>
        <w:rPr>
          <w:i/>
          <w:snapToGrid/>
          <w:szCs w:val="22"/>
          <w:lang w:val="lt-LT"/>
        </w:rPr>
        <w:t>coefficient of variation, CV</w:t>
      </w:r>
      <w:r>
        <w:rPr>
          <w:snapToGrid/>
          <w:szCs w:val="22"/>
          <w:lang w:val="lt-LT"/>
        </w:rPr>
        <w:t>) tam pačiam pacientui ir tarp pacientų yra atitinkamai maždaug 20 % ir 30 %.</w:t>
      </w:r>
    </w:p>
    <w:p w14:paraId="1ED82833" w14:textId="77777777" w:rsidR="00890384" w:rsidRDefault="00890384">
      <w:pPr>
        <w:widowControl w:val="0"/>
        <w:tabs>
          <w:tab w:val="clear" w:pos="567"/>
        </w:tabs>
        <w:autoSpaceDE w:val="0"/>
        <w:autoSpaceDN w:val="0"/>
        <w:spacing w:line="240" w:lineRule="auto"/>
        <w:rPr>
          <w:snapToGrid/>
          <w:szCs w:val="22"/>
          <w:lang w:val="lt-LT"/>
        </w:rPr>
      </w:pPr>
    </w:p>
    <w:p w14:paraId="658AE28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Vartojant per burną 10 mg apiksabano dozę sutrinant 2 tabletes po 5 mg ir ištirpinant 30 ml vandens, ekspozicija buvo panaši, kaip ir per burną vartojant 2 nesmulkintas tabletes po 5 mg. Per burną vartojant 10 mg apiksabano dozę, sutrynus 2 tabletes po 5 mg ir sumaišius su 30 g obuolių tyrės, C</w:t>
      </w:r>
      <w:r>
        <w:rPr>
          <w:snapToGrid/>
          <w:szCs w:val="22"/>
          <w:vertAlign w:val="subscript"/>
          <w:lang w:val="lt-LT"/>
        </w:rPr>
        <w:t>max</w:t>
      </w:r>
      <w:r>
        <w:rPr>
          <w:snapToGrid/>
          <w:szCs w:val="22"/>
          <w:lang w:val="lt-LT"/>
        </w:rPr>
        <w:t xml:space="preserve"> ir AUC buvo atitinkamai 21 % ir 16 % mažesni nei vartojant 2 nesmulkintas tabletes po 5 mg. Ekspozicijos sumažėjimas nebuvo laikomas kliniškai reikšmingu.</w:t>
      </w:r>
    </w:p>
    <w:p w14:paraId="1C2213A4" w14:textId="77777777" w:rsidR="00890384" w:rsidRDefault="00890384">
      <w:pPr>
        <w:widowControl w:val="0"/>
        <w:tabs>
          <w:tab w:val="clear" w:pos="567"/>
        </w:tabs>
        <w:autoSpaceDE w:val="0"/>
        <w:autoSpaceDN w:val="0"/>
        <w:spacing w:line="240" w:lineRule="auto"/>
        <w:rPr>
          <w:snapToGrid/>
          <w:szCs w:val="22"/>
          <w:lang w:val="lt-LT"/>
        </w:rPr>
      </w:pPr>
    </w:p>
    <w:p w14:paraId="62583AF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Vartojant sutrintą 5 mg apiksabano tabletę, ištirpintą 60 ml G5W, pro nazogastrinį zondą, ekspozicija buvo panaši, kaip ir kituose klinikiniuose tyrimuose, kuriuose dalyvavo sveiki tiriamieji, kurie per burną vartojo vienkartinę dozę – 5 mg apiksabano tabletę.</w:t>
      </w:r>
    </w:p>
    <w:p w14:paraId="6DDA0A83" w14:textId="77777777" w:rsidR="00890384" w:rsidRDefault="00890384">
      <w:pPr>
        <w:widowControl w:val="0"/>
        <w:tabs>
          <w:tab w:val="clear" w:pos="567"/>
        </w:tabs>
        <w:autoSpaceDE w:val="0"/>
        <w:autoSpaceDN w:val="0"/>
        <w:spacing w:line="240" w:lineRule="auto"/>
        <w:rPr>
          <w:snapToGrid/>
          <w:szCs w:val="22"/>
          <w:lang w:val="lt-LT"/>
        </w:rPr>
      </w:pPr>
    </w:p>
    <w:p w14:paraId="60D2310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Atsižvelgiant į prognozuojamas dozei proporcingas apiksabano farmakokinetines savybes, atliktų tyrimų biologinio prieinamumo rezultatai taikomi mažesnėms apiksabano dozėms.</w:t>
      </w:r>
    </w:p>
    <w:p w14:paraId="7AB0F4D2" w14:textId="77777777" w:rsidR="00890384" w:rsidRDefault="00890384">
      <w:pPr>
        <w:widowControl w:val="0"/>
        <w:tabs>
          <w:tab w:val="clear" w:pos="567"/>
        </w:tabs>
        <w:autoSpaceDE w:val="0"/>
        <w:autoSpaceDN w:val="0"/>
        <w:spacing w:line="240" w:lineRule="auto"/>
        <w:rPr>
          <w:u w:val="single"/>
        </w:rPr>
      </w:pPr>
    </w:p>
    <w:p w14:paraId="71AD1D76" w14:textId="77777777" w:rsidR="00890384" w:rsidRDefault="00B26795">
      <w:pPr>
        <w:widowControl w:val="0"/>
        <w:tabs>
          <w:tab w:val="clear" w:pos="567"/>
        </w:tabs>
        <w:autoSpaceDE w:val="0"/>
        <w:autoSpaceDN w:val="0"/>
        <w:spacing w:line="240" w:lineRule="auto"/>
        <w:rPr>
          <w:u w:val="single"/>
        </w:rPr>
      </w:pPr>
      <w:r>
        <w:rPr>
          <w:u w:val="single"/>
        </w:rPr>
        <w:t>Vaikų populiacija</w:t>
      </w:r>
    </w:p>
    <w:p w14:paraId="19503DC4" w14:textId="77777777" w:rsidR="00890384" w:rsidRDefault="00B26795">
      <w:pPr>
        <w:widowControl w:val="0"/>
        <w:tabs>
          <w:tab w:val="clear" w:pos="567"/>
        </w:tabs>
        <w:autoSpaceDE w:val="0"/>
        <w:autoSpaceDN w:val="0"/>
        <w:spacing w:line="240" w:lineRule="auto"/>
      </w:pPr>
      <w:r>
        <w:t>Apiksabanas greitai absorbuojamas, o didžiausia jo koncentracija (Cmax) susidaro praėjus maždaug 2 valandoms po vienos dozės suvartojimo.</w:t>
      </w:r>
    </w:p>
    <w:p w14:paraId="5B8E2C9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Pasiskirstymas</w:t>
      </w:r>
    </w:p>
    <w:p w14:paraId="78509D40" w14:textId="04459CFA"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prie kraujo plazmos baltymų jungiasi apytiksliai 87 % vaistinio preparato. Pasiskirstymo tūris (Vss) yra maždaug 21 litras.</w:t>
      </w:r>
    </w:p>
    <w:p w14:paraId="47AD93A4" w14:textId="77777777" w:rsidR="00890384" w:rsidRDefault="00890384">
      <w:pPr>
        <w:widowControl w:val="0"/>
        <w:tabs>
          <w:tab w:val="clear" w:pos="567"/>
        </w:tabs>
        <w:autoSpaceDE w:val="0"/>
        <w:autoSpaceDN w:val="0"/>
        <w:spacing w:line="240" w:lineRule="auto"/>
        <w:rPr>
          <w:snapToGrid/>
          <w:szCs w:val="22"/>
          <w:lang w:val="lt-LT"/>
        </w:rPr>
      </w:pPr>
    </w:p>
    <w:p w14:paraId="6905C9ED"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Biotransformacija ir eliminacija</w:t>
      </w:r>
    </w:p>
    <w:p w14:paraId="1E2070A7" w14:textId="13B6D862"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Apiksabanas šalinamas daugeliu būdų. Maždaug 25 % </w:t>
      </w:r>
      <w:r>
        <w:t>suaugusiųjų</w:t>
      </w:r>
      <w:r>
        <w:rPr>
          <w:snapToGrid/>
          <w:szCs w:val="22"/>
          <w:lang w:val="lt-LT"/>
        </w:rPr>
        <w:t xml:space="preserve"> suvartotos apiksabano dozės šalinama metabolitų pavidalu, o daugelis jų nustatomi išmatose. </w:t>
      </w:r>
      <w:r>
        <w:t xml:space="preserve">Suaugusiesiems </w:t>
      </w:r>
      <w:r>
        <w:rPr>
          <w:snapToGrid/>
          <w:szCs w:val="22"/>
          <w:lang w:val="lt-LT"/>
        </w:rPr>
        <w:t>apiksabano ekskrecija per inkstus sudaro maždaug 27 % bendrojo klirenso. Klinikinių ir ikiklinikinių tyrimų metu nustatyta, kad vaistinis preparatas papildomai šalinamas atitinkamai su tulžimi ir tiesioginės ekskrecijos žarnyne būdu.</w:t>
      </w:r>
    </w:p>
    <w:p w14:paraId="5D8E6B31" w14:textId="77777777" w:rsidR="00890384" w:rsidRDefault="00890384">
      <w:pPr>
        <w:widowControl w:val="0"/>
        <w:tabs>
          <w:tab w:val="clear" w:pos="567"/>
        </w:tabs>
        <w:autoSpaceDE w:val="0"/>
        <w:autoSpaceDN w:val="0"/>
        <w:spacing w:line="240" w:lineRule="auto"/>
        <w:rPr>
          <w:snapToGrid/>
          <w:szCs w:val="22"/>
          <w:lang w:val="lt-LT"/>
        </w:rPr>
      </w:pPr>
    </w:p>
    <w:p w14:paraId="3BB31D4E" w14:textId="6897F3F4"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bendrasis apiksabano klirensas yra apie 3,3 l/val., o jo pusinės eliminacijos laikotarpis – maždaug 12 valandų.</w:t>
      </w:r>
    </w:p>
    <w:p w14:paraId="6177FF64" w14:textId="77777777" w:rsidR="00890384" w:rsidRDefault="00890384">
      <w:pPr>
        <w:widowControl w:val="0"/>
        <w:tabs>
          <w:tab w:val="clear" w:pos="567"/>
        </w:tabs>
        <w:autoSpaceDE w:val="0"/>
        <w:autoSpaceDN w:val="0"/>
        <w:spacing w:line="240" w:lineRule="auto"/>
      </w:pPr>
    </w:p>
    <w:p w14:paraId="538D9929" w14:textId="77777777" w:rsidR="00890384" w:rsidRDefault="00B26795">
      <w:pPr>
        <w:widowControl w:val="0"/>
        <w:tabs>
          <w:tab w:val="clear" w:pos="567"/>
        </w:tabs>
        <w:autoSpaceDE w:val="0"/>
        <w:autoSpaceDN w:val="0"/>
        <w:spacing w:line="240" w:lineRule="auto"/>
      </w:pPr>
      <w:r>
        <w:t>Vaikams bendrasis tariamasis apiksabano klirensas yra maždaug 3,0 l/val.</w:t>
      </w:r>
    </w:p>
    <w:p w14:paraId="7A39A111" w14:textId="77777777" w:rsidR="00890384" w:rsidRDefault="00890384">
      <w:pPr>
        <w:widowControl w:val="0"/>
        <w:tabs>
          <w:tab w:val="clear" w:pos="567"/>
        </w:tabs>
        <w:autoSpaceDE w:val="0"/>
        <w:autoSpaceDN w:val="0"/>
        <w:spacing w:line="240" w:lineRule="auto"/>
        <w:rPr>
          <w:snapToGrid/>
          <w:szCs w:val="22"/>
          <w:lang w:val="lt-LT"/>
        </w:rPr>
      </w:pPr>
    </w:p>
    <w:p w14:paraId="0FE50DF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Svarbiausieji biotransformacijos būdai yra O-demetilinimas ir 3-oksopiperidinilo dalies hidroksilinimas. </w:t>
      </w:r>
      <w:r>
        <w:rPr>
          <w:snapToGrid/>
          <w:szCs w:val="22"/>
          <w:lang w:val="lt-LT"/>
        </w:rPr>
        <w:lastRenderedPageBreak/>
        <w:t>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6154F805" w14:textId="77777777" w:rsidR="00890384" w:rsidRDefault="00890384">
      <w:pPr>
        <w:widowControl w:val="0"/>
        <w:tabs>
          <w:tab w:val="clear" w:pos="567"/>
        </w:tabs>
        <w:autoSpaceDE w:val="0"/>
        <w:autoSpaceDN w:val="0"/>
        <w:spacing w:line="240" w:lineRule="auto"/>
      </w:pPr>
    </w:p>
    <w:p w14:paraId="13BBC25E" w14:textId="77777777" w:rsidR="00890384" w:rsidRDefault="00B26795">
      <w:pPr>
        <w:widowControl w:val="0"/>
        <w:tabs>
          <w:tab w:val="clear" w:pos="567"/>
        </w:tabs>
        <w:autoSpaceDE w:val="0"/>
        <w:autoSpaceDN w:val="0"/>
        <w:spacing w:line="240" w:lineRule="auto"/>
      </w:pPr>
      <w:r>
        <w:t>Vaikų populiacijos duomenų apie apiksabano jungimąsi prie plazmos baltymų nėra.</w:t>
      </w:r>
    </w:p>
    <w:p w14:paraId="251C4EDE" w14:textId="77777777" w:rsidR="00890384" w:rsidRDefault="00890384">
      <w:pPr>
        <w:widowControl w:val="0"/>
        <w:tabs>
          <w:tab w:val="clear" w:pos="567"/>
        </w:tabs>
        <w:autoSpaceDE w:val="0"/>
        <w:autoSpaceDN w:val="0"/>
        <w:spacing w:line="240" w:lineRule="auto"/>
        <w:rPr>
          <w:snapToGrid/>
          <w:szCs w:val="22"/>
          <w:lang w:val="lt-LT"/>
        </w:rPr>
      </w:pPr>
    </w:p>
    <w:p w14:paraId="4A0A4F6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0894D11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Senyviems pacientams (vyresniems kaip 65 metų) nustatytos didesnės vaistinio preparato koncentracijos kraujo plazmoje, palyginti su jaunesniais asmenimis, vidutiniai AUC yra maždaug 32 % didesni, o C</w:t>
      </w:r>
      <w:r>
        <w:rPr>
          <w:snapToGrid/>
          <w:szCs w:val="22"/>
          <w:vertAlign w:val="subscript"/>
          <w:lang w:val="lt-LT"/>
        </w:rPr>
        <w:t>max</w:t>
      </w:r>
      <w:r>
        <w:rPr>
          <w:snapToGrid/>
          <w:szCs w:val="22"/>
          <w:lang w:val="lt-LT"/>
        </w:rPr>
        <w:t xml:space="preserve"> nesiskiria.</w:t>
      </w:r>
    </w:p>
    <w:p w14:paraId="50268C24" w14:textId="77777777" w:rsidR="00890384" w:rsidRDefault="00890384">
      <w:pPr>
        <w:widowControl w:val="0"/>
        <w:tabs>
          <w:tab w:val="clear" w:pos="567"/>
        </w:tabs>
        <w:autoSpaceDE w:val="0"/>
        <w:autoSpaceDN w:val="0"/>
        <w:spacing w:line="240" w:lineRule="auto"/>
        <w:rPr>
          <w:snapToGrid/>
          <w:szCs w:val="22"/>
          <w:lang w:val="lt-LT"/>
        </w:rPr>
      </w:pPr>
    </w:p>
    <w:p w14:paraId="71DB15AB"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Sutrikusi inkstų funkcija</w:t>
      </w:r>
    </w:p>
    <w:p w14:paraId="7CDB441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Sutrikusi inkstų funkcija nedaro įtakos didžiausiai apiksabano koncentracijai. Vertinant kreatinino klirenso rodmenį, nustatyta su sumažėjusia inkstų funkcija susijusi padidėjusi apiksabano ekspozicija. Pacientams, kuriems buvo lengvas (kreatinino klirensas 51–80 ml/min.), vidutinio sunkumo (kreatinino klirensas 30–50 ml/min.) ir sunkus (kreatinino klirensas 15–29 ml/min.) inkstų funkcijos sutrikimas, apiksabano koncentracijos kraujo plazmoje (AUC</w:t>
      </w:r>
      <w:r>
        <w:rPr>
          <w:i/>
          <w:snapToGrid/>
          <w:szCs w:val="22"/>
          <w:lang w:val="lt-LT"/>
        </w:rPr>
        <w:t xml:space="preserve"> </w:t>
      </w:r>
      <w:r>
        <w:rPr>
          <w:snapToGrid/>
          <w:szCs w:val="22"/>
          <w:lang w:val="lt-LT"/>
        </w:rPr>
        <w:t>rodmenys) padidėjo, atitinkamai, 16 %, 29 % ir 44 %, lyginant su asmenimis, kuriems kreatinino klirensas buvo normalus. Inkstų funkcijos sutrikimas nedarė akivaizdaus poveikio apiksabano koncentracijos kraujo plazmoje ir Xa faktoriaus slopinimo ryšiui.</w:t>
      </w:r>
    </w:p>
    <w:p w14:paraId="02D03A0B" w14:textId="77777777" w:rsidR="00890384" w:rsidRDefault="00890384">
      <w:pPr>
        <w:widowControl w:val="0"/>
        <w:tabs>
          <w:tab w:val="clear" w:pos="567"/>
        </w:tabs>
        <w:autoSpaceDE w:val="0"/>
        <w:autoSpaceDN w:val="0"/>
        <w:spacing w:line="240" w:lineRule="auto"/>
        <w:rPr>
          <w:snapToGrid/>
          <w:szCs w:val="22"/>
          <w:lang w:val="lt-LT"/>
        </w:rPr>
      </w:pPr>
    </w:p>
    <w:p w14:paraId="094F6C1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sergantiems galutinės stadijos inkstų liga (GSIL), apiksabano AUC</w:t>
      </w:r>
      <w:r>
        <w:rPr>
          <w:i/>
          <w:snapToGrid/>
          <w:szCs w:val="22"/>
          <w:lang w:val="lt-LT"/>
        </w:rPr>
        <w:t xml:space="preserve"> </w:t>
      </w:r>
      <w:r>
        <w:rPr>
          <w:snapToGrid/>
          <w:szCs w:val="22"/>
          <w:lang w:val="lt-LT"/>
        </w:rPr>
        <w:t>padidėjo 36 %, kai vienkartinė 5 mg apiksabano dozė buvo skiriama iš karto po hemodializės, palyginus su pacientais, kurių inkstų funkcija normali. Hemodializę pradėjus praėjus dviem valandoms po vienkartinės 5 mg apiksabano dozės, šiems GSIL sergantiems pacientams apiksabano AUC</w:t>
      </w:r>
      <w:r>
        <w:rPr>
          <w:i/>
          <w:snapToGrid/>
          <w:szCs w:val="22"/>
          <w:lang w:val="lt-LT"/>
        </w:rPr>
        <w:t xml:space="preserve"> </w:t>
      </w:r>
      <w:r>
        <w:rPr>
          <w:snapToGrid/>
          <w:szCs w:val="22"/>
          <w:lang w:val="lt-LT"/>
        </w:rPr>
        <w:t>sumažėjo 14 %, atitinkamai apiksabano dializės klirensas buvo 18 ml/min. Todėl hemodializė nėra veiksminga priemonė perdozavus apiksabano.</w:t>
      </w:r>
    </w:p>
    <w:p w14:paraId="46F1D199" w14:textId="77777777" w:rsidR="00890384" w:rsidRDefault="00890384">
      <w:pPr>
        <w:widowControl w:val="0"/>
        <w:tabs>
          <w:tab w:val="clear" w:pos="567"/>
        </w:tabs>
        <w:autoSpaceDE w:val="0"/>
        <w:autoSpaceDN w:val="0"/>
        <w:spacing w:line="240" w:lineRule="auto"/>
      </w:pPr>
    </w:p>
    <w:p w14:paraId="4602A9FF" w14:textId="028A8489" w:rsidR="00890384" w:rsidRDefault="00E1598B">
      <w:pPr>
        <w:widowControl w:val="0"/>
        <w:tabs>
          <w:tab w:val="clear" w:pos="567"/>
        </w:tabs>
        <w:autoSpaceDE w:val="0"/>
        <w:autoSpaceDN w:val="0"/>
        <w:spacing w:line="240" w:lineRule="auto"/>
      </w:pPr>
      <w:r>
        <w:t>2 metų ir vyresniems p</w:t>
      </w:r>
      <w:r w:rsidR="00B26795">
        <w:t>acientams vaikams sunkus inkstų funkcijos sutrikimas konstatuojamas tada, kai apskaičiuotasis glomerulų filtracijos greitis (aGFG) tampa mažesnis kaip 30 ml/min/1,73 m</w:t>
      </w:r>
      <w:r w:rsidR="00B26795">
        <w:rPr>
          <w:vertAlign w:val="superscript"/>
        </w:rPr>
        <w:t>2</w:t>
      </w:r>
      <w:r w:rsidR="00B26795">
        <w:t xml:space="preserve"> kūno paviršiaus ploto (KPP). Tyrimo CV185325 metu jaunesniems kaip 2 metų pacientams sunkų inkstų funkcijos sutrikimą apibrėžiančios ribos pagal lytį ir postnatalinį amžių apibendrintos toliau pateiktoje 17 lentelėje; kiekviena iš jų atitinka aGFG</w:t>
      </w:r>
      <w:r>
        <w:t> </w:t>
      </w:r>
      <w:r w:rsidR="00B26795">
        <w:t>&lt;</w:t>
      </w:r>
      <w:r>
        <w:t> </w:t>
      </w:r>
      <w:r w:rsidR="00B26795">
        <w:t>30 ml/min/1,73 m</w:t>
      </w:r>
      <w:r w:rsidR="00B26795">
        <w:rPr>
          <w:vertAlign w:val="superscript"/>
        </w:rPr>
        <w:t>2</w:t>
      </w:r>
      <w:r w:rsidR="00B26795">
        <w:t xml:space="preserve"> KPP 2 metų ir vyresniems pacientams.</w:t>
      </w:r>
    </w:p>
    <w:p w14:paraId="17B691AF" w14:textId="77777777" w:rsidR="00890384" w:rsidRDefault="00890384">
      <w:pPr>
        <w:widowControl w:val="0"/>
        <w:tabs>
          <w:tab w:val="clear" w:pos="567"/>
        </w:tabs>
        <w:autoSpaceDE w:val="0"/>
        <w:autoSpaceDN w:val="0"/>
        <w:spacing w:line="240" w:lineRule="auto"/>
        <w:rPr>
          <w:snapToGrid/>
          <w:szCs w:val="22"/>
          <w:lang w:val="lt-LT"/>
        </w:rPr>
      </w:pPr>
    </w:p>
    <w:p w14:paraId="51FFA3F1" w14:textId="77777777" w:rsidR="00890384" w:rsidRDefault="00B26795">
      <w:pPr>
        <w:widowControl w:val="0"/>
        <w:numPr>
          <w:ilvl w:val="12"/>
          <w:numId w:val="0"/>
        </w:numPr>
        <w:spacing w:line="240" w:lineRule="auto"/>
        <w:ind w:right="-2"/>
        <w:rPr>
          <w:b/>
          <w:bCs/>
          <w:iCs/>
          <w:snapToGrid/>
          <w:szCs w:val="22"/>
          <w:lang w:val="en-US" w:eastAsia="sl-SI"/>
        </w:rPr>
      </w:pPr>
      <w:r>
        <w:rPr>
          <w:b/>
          <w:bCs/>
        </w:rPr>
        <w:t>17 lentelė. aGFG tinkamumo ribos tyrimui CV185325</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890384" w14:paraId="540B5B05" w14:textId="77777777">
        <w:trPr>
          <w:trHeight w:val="561"/>
        </w:trPr>
        <w:tc>
          <w:tcPr>
            <w:tcW w:w="3766" w:type="dxa"/>
          </w:tcPr>
          <w:p w14:paraId="57412553" w14:textId="77777777" w:rsidR="00890384" w:rsidRDefault="00B26795">
            <w:pPr>
              <w:widowControl w:val="0"/>
              <w:numPr>
                <w:ilvl w:val="12"/>
                <w:numId w:val="0"/>
              </w:numPr>
              <w:spacing w:line="240" w:lineRule="auto"/>
              <w:ind w:right="-2"/>
              <w:jc w:val="both"/>
              <w:rPr>
                <w:b/>
                <w:iCs/>
                <w:snapToGrid/>
                <w:szCs w:val="22"/>
                <w:lang w:val="en-US" w:eastAsia="sl-SI"/>
              </w:rPr>
            </w:pPr>
            <w:r>
              <w:t>Postnatalinis amžius (lytis)</w:t>
            </w:r>
          </w:p>
        </w:tc>
        <w:tc>
          <w:tcPr>
            <w:tcW w:w="2285" w:type="dxa"/>
          </w:tcPr>
          <w:p w14:paraId="7941B3A5" w14:textId="77777777" w:rsidR="00890384" w:rsidRDefault="00B26795">
            <w:pPr>
              <w:widowControl w:val="0"/>
              <w:numPr>
                <w:ilvl w:val="12"/>
                <w:numId w:val="0"/>
              </w:numPr>
              <w:spacing w:line="240" w:lineRule="auto"/>
              <w:ind w:right="-2"/>
              <w:jc w:val="center"/>
              <w:rPr>
                <w:b/>
                <w:iCs/>
                <w:snapToGrid/>
                <w:szCs w:val="22"/>
                <w:lang w:val="en-US" w:eastAsia="sl-SI"/>
              </w:rPr>
            </w:pPr>
            <w:r>
              <w:t>GFG referencinis diapazonas (ml/min/1,73 m</w:t>
            </w:r>
            <w:r>
              <w:rPr>
                <w:vertAlign w:val="superscript"/>
              </w:rPr>
              <w:t>2</w:t>
            </w:r>
            <w:r>
              <w:t>)</w:t>
            </w:r>
          </w:p>
        </w:tc>
        <w:tc>
          <w:tcPr>
            <w:tcW w:w="3025" w:type="dxa"/>
          </w:tcPr>
          <w:p w14:paraId="6895C09E" w14:textId="77777777" w:rsidR="00890384" w:rsidRDefault="00B26795">
            <w:pPr>
              <w:widowControl w:val="0"/>
              <w:numPr>
                <w:ilvl w:val="12"/>
                <w:numId w:val="0"/>
              </w:numPr>
              <w:spacing w:line="240" w:lineRule="auto"/>
              <w:ind w:right="-2"/>
              <w:jc w:val="center"/>
              <w:rPr>
                <w:b/>
                <w:iCs/>
                <w:snapToGrid/>
                <w:szCs w:val="22"/>
                <w:lang w:val="en-US" w:eastAsia="sl-SI"/>
              </w:rPr>
            </w:pPr>
            <w:r>
              <w:t>aGFG tinkamumo ribos*</w:t>
            </w:r>
          </w:p>
        </w:tc>
      </w:tr>
      <w:tr w:rsidR="00890384" w14:paraId="5B311BEA" w14:textId="77777777">
        <w:trPr>
          <w:trHeight w:val="309"/>
        </w:trPr>
        <w:tc>
          <w:tcPr>
            <w:tcW w:w="3766" w:type="dxa"/>
          </w:tcPr>
          <w:p w14:paraId="52AF9EB0" w14:textId="77777777" w:rsidR="00890384" w:rsidRDefault="00B26795">
            <w:pPr>
              <w:widowControl w:val="0"/>
              <w:numPr>
                <w:ilvl w:val="12"/>
                <w:numId w:val="0"/>
              </w:numPr>
              <w:spacing w:line="240" w:lineRule="auto"/>
              <w:ind w:right="-2"/>
              <w:jc w:val="both"/>
              <w:rPr>
                <w:iCs/>
                <w:snapToGrid/>
                <w:szCs w:val="22"/>
                <w:lang w:val="en-US" w:eastAsia="sl-SI"/>
              </w:rPr>
            </w:pPr>
            <w:r>
              <w:t>1 savaitė (vyriška ir moteriška)</w:t>
            </w:r>
          </w:p>
        </w:tc>
        <w:tc>
          <w:tcPr>
            <w:tcW w:w="2285" w:type="dxa"/>
          </w:tcPr>
          <w:p w14:paraId="3667B7E8"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41 ± 15</w:t>
            </w:r>
          </w:p>
        </w:tc>
        <w:tc>
          <w:tcPr>
            <w:tcW w:w="3025" w:type="dxa"/>
          </w:tcPr>
          <w:p w14:paraId="4406FD52"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8</w:t>
            </w:r>
          </w:p>
        </w:tc>
      </w:tr>
      <w:tr w:rsidR="00890384" w14:paraId="1440046B" w14:textId="77777777">
        <w:trPr>
          <w:trHeight w:val="309"/>
        </w:trPr>
        <w:tc>
          <w:tcPr>
            <w:tcW w:w="3766" w:type="dxa"/>
          </w:tcPr>
          <w:p w14:paraId="0608B3C8" w14:textId="77777777" w:rsidR="00890384" w:rsidRDefault="00B26795">
            <w:pPr>
              <w:widowControl w:val="0"/>
              <w:numPr>
                <w:ilvl w:val="12"/>
                <w:numId w:val="0"/>
              </w:numPr>
              <w:spacing w:line="240" w:lineRule="auto"/>
              <w:ind w:right="-2"/>
              <w:jc w:val="both"/>
              <w:rPr>
                <w:iCs/>
                <w:snapToGrid/>
                <w:szCs w:val="22"/>
                <w:lang w:val="en-US" w:eastAsia="sl-SI"/>
              </w:rPr>
            </w:pPr>
            <w:r>
              <w:t>2–8 savaitės (vyriška ir moteriška)</w:t>
            </w:r>
          </w:p>
        </w:tc>
        <w:tc>
          <w:tcPr>
            <w:tcW w:w="2285" w:type="dxa"/>
          </w:tcPr>
          <w:p w14:paraId="16E5B5FB"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66 ± 25</w:t>
            </w:r>
          </w:p>
        </w:tc>
        <w:tc>
          <w:tcPr>
            <w:tcW w:w="3025" w:type="dxa"/>
          </w:tcPr>
          <w:p w14:paraId="05832C1D"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12</w:t>
            </w:r>
          </w:p>
        </w:tc>
      </w:tr>
      <w:tr w:rsidR="00890384" w14:paraId="778E8C4E" w14:textId="77777777">
        <w:trPr>
          <w:trHeight w:val="562"/>
        </w:trPr>
        <w:tc>
          <w:tcPr>
            <w:tcW w:w="3766" w:type="dxa"/>
          </w:tcPr>
          <w:p w14:paraId="76F632F7" w14:textId="24F4E07C" w:rsidR="00890384" w:rsidRDefault="00B26795">
            <w:pPr>
              <w:widowControl w:val="0"/>
              <w:numPr>
                <w:ilvl w:val="12"/>
                <w:numId w:val="0"/>
              </w:numPr>
              <w:spacing w:line="240" w:lineRule="auto"/>
              <w:ind w:right="-2"/>
              <w:jc w:val="both"/>
              <w:rPr>
                <w:iCs/>
                <w:snapToGrid/>
                <w:szCs w:val="22"/>
                <w:lang w:val="en-US" w:eastAsia="sl-SI"/>
              </w:rPr>
            </w:pPr>
            <w:r>
              <w:t>Nuo 8 savaičių iki 2 metų (vyriška ir moteriška)</w:t>
            </w:r>
          </w:p>
        </w:tc>
        <w:tc>
          <w:tcPr>
            <w:tcW w:w="2285" w:type="dxa"/>
          </w:tcPr>
          <w:p w14:paraId="5E0E337A"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96 ± 22</w:t>
            </w:r>
          </w:p>
        </w:tc>
        <w:tc>
          <w:tcPr>
            <w:tcW w:w="3025" w:type="dxa"/>
          </w:tcPr>
          <w:p w14:paraId="61D9B200"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22</w:t>
            </w:r>
          </w:p>
        </w:tc>
      </w:tr>
      <w:tr w:rsidR="00890384" w14:paraId="7C5EECCF" w14:textId="77777777">
        <w:trPr>
          <w:trHeight w:val="307"/>
        </w:trPr>
        <w:tc>
          <w:tcPr>
            <w:tcW w:w="3766" w:type="dxa"/>
          </w:tcPr>
          <w:p w14:paraId="32A9722A" w14:textId="77777777" w:rsidR="00890384" w:rsidRDefault="00B26795">
            <w:pPr>
              <w:widowControl w:val="0"/>
              <w:numPr>
                <w:ilvl w:val="12"/>
                <w:numId w:val="0"/>
              </w:numPr>
              <w:spacing w:line="240" w:lineRule="auto"/>
              <w:ind w:right="-2"/>
              <w:jc w:val="both"/>
              <w:rPr>
                <w:iCs/>
                <w:snapToGrid/>
                <w:szCs w:val="22"/>
                <w:lang w:val="en-US" w:eastAsia="sl-SI"/>
              </w:rPr>
            </w:pPr>
            <w:r>
              <w:t>2–12 metų (vyriška ir moteriška)</w:t>
            </w:r>
          </w:p>
        </w:tc>
        <w:tc>
          <w:tcPr>
            <w:tcW w:w="2285" w:type="dxa"/>
          </w:tcPr>
          <w:p w14:paraId="298D8967"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133 ± 27</w:t>
            </w:r>
          </w:p>
        </w:tc>
        <w:tc>
          <w:tcPr>
            <w:tcW w:w="3025" w:type="dxa"/>
          </w:tcPr>
          <w:p w14:paraId="35DD0D95"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890384" w14:paraId="78BE45F2" w14:textId="77777777">
        <w:trPr>
          <w:trHeight w:val="309"/>
        </w:trPr>
        <w:tc>
          <w:tcPr>
            <w:tcW w:w="3766" w:type="dxa"/>
          </w:tcPr>
          <w:p w14:paraId="60AFBFAD" w14:textId="77777777" w:rsidR="00890384" w:rsidRDefault="00B26795">
            <w:pPr>
              <w:widowControl w:val="0"/>
              <w:numPr>
                <w:ilvl w:val="12"/>
                <w:numId w:val="0"/>
              </w:numPr>
              <w:spacing w:line="240" w:lineRule="auto"/>
              <w:ind w:right="-2"/>
              <w:jc w:val="both"/>
              <w:rPr>
                <w:iCs/>
                <w:snapToGrid/>
                <w:szCs w:val="22"/>
                <w:lang w:val="en-US" w:eastAsia="sl-SI"/>
              </w:rPr>
            </w:pPr>
            <w:r>
              <w:t>13–17 metų (vyriška)</w:t>
            </w:r>
          </w:p>
        </w:tc>
        <w:tc>
          <w:tcPr>
            <w:tcW w:w="2285" w:type="dxa"/>
          </w:tcPr>
          <w:p w14:paraId="51594110"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140 ± 30</w:t>
            </w:r>
          </w:p>
        </w:tc>
        <w:tc>
          <w:tcPr>
            <w:tcW w:w="3025" w:type="dxa"/>
          </w:tcPr>
          <w:p w14:paraId="6821EE42"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890384" w14:paraId="79214A9F" w14:textId="77777777">
        <w:trPr>
          <w:trHeight w:val="309"/>
        </w:trPr>
        <w:tc>
          <w:tcPr>
            <w:tcW w:w="3766" w:type="dxa"/>
          </w:tcPr>
          <w:p w14:paraId="368E4B4D" w14:textId="77777777" w:rsidR="00890384" w:rsidRDefault="00B26795">
            <w:pPr>
              <w:widowControl w:val="0"/>
              <w:numPr>
                <w:ilvl w:val="12"/>
                <w:numId w:val="0"/>
              </w:numPr>
              <w:spacing w:line="240" w:lineRule="auto"/>
              <w:ind w:right="-2"/>
              <w:jc w:val="both"/>
              <w:rPr>
                <w:iCs/>
                <w:snapToGrid/>
                <w:szCs w:val="22"/>
                <w:lang w:val="en-US" w:eastAsia="sl-SI"/>
              </w:rPr>
            </w:pPr>
            <w:r>
              <w:t>13–17 metų (moteriška)</w:t>
            </w:r>
          </w:p>
        </w:tc>
        <w:tc>
          <w:tcPr>
            <w:tcW w:w="2285" w:type="dxa"/>
          </w:tcPr>
          <w:p w14:paraId="0BEBA284"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126 ± 22</w:t>
            </w:r>
          </w:p>
        </w:tc>
        <w:tc>
          <w:tcPr>
            <w:tcW w:w="3025" w:type="dxa"/>
          </w:tcPr>
          <w:p w14:paraId="69C657C0" w14:textId="77777777" w:rsidR="00890384" w:rsidRDefault="00B26795">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bl>
    <w:p w14:paraId="0D38A8DB" w14:textId="0844E92F" w:rsidR="00890384" w:rsidRDefault="00B26795">
      <w:pPr>
        <w:widowControl w:val="0"/>
        <w:tabs>
          <w:tab w:val="clear" w:pos="567"/>
        </w:tabs>
        <w:autoSpaceDE w:val="0"/>
        <w:autoSpaceDN w:val="0"/>
        <w:spacing w:line="240" w:lineRule="auto"/>
        <w:rPr>
          <w:snapToGrid/>
          <w:sz w:val="20"/>
          <w:lang w:val="lt-LT"/>
        </w:rPr>
      </w:pPr>
      <w:r>
        <w:rPr>
          <w:sz w:val="20"/>
        </w:rPr>
        <w:t>*Tinkamumo riba dalyvauti tyrime CV185325, kur apskaičiuotasis glomerulų filtracijos greitis (aGFG) buvo apskaičiuotas pagal atnaujintą hospitalinę Schwartz lygtį (Schwartz, GJ et al., CJASN 2009). Ši pagal protokolą nustatyta riba atitiko aGFG, kurio nepasiekus potencialus pacientas buvo laikomas turinčiu „nepakankamą inkstų funkciją“ ir dėl to negalėjo dalyvauti tyrime CV185325. Kiekviena riba buvo nustatyta taip: aGFG, kuris sudaro &lt;</w:t>
      </w:r>
      <w:r w:rsidR="007446FB">
        <w:rPr>
          <w:sz w:val="20"/>
        </w:rPr>
        <w:t> </w:t>
      </w:r>
      <w:r>
        <w:rPr>
          <w:sz w:val="20"/>
        </w:rPr>
        <w:t>30 % dydžio, gaunamo iš GFG referencinio diapazono (pagal amžių ir lytį) atėmus 1 standartinį nuokrypį (SN). Jaunesnių kaip 2 metų pacientų ribinės vertės atitinka aGFG, kuris yra &lt;</w:t>
      </w:r>
      <w:r w:rsidR="007446FB">
        <w:rPr>
          <w:sz w:val="20"/>
        </w:rPr>
        <w:t> </w:t>
      </w:r>
      <w:r>
        <w:rPr>
          <w:sz w:val="20"/>
        </w:rPr>
        <w:t>30 ml/min/1,73 m</w:t>
      </w:r>
      <w:r>
        <w:rPr>
          <w:sz w:val="20"/>
          <w:vertAlign w:val="superscript"/>
        </w:rPr>
        <w:t>2</w:t>
      </w:r>
      <w:r>
        <w:rPr>
          <w:sz w:val="20"/>
        </w:rPr>
        <w:t xml:space="preserve"> , o tai yra standartinis sunkaus inkstų nepakankamumo apibrėžimas vyresniems kaip 2 metų pacientams.</w:t>
      </w:r>
    </w:p>
    <w:p w14:paraId="51B28D09" w14:textId="77777777" w:rsidR="00890384" w:rsidRDefault="00890384">
      <w:pPr>
        <w:widowControl w:val="0"/>
        <w:tabs>
          <w:tab w:val="clear" w:pos="567"/>
        </w:tabs>
        <w:autoSpaceDE w:val="0"/>
        <w:autoSpaceDN w:val="0"/>
        <w:spacing w:line="240" w:lineRule="auto"/>
      </w:pPr>
    </w:p>
    <w:p w14:paraId="49D963F1" w14:textId="132174DC" w:rsidR="00890384" w:rsidRDefault="00B26795">
      <w:pPr>
        <w:widowControl w:val="0"/>
        <w:tabs>
          <w:tab w:val="clear" w:pos="567"/>
        </w:tabs>
        <w:autoSpaceDE w:val="0"/>
        <w:autoSpaceDN w:val="0"/>
        <w:spacing w:line="240" w:lineRule="auto"/>
        <w:rPr>
          <w:snapToGrid/>
          <w:szCs w:val="22"/>
          <w:lang w:val="lt-LT"/>
        </w:rPr>
      </w:pPr>
      <w:r>
        <w:t>Vaikai, kurių glomerulų filtracijos greitis ≤</w:t>
      </w:r>
      <w:r w:rsidR="007446FB">
        <w:t> </w:t>
      </w:r>
      <w:r>
        <w:t>55 ml/min/1,73 m</w:t>
      </w:r>
      <w:r>
        <w:rPr>
          <w:vertAlign w:val="superscript"/>
        </w:rPr>
        <w:t>2</w:t>
      </w:r>
      <w:r>
        <w:t xml:space="preserve"> , tyrime CV185325 nedalyvavo, nors tie, kurių inkstų funkcijos sutrikimas yra lengvas arba vidutinio sunkumo (aGFG nuo ≥</w:t>
      </w:r>
      <w:r w:rsidR="007446FB">
        <w:t> </w:t>
      </w:r>
      <w:r>
        <w:t>30 iki &lt;</w:t>
      </w:r>
      <w:r w:rsidR="007446FB">
        <w:t> </w:t>
      </w:r>
      <w:r>
        <w:t>60 ml/min/1,73 m</w:t>
      </w:r>
      <w:r>
        <w:rPr>
          <w:vertAlign w:val="superscript"/>
        </w:rPr>
        <w:t>2</w:t>
      </w:r>
      <w:r>
        <w:t xml:space="preserve"> KPP), buvo tinkami dalyvauti. Remiantis duomenimis apie suaugusiuosius ir ribotais duomenimis apie visus apiksabanu gydytus vaikus, dozės nereikia koreguoti vaikams, kurių inkstų funkcijos sutrikimas yra lengvas arba vidutinio sunkumo. Apiksabano nerekomenduojama vartoti pacientams vaikams, kuriems yra sunkus </w:t>
      </w:r>
      <w:r>
        <w:lastRenderedPageBreak/>
        <w:t>inkstų funkcijos sutrikimas (žr. 4.2 ir 4.4 skyrius).</w:t>
      </w:r>
    </w:p>
    <w:p w14:paraId="33DBEDF1" w14:textId="77777777" w:rsidR="00890384" w:rsidRDefault="00890384">
      <w:pPr>
        <w:widowControl w:val="0"/>
        <w:tabs>
          <w:tab w:val="clear" w:pos="567"/>
        </w:tabs>
        <w:autoSpaceDE w:val="0"/>
        <w:autoSpaceDN w:val="0"/>
        <w:spacing w:line="240" w:lineRule="auto"/>
        <w:rPr>
          <w:snapToGrid/>
          <w:szCs w:val="22"/>
          <w:lang w:val="lt-LT"/>
        </w:rPr>
      </w:pPr>
    </w:p>
    <w:p w14:paraId="174404C7" w14:textId="77777777" w:rsidR="00890384" w:rsidRDefault="00890384">
      <w:pPr>
        <w:widowControl w:val="0"/>
        <w:tabs>
          <w:tab w:val="clear" w:pos="567"/>
        </w:tabs>
        <w:autoSpaceDE w:val="0"/>
        <w:autoSpaceDN w:val="0"/>
        <w:spacing w:line="240" w:lineRule="auto"/>
        <w:rPr>
          <w:snapToGrid/>
          <w:szCs w:val="22"/>
          <w:lang w:val="lt-LT"/>
        </w:rPr>
      </w:pPr>
    </w:p>
    <w:p w14:paraId="2778120C"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Sutrikusi kepenų funkcija</w:t>
      </w:r>
    </w:p>
    <w:p w14:paraId="4459225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Tyrimo metu lyginant vaistinio preparato poveikį 8 asmenims, kuriems buvo lengvas kepenų funkcijos sutrikimas, A klasės pagal </w:t>
      </w:r>
      <w:r>
        <w:rPr>
          <w:i/>
          <w:snapToGrid/>
          <w:szCs w:val="22"/>
          <w:lang w:val="lt-LT"/>
        </w:rPr>
        <w:t xml:space="preserve">Child-Pugh </w:t>
      </w:r>
      <w:r>
        <w:rPr>
          <w:snapToGrid/>
          <w:szCs w:val="22"/>
          <w:lang w:val="lt-LT"/>
        </w:rPr>
        <w:t xml:space="preserve">klasifikaciją, įvertintas 5 balais (n = 6) ir 6 balais (n = 2), 8 asmenims, kuriems buvo vidutinio sunkumo kepenų funkcijos sutrikimas, B klasės pagal </w:t>
      </w:r>
      <w:r>
        <w:rPr>
          <w:i/>
          <w:snapToGrid/>
          <w:szCs w:val="22"/>
          <w:lang w:val="lt-LT"/>
        </w:rPr>
        <w:t xml:space="preserve">Child-Pugh </w:t>
      </w:r>
      <w:r>
        <w:rPr>
          <w:snapToGrid/>
          <w:szCs w:val="22"/>
          <w:lang w:val="lt-LT"/>
        </w:rPr>
        <w:t>klasifikaciją, įvertintas 7 balais (n = 6) ir 8 balais (n = 2), bei 16 sveikų kontrolinių asmenų, nustatyta, kad vienkartinės 5 mg apiksabano dozės farmakokinetikos ir farmakodinamikos rodmenys asmenims, kuriems buvo kepenų funkcijos sutrikimas, nepakito. Asmenims, kuriems buvo lengvas ar vidutinio sunkumo kepenų funkcijos sutrikimas, ir sveikiems asmenims nustatyti Xa faktoriaus aktyvumo ir TNS rodmenų pokyčiai buvo panašūs.</w:t>
      </w:r>
    </w:p>
    <w:p w14:paraId="2A871E20" w14:textId="77777777" w:rsidR="00890384" w:rsidRDefault="00890384">
      <w:pPr>
        <w:widowControl w:val="0"/>
        <w:tabs>
          <w:tab w:val="clear" w:pos="567"/>
        </w:tabs>
        <w:autoSpaceDE w:val="0"/>
        <w:autoSpaceDN w:val="0"/>
        <w:spacing w:line="240" w:lineRule="auto"/>
      </w:pPr>
    </w:p>
    <w:p w14:paraId="1C9B8626" w14:textId="77777777" w:rsidR="00890384" w:rsidRDefault="00B26795">
      <w:pPr>
        <w:widowControl w:val="0"/>
        <w:tabs>
          <w:tab w:val="clear" w:pos="567"/>
        </w:tabs>
        <w:autoSpaceDE w:val="0"/>
        <w:autoSpaceDN w:val="0"/>
        <w:spacing w:line="240" w:lineRule="auto"/>
      </w:pPr>
      <w:r>
        <w:t>Apiksabanas netirtas su pacientais vaikais, kurių kepenų funkcija sutrikusi.</w:t>
      </w:r>
    </w:p>
    <w:p w14:paraId="15760F16" w14:textId="77777777" w:rsidR="00890384" w:rsidRDefault="00890384">
      <w:pPr>
        <w:widowControl w:val="0"/>
        <w:tabs>
          <w:tab w:val="clear" w:pos="567"/>
        </w:tabs>
        <w:autoSpaceDE w:val="0"/>
        <w:autoSpaceDN w:val="0"/>
        <w:spacing w:line="240" w:lineRule="auto"/>
        <w:rPr>
          <w:snapToGrid/>
          <w:szCs w:val="22"/>
          <w:lang w:val="lt-LT"/>
        </w:rPr>
      </w:pPr>
    </w:p>
    <w:p w14:paraId="6D2D8A1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Lytis</w:t>
      </w:r>
    </w:p>
    <w:p w14:paraId="0716AE88" w14:textId="058CD552" w:rsidR="00890384" w:rsidRDefault="00B26795">
      <w:pPr>
        <w:widowControl w:val="0"/>
        <w:tabs>
          <w:tab w:val="clear" w:pos="567"/>
        </w:tabs>
        <w:autoSpaceDE w:val="0"/>
        <w:autoSpaceDN w:val="0"/>
        <w:spacing w:line="240" w:lineRule="auto"/>
        <w:rPr>
          <w:snapToGrid/>
          <w:szCs w:val="22"/>
          <w:lang w:val="lt-LT"/>
        </w:rPr>
      </w:pPr>
      <w:r>
        <w:rPr>
          <w:snapToGrid/>
          <w:szCs w:val="22"/>
          <w:lang w:val="lt-LT"/>
        </w:rPr>
        <w:t>Apiksabano ekspozicija yra maždaug 18 % didesnė moterims nei vyrams.</w:t>
      </w:r>
    </w:p>
    <w:p w14:paraId="0C3250BB" w14:textId="77777777" w:rsidR="00890384" w:rsidRDefault="00890384">
      <w:pPr>
        <w:widowControl w:val="0"/>
        <w:tabs>
          <w:tab w:val="clear" w:pos="567"/>
        </w:tabs>
        <w:autoSpaceDE w:val="0"/>
        <w:autoSpaceDN w:val="0"/>
        <w:spacing w:line="240" w:lineRule="auto"/>
      </w:pPr>
    </w:p>
    <w:p w14:paraId="014FC7B1" w14:textId="77777777" w:rsidR="00890384" w:rsidRDefault="00B26795">
      <w:pPr>
        <w:widowControl w:val="0"/>
        <w:tabs>
          <w:tab w:val="clear" w:pos="567"/>
        </w:tabs>
        <w:autoSpaceDE w:val="0"/>
        <w:autoSpaceDN w:val="0"/>
        <w:spacing w:line="240" w:lineRule="auto"/>
      </w:pPr>
      <w:r>
        <w:t>Farmakokinetinių savybių skirtumai tarp lyčių pacientams vaikams netirti.</w:t>
      </w:r>
    </w:p>
    <w:p w14:paraId="6CAC75CA" w14:textId="77777777" w:rsidR="00890384" w:rsidRDefault="00890384">
      <w:pPr>
        <w:widowControl w:val="0"/>
        <w:tabs>
          <w:tab w:val="clear" w:pos="567"/>
        </w:tabs>
        <w:autoSpaceDE w:val="0"/>
        <w:autoSpaceDN w:val="0"/>
        <w:spacing w:line="240" w:lineRule="auto"/>
        <w:rPr>
          <w:snapToGrid/>
          <w:szCs w:val="22"/>
          <w:lang w:val="lt-LT"/>
        </w:rPr>
      </w:pPr>
    </w:p>
    <w:p w14:paraId="2F2FB1D5"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Etninės grupės ir rasė</w:t>
      </w:r>
    </w:p>
    <w:p w14:paraId="53C6098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 fazės tyrimų rezultatai neparodė apiksabano farmakokinetikos rodmenų skirtumo baltaodžiams, azijiečiams ir juodaodžiams tiriamiesiems asmenims. Populiacijos farmakokinetikos rodmenų pacientams, kuriems buvo skiriama apiksabano, analizės duomenys įprastai buvo panašūs į I fazės tyrimų rezultatus.</w:t>
      </w:r>
    </w:p>
    <w:p w14:paraId="6F684F04" w14:textId="77777777" w:rsidR="00890384" w:rsidRDefault="00890384">
      <w:pPr>
        <w:widowControl w:val="0"/>
        <w:tabs>
          <w:tab w:val="clear" w:pos="567"/>
        </w:tabs>
        <w:autoSpaceDE w:val="0"/>
        <w:autoSpaceDN w:val="0"/>
        <w:spacing w:line="240" w:lineRule="auto"/>
      </w:pPr>
    </w:p>
    <w:p w14:paraId="0FAC3787" w14:textId="77777777" w:rsidR="00890384" w:rsidRDefault="00B26795">
      <w:pPr>
        <w:widowControl w:val="0"/>
        <w:tabs>
          <w:tab w:val="clear" w:pos="567"/>
        </w:tabs>
        <w:autoSpaceDE w:val="0"/>
        <w:autoSpaceDN w:val="0"/>
        <w:spacing w:line="240" w:lineRule="auto"/>
      </w:pPr>
      <w:r>
        <w:t>Farmakokinetinių savybių skirtumai tarp etninių grupių ir rasių pacientams vaikams netirti.</w:t>
      </w:r>
    </w:p>
    <w:p w14:paraId="5CDAFF3F" w14:textId="77777777" w:rsidR="00890384" w:rsidRDefault="00890384">
      <w:pPr>
        <w:widowControl w:val="0"/>
        <w:tabs>
          <w:tab w:val="clear" w:pos="567"/>
        </w:tabs>
        <w:autoSpaceDE w:val="0"/>
        <w:autoSpaceDN w:val="0"/>
        <w:spacing w:line="240" w:lineRule="auto"/>
        <w:rPr>
          <w:snapToGrid/>
          <w:szCs w:val="22"/>
          <w:lang w:val="lt-LT"/>
        </w:rPr>
      </w:pPr>
    </w:p>
    <w:p w14:paraId="587EFF7C"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1B1C0B9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Pacientams, kurių kūno svoris &gt; 120 kg, nustatyta maždaug 30 % mažesnė apiksabano ekspozicija, o pacientams, kurių kūno svoris &lt; 50 kg – maždaug 30 % didesnė ekspozicija, lyginant su vaistinio preparato ekspozicija asmenims, kurių kūno svoris buvo 65–85 kg.</w:t>
      </w:r>
    </w:p>
    <w:p w14:paraId="1DF58E01" w14:textId="77777777" w:rsidR="00890384" w:rsidRDefault="00890384">
      <w:pPr>
        <w:widowControl w:val="0"/>
        <w:tabs>
          <w:tab w:val="clear" w:pos="567"/>
        </w:tabs>
        <w:autoSpaceDE w:val="0"/>
        <w:autoSpaceDN w:val="0"/>
        <w:spacing w:line="240" w:lineRule="auto"/>
      </w:pPr>
    </w:p>
    <w:p w14:paraId="70557049" w14:textId="77777777" w:rsidR="00890384" w:rsidRDefault="00B26795">
      <w:pPr>
        <w:widowControl w:val="0"/>
        <w:tabs>
          <w:tab w:val="clear" w:pos="567"/>
        </w:tabs>
        <w:autoSpaceDE w:val="0"/>
        <w:autoSpaceDN w:val="0"/>
        <w:spacing w:line="240" w:lineRule="auto"/>
      </w:pPr>
      <w:r>
        <w:t>Apiksabano skyrimas pacientams vaikams yra pagrįstas fiksuotos dozės pagal kūno masės kategoriją režimu.</w:t>
      </w:r>
    </w:p>
    <w:p w14:paraId="18C19C01" w14:textId="77777777" w:rsidR="00890384" w:rsidRDefault="00890384">
      <w:pPr>
        <w:widowControl w:val="0"/>
        <w:tabs>
          <w:tab w:val="clear" w:pos="567"/>
        </w:tabs>
        <w:autoSpaceDE w:val="0"/>
        <w:autoSpaceDN w:val="0"/>
        <w:spacing w:line="240" w:lineRule="auto"/>
        <w:rPr>
          <w:snapToGrid/>
          <w:szCs w:val="22"/>
          <w:lang w:val="lt-LT"/>
        </w:rPr>
      </w:pPr>
    </w:p>
    <w:p w14:paraId="568A9306"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Santykis tarp farmakokinetikos ir farmakodinamikos</w:t>
      </w:r>
    </w:p>
    <w:p w14:paraId="1D374405" w14:textId="06E06383" w:rsidR="00890384" w:rsidRDefault="00B26795">
      <w:pPr>
        <w:widowControl w:val="0"/>
        <w:tabs>
          <w:tab w:val="clear" w:pos="567"/>
        </w:tabs>
        <w:autoSpaceDE w:val="0"/>
        <w:autoSpaceDN w:val="0"/>
        <w:spacing w:line="240" w:lineRule="auto"/>
        <w:rPr>
          <w:snapToGrid/>
          <w:szCs w:val="22"/>
          <w:lang w:val="lt-LT"/>
        </w:rPr>
      </w:pPr>
      <w:r>
        <w:t xml:space="preserve">Suaugusiesiems </w:t>
      </w:r>
      <w:r>
        <w:rPr>
          <w:snapToGrid/>
          <w:szCs w:val="22"/>
          <w:lang w:val="lt-LT"/>
        </w:rPr>
        <w:t xml:space="preserve">farmakokinetikos ir farmakodinamikos (FK/FD) ryšys tarp apiksabano koncentracijos kraujo plazmoje ir keleto FD vertinamųjų baigčių (Xa faktoriaus slopinimo </w:t>
      </w:r>
      <w:r>
        <w:t>[AXA]</w:t>
      </w:r>
      <w:r>
        <w:rPr>
          <w:snapToGrid/>
          <w:szCs w:val="22"/>
          <w:lang w:val="lt-LT"/>
        </w:rPr>
        <w:t>, TNS, PL, aDTL) buvo vertinamas skiriant įvairias vaistinio preparato dozes (0,5–50 mg). Ryšys tarp apiksabano koncentracijos kraujo plazmoje ir Xa faktoriaus slopinimo buvo geriausiai apibūdintas tiesiniu modeliu. Pacientams nustatytas FK/FD ryšys buvo panašus į sveikiems asmenims nustatytą FK/FD ryšį.</w:t>
      </w:r>
    </w:p>
    <w:p w14:paraId="6C392A70" w14:textId="77777777" w:rsidR="00890384" w:rsidRDefault="00890384">
      <w:pPr>
        <w:widowControl w:val="0"/>
        <w:tabs>
          <w:tab w:val="clear" w:pos="567"/>
        </w:tabs>
        <w:autoSpaceDE w:val="0"/>
        <w:autoSpaceDN w:val="0"/>
        <w:spacing w:line="240" w:lineRule="auto"/>
      </w:pPr>
    </w:p>
    <w:p w14:paraId="681DF47C" w14:textId="77777777" w:rsidR="00890384" w:rsidRDefault="00B26795">
      <w:pPr>
        <w:widowControl w:val="0"/>
        <w:tabs>
          <w:tab w:val="clear" w:pos="567"/>
        </w:tabs>
        <w:autoSpaceDE w:val="0"/>
        <w:autoSpaceDN w:val="0"/>
        <w:spacing w:line="240" w:lineRule="auto"/>
      </w:pPr>
      <w:r>
        <w:t>Panašiai apiksabano FK / FD vertinimo vaikams rezultatai rodo, kad tarp apiksabano koncentracijos ir AXA yra tiesinis ryšys. Tai atitinka pirmiau nustatytą ryšį suaugusiesiems.</w:t>
      </w:r>
    </w:p>
    <w:p w14:paraId="6039252B" w14:textId="77777777" w:rsidR="00890384" w:rsidRDefault="00890384">
      <w:pPr>
        <w:widowControl w:val="0"/>
        <w:tabs>
          <w:tab w:val="clear" w:pos="567"/>
        </w:tabs>
        <w:autoSpaceDE w:val="0"/>
        <w:autoSpaceDN w:val="0"/>
        <w:spacing w:line="240" w:lineRule="auto"/>
        <w:rPr>
          <w:snapToGrid/>
          <w:szCs w:val="22"/>
          <w:lang w:val="lt-LT"/>
        </w:rPr>
      </w:pPr>
    </w:p>
    <w:p w14:paraId="0B53C096"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5.3</w:t>
      </w:r>
      <w:r>
        <w:rPr>
          <w:b/>
          <w:bCs/>
          <w:snapToGrid/>
          <w:szCs w:val="22"/>
          <w:lang w:val="lt-LT"/>
        </w:rPr>
        <w:tab/>
        <w:t>Ikiklinikinių saugumo tyrimų duomenys</w:t>
      </w:r>
    </w:p>
    <w:p w14:paraId="270FE56E" w14:textId="77777777" w:rsidR="00890384" w:rsidRDefault="00890384">
      <w:pPr>
        <w:widowControl w:val="0"/>
        <w:tabs>
          <w:tab w:val="clear" w:pos="567"/>
        </w:tabs>
        <w:autoSpaceDE w:val="0"/>
        <w:autoSpaceDN w:val="0"/>
        <w:spacing w:line="240" w:lineRule="auto"/>
        <w:rPr>
          <w:b/>
          <w:snapToGrid/>
          <w:szCs w:val="22"/>
          <w:lang w:val="lt-LT"/>
        </w:rPr>
      </w:pPr>
    </w:p>
    <w:p w14:paraId="27E1638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Įprastų farmakologinio saugumo, kartotinių dozių toksiškumo, genotoksiškumo, galimo kancerogeniškumo ir toksinio poveikio reprodukcijai ir embriono bei vaisiaus ir jauniklių vystymuisi ikiklinikinių tyrimų duomenys specifinio pavojaus žmogui nerodo.</w:t>
      </w:r>
    </w:p>
    <w:p w14:paraId="0CB3550F" w14:textId="77777777" w:rsidR="00890384" w:rsidRDefault="00890384">
      <w:pPr>
        <w:widowControl w:val="0"/>
        <w:tabs>
          <w:tab w:val="clear" w:pos="567"/>
        </w:tabs>
        <w:autoSpaceDE w:val="0"/>
        <w:autoSpaceDN w:val="0"/>
        <w:spacing w:line="240" w:lineRule="auto"/>
        <w:rPr>
          <w:snapToGrid/>
          <w:szCs w:val="22"/>
          <w:lang w:val="lt-LT"/>
        </w:rPr>
      </w:pPr>
    </w:p>
    <w:p w14:paraId="56D2EA5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Kartotinių dozių toksiškumo tyrimų duomenimis, svarbiausi stebėti reiškiniai buvo susiję su farmakodinaminiu apiksabano poveikiu kraujo krešėjimo rodmenims.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74747619" w14:textId="77777777" w:rsidR="00890384" w:rsidRDefault="00890384">
      <w:pPr>
        <w:widowControl w:val="0"/>
        <w:tabs>
          <w:tab w:val="clear" w:pos="567"/>
        </w:tabs>
        <w:autoSpaceDE w:val="0"/>
        <w:autoSpaceDN w:val="0"/>
        <w:spacing w:line="240" w:lineRule="auto"/>
        <w:rPr>
          <w:snapToGrid/>
          <w:szCs w:val="22"/>
          <w:lang w:val="lt-LT"/>
        </w:rPr>
      </w:pPr>
    </w:p>
    <w:p w14:paraId="32E3984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Tyrimų su žiurkėmis metu nustatytas didelis apiksabano koncentracijos piene ir koncentracijos patelės plazmoje santykis (C</w:t>
      </w:r>
      <w:r>
        <w:rPr>
          <w:snapToGrid/>
          <w:szCs w:val="22"/>
          <w:vertAlign w:val="subscript"/>
          <w:lang w:val="lt-LT"/>
        </w:rPr>
        <w:t>max</w:t>
      </w:r>
      <w:r>
        <w:rPr>
          <w:snapToGrid/>
          <w:szCs w:val="22"/>
          <w:lang w:val="lt-LT"/>
        </w:rPr>
        <w:t xml:space="preserve"> rodmuo maždaug 8, AUC rodmuo maždaug 30), galimai susijęs su aktyviu vaistinio preparato išskyrimu į žiurkių pieną.</w:t>
      </w:r>
    </w:p>
    <w:p w14:paraId="605533DB" w14:textId="77777777" w:rsidR="00890384" w:rsidRDefault="00890384">
      <w:pPr>
        <w:widowControl w:val="0"/>
        <w:tabs>
          <w:tab w:val="clear" w:pos="567"/>
        </w:tabs>
        <w:autoSpaceDE w:val="0"/>
        <w:autoSpaceDN w:val="0"/>
        <w:spacing w:line="240" w:lineRule="auto"/>
        <w:rPr>
          <w:snapToGrid/>
          <w:szCs w:val="22"/>
          <w:lang w:val="lt-LT"/>
        </w:rPr>
      </w:pPr>
    </w:p>
    <w:p w14:paraId="3FB33984" w14:textId="77777777" w:rsidR="00890384" w:rsidRDefault="00890384">
      <w:pPr>
        <w:widowControl w:val="0"/>
        <w:tabs>
          <w:tab w:val="clear" w:pos="567"/>
        </w:tabs>
        <w:autoSpaceDE w:val="0"/>
        <w:autoSpaceDN w:val="0"/>
        <w:spacing w:line="240" w:lineRule="auto"/>
        <w:rPr>
          <w:snapToGrid/>
          <w:szCs w:val="22"/>
          <w:lang w:val="lt-LT"/>
        </w:rPr>
      </w:pPr>
    </w:p>
    <w:p w14:paraId="59B25870" w14:textId="77777777" w:rsidR="00890384" w:rsidRDefault="00B26795">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6.</w:t>
      </w:r>
      <w:r>
        <w:rPr>
          <w:b/>
          <w:bCs/>
          <w:snapToGrid/>
          <w:szCs w:val="22"/>
          <w:lang w:val="lt-LT"/>
        </w:rPr>
        <w:tab/>
        <w:t>FARMACINĖ INFORMACIJA</w:t>
      </w:r>
    </w:p>
    <w:p w14:paraId="29F7B893" w14:textId="77777777" w:rsidR="00890384" w:rsidRDefault="00890384">
      <w:pPr>
        <w:widowControl w:val="0"/>
        <w:tabs>
          <w:tab w:val="clear" w:pos="567"/>
        </w:tabs>
        <w:autoSpaceDE w:val="0"/>
        <w:autoSpaceDN w:val="0"/>
        <w:spacing w:line="240" w:lineRule="auto"/>
        <w:ind w:left="540" w:hanging="540"/>
        <w:rPr>
          <w:b/>
          <w:snapToGrid/>
          <w:szCs w:val="22"/>
          <w:lang w:val="lt-LT"/>
        </w:rPr>
      </w:pPr>
    </w:p>
    <w:p w14:paraId="1F70AADC" w14:textId="77777777" w:rsidR="00890384" w:rsidRDefault="00B26795">
      <w:pPr>
        <w:widowControl w:val="0"/>
        <w:numPr>
          <w:ilvl w:val="1"/>
          <w:numId w:val="19"/>
        </w:numPr>
        <w:autoSpaceDE w:val="0"/>
        <w:autoSpaceDN w:val="0"/>
        <w:spacing w:line="240" w:lineRule="auto"/>
        <w:outlineLvl w:val="1"/>
        <w:rPr>
          <w:b/>
          <w:bCs/>
          <w:snapToGrid/>
          <w:szCs w:val="22"/>
          <w:lang w:val="lt-LT"/>
        </w:rPr>
      </w:pPr>
      <w:r>
        <w:rPr>
          <w:b/>
          <w:bCs/>
          <w:snapToGrid/>
          <w:szCs w:val="22"/>
          <w:lang w:val="lt-LT"/>
        </w:rPr>
        <w:t>Pagalbinių medžiagų sąrašas</w:t>
      </w:r>
    </w:p>
    <w:p w14:paraId="40576A07" w14:textId="77777777" w:rsidR="00890384" w:rsidRDefault="00890384">
      <w:pPr>
        <w:widowControl w:val="0"/>
        <w:tabs>
          <w:tab w:val="clear" w:pos="567"/>
        </w:tabs>
        <w:autoSpaceDE w:val="0"/>
        <w:autoSpaceDN w:val="0"/>
        <w:spacing w:line="240" w:lineRule="auto"/>
        <w:rPr>
          <w:b/>
          <w:snapToGrid/>
          <w:szCs w:val="22"/>
          <w:lang w:val="lt-LT"/>
        </w:rPr>
      </w:pPr>
    </w:p>
    <w:p w14:paraId="748B598B" w14:textId="77777777" w:rsidR="00890384" w:rsidRDefault="00B26795">
      <w:pPr>
        <w:widowControl w:val="0"/>
        <w:tabs>
          <w:tab w:val="clear" w:pos="567"/>
        </w:tabs>
        <w:autoSpaceDE w:val="0"/>
        <w:autoSpaceDN w:val="0"/>
        <w:spacing w:line="240" w:lineRule="auto"/>
        <w:rPr>
          <w:i/>
          <w:iCs/>
          <w:snapToGrid/>
          <w:szCs w:val="22"/>
          <w:lang w:val="lt-LT"/>
        </w:rPr>
      </w:pPr>
      <w:r>
        <w:rPr>
          <w:i/>
          <w:iCs/>
          <w:snapToGrid/>
          <w:szCs w:val="22"/>
          <w:u w:val="single"/>
          <w:lang w:val="lt-LT"/>
        </w:rPr>
        <w:t>Tabletės šerdis</w:t>
      </w:r>
    </w:p>
    <w:p w14:paraId="20F722E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Mikrokristalinė celiuliozė (E460)</w:t>
      </w:r>
    </w:p>
    <w:p w14:paraId="4401F57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Laktozė monohidratas</w:t>
      </w:r>
    </w:p>
    <w:p w14:paraId="1A32CD5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Kroskarmeliozės natrio druska (E468)</w:t>
      </w:r>
    </w:p>
    <w:p w14:paraId="29FD61A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Natrio laurilsulfatas</w:t>
      </w:r>
    </w:p>
    <w:p w14:paraId="7897D04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Hidroksietilceliuliozė</w:t>
      </w:r>
    </w:p>
    <w:p w14:paraId="731D3B3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Magnio stearatas (E470b)</w:t>
      </w:r>
    </w:p>
    <w:p w14:paraId="43763CBF" w14:textId="77777777" w:rsidR="00890384" w:rsidRDefault="00890384">
      <w:pPr>
        <w:widowControl w:val="0"/>
        <w:tabs>
          <w:tab w:val="clear" w:pos="567"/>
        </w:tabs>
        <w:autoSpaceDE w:val="0"/>
        <w:autoSpaceDN w:val="0"/>
        <w:spacing w:line="240" w:lineRule="auto"/>
        <w:rPr>
          <w:snapToGrid/>
          <w:szCs w:val="22"/>
          <w:u w:val="single"/>
          <w:lang w:val="lt-LT"/>
        </w:rPr>
      </w:pPr>
    </w:p>
    <w:p w14:paraId="2A053E09" w14:textId="77777777" w:rsidR="00890384" w:rsidRDefault="00B26795">
      <w:pPr>
        <w:widowControl w:val="0"/>
        <w:tabs>
          <w:tab w:val="clear" w:pos="567"/>
        </w:tabs>
        <w:autoSpaceDE w:val="0"/>
        <w:autoSpaceDN w:val="0"/>
        <w:spacing w:line="240" w:lineRule="auto"/>
        <w:rPr>
          <w:i/>
          <w:iCs/>
          <w:snapToGrid/>
          <w:szCs w:val="22"/>
          <w:lang w:val="lt-LT"/>
        </w:rPr>
      </w:pPr>
      <w:r>
        <w:rPr>
          <w:i/>
          <w:iCs/>
          <w:snapToGrid/>
          <w:szCs w:val="22"/>
          <w:u w:val="single"/>
          <w:lang w:val="lt-LT"/>
        </w:rPr>
        <w:t>Plėvelė</w:t>
      </w:r>
    </w:p>
    <w:p w14:paraId="2629A02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Hipromeliozė (E464) </w:t>
      </w:r>
    </w:p>
    <w:p w14:paraId="25F203E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Propilenglikolis (E1520)</w:t>
      </w:r>
    </w:p>
    <w:p w14:paraId="508CD24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Titano dioksidas (E171) </w:t>
      </w:r>
    </w:p>
    <w:p w14:paraId="456B65A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Talkas (E553b)</w:t>
      </w:r>
    </w:p>
    <w:p w14:paraId="44268CA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Geltonasis geležies oksidas (E172)</w:t>
      </w:r>
    </w:p>
    <w:p w14:paraId="15EFDC16" w14:textId="77777777" w:rsidR="00890384" w:rsidRDefault="00890384">
      <w:pPr>
        <w:widowControl w:val="0"/>
        <w:tabs>
          <w:tab w:val="clear" w:pos="567"/>
        </w:tabs>
        <w:autoSpaceDE w:val="0"/>
        <w:autoSpaceDN w:val="0"/>
        <w:spacing w:line="240" w:lineRule="auto"/>
        <w:rPr>
          <w:snapToGrid/>
          <w:szCs w:val="22"/>
          <w:lang w:val="lt-LT"/>
        </w:rPr>
      </w:pPr>
    </w:p>
    <w:p w14:paraId="2DDAE88C"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6.2</w:t>
      </w:r>
      <w:r>
        <w:rPr>
          <w:b/>
          <w:bCs/>
          <w:snapToGrid/>
          <w:szCs w:val="22"/>
          <w:lang w:val="lt-LT"/>
        </w:rPr>
        <w:tab/>
        <w:t>Nesuderinamumas</w:t>
      </w:r>
    </w:p>
    <w:p w14:paraId="4218114F" w14:textId="77777777" w:rsidR="00890384" w:rsidRDefault="00890384">
      <w:pPr>
        <w:widowControl w:val="0"/>
        <w:tabs>
          <w:tab w:val="clear" w:pos="567"/>
        </w:tabs>
        <w:autoSpaceDE w:val="0"/>
        <w:autoSpaceDN w:val="0"/>
        <w:spacing w:line="240" w:lineRule="auto"/>
        <w:rPr>
          <w:b/>
          <w:snapToGrid/>
          <w:szCs w:val="22"/>
          <w:lang w:val="lt-LT"/>
        </w:rPr>
      </w:pPr>
    </w:p>
    <w:p w14:paraId="305CE45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Duomenys nebūtini</w:t>
      </w:r>
    </w:p>
    <w:p w14:paraId="76B15D08" w14:textId="77777777" w:rsidR="00890384" w:rsidRDefault="00890384">
      <w:pPr>
        <w:widowControl w:val="0"/>
        <w:tabs>
          <w:tab w:val="clear" w:pos="567"/>
        </w:tabs>
        <w:autoSpaceDE w:val="0"/>
        <w:autoSpaceDN w:val="0"/>
        <w:spacing w:line="240" w:lineRule="auto"/>
        <w:rPr>
          <w:snapToGrid/>
          <w:szCs w:val="22"/>
          <w:lang w:val="lt-LT"/>
        </w:rPr>
      </w:pPr>
    </w:p>
    <w:p w14:paraId="0D4B0447"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6.3</w:t>
      </w:r>
      <w:r>
        <w:rPr>
          <w:b/>
          <w:bCs/>
          <w:snapToGrid/>
          <w:szCs w:val="22"/>
          <w:lang w:val="lt-LT"/>
        </w:rPr>
        <w:tab/>
        <w:t>Tinkamumo laikas</w:t>
      </w:r>
    </w:p>
    <w:p w14:paraId="11EFE1C0" w14:textId="77777777" w:rsidR="00890384" w:rsidRDefault="00890384">
      <w:pPr>
        <w:widowControl w:val="0"/>
        <w:tabs>
          <w:tab w:val="clear" w:pos="567"/>
        </w:tabs>
        <w:autoSpaceDE w:val="0"/>
        <w:autoSpaceDN w:val="0"/>
        <w:spacing w:line="240" w:lineRule="auto"/>
        <w:rPr>
          <w:b/>
          <w:snapToGrid/>
          <w:szCs w:val="22"/>
          <w:lang w:val="lt-LT"/>
        </w:rPr>
      </w:pPr>
    </w:p>
    <w:p w14:paraId="3AB440F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2 metai</w:t>
      </w:r>
    </w:p>
    <w:p w14:paraId="302C2E40" w14:textId="77777777" w:rsidR="00890384" w:rsidRDefault="00890384">
      <w:pPr>
        <w:widowControl w:val="0"/>
        <w:tabs>
          <w:tab w:val="clear" w:pos="567"/>
        </w:tabs>
        <w:autoSpaceDE w:val="0"/>
        <w:autoSpaceDN w:val="0"/>
        <w:spacing w:line="240" w:lineRule="auto"/>
        <w:rPr>
          <w:snapToGrid/>
          <w:szCs w:val="22"/>
          <w:lang w:val="lt-LT"/>
        </w:rPr>
      </w:pPr>
    </w:p>
    <w:p w14:paraId="29F718C8"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6.4</w:t>
      </w:r>
      <w:r>
        <w:rPr>
          <w:b/>
          <w:bCs/>
          <w:snapToGrid/>
          <w:szCs w:val="22"/>
          <w:lang w:val="lt-LT"/>
        </w:rPr>
        <w:tab/>
        <w:t>Specialios laikymo sąlygos</w:t>
      </w:r>
    </w:p>
    <w:p w14:paraId="077E67BB" w14:textId="77777777" w:rsidR="00890384" w:rsidRDefault="00890384">
      <w:pPr>
        <w:widowControl w:val="0"/>
        <w:tabs>
          <w:tab w:val="clear" w:pos="567"/>
        </w:tabs>
        <w:autoSpaceDE w:val="0"/>
        <w:autoSpaceDN w:val="0"/>
        <w:spacing w:line="240" w:lineRule="auto"/>
        <w:rPr>
          <w:b/>
          <w:snapToGrid/>
          <w:szCs w:val="22"/>
          <w:lang w:val="lt-LT"/>
        </w:rPr>
      </w:pPr>
    </w:p>
    <w:p w14:paraId="175E37D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Šiam vaistiniam preparatui specialių laikymo sąlygų nereikia.</w:t>
      </w:r>
    </w:p>
    <w:p w14:paraId="14902053" w14:textId="77777777" w:rsidR="00890384" w:rsidRDefault="00890384">
      <w:pPr>
        <w:widowControl w:val="0"/>
        <w:tabs>
          <w:tab w:val="clear" w:pos="567"/>
        </w:tabs>
        <w:autoSpaceDE w:val="0"/>
        <w:autoSpaceDN w:val="0"/>
        <w:spacing w:line="240" w:lineRule="auto"/>
        <w:rPr>
          <w:snapToGrid/>
          <w:szCs w:val="22"/>
          <w:lang w:val="lt-LT"/>
        </w:rPr>
      </w:pPr>
    </w:p>
    <w:p w14:paraId="7834C9FE" w14:textId="77777777" w:rsidR="00890384" w:rsidRDefault="00B26795">
      <w:pPr>
        <w:widowControl w:val="0"/>
        <w:autoSpaceDE w:val="0"/>
        <w:autoSpaceDN w:val="0"/>
        <w:spacing w:line="240" w:lineRule="auto"/>
        <w:ind w:left="567" w:hanging="567"/>
        <w:outlineLvl w:val="1"/>
        <w:rPr>
          <w:b/>
          <w:bCs/>
          <w:snapToGrid/>
          <w:szCs w:val="22"/>
          <w:lang w:val="lt-LT"/>
        </w:rPr>
      </w:pPr>
      <w:r>
        <w:rPr>
          <w:b/>
          <w:bCs/>
          <w:snapToGrid/>
          <w:szCs w:val="22"/>
          <w:lang w:val="lt-LT"/>
        </w:rPr>
        <w:t>6.5</w:t>
      </w:r>
      <w:r>
        <w:rPr>
          <w:b/>
          <w:bCs/>
          <w:snapToGrid/>
          <w:szCs w:val="22"/>
          <w:lang w:val="lt-LT"/>
        </w:rPr>
        <w:tab/>
        <w:t>Talpyklės pobūdis ir jos turinys</w:t>
      </w:r>
    </w:p>
    <w:p w14:paraId="1C361E2C" w14:textId="77777777" w:rsidR="00890384" w:rsidRDefault="00890384">
      <w:pPr>
        <w:widowControl w:val="0"/>
        <w:tabs>
          <w:tab w:val="clear" w:pos="567"/>
        </w:tabs>
        <w:autoSpaceDE w:val="0"/>
        <w:autoSpaceDN w:val="0"/>
        <w:spacing w:line="240" w:lineRule="auto"/>
        <w:rPr>
          <w:b/>
          <w:snapToGrid/>
          <w:szCs w:val="22"/>
          <w:lang w:val="lt-LT"/>
        </w:rPr>
      </w:pPr>
    </w:p>
    <w:p w14:paraId="63302C10" w14:textId="77777777" w:rsidR="00890384" w:rsidRDefault="00B26795">
      <w:pPr>
        <w:widowControl w:val="0"/>
        <w:spacing w:line="240" w:lineRule="auto"/>
        <w:rPr>
          <w:snapToGrid/>
          <w:szCs w:val="22"/>
          <w:lang w:val="lt-LT"/>
        </w:rPr>
      </w:pPr>
      <w:r>
        <w:rPr>
          <w:snapToGrid/>
          <w:szCs w:val="22"/>
          <w:lang w:val="lt-LT"/>
        </w:rPr>
        <w:t>Lizdinė plokštelė (PVC/PVDC/PVC permatomos folijos//aliuminio folijos): 10, 14, 20, 28, 56, 60, 100, 168 arba 200 plėvele dengtų tablečių dėžutėje.</w:t>
      </w:r>
    </w:p>
    <w:p w14:paraId="4A1756DA" w14:textId="69565F52" w:rsidR="00890384" w:rsidRDefault="00B26795">
      <w:pPr>
        <w:widowControl w:val="0"/>
        <w:spacing w:line="240" w:lineRule="auto"/>
        <w:rPr>
          <w:snapToGrid/>
          <w:szCs w:val="22"/>
          <w:lang w:val="lt-LT"/>
        </w:rPr>
      </w:pPr>
      <w:r>
        <w:rPr>
          <w:snapToGrid/>
          <w:szCs w:val="22"/>
          <w:lang w:val="lt-LT"/>
        </w:rPr>
        <w:t>Kiekvienoje vaistinio preparato pakuotėje yra paciento kortelė.</w:t>
      </w:r>
    </w:p>
    <w:p w14:paraId="7C6BB864" w14:textId="77777777" w:rsidR="00890384" w:rsidRDefault="00890384">
      <w:pPr>
        <w:widowControl w:val="0"/>
        <w:tabs>
          <w:tab w:val="clear" w:pos="567"/>
        </w:tabs>
        <w:autoSpaceDE w:val="0"/>
        <w:autoSpaceDN w:val="0"/>
        <w:spacing w:line="240" w:lineRule="auto"/>
        <w:rPr>
          <w:snapToGrid/>
          <w:szCs w:val="22"/>
          <w:lang w:val="lt-LT"/>
        </w:rPr>
      </w:pPr>
    </w:p>
    <w:p w14:paraId="4B8DD44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1B169778" w14:textId="77777777" w:rsidR="00890384" w:rsidRDefault="00890384">
      <w:pPr>
        <w:widowControl w:val="0"/>
        <w:tabs>
          <w:tab w:val="clear" w:pos="567"/>
        </w:tabs>
        <w:autoSpaceDE w:val="0"/>
        <w:autoSpaceDN w:val="0"/>
        <w:spacing w:line="240" w:lineRule="auto"/>
        <w:rPr>
          <w:snapToGrid/>
          <w:szCs w:val="22"/>
          <w:lang w:val="lt-LT"/>
        </w:rPr>
      </w:pPr>
    </w:p>
    <w:p w14:paraId="4CBD95FC" w14:textId="77777777" w:rsidR="00890384" w:rsidRDefault="00B26795">
      <w:pPr>
        <w:widowControl w:val="0"/>
        <w:tabs>
          <w:tab w:val="clear" w:pos="567"/>
          <w:tab w:val="left" w:pos="802"/>
          <w:tab w:val="left" w:pos="803"/>
        </w:tabs>
        <w:autoSpaceDE w:val="0"/>
        <w:autoSpaceDN w:val="0"/>
        <w:spacing w:line="240" w:lineRule="auto"/>
        <w:ind w:left="567" w:hanging="567"/>
        <w:outlineLvl w:val="1"/>
        <w:rPr>
          <w:b/>
          <w:bCs/>
          <w:snapToGrid/>
          <w:szCs w:val="22"/>
          <w:lang w:val="lt-LT"/>
        </w:rPr>
      </w:pPr>
      <w:r>
        <w:rPr>
          <w:b/>
          <w:bCs/>
          <w:snapToGrid/>
          <w:szCs w:val="22"/>
          <w:lang w:val="lt-LT"/>
        </w:rPr>
        <w:t>6.6</w:t>
      </w:r>
      <w:r>
        <w:rPr>
          <w:b/>
          <w:bCs/>
          <w:snapToGrid/>
          <w:szCs w:val="22"/>
          <w:lang w:val="lt-LT"/>
        </w:rPr>
        <w:tab/>
        <w:t>Specialūs reikalavimai atliekoms tvarkyti</w:t>
      </w:r>
    </w:p>
    <w:p w14:paraId="202FB1A6" w14:textId="77777777" w:rsidR="00890384" w:rsidRDefault="00890384">
      <w:pPr>
        <w:widowControl w:val="0"/>
        <w:tabs>
          <w:tab w:val="clear" w:pos="567"/>
        </w:tabs>
        <w:autoSpaceDE w:val="0"/>
        <w:autoSpaceDN w:val="0"/>
        <w:spacing w:line="240" w:lineRule="auto"/>
        <w:rPr>
          <w:b/>
          <w:snapToGrid/>
          <w:szCs w:val="22"/>
          <w:lang w:val="lt-LT"/>
        </w:rPr>
      </w:pPr>
    </w:p>
    <w:p w14:paraId="60BF039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Specialių reikalavimų </w:t>
      </w:r>
      <w:r>
        <w:rPr>
          <w:szCs w:val="24"/>
          <w:lang w:val="lt-LT"/>
        </w:rPr>
        <w:t>atliekoms tvarkyti</w:t>
      </w:r>
      <w:r>
        <w:rPr>
          <w:snapToGrid/>
          <w:szCs w:val="22"/>
          <w:lang w:val="lt-LT"/>
        </w:rPr>
        <w:t xml:space="preserve"> nėra.</w:t>
      </w:r>
    </w:p>
    <w:p w14:paraId="1AFACE32" w14:textId="77777777" w:rsidR="00890384" w:rsidRDefault="00890384">
      <w:pPr>
        <w:widowControl w:val="0"/>
        <w:tabs>
          <w:tab w:val="clear" w:pos="567"/>
        </w:tabs>
        <w:autoSpaceDE w:val="0"/>
        <w:autoSpaceDN w:val="0"/>
        <w:spacing w:line="240" w:lineRule="auto"/>
        <w:rPr>
          <w:snapToGrid/>
          <w:szCs w:val="22"/>
          <w:lang w:val="lt-LT"/>
        </w:rPr>
      </w:pPr>
    </w:p>
    <w:p w14:paraId="22C5091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Nesuvartotą vaistinį preparatą ar atliekas reikia tvarkyti laikantis vietinių reikalavimų.</w:t>
      </w:r>
    </w:p>
    <w:p w14:paraId="7BF98DCA" w14:textId="77777777" w:rsidR="00890384" w:rsidRDefault="00890384">
      <w:pPr>
        <w:widowControl w:val="0"/>
        <w:tabs>
          <w:tab w:val="clear" w:pos="567"/>
        </w:tabs>
        <w:autoSpaceDE w:val="0"/>
        <w:autoSpaceDN w:val="0"/>
        <w:spacing w:line="240" w:lineRule="auto"/>
        <w:rPr>
          <w:snapToGrid/>
          <w:szCs w:val="22"/>
          <w:lang w:val="lt-LT"/>
        </w:rPr>
      </w:pPr>
    </w:p>
    <w:p w14:paraId="2FC17C90" w14:textId="77777777" w:rsidR="00890384" w:rsidRDefault="00890384">
      <w:pPr>
        <w:widowControl w:val="0"/>
        <w:tabs>
          <w:tab w:val="clear" w:pos="567"/>
        </w:tabs>
        <w:autoSpaceDE w:val="0"/>
        <w:autoSpaceDN w:val="0"/>
        <w:spacing w:line="240" w:lineRule="auto"/>
        <w:rPr>
          <w:snapToGrid/>
          <w:szCs w:val="22"/>
          <w:lang w:val="lt-LT"/>
        </w:rPr>
      </w:pPr>
    </w:p>
    <w:p w14:paraId="2CD475A8" w14:textId="77777777" w:rsidR="00890384" w:rsidRDefault="00B26795">
      <w:pPr>
        <w:widowControl w:val="0"/>
        <w:autoSpaceDE w:val="0"/>
        <w:autoSpaceDN w:val="0"/>
        <w:spacing w:line="240" w:lineRule="auto"/>
        <w:ind w:left="709" w:hanging="709"/>
        <w:outlineLvl w:val="0"/>
        <w:rPr>
          <w:b/>
          <w:bCs/>
          <w:snapToGrid/>
          <w:szCs w:val="22"/>
          <w:lang w:val="lt-LT"/>
        </w:rPr>
      </w:pPr>
      <w:r>
        <w:rPr>
          <w:b/>
          <w:bCs/>
          <w:snapToGrid/>
          <w:szCs w:val="22"/>
          <w:lang w:val="lt-LT"/>
        </w:rPr>
        <w:t>7</w:t>
      </w:r>
      <w:r>
        <w:rPr>
          <w:b/>
          <w:bCs/>
          <w:snapToGrid/>
          <w:szCs w:val="22"/>
          <w:lang w:val="lt-LT"/>
        </w:rPr>
        <w:tab/>
        <w:t>REGISTRUOTOJAS</w:t>
      </w:r>
    </w:p>
    <w:p w14:paraId="6DB28399" w14:textId="77777777" w:rsidR="00890384" w:rsidRDefault="00890384">
      <w:pPr>
        <w:widowControl w:val="0"/>
        <w:tabs>
          <w:tab w:val="clear" w:pos="567"/>
        </w:tabs>
        <w:autoSpaceDE w:val="0"/>
        <w:autoSpaceDN w:val="0"/>
        <w:spacing w:line="240" w:lineRule="auto"/>
        <w:rPr>
          <w:snapToGrid/>
          <w:szCs w:val="22"/>
          <w:lang w:val="lt-LT"/>
        </w:rPr>
      </w:pPr>
    </w:p>
    <w:p w14:paraId="746F6F0D" w14:textId="77777777" w:rsidR="00890384" w:rsidRDefault="00B26795">
      <w:pPr>
        <w:rPr>
          <w:snapToGrid/>
          <w:szCs w:val="22"/>
          <w:lang w:val="lt-LT"/>
        </w:rPr>
      </w:pPr>
      <w:r>
        <w:rPr>
          <w:snapToGrid/>
          <w:szCs w:val="22"/>
          <w:lang w:val="lt-LT"/>
        </w:rPr>
        <w:t>KRKA, d.d., Novo mesto, Šmarješka cesta 6, 8501 Novo mesto, Slovėnija</w:t>
      </w:r>
    </w:p>
    <w:p w14:paraId="72044A45" w14:textId="77777777" w:rsidR="00890384" w:rsidRDefault="00890384">
      <w:pPr>
        <w:widowControl w:val="0"/>
        <w:tabs>
          <w:tab w:val="clear" w:pos="567"/>
        </w:tabs>
        <w:autoSpaceDE w:val="0"/>
        <w:autoSpaceDN w:val="0"/>
        <w:spacing w:line="240" w:lineRule="auto"/>
        <w:rPr>
          <w:snapToGrid/>
          <w:szCs w:val="22"/>
          <w:lang w:val="lt-LT"/>
        </w:rPr>
      </w:pPr>
    </w:p>
    <w:p w14:paraId="29A21F58" w14:textId="77777777" w:rsidR="00890384" w:rsidRDefault="00890384">
      <w:pPr>
        <w:widowControl w:val="0"/>
        <w:tabs>
          <w:tab w:val="clear" w:pos="567"/>
        </w:tabs>
        <w:autoSpaceDE w:val="0"/>
        <w:autoSpaceDN w:val="0"/>
        <w:spacing w:line="240" w:lineRule="auto"/>
        <w:rPr>
          <w:snapToGrid/>
          <w:szCs w:val="22"/>
          <w:lang w:val="lt-LT"/>
        </w:rPr>
      </w:pPr>
    </w:p>
    <w:p w14:paraId="4B994A8F" w14:textId="77777777" w:rsidR="00890384" w:rsidRDefault="00B26795">
      <w:pPr>
        <w:widowControl w:val="0"/>
        <w:autoSpaceDE w:val="0"/>
        <w:autoSpaceDN w:val="0"/>
        <w:spacing w:line="240" w:lineRule="auto"/>
        <w:ind w:left="709" w:hanging="709"/>
        <w:outlineLvl w:val="0"/>
        <w:rPr>
          <w:b/>
          <w:bCs/>
          <w:snapToGrid/>
          <w:szCs w:val="22"/>
          <w:lang w:val="lt-LT"/>
        </w:rPr>
      </w:pPr>
      <w:r>
        <w:rPr>
          <w:b/>
          <w:bCs/>
          <w:snapToGrid/>
          <w:szCs w:val="22"/>
          <w:lang w:val="lt-LT"/>
        </w:rPr>
        <w:t>8.</w:t>
      </w:r>
      <w:r>
        <w:rPr>
          <w:b/>
          <w:bCs/>
          <w:snapToGrid/>
          <w:szCs w:val="22"/>
          <w:lang w:val="lt-LT"/>
        </w:rPr>
        <w:tab/>
        <w:t>REGISTRACIJOS PAŽYMĖJIMO NUMERIS (-IAI)</w:t>
      </w:r>
    </w:p>
    <w:p w14:paraId="52CE36C0" w14:textId="77777777" w:rsidR="00890384" w:rsidRDefault="00890384">
      <w:pPr>
        <w:widowControl w:val="0"/>
        <w:tabs>
          <w:tab w:val="clear" w:pos="567"/>
        </w:tabs>
        <w:autoSpaceDE w:val="0"/>
        <w:autoSpaceDN w:val="0"/>
        <w:spacing w:line="240" w:lineRule="auto"/>
        <w:rPr>
          <w:b/>
          <w:snapToGrid/>
          <w:szCs w:val="22"/>
          <w:lang w:val="lt-LT"/>
        </w:rPr>
      </w:pPr>
    </w:p>
    <w:p w14:paraId="4C1745A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LT/1/21/4843/001 – N10</w:t>
      </w:r>
    </w:p>
    <w:p w14:paraId="33D90D9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LT/1/21/4843/002 – N14</w:t>
      </w:r>
    </w:p>
    <w:p w14:paraId="28EA0FA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LT/1/21/4843/003 – N20</w:t>
      </w:r>
    </w:p>
    <w:p w14:paraId="36663D7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lastRenderedPageBreak/>
        <w:t>LT/1/21/4843/004 – N28</w:t>
      </w:r>
    </w:p>
    <w:p w14:paraId="0B5033D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LT/1/21/4843/005 – N56</w:t>
      </w:r>
    </w:p>
    <w:p w14:paraId="1EE117B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LT/1/21/4843/006 – N60</w:t>
      </w:r>
    </w:p>
    <w:p w14:paraId="3C56CCA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LT/1/21/4843/007 – N100</w:t>
      </w:r>
    </w:p>
    <w:p w14:paraId="68F6C77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LT/1/21/4843/008 – N168</w:t>
      </w:r>
    </w:p>
    <w:p w14:paraId="5E4FDA8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LT/1/21/4843/009 – N200</w:t>
      </w:r>
    </w:p>
    <w:p w14:paraId="388052C0" w14:textId="77777777" w:rsidR="00890384" w:rsidRDefault="00890384">
      <w:pPr>
        <w:widowControl w:val="0"/>
        <w:tabs>
          <w:tab w:val="clear" w:pos="567"/>
        </w:tabs>
        <w:autoSpaceDE w:val="0"/>
        <w:autoSpaceDN w:val="0"/>
        <w:spacing w:line="240" w:lineRule="auto"/>
        <w:rPr>
          <w:snapToGrid/>
          <w:szCs w:val="22"/>
          <w:lang w:val="lt-LT"/>
        </w:rPr>
      </w:pPr>
    </w:p>
    <w:p w14:paraId="2DF36F6F" w14:textId="77777777" w:rsidR="00890384" w:rsidRDefault="00890384">
      <w:pPr>
        <w:widowControl w:val="0"/>
        <w:tabs>
          <w:tab w:val="clear" w:pos="567"/>
        </w:tabs>
        <w:autoSpaceDE w:val="0"/>
        <w:autoSpaceDN w:val="0"/>
        <w:spacing w:line="240" w:lineRule="auto"/>
        <w:rPr>
          <w:b/>
          <w:snapToGrid/>
          <w:szCs w:val="22"/>
          <w:lang w:val="lt-LT"/>
        </w:rPr>
      </w:pPr>
    </w:p>
    <w:p w14:paraId="6F06CD70" w14:textId="77777777" w:rsidR="00890384" w:rsidRDefault="00B26795">
      <w:pPr>
        <w:widowControl w:val="0"/>
        <w:autoSpaceDE w:val="0"/>
        <w:autoSpaceDN w:val="0"/>
        <w:spacing w:line="240" w:lineRule="auto"/>
        <w:ind w:left="567" w:hanging="567"/>
        <w:outlineLvl w:val="0"/>
        <w:rPr>
          <w:b/>
          <w:bCs/>
          <w:snapToGrid/>
          <w:szCs w:val="22"/>
          <w:lang w:val="lt-LT"/>
        </w:rPr>
      </w:pPr>
      <w:r>
        <w:rPr>
          <w:b/>
          <w:bCs/>
          <w:snapToGrid/>
          <w:szCs w:val="22"/>
          <w:lang w:val="lt-LT"/>
        </w:rPr>
        <w:t>9.</w:t>
      </w:r>
      <w:r>
        <w:rPr>
          <w:b/>
          <w:bCs/>
          <w:snapToGrid/>
          <w:szCs w:val="22"/>
          <w:lang w:val="lt-LT"/>
        </w:rPr>
        <w:tab/>
        <w:t>REGISTRAVIMO / PERREGISTRAVIMO DATA</w:t>
      </w:r>
    </w:p>
    <w:p w14:paraId="730432E7" w14:textId="77777777" w:rsidR="00890384" w:rsidRDefault="00890384">
      <w:pPr>
        <w:widowControl w:val="0"/>
        <w:tabs>
          <w:tab w:val="clear" w:pos="567"/>
        </w:tabs>
        <w:autoSpaceDE w:val="0"/>
        <w:autoSpaceDN w:val="0"/>
        <w:spacing w:line="240" w:lineRule="auto"/>
        <w:rPr>
          <w:b/>
          <w:snapToGrid/>
          <w:szCs w:val="22"/>
          <w:lang w:val="lt-LT"/>
        </w:rPr>
      </w:pPr>
    </w:p>
    <w:p w14:paraId="0321B372" w14:textId="77777777" w:rsidR="00890384" w:rsidRDefault="00B26795">
      <w:pPr>
        <w:widowControl w:val="0"/>
        <w:tabs>
          <w:tab w:val="clear" w:pos="567"/>
        </w:tabs>
        <w:autoSpaceDE w:val="0"/>
        <w:autoSpaceDN w:val="0"/>
        <w:spacing w:line="240" w:lineRule="auto"/>
        <w:rPr>
          <w:szCs w:val="24"/>
          <w:lang w:val="lt-LT"/>
        </w:rPr>
      </w:pPr>
      <w:r>
        <w:rPr>
          <w:snapToGrid/>
          <w:szCs w:val="22"/>
          <w:lang w:val="lt-LT"/>
        </w:rPr>
        <w:t>Registravimo data  2021 m. spalio 26 d.</w:t>
      </w:r>
    </w:p>
    <w:p w14:paraId="3EEDC2B4" w14:textId="77777777" w:rsidR="00890384" w:rsidRDefault="00890384">
      <w:pPr>
        <w:widowControl w:val="0"/>
        <w:tabs>
          <w:tab w:val="clear" w:pos="567"/>
        </w:tabs>
        <w:autoSpaceDE w:val="0"/>
        <w:autoSpaceDN w:val="0"/>
        <w:spacing w:line="240" w:lineRule="auto"/>
        <w:rPr>
          <w:snapToGrid/>
          <w:szCs w:val="22"/>
          <w:lang w:val="lt-LT"/>
        </w:rPr>
      </w:pPr>
    </w:p>
    <w:p w14:paraId="42534644" w14:textId="77777777" w:rsidR="00890384" w:rsidRDefault="00890384">
      <w:pPr>
        <w:widowControl w:val="0"/>
        <w:tabs>
          <w:tab w:val="clear" w:pos="567"/>
        </w:tabs>
        <w:autoSpaceDE w:val="0"/>
        <w:autoSpaceDN w:val="0"/>
        <w:spacing w:line="240" w:lineRule="auto"/>
        <w:rPr>
          <w:snapToGrid/>
          <w:szCs w:val="22"/>
          <w:lang w:val="lt-LT"/>
        </w:rPr>
      </w:pPr>
    </w:p>
    <w:p w14:paraId="0FBB6524" w14:textId="77777777" w:rsidR="00890384" w:rsidRDefault="00B26795">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10.</w:t>
      </w:r>
      <w:r>
        <w:rPr>
          <w:b/>
          <w:bCs/>
          <w:snapToGrid/>
          <w:szCs w:val="22"/>
          <w:lang w:val="lt-LT"/>
        </w:rPr>
        <w:tab/>
        <w:t>TEKSTO PERŽIŪROS DATA</w:t>
      </w:r>
    </w:p>
    <w:p w14:paraId="2323BFAA" w14:textId="77777777" w:rsidR="00890384" w:rsidRDefault="00890384">
      <w:pPr>
        <w:widowControl w:val="0"/>
        <w:tabs>
          <w:tab w:val="clear" w:pos="567"/>
        </w:tabs>
        <w:autoSpaceDE w:val="0"/>
        <w:autoSpaceDN w:val="0"/>
        <w:spacing w:line="240" w:lineRule="auto"/>
        <w:rPr>
          <w:b/>
          <w:snapToGrid/>
          <w:szCs w:val="22"/>
          <w:lang w:val="lt-LT"/>
        </w:rPr>
      </w:pPr>
    </w:p>
    <w:p w14:paraId="235F09CD" w14:textId="75FE3F8D" w:rsidR="00890384" w:rsidRPr="005261E3" w:rsidRDefault="005261E3">
      <w:pPr>
        <w:widowControl w:val="0"/>
        <w:tabs>
          <w:tab w:val="clear" w:pos="567"/>
        </w:tabs>
        <w:autoSpaceDE w:val="0"/>
        <w:autoSpaceDN w:val="0"/>
        <w:spacing w:line="240" w:lineRule="auto"/>
        <w:rPr>
          <w:bCs/>
          <w:snapToGrid/>
          <w:szCs w:val="22"/>
          <w:lang w:val="lt-LT"/>
        </w:rPr>
      </w:pPr>
      <w:r w:rsidRPr="005261E3">
        <w:rPr>
          <w:bCs/>
          <w:snapToGrid/>
          <w:szCs w:val="22"/>
          <w:lang w:val="lt-LT"/>
        </w:rPr>
        <w:t>2025 m. balandžio 3 d.</w:t>
      </w:r>
    </w:p>
    <w:p w14:paraId="60272B61" w14:textId="77777777" w:rsidR="005261E3" w:rsidRDefault="005261E3">
      <w:pPr>
        <w:widowControl w:val="0"/>
        <w:tabs>
          <w:tab w:val="clear" w:pos="567"/>
        </w:tabs>
        <w:autoSpaceDE w:val="0"/>
        <w:autoSpaceDN w:val="0"/>
        <w:spacing w:line="240" w:lineRule="auto"/>
        <w:rPr>
          <w:b/>
          <w:snapToGrid/>
          <w:szCs w:val="22"/>
          <w:lang w:val="lt-LT"/>
        </w:rPr>
      </w:pPr>
    </w:p>
    <w:p w14:paraId="1007C09D" w14:textId="0B1E2120" w:rsidR="00890384" w:rsidRDefault="00B26795">
      <w:pPr>
        <w:widowControl w:val="0"/>
        <w:tabs>
          <w:tab w:val="clear" w:pos="567"/>
        </w:tabs>
        <w:autoSpaceDE w:val="0"/>
        <w:autoSpaceDN w:val="0"/>
        <w:spacing w:line="240" w:lineRule="auto"/>
        <w:rPr>
          <w:snapToGrid/>
          <w:szCs w:val="22"/>
          <w:lang w:val="lt-LT"/>
        </w:rPr>
      </w:pPr>
      <w:r>
        <w:rPr>
          <w:snapToGrid/>
          <w:szCs w:val="22"/>
          <w:lang w:val="lt-LT"/>
        </w:rPr>
        <w:t>Išsami informacija apie šį vaistinį preparatą pateikiama Valstybinės vaistų kontrolės tarnybos prie Lietuvos Respublikos sveikatos apsaugos ministerijos tinklalapyje</w:t>
      </w:r>
      <w:r>
        <w:rPr>
          <w:i/>
          <w:snapToGrid/>
          <w:szCs w:val="22"/>
          <w:lang w:val="lt-LT"/>
        </w:rPr>
        <w:t xml:space="preserve"> </w:t>
      </w:r>
      <w:r>
        <w:rPr>
          <w:snapToGrid/>
          <w:color w:val="0000EE"/>
          <w:szCs w:val="22"/>
          <w:u w:val="single"/>
          <w:lang w:val="lt-LT" w:eastAsia="lt-LT"/>
        </w:rPr>
        <w:t>https://vvkt.lrv.lt/lt/</w:t>
      </w:r>
    </w:p>
    <w:p w14:paraId="1474F0EC" w14:textId="77777777" w:rsidR="00890384" w:rsidRDefault="00890384">
      <w:pPr>
        <w:widowControl w:val="0"/>
        <w:tabs>
          <w:tab w:val="clear" w:pos="567"/>
        </w:tabs>
        <w:autoSpaceDE w:val="0"/>
        <w:autoSpaceDN w:val="0"/>
        <w:spacing w:line="240" w:lineRule="auto"/>
        <w:rPr>
          <w:snapToGrid/>
          <w:szCs w:val="22"/>
          <w:lang w:val="lt-LT"/>
        </w:rPr>
      </w:pPr>
    </w:p>
    <w:p w14:paraId="654B55D0" w14:textId="77777777" w:rsidR="00890384" w:rsidRDefault="00B26795">
      <w:pPr>
        <w:tabs>
          <w:tab w:val="clear" w:pos="567"/>
        </w:tabs>
        <w:spacing w:line="240" w:lineRule="auto"/>
        <w:rPr>
          <w:snapToGrid/>
          <w:szCs w:val="22"/>
          <w:lang w:val="lt-LT"/>
        </w:rPr>
      </w:pPr>
      <w:r>
        <w:rPr>
          <w:snapToGrid/>
          <w:szCs w:val="22"/>
          <w:lang w:val="lt-LT"/>
        </w:rPr>
        <w:br w:type="page"/>
      </w:r>
    </w:p>
    <w:p w14:paraId="162802BA" w14:textId="77777777" w:rsidR="00890384" w:rsidRDefault="00890384">
      <w:pPr>
        <w:widowControl w:val="0"/>
        <w:tabs>
          <w:tab w:val="clear" w:pos="567"/>
        </w:tabs>
        <w:autoSpaceDE w:val="0"/>
        <w:autoSpaceDN w:val="0"/>
        <w:spacing w:line="240" w:lineRule="auto"/>
        <w:rPr>
          <w:snapToGrid/>
          <w:szCs w:val="22"/>
          <w:lang w:val="lt-LT"/>
        </w:rPr>
        <w:sectPr w:rsidR="00890384">
          <w:pgSz w:w="11910" w:h="16840"/>
          <w:pgMar w:top="1040" w:right="920" w:bottom="900" w:left="1180" w:header="0" w:footer="634" w:gutter="0"/>
          <w:cols w:space="720"/>
        </w:sectPr>
      </w:pPr>
    </w:p>
    <w:p w14:paraId="17FD5E35" w14:textId="77777777" w:rsidR="00890384" w:rsidRDefault="00890384">
      <w:pPr>
        <w:widowControl w:val="0"/>
        <w:tabs>
          <w:tab w:val="clear" w:pos="567"/>
        </w:tabs>
        <w:autoSpaceDE w:val="0"/>
        <w:autoSpaceDN w:val="0"/>
        <w:spacing w:line="240" w:lineRule="auto"/>
        <w:rPr>
          <w:snapToGrid/>
          <w:szCs w:val="22"/>
          <w:lang w:val="lt-LT"/>
        </w:rPr>
      </w:pPr>
    </w:p>
    <w:p w14:paraId="6E13D96A" w14:textId="77777777" w:rsidR="00890384" w:rsidRDefault="00890384">
      <w:pPr>
        <w:widowControl w:val="0"/>
        <w:tabs>
          <w:tab w:val="clear" w:pos="567"/>
        </w:tabs>
        <w:autoSpaceDE w:val="0"/>
        <w:autoSpaceDN w:val="0"/>
        <w:spacing w:line="240" w:lineRule="auto"/>
        <w:rPr>
          <w:snapToGrid/>
          <w:szCs w:val="22"/>
          <w:lang w:val="lt-LT"/>
        </w:rPr>
      </w:pPr>
    </w:p>
    <w:p w14:paraId="0A88A043" w14:textId="77777777" w:rsidR="00890384" w:rsidRDefault="00890384">
      <w:pPr>
        <w:widowControl w:val="0"/>
        <w:tabs>
          <w:tab w:val="clear" w:pos="567"/>
        </w:tabs>
        <w:autoSpaceDE w:val="0"/>
        <w:autoSpaceDN w:val="0"/>
        <w:spacing w:line="240" w:lineRule="auto"/>
        <w:rPr>
          <w:snapToGrid/>
          <w:szCs w:val="22"/>
          <w:lang w:val="lt-LT"/>
        </w:rPr>
      </w:pPr>
    </w:p>
    <w:p w14:paraId="3678DB6B" w14:textId="77777777" w:rsidR="00890384" w:rsidRDefault="00890384">
      <w:pPr>
        <w:widowControl w:val="0"/>
        <w:tabs>
          <w:tab w:val="clear" w:pos="567"/>
        </w:tabs>
        <w:autoSpaceDE w:val="0"/>
        <w:autoSpaceDN w:val="0"/>
        <w:spacing w:line="240" w:lineRule="auto"/>
        <w:rPr>
          <w:snapToGrid/>
          <w:szCs w:val="22"/>
          <w:lang w:val="lt-LT"/>
        </w:rPr>
      </w:pPr>
    </w:p>
    <w:p w14:paraId="558670BC" w14:textId="77777777" w:rsidR="00890384" w:rsidRDefault="00890384">
      <w:pPr>
        <w:widowControl w:val="0"/>
        <w:tabs>
          <w:tab w:val="clear" w:pos="567"/>
        </w:tabs>
        <w:autoSpaceDE w:val="0"/>
        <w:autoSpaceDN w:val="0"/>
        <w:spacing w:line="240" w:lineRule="auto"/>
        <w:rPr>
          <w:snapToGrid/>
          <w:szCs w:val="22"/>
          <w:lang w:val="lt-LT"/>
        </w:rPr>
      </w:pPr>
    </w:p>
    <w:p w14:paraId="219FC679" w14:textId="77777777" w:rsidR="00890384" w:rsidRDefault="00890384">
      <w:pPr>
        <w:widowControl w:val="0"/>
        <w:tabs>
          <w:tab w:val="clear" w:pos="567"/>
        </w:tabs>
        <w:autoSpaceDE w:val="0"/>
        <w:autoSpaceDN w:val="0"/>
        <w:spacing w:line="240" w:lineRule="auto"/>
        <w:rPr>
          <w:snapToGrid/>
          <w:szCs w:val="22"/>
          <w:lang w:val="lt-LT"/>
        </w:rPr>
      </w:pPr>
    </w:p>
    <w:p w14:paraId="098DD233" w14:textId="77777777" w:rsidR="00890384" w:rsidRDefault="00890384">
      <w:pPr>
        <w:widowControl w:val="0"/>
        <w:tabs>
          <w:tab w:val="clear" w:pos="567"/>
        </w:tabs>
        <w:autoSpaceDE w:val="0"/>
        <w:autoSpaceDN w:val="0"/>
        <w:spacing w:line="240" w:lineRule="auto"/>
        <w:rPr>
          <w:snapToGrid/>
          <w:szCs w:val="22"/>
          <w:lang w:val="lt-LT"/>
        </w:rPr>
      </w:pPr>
    </w:p>
    <w:p w14:paraId="20C59185" w14:textId="77777777" w:rsidR="00890384" w:rsidRDefault="00890384">
      <w:pPr>
        <w:widowControl w:val="0"/>
        <w:tabs>
          <w:tab w:val="clear" w:pos="567"/>
        </w:tabs>
        <w:autoSpaceDE w:val="0"/>
        <w:autoSpaceDN w:val="0"/>
        <w:spacing w:line="240" w:lineRule="auto"/>
        <w:rPr>
          <w:snapToGrid/>
          <w:szCs w:val="22"/>
          <w:lang w:val="lt-LT"/>
        </w:rPr>
      </w:pPr>
    </w:p>
    <w:p w14:paraId="566C6E7C" w14:textId="77777777" w:rsidR="00890384" w:rsidRDefault="00890384">
      <w:pPr>
        <w:widowControl w:val="0"/>
        <w:tabs>
          <w:tab w:val="clear" w:pos="567"/>
        </w:tabs>
        <w:autoSpaceDE w:val="0"/>
        <w:autoSpaceDN w:val="0"/>
        <w:spacing w:line="240" w:lineRule="auto"/>
        <w:rPr>
          <w:snapToGrid/>
          <w:szCs w:val="22"/>
          <w:lang w:val="lt-LT"/>
        </w:rPr>
      </w:pPr>
    </w:p>
    <w:p w14:paraId="18D77CB7" w14:textId="77777777" w:rsidR="00890384" w:rsidRDefault="00890384">
      <w:pPr>
        <w:widowControl w:val="0"/>
        <w:tabs>
          <w:tab w:val="clear" w:pos="567"/>
        </w:tabs>
        <w:autoSpaceDE w:val="0"/>
        <w:autoSpaceDN w:val="0"/>
        <w:spacing w:line="240" w:lineRule="auto"/>
        <w:rPr>
          <w:snapToGrid/>
          <w:szCs w:val="22"/>
          <w:lang w:val="lt-LT"/>
        </w:rPr>
      </w:pPr>
    </w:p>
    <w:p w14:paraId="1DD84103" w14:textId="77777777" w:rsidR="00890384" w:rsidRDefault="00890384">
      <w:pPr>
        <w:widowControl w:val="0"/>
        <w:tabs>
          <w:tab w:val="clear" w:pos="567"/>
        </w:tabs>
        <w:autoSpaceDE w:val="0"/>
        <w:autoSpaceDN w:val="0"/>
        <w:spacing w:line="240" w:lineRule="auto"/>
        <w:rPr>
          <w:snapToGrid/>
          <w:szCs w:val="22"/>
          <w:lang w:val="lt-LT"/>
        </w:rPr>
      </w:pPr>
    </w:p>
    <w:p w14:paraId="0C42E357" w14:textId="77777777" w:rsidR="00890384" w:rsidRDefault="00890384">
      <w:pPr>
        <w:widowControl w:val="0"/>
        <w:tabs>
          <w:tab w:val="clear" w:pos="567"/>
        </w:tabs>
        <w:autoSpaceDE w:val="0"/>
        <w:autoSpaceDN w:val="0"/>
        <w:spacing w:line="240" w:lineRule="auto"/>
        <w:rPr>
          <w:snapToGrid/>
          <w:szCs w:val="22"/>
          <w:lang w:val="lt-LT"/>
        </w:rPr>
      </w:pPr>
    </w:p>
    <w:p w14:paraId="7D182C83" w14:textId="77777777" w:rsidR="00890384" w:rsidRDefault="00890384">
      <w:pPr>
        <w:widowControl w:val="0"/>
        <w:tabs>
          <w:tab w:val="clear" w:pos="567"/>
        </w:tabs>
        <w:autoSpaceDE w:val="0"/>
        <w:autoSpaceDN w:val="0"/>
        <w:spacing w:line="240" w:lineRule="auto"/>
        <w:rPr>
          <w:snapToGrid/>
          <w:szCs w:val="22"/>
          <w:lang w:val="lt-LT"/>
        </w:rPr>
      </w:pPr>
    </w:p>
    <w:p w14:paraId="2370885D" w14:textId="77777777" w:rsidR="00890384" w:rsidRDefault="00890384">
      <w:pPr>
        <w:widowControl w:val="0"/>
        <w:tabs>
          <w:tab w:val="clear" w:pos="567"/>
        </w:tabs>
        <w:autoSpaceDE w:val="0"/>
        <w:autoSpaceDN w:val="0"/>
        <w:spacing w:line="240" w:lineRule="auto"/>
        <w:rPr>
          <w:snapToGrid/>
          <w:szCs w:val="22"/>
          <w:lang w:val="lt-LT"/>
        </w:rPr>
      </w:pPr>
    </w:p>
    <w:p w14:paraId="2F2C2B7B" w14:textId="77777777" w:rsidR="00890384" w:rsidRDefault="00890384">
      <w:pPr>
        <w:widowControl w:val="0"/>
        <w:tabs>
          <w:tab w:val="clear" w:pos="567"/>
        </w:tabs>
        <w:autoSpaceDE w:val="0"/>
        <w:autoSpaceDN w:val="0"/>
        <w:spacing w:line="240" w:lineRule="auto"/>
        <w:rPr>
          <w:snapToGrid/>
          <w:szCs w:val="22"/>
          <w:lang w:val="lt-LT"/>
        </w:rPr>
      </w:pPr>
    </w:p>
    <w:p w14:paraId="4C8CE367" w14:textId="77777777" w:rsidR="00890384" w:rsidRDefault="00890384">
      <w:pPr>
        <w:widowControl w:val="0"/>
        <w:tabs>
          <w:tab w:val="clear" w:pos="567"/>
        </w:tabs>
        <w:autoSpaceDE w:val="0"/>
        <w:autoSpaceDN w:val="0"/>
        <w:spacing w:line="240" w:lineRule="auto"/>
        <w:rPr>
          <w:snapToGrid/>
          <w:szCs w:val="22"/>
          <w:lang w:val="lt-LT"/>
        </w:rPr>
      </w:pPr>
    </w:p>
    <w:p w14:paraId="53FCB877" w14:textId="77777777" w:rsidR="00890384" w:rsidRDefault="00890384">
      <w:pPr>
        <w:widowControl w:val="0"/>
        <w:tabs>
          <w:tab w:val="clear" w:pos="567"/>
        </w:tabs>
        <w:autoSpaceDE w:val="0"/>
        <w:autoSpaceDN w:val="0"/>
        <w:spacing w:line="240" w:lineRule="auto"/>
        <w:rPr>
          <w:snapToGrid/>
          <w:szCs w:val="22"/>
          <w:lang w:val="lt-LT"/>
        </w:rPr>
      </w:pPr>
    </w:p>
    <w:p w14:paraId="213D831A" w14:textId="77777777" w:rsidR="00890384" w:rsidRDefault="00890384">
      <w:pPr>
        <w:widowControl w:val="0"/>
        <w:tabs>
          <w:tab w:val="clear" w:pos="567"/>
        </w:tabs>
        <w:autoSpaceDE w:val="0"/>
        <w:autoSpaceDN w:val="0"/>
        <w:spacing w:line="240" w:lineRule="auto"/>
        <w:rPr>
          <w:snapToGrid/>
          <w:szCs w:val="22"/>
          <w:lang w:val="lt-LT"/>
        </w:rPr>
      </w:pPr>
    </w:p>
    <w:p w14:paraId="4FDB3611" w14:textId="77777777" w:rsidR="00890384" w:rsidRDefault="00890384">
      <w:pPr>
        <w:widowControl w:val="0"/>
        <w:tabs>
          <w:tab w:val="clear" w:pos="567"/>
        </w:tabs>
        <w:autoSpaceDE w:val="0"/>
        <w:autoSpaceDN w:val="0"/>
        <w:spacing w:line="240" w:lineRule="auto"/>
        <w:rPr>
          <w:snapToGrid/>
          <w:szCs w:val="22"/>
          <w:lang w:val="lt-LT"/>
        </w:rPr>
      </w:pPr>
    </w:p>
    <w:p w14:paraId="27B5F7CE" w14:textId="77777777" w:rsidR="00890384" w:rsidRDefault="00890384">
      <w:pPr>
        <w:widowControl w:val="0"/>
        <w:tabs>
          <w:tab w:val="clear" w:pos="567"/>
        </w:tabs>
        <w:autoSpaceDE w:val="0"/>
        <w:autoSpaceDN w:val="0"/>
        <w:spacing w:line="240" w:lineRule="auto"/>
        <w:rPr>
          <w:snapToGrid/>
          <w:szCs w:val="22"/>
          <w:lang w:val="lt-LT"/>
        </w:rPr>
      </w:pPr>
    </w:p>
    <w:p w14:paraId="0AF05435" w14:textId="77777777" w:rsidR="00890384" w:rsidRDefault="00B26795">
      <w:pPr>
        <w:widowControl w:val="0"/>
        <w:tabs>
          <w:tab w:val="clear" w:pos="567"/>
        </w:tabs>
        <w:autoSpaceDE w:val="0"/>
        <w:autoSpaceDN w:val="0"/>
        <w:spacing w:line="240" w:lineRule="auto"/>
        <w:jc w:val="center"/>
        <w:rPr>
          <w:snapToGrid/>
          <w:szCs w:val="22"/>
          <w:lang w:val="lt-LT"/>
        </w:rPr>
      </w:pPr>
      <w:r>
        <w:rPr>
          <w:b/>
          <w:snapToGrid/>
          <w:szCs w:val="22"/>
          <w:lang w:val="lt-LT"/>
        </w:rPr>
        <w:t>II PRIEDAS</w:t>
      </w:r>
    </w:p>
    <w:p w14:paraId="40DB3BD6" w14:textId="77777777" w:rsidR="00890384" w:rsidRDefault="00890384">
      <w:pPr>
        <w:widowControl w:val="0"/>
        <w:tabs>
          <w:tab w:val="clear" w:pos="567"/>
        </w:tabs>
        <w:autoSpaceDE w:val="0"/>
        <w:autoSpaceDN w:val="0"/>
        <w:spacing w:line="240" w:lineRule="auto"/>
        <w:rPr>
          <w:snapToGrid/>
          <w:szCs w:val="22"/>
          <w:lang w:val="lt-LT"/>
        </w:rPr>
      </w:pPr>
    </w:p>
    <w:p w14:paraId="35935EA1" w14:textId="77777777" w:rsidR="00890384" w:rsidRDefault="00B26795">
      <w:pPr>
        <w:widowControl w:val="0"/>
        <w:numPr>
          <w:ilvl w:val="0"/>
          <w:numId w:val="11"/>
        </w:numPr>
        <w:tabs>
          <w:tab w:val="clear" w:pos="567"/>
          <w:tab w:val="left" w:pos="1701"/>
        </w:tabs>
        <w:autoSpaceDE w:val="0"/>
        <w:autoSpaceDN w:val="0"/>
        <w:spacing w:line="240" w:lineRule="auto"/>
        <w:rPr>
          <w:b/>
          <w:snapToGrid/>
          <w:szCs w:val="22"/>
          <w:lang w:val="lt-LT"/>
        </w:rPr>
      </w:pPr>
      <w:r>
        <w:rPr>
          <w:b/>
          <w:snapToGrid/>
          <w:szCs w:val="22"/>
          <w:lang w:val="lt-LT"/>
        </w:rPr>
        <w:t>GAMINTOJAS (-AI), ATSAKINGAS (-I) UŽ SERIJŲ IŠLEIDIMĄ</w:t>
      </w:r>
    </w:p>
    <w:p w14:paraId="71A210D0" w14:textId="77777777" w:rsidR="00890384" w:rsidRDefault="00890384">
      <w:pPr>
        <w:widowControl w:val="0"/>
        <w:tabs>
          <w:tab w:val="clear" w:pos="567"/>
        </w:tabs>
        <w:autoSpaceDE w:val="0"/>
        <w:autoSpaceDN w:val="0"/>
        <w:spacing w:line="240" w:lineRule="auto"/>
        <w:ind w:left="567" w:hanging="567"/>
        <w:rPr>
          <w:snapToGrid/>
          <w:szCs w:val="22"/>
          <w:lang w:val="lt-LT"/>
        </w:rPr>
      </w:pPr>
    </w:p>
    <w:p w14:paraId="716C02F5" w14:textId="77777777" w:rsidR="00890384" w:rsidRDefault="00B26795">
      <w:pPr>
        <w:widowControl w:val="0"/>
        <w:numPr>
          <w:ilvl w:val="0"/>
          <w:numId w:val="11"/>
        </w:numPr>
        <w:tabs>
          <w:tab w:val="clear" w:pos="567"/>
          <w:tab w:val="left" w:pos="1701"/>
        </w:tabs>
        <w:autoSpaceDE w:val="0"/>
        <w:autoSpaceDN w:val="0"/>
        <w:spacing w:line="240" w:lineRule="auto"/>
        <w:rPr>
          <w:b/>
          <w:snapToGrid/>
          <w:szCs w:val="22"/>
          <w:lang w:val="lt-LT"/>
        </w:rPr>
      </w:pPr>
      <w:r>
        <w:rPr>
          <w:b/>
          <w:snapToGrid/>
          <w:szCs w:val="22"/>
          <w:lang w:val="lt-LT"/>
        </w:rPr>
        <w:t>TIEKIMO IR VARTOJIMO SĄLYGOS AR APRIBOJIMAI</w:t>
      </w:r>
    </w:p>
    <w:p w14:paraId="57BA5389" w14:textId="77777777" w:rsidR="00890384" w:rsidRDefault="00890384">
      <w:pPr>
        <w:widowControl w:val="0"/>
        <w:tabs>
          <w:tab w:val="clear" w:pos="567"/>
        </w:tabs>
        <w:autoSpaceDE w:val="0"/>
        <w:autoSpaceDN w:val="0"/>
        <w:spacing w:line="240" w:lineRule="auto"/>
        <w:ind w:left="567" w:hanging="567"/>
        <w:rPr>
          <w:snapToGrid/>
          <w:szCs w:val="22"/>
          <w:lang w:val="lt-LT"/>
        </w:rPr>
      </w:pPr>
    </w:p>
    <w:p w14:paraId="22238337"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br w:type="page"/>
      </w:r>
    </w:p>
    <w:p w14:paraId="476DA3A8" w14:textId="77777777" w:rsidR="00890384" w:rsidRDefault="00B26795">
      <w:pPr>
        <w:widowControl w:val="0"/>
        <w:numPr>
          <w:ilvl w:val="0"/>
          <w:numId w:val="4"/>
        </w:numPr>
        <w:tabs>
          <w:tab w:val="clear" w:pos="567"/>
          <w:tab w:val="left" w:pos="802"/>
          <w:tab w:val="left" w:pos="803"/>
        </w:tabs>
        <w:autoSpaceDE w:val="0"/>
        <w:autoSpaceDN w:val="0"/>
        <w:spacing w:line="240" w:lineRule="auto"/>
        <w:ind w:left="540" w:hanging="540"/>
        <w:rPr>
          <w:b/>
          <w:snapToGrid/>
          <w:szCs w:val="22"/>
          <w:lang w:val="lt-LT"/>
        </w:rPr>
      </w:pPr>
      <w:bookmarkStart w:id="3" w:name="A._GAMINTOJAS_(-AI),_ATSAKINGAS_(-I)_UŽ_"/>
      <w:bookmarkEnd w:id="3"/>
      <w:r>
        <w:rPr>
          <w:b/>
          <w:snapToGrid/>
          <w:szCs w:val="22"/>
          <w:lang w:val="lt-LT"/>
        </w:rPr>
        <w:lastRenderedPageBreak/>
        <w:t>GAMINTOJAS (-AI), ATSAKINGAS (-I) UŽ SERIJŲ IŠLEIDIMĄ</w:t>
      </w:r>
    </w:p>
    <w:p w14:paraId="542C333B" w14:textId="77777777" w:rsidR="00890384" w:rsidRDefault="00890384">
      <w:pPr>
        <w:widowControl w:val="0"/>
        <w:tabs>
          <w:tab w:val="clear" w:pos="567"/>
        </w:tabs>
        <w:autoSpaceDE w:val="0"/>
        <w:autoSpaceDN w:val="0"/>
        <w:spacing w:line="240" w:lineRule="auto"/>
        <w:rPr>
          <w:b/>
          <w:snapToGrid/>
          <w:szCs w:val="22"/>
          <w:lang w:val="lt-LT"/>
        </w:rPr>
      </w:pPr>
    </w:p>
    <w:p w14:paraId="3EB6380C"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Gamintojo (-ų), atsakingo (-ų) už serijų išleidimą, pavadinimas (-ai) ir adresas (-ai)</w:t>
      </w:r>
    </w:p>
    <w:p w14:paraId="6F91077D" w14:textId="77777777" w:rsidR="00890384" w:rsidRDefault="00890384">
      <w:pPr>
        <w:widowControl w:val="0"/>
        <w:tabs>
          <w:tab w:val="clear" w:pos="567"/>
        </w:tabs>
        <w:autoSpaceDE w:val="0"/>
        <w:autoSpaceDN w:val="0"/>
        <w:spacing w:line="240" w:lineRule="auto"/>
        <w:rPr>
          <w:snapToGrid/>
          <w:szCs w:val="22"/>
          <w:lang w:val="lt-LT"/>
        </w:rPr>
      </w:pPr>
    </w:p>
    <w:p w14:paraId="29D92C2A" w14:textId="77777777" w:rsidR="00890384" w:rsidRDefault="00B26795">
      <w:pPr>
        <w:rPr>
          <w:snapToGrid/>
          <w:szCs w:val="22"/>
          <w:lang w:val="lt-LT"/>
        </w:rPr>
      </w:pPr>
      <w:r>
        <w:rPr>
          <w:snapToGrid/>
          <w:szCs w:val="22"/>
          <w:lang w:val="lt-LT"/>
        </w:rPr>
        <w:t>KRKA, d.d., Novo mesto, Šmarješka cesta 6, 8501 Novo mesto, Slovėnija</w:t>
      </w:r>
    </w:p>
    <w:p w14:paraId="0B801483" w14:textId="77777777" w:rsidR="00890384" w:rsidRDefault="00890384">
      <w:pPr>
        <w:widowControl w:val="0"/>
        <w:tabs>
          <w:tab w:val="clear" w:pos="567"/>
        </w:tabs>
        <w:autoSpaceDE w:val="0"/>
        <w:autoSpaceDN w:val="0"/>
        <w:spacing w:line="240" w:lineRule="auto"/>
        <w:rPr>
          <w:snapToGrid/>
          <w:szCs w:val="22"/>
          <w:lang w:val="lt-LT"/>
        </w:rPr>
      </w:pPr>
    </w:p>
    <w:p w14:paraId="4B9FA37B" w14:textId="77777777" w:rsidR="00890384" w:rsidRDefault="00890384">
      <w:pPr>
        <w:widowControl w:val="0"/>
        <w:tabs>
          <w:tab w:val="clear" w:pos="567"/>
        </w:tabs>
        <w:autoSpaceDE w:val="0"/>
        <w:autoSpaceDN w:val="0"/>
        <w:spacing w:line="240" w:lineRule="auto"/>
        <w:rPr>
          <w:snapToGrid/>
          <w:szCs w:val="22"/>
          <w:lang w:val="lt-LT"/>
        </w:rPr>
      </w:pPr>
    </w:p>
    <w:p w14:paraId="464F80DF" w14:textId="77777777" w:rsidR="00890384" w:rsidRDefault="00B26795">
      <w:pPr>
        <w:widowControl w:val="0"/>
        <w:numPr>
          <w:ilvl w:val="0"/>
          <w:numId w:val="4"/>
        </w:numPr>
        <w:tabs>
          <w:tab w:val="clear" w:pos="567"/>
          <w:tab w:val="left" w:pos="802"/>
          <w:tab w:val="left" w:pos="803"/>
        </w:tabs>
        <w:autoSpaceDE w:val="0"/>
        <w:autoSpaceDN w:val="0"/>
        <w:spacing w:line="240" w:lineRule="auto"/>
        <w:ind w:left="540" w:hanging="540"/>
        <w:outlineLvl w:val="0"/>
        <w:rPr>
          <w:b/>
          <w:bCs/>
          <w:snapToGrid/>
          <w:szCs w:val="22"/>
          <w:lang w:val="lt-LT"/>
        </w:rPr>
      </w:pPr>
      <w:bookmarkStart w:id="4" w:name="B._TIEKIMO_IR_VARTOJIMO_SĄLYGOS_AR_APRIB"/>
      <w:bookmarkEnd w:id="4"/>
      <w:r>
        <w:rPr>
          <w:b/>
          <w:bCs/>
          <w:snapToGrid/>
          <w:szCs w:val="22"/>
          <w:lang w:val="lt-LT"/>
        </w:rPr>
        <w:t>TIEKIMO IR VARTOJIMO SĄLYGOS AR APRIBOJIMAI</w:t>
      </w:r>
    </w:p>
    <w:p w14:paraId="730FC705" w14:textId="77777777" w:rsidR="00890384" w:rsidRDefault="00890384">
      <w:pPr>
        <w:widowControl w:val="0"/>
        <w:tabs>
          <w:tab w:val="clear" w:pos="567"/>
        </w:tabs>
        <w:autoSpaceDE w:val="0"/>
        <w:autoSpaceDN w:val="0"/>
        <w:spacing w:line="240" w:lineRule="auto"/>
        <w:rPr>
          <w:b/>
          <w:snapToGrid/>
          <w:szCs w:val="22"/>
          <w:lang w:val="lt-LT"/>
        </w:rPr>
      </w:pPr>
    </w:p>
    <w:p w14:paraId="3F530D1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Receptinis vaistinis preparatas.</w:t>
      </w:r>
    </w:p>
    <w:p w14:paraId="702B0CF0" w14:textId="77777777" w:rsidR="00890384" w:rsidRDefault="00890384">
      <w:pPr>
        <w:widowControl w:val="0"/>
        <w:tabs>
          <w:tab w:val="clear" w:pos="567"/>
        </w:tabs>
        <w:autoSpaceDE w:val="0"/>
        <w:autoSpaceDN w:val="0"/>
        <w:spacing w:line="240" w:lineRule="auto"/>
        <w:rPr>
          <w:snapToGrid/>
          <w:szCs w:val="22"/>
          <w:lang w:val="lt-LT"/>
        </w:rPr>
      </w:pPr>
    </w:p>
    <w:p w14:paraId="3E9C599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br w:type="page"/>
      </w:r>
    </w:p>
    <w:p w14:paraId="0F268A6B" w14:textId="77777777" w:rsidR="00890384" w:rsidRDefault="00890384">
      <w:pPr>
        <w:widowControl w:val="0"/>
        <w:tabs>
          <w:tab w:val="clear" w:pos="567"/>
        </w:tabs>
        <w:autoSpaceDE w:val="0"/>
        <w:autoSpaceDN w:val="0"/>
        <w:spacing w:line="240" w:lineRule="auto"/>
        <w:rPr>
          <w:snapToGrid/>
          <w:szCs w:val="22"/>
          <w:lang w:val="lt-LT"/>
        </w:rPr>
      </w:pPr>
    </w:p>
    <w:p w14:paraId="5498EF0E" w14:textId="77777777" w:rsidR="00890384" w:rsidRDefault="00890384">
      <w:pPr>
        <w:widowControl w:val="0"/>
        <w:tabs>
          <w:tab w:val="clear" w:pos="567"/>
        </w:tabs>
        <w:autoSpaceDE w:val="0"/>
        <w:autoSpaceDN w:val="0"/>
        <w:spacing w:line="240" w:lineRule="auto"/>
        <w:rPr>
          <w:snapToGrid/>
          <w:szCs w:val="22"/>
          <w:lang w:val="lt-LT"/>
        </w:rPr>
      </w:pPr>
      <w:bookmarkStart w:id="5" w:name="C._KITOS_SĄLYGOS_IR_REIKALAVIMAI_REGISTR"/>
      <w:bookmarkStart w:id="6" w:name="D._SĄLYGOS_AR_APRIBOJIMAI_SAUGIAM_IR_VEI"/>
      <w:bookmarkEnd w:id="5"/>
      <w:bookmarkEnd w:id="6"/>
    </w:p>
    <w:p w14:paraId="0A17D12B" w14:textId="77777777" w:rsidR="00890384" w:rsidRDefault="00890384">
      <w:pPr>
        <w:widowControl w:val="0"/>
        <w:tabs>
          <w:tab w:val="clear" w:pos="567"/>
        </w:tabs>
        <w:autoSpaceDE w:val="0"/>
        <w:autoSpaceDN w:val="0"/>
        <w:spacing w:line="240" w:lineRule="auto"/>
        <w:rPr>
          <w:snapToGrid/>
          <w:szCs w:val="22"/>
          <w:lang w:val="lt-LT"/>
        </w:rPr>
      </w:pPr>
    </w:p>
    <w:p w14:paraId="4EC0135F" w14:textId="77777777" w:rsidR="00890384" w:rsidRDefault="00890384">
      <w:pPr>
        <w:widowControl w:val="0"/>
        <w:tabs>
          <w:tab w:val="clear" w:pos="567"/>
        </w:tabs>
        <w:autoSpaceDE w:val="0"/>
        <w:autoSpaceDN w:val="0"/>
        <w:spacing w:line="240" w:lineRule="auto"/>
        <w:rPr>
          <w:snapToGrid/>
          <w:szCs w:val="22"/>
          <w:lang w:val="lt-LT"/>
        </w:rPr>
      </w:pPr>
    </w:p>
    <w:p w14:paraId="39B3F88E" w14:textId="77777777" w:rsidR="00890384" w:rsidRDefault="00890384">
      <w:pPr>
        <w:widowControl w:val="0"/>
        <w:tabs>
          <w:tab w:val="clear" w:pos="567"/>
        </w:tabs>
        <w:autoSpaceDE w:val="0"/>
        <w:autoSpaceDN w:val="0"/>
        <w:spacing w:line="240" w:lineRule="auto"/>
        <w:rPr>
          <w:snapToGrid/>
          <w:szCs w:val="22"/>
          <w:lang w:val="lt-LT"/>
        </w:rPr>
      </w:pPr>
    </w:p>
    <w:p w14:paraId="48533FA5" w14:textId="77777777" w:rsidR="00890384" w:rsidRDefault="00890384">
      <w:pPr>
        <w:widowControl w:val="0"/>
        <w:tabs>
          <w:tab w:val="clear" w:pos="567"/>
        </w:tabs>
        <w:autoSpaceDE w:val="0"/>
        <w:autoSpaceDN w:val="0"/>
        <w:spacing w:line="240" w:lineRule="auto"/>
        <w:rPr>
          <w:snapToGrid/>
          <w:szCs w:val="22"/>
          <w:lang w:val="lt-LT"/>
        </w:rPr>
      </w:pPr>
    </w:p>
    <w:p w14:paraId="3CBD7189" w14:textId="77777777" w:rsidR="00890384" w:rsidRDefault="00890384">
      <w:pPr>
        <w:widowControl w:val="0"/>
        <w:tabs>
          <w:tab w:val="clear" w:pos="567"/>
        </w:tabs>
        <w:autoSpaceDE w:val="0"/>
        <w:autoSpaceDN w:val="0"/>
        <w:spacing w:line="240" w:lineRule="auto"/>
        <w:rPr>
          <w:snapToGrid/>
          <w:szCs w:val="22"/>
          <w:lang w:val="lt-LT"/>
        </w:rPr>
      </w:pPr>
    </w:p>
    <w:p w14:paraId="4AB97161" w14:textId="77777777" w:rsidR="00890384" w:rsidRDefault="00890384">
      <w:pPr>
        <w:widowControl w:val="0"/>
        <w:tabs>
          <w:tab w:val="clear" w:pos="567"/>
        </w:tabs>
        <w:autoSpaceDE w:val="0"/>
        <w:autoSpaceDN w:val="0"/>
        <w:spacing w:line="240" w:lineRule="auto"/>
        <w:rPr>
          <w:snapToGrid/>
          <w:szCs w:val="22"/>
          <w:lang w:val="lt-LT"/>
        </w:rPr>
      </w:pPr>
    </w:p>
    <w:p w14:paraId="473F838F" w14:textId="77777777" w:rsidR="00890384" w:rsidRDefault="00890384">
      <w:pPr>
        <w:widowControl w:val="0"/>
        <w:tabs>
          <w:tab w:val="clear" w:pos="567"/>
        </w:tabs>
        <w:autoSpaceDE w:val="0"/>
        <w:autoSpaceDN w:val="0"/>
        <w:spacing w:line="240" w:lineRule="auto"/>
        <w:rPr>
          <w:snapToGrid/>
          <w:szCs w:val="22"/>
          <w:lang w:val="lt-LT"/>
        </w:rPr>
      </w:pPr>
    </w:p>
    <w:p w14:paraId="6AA6DF4F" w14:textId="77777777" w:rsidR="00890384" w:rsidRDefault="00890384">
      <w:pPr>
        <w:widowControl w:val="0"/>
        <w:tabs>
          <w:tab w:val="clear" w:pos="567"/>
        </w:tabs>
        <w:autoSpaceDE w:val="0"/>
        <w:autoSpaceDN w:val="0"/>
        <w:spacing w:line="240" w:lineRule="auto"/>
        <w:rPr>
          <w:snapToGrid/>
          <w:szCs w:val="22"/>
          <w:lang w:val="lt-LT"/>
        </w:rPr>
      </w:pPr>
    </w:p>
    <w:p w14:paraId="1ED1DC27" w14:textId="77777777" w:rsidR="00890384" w:rsidRDefault="00890384">
      <w:pPr>
        <w:widowControl w:val="0"/>
        <w:tabs>
          <w:tab w:val="clear" w:pos="567"/>
        </w:tabs>
        <w:autoSpaceDE w:val="0"/>
        <w:autoSpaceDN w:val="0"/>
        <w:spacing w:line="240" w:lineRule="auto"/>
        <w:rPr>
          <w:snapToGrid/>
          <w:szCs w:val="22"/>
          <w:lang w:val="lt-LT"/>
        </w:rPr>
      </w:pPr>
    </w:p>
    <w:p w14:paraId="73F780B5" w14:textId="77777777" w:rsidR="00890384" w:rsidRDefault="00890384">
      <w:pPr>
        <w:widowControl w:val="0"/>
        <w:tabs>
          <w:tab w:val="clear" w:pos="567"/>
        </w:tabs>
        <w:autoSpaceDE w:val="0"/>
        <w:autoSpaceDN w:val="0"/>
        <w:spacing w:line="240" w:lineRule="auto"/>
        <w:rPr>
          <w:snapToGrid/>
          <w:szCs w:val="22"/>
          <w:lang w:val="lt-LT"/>
        </w:rPr>
      </w:pPr>
    </w:p>
    <w:p w14:paraId="791196F6" w14:textId="77777777" w:rsidR="00890384" w:rsidRDefault="00890384">
      <w:pPr>
        <w:widowControl w:val="0"/>
        <w:tabs>
          <w:tab w:val="clear" w:pos="567"/>
        </w:tabs>
        <w:autoSpaceDE w:val="0"/>
        <w:autoSpaceDN w:val="0"/>
        <w:spacing w:line="240" w:lineRule="auto"/>
        <w:rPr>
          <w:snapToGrid/>
          <w:szCs w:val="22"/>
          <w:lang w:val="lt-LT"/>
        </w:rPr>
      </w:pPr>
    </w:p>
    <w:p w14:paraId="32D95B45" w14:textId="77777777" w:rsidR="00890384" w:rsidRDefault="00890384">
      <w:pPr>
        <w:widowControl w:val="0"/>
        <w:tabs>
          <w:tab w:val="clear" w:pos="567"/>
        </w:tabs>
        <w:autoSpaceDE w:val="0"/>
        <w:autoSpaceDN w:val="0"/>
        <w:spacing w:line="240" w:lineRule="auto"/>
        <w:rPr>
          <w:snapToGrid/>
          <w:szCs w:val="22"/>
          <w:lang w:val="lt-LT"/>
        </w:rPr>
      </w:pPr>
    </w:p>
    <w:p w14:paraId="578F424D" w14:textId="77777777" w:rsidR="00890384" w:rsidRDefault="00890384">
      <w:pPr>
        <w:widowControl w:val="0"/>
        <w:tabs>
          <w:tab w:val="clear" w:pos="567"/>
        </w:tabs>
        <w:autoSpaceDE w:val="0"/>
        <w:autoSpaceDN w:val="0"/>
        <w:spacing w:line="240" w:lineRule="auto"/>
        <w:rPr>
          <w:snapToGrid/>
          <w:szCs w:val="22"/>
          <w:lang w:val="lt-LT"/>
        </w:rPr>
      </w:pPr>
    </w:p>
    <w:p w14:paraId="2DEF74D1" w14:textId="77777777" w:rsidR="00890384" w:rsidRDefault="00890384">
      <w:pPr>
        <w:widowControl w:val="0"/>
        <w:tabs>
          <w:tab w:val="clear" w:pos="567"/>
        </w:tabs>
        <w:autoSpaceDE w:val="0"/>
        <w:autoSpaceDN w:val="0"/>
        <w:spacing w:line="240" w:lineRule="auto"/>
        <w:rPr>
          <w:snapToGrid/>
          <w:szCs w:val="22"/>
          <w:lang w:val="lt-LT"/>
        </w:rPr>
      </w:pPr>
    </w:p>
    <w:p w14:paraId="56613E88" w14:textId="77777777" w:rsidR="00890384" w:rsidRDefault="00890384">
      <w:pPr>
        <w:widowControl w:val="0"/>
        <w:tabs>
          <w:tab w:val="clear" w:pos="567"/>
        </w:tabs>
        <w:autoSpaceDE w:val="0"/>
        <w:autoSpaceDN w:val="0"/>
        <w:spacing w:line="240" w:lineRule="auto"/>
        <w:rPr>
          <w:snapToGrid/>
          <w:szCs w:val="22"/>
          <w:lang w:val="lt-LT"/>
        </w:rPr>
      </w:pPr>
    </w:p>
    <w:p w14:paraId="6BA8C19E" w14:textId="77777777" w:rsidR="00890384" w:rsidRDefault="00890384">
      <w:pPr>
        <w:widowControl w:val="0"/>
        <w:tabs>
          <w:tab w:val="clear" w:pos="567"/>
        </w:tabs>
        <w:autoSpaceDE w:val="0"/>
        <w:autoSpaceDN w:val="0"/>
        <w:spacing w:line="240" w:lineRule="auto"/>
        <w:rPr>
          <w:snapToGrid/>
          <w:szCs w:val="22"/>
          <w:lang w:val="lt-LT"/>
        </w:rPr>
      </w:pPr>
    </w:p>
    <w:p w14:paraId="4418BEE9" w14:textId="77777777" w:rsidR="00890384" w:rsidRDefault="00890384">
      <w:pPr>
        <w:widowControl w:val="0"/>
        <w:tabs>
          <w:tab w:val="clear" w:pos="567"/>
        </w:tabs>
        <w:autoSpaceDE w:val="0"/>
        <w:autoSpaceDN w:val="0"/>
        <w:spacing w:line="240" w:lineRule="auto"/>
        <w:rPr>
          <w:snapToGrid/>
          <w:szCs w:val="22"/>
          <w:lang w:val="lt-LT"/>
        </w:rPr>
      </w:pPr>
    </w:p>
    <w:p w14:paraId="0460DBDF" w14:textId="77777777" w:rsidR="00890384" w:rsidRDefault="00890384">
      <w:pPr>
        <w:widowControl w:val="0"/>
        <w:tabs>
          <w:tab w:val="clear" w:pos="567"/>
        </w:tabs>
        <w:autoSpaceDE w:val="0"/>
        <w:autoSpaceDN w:val="0"/>
        <w:spacing w:line="240" w:lineRule="auto"/>
        <w:rPr>
          <w:snapToGrid/>
          <w:szCs w:val="22"/>
          <w:lang w:val="lt-LT"/>
        </w:rPr>
      </w:pPr>
    </w:p>
    <w:p w14:paraId="12DFAAB8" w14:textId="77777777" w:rsidR="00890384" w:rsidRDefault="00890384">
      <w:pPr>
        <w:widowControl w:val="0"/>
        <w:tabs>
          <w:tab w:val="clear" w:pos="567"/>
        </w:tabs>
        <w:autoSpaceDE w:val="0"/>
        <w:autoSpaceDN w:val="0"/>
        <w:spacing w:line="240" w:lineRule="auto"/>
        <w:rPr>
          <w:snapToGrid/>
          <w:szCs w:val="22"/>
          <w:lang w:val="lt-LT"/>
        </w:rPr>
      </w:pPr>
    </w:p>
    <w:p w14:paraId="29A50ADE" w14:textId="77777777" w:rsidR="00890384" w:rsidRDefault="00890384">
      <w:pPr>
        <w:widowControl w:val="0"/>
        <w:tabs>
          <w:tab w:val="clear" w:pos="567"/>
        </w:tabs>
        <w:autoSpaceDE w:val="0"/>
        <w:autoSpaceDN w:val="0"/>
        <w:spacing w:line="240" w:lineRule="auto"/>
        <w:rPr>
          <w:snapToGrid/>
          <w:szCs w:val="22"/>
          <w:lang w:val="lt-LT"/>
        </w:rPr>
      </w:pPr>
    </w:p>
    <w:p w14:paraId="3B9EBF10" w14:textId="77777777" w:rsidR="00890384" w:rsidRDefault="00890384">
      <w:pPr>
        <w:widowControl w:val="0"/>
        <w:tabs>
          <w:tab w:val="clear" w:pos="567"/>
        </w:tabs>
        <w:autoSpaceDE w:val="0"/>
        <w:autoSpaceDN w:val="0"/>
        <w:spacing w:line="240" w:lineRule="auto"/>
        <w:rPr>
          <w:snapToGrid/>
          <w:szCs w:val="22"/>
          <w:lang w:val="lt-LT"/>
        </w:rPr>
      </w:pPr>
    </w:p>
    <w:p w14:paraId="5414AF8A" w14:textId="77777777" w:rsidR="00890384" w:rsidRDefault="00890384">
      <w:pPr>
        <w:widowControl w:val="0"/>
        <w:tabs>
          <w:tab w:val="clear" w:pos="567"/>
        </w:tabs>
        <w:autoSpaceDE w:val="0"/>
        <w:autoSpaceDN w:val="0"/>
        <w:spacing w:line="240" w:lineRule="auto"/>
        <w:rPr>
          <w:snapToGrid/>
          <w:szCs w:val="22"/>
          <w:lang w:val="lt-LT"/>
        </w:rPr>
      </w:pPr>
    </w:p>
    <w:p w14:paraId="389F1C19" w14:textId="77777777" w:rsidR="00890384" w:rsidRDefault="00B26795">
      <w:pPr>
        <w:keepNext/>
        <w:snapToGrid w:val="0"/>
        <w:spacing w:line="240" w:lineRule="auto"/>
        <w:jc w:val="center"/>
        <w:outlineLvl w:val="1"/>
        <w:rPr>
          <w:b/>
          <w:snapToGrid/>
          <w:szCs w:val="24"/>
          <w:lang w:val="lt-LT" w:eastAsia="x-none"/>
        </w:rPr>
      </w:pPr>
      <w:r>
        <w:rPr>
          <w:b/>
          <w:bCs/>
          <w:iCs/>
          <w:snapToGrid/>
          <w:szCs w:val="28"/>
          <w:lang w:val="lt-LT" w:eastAsia="x-none"/>
        </w:rPr>
        <w:t>III PRIEDAS</w:t>
      </w:r>
    </w:p>
    <w:p w14:paraId="4B05B230" w14:textId="77777777" w:rsidR="00890384" w:rsidRDefault="00890384">
      <w:pPr>
        <w:snapToGrid w:val="0"/>
        <w:rPr>
          <w:snapToGrid/>
          <w:szCs w:val="24"/>
          <w:lang w:val="lt-LT"/>
        </w:rPr>
      </w:pPr>
    </w:p>
    <w:p w14:paraId="3491C3BD" w14:textId="77777777" w:rsidR="00890384" w:rsidRDefault="00B26795">
      <w:pPr>
        <w:keepNext/>
        <w:snapToGrid w:val="0"/>
        <w:spacing w:line="240" w:lineRule="auto"/>
        <w:jc w:val="center"/>
        <w:outlineLvl w:val="1"/>
        <w:rPr>
          <w:b/>
          <w:snapToGrid/>
          <w:szCs w:val="24"/>
          <w:lang w:val="lt-LT" w:eastAsia="x-none"/>
        </w:rPr>
      </w:pPr>
      <w:r>
        <w:rPr>
          <w:b/>
          <w:bCs/>
          <w:iCs/>
          <w:snapToGrid/>
          <w:szCs w:val="28"/>
          <w:lang w:val="lt-LT" w:eastAsia="x-none"/>
        </w:rPr>
        <w:t>ŽENKLINIMAS IR PAKUOTĖS LAPELIS</w:t>
      </w:r>
    </w:p>
    <w:p w14:paraId="570EFD81" w14:textId="77777777" w:rsidR="00890384" w:rsidRDefault="00B26795">
      <w:pPr>
        <w:snapToGrid w:val="0"/>
        <w:rPr>
          <w:snapToGrid/>
          <w:szCs w:val="24"/>
          <w:lang w:val="lt-LT"/>
        </w:rPr>
      </w:pPr>
      <w:r>
        <w:rPr>
          <w:szCs w:val="24"/>
          <w:lang w:val="lt-LT"/>
        </w:rPr>
        <w:br w:type="page"/>
      </w:r>
    </w:p>
    <w:p w14:paraId="75202184" w14:textId="77777777" w:rsidR="00890384" w:rsidRDefault="00890384">
      <w:pPr>
        <w:snapToGrid w:val="0"/>
        <w:rPr>
          <w:snapToGrid/>
          <w:szCs w:val="24"/>
          <w:lang w:val="lt-LT"/>
        </w:rPr>
      </w:pPr>
    </w:p>
    <w:p w14:paraId="6CB2B51E" w14:textId="77777777" w:rsidR="00890384" w:rsidRDefault="00890384">
      <w:pPr>
        <w:snapToGrid w:val="0"/>
        <w:rPr>
          <w:snapToGrid/>
          <w:szCs w:val="24"/>
          <w:lang w:val="lt-LT"/>
        </w:rPr>
      </w:pPr>
    </w:p>
    <w:p w14:paraId="1EDB3CF5" w14:textId="77777777" w:rsidR="00890384" w:rsidRDefault="00890384">
      <w:pPr>
        <w:snapToGrid w:val="0"/>
        <w:rPr>
          <w:snapToGrid/>
          <w:szCs w:val="24"/>
          <w:lang w:val="lt-LT"/>
        </w:rPr>
      </w:pPr>
    </w:p>
    <w:p w14:paraId="5BBE3C9F" w14:textId="77777777" w:rsidR="00890384" w:rsidRDefault="00890384">
      <w:pPr>
        <w:snapToGrid w:val="0"/>
        <w:rPr>
          <w:snapToGrid/>
          <w:szCs w:val="24"/>
          <w:lang w:val="lt-LT"/>
        </w:rPr>
      </w:pPr>
    </w:p>
    <w:p w14:paraId="2C2893C1" w14:textId="77777777" w:rsidR="00890384" w:rsidRDefault="00890384">
      <w:pPr>
        <w:snapToGrid w:val="0"/>
        <w:rPr>
          <w:snapToGrid/>
          <w:szCs w:val="24"/>
          <w:lang w:val="lt-LT"/>
        </w:rPr>
      </w:pPr>
    </w:p>
    <w:p w14:paraId="2BB90D7C" w14:textId="77777777" w:rsidR="00890384" w:rsidRDefault="00890384">
      <w:pPr>
        <w:snapToGrid w:val="0"/>
        <w:rPr>
          <w:snapToGrid/>
          <w:szCs w:val="24"/>
          <w:lang w:val="lt-LT"/>
        </w:rPr>
      </w:pPr>
    </w:p>
    <w:p w14:paraId="754714A0" w14:textId="77777777" w:rsidR="00890384" w:rsidRDefault="00890384">
      <w:pPr>
        <w:snapToGrid w:val="0"/>
        <w:rPr>
          <w:snapToGrid/>
          <w:szCs w:val="24"/>
          <w:lang w:val="lt-LT"/>
        </w:rPr>
      </w:pPr>
    </w:p>
    <w:p w14:paraId="42EF4260" w14:textId="77777777" w:rsidR="00890384" w:rsidRDefault="00890384">
      <w:pPr>
        <w:snapToGrid w:val="0"/>
        <w:rPr>
          <w:snapToGrid/>
          <w:szCs w:val="24"/>
          <w:lang w:val="lt-LT"/>
        </w:rPr>
      </w:pPr>
    </w:p>
    <w:p w14:paraId="6FD22747" w14:textId="77777777" w:rsidR="00890384" w:rsidRDefault="00890384">
      <w:pPr>
        <w:snapToGrid w:val="0"/>
        <w:rPr>
          <w:snapToGrid/>
          <w:szCs w:val="24"/>
          <w:lang w:val="lt-LT"/>
        </w:rPr>
      </w:pPr>
    </w:p>
    <w:p w14:paraId="6C39B6CB" w14:textId="77777777" w:rsidR="00890384" w:rsidRDefault="00890384">
      <w:pPr>
        <w:snapToGrid w:val="0"/>
        <w:rPr>
          <w:snapToGrid/>
          <w:szCs w:val="24"/>
          <w:lang w:val="lt-LT"/>
        </w:rPr>
      </w:pPr>
    </w:p>
    <w:p w14:paraId="7D266814" w14:textId="77777777" w:rsidR="00890384" w:rsidRDefault="00890384">
      <w:pPr>
        <w:snapToGrid w:val="0"/>
        <w:rPr>
          <w:snapToGrid/>
          <w:szCs w:val="24"/>
          <w:lang w:val="lt-LT"/>
        </w:rPr>
      </w:pPr>
    </w:p>
    <w:p w14:paraId="4573BB7B" w14:textId="77777777" w:rsidR="00890384" w:rsidRDefault="00890384">
      <w:pPr>
        <w:snapToGrid w:val="0"/>
        <w:rPr>
          <w:snapToGrid/>
          <w:szCs w:val="24"/>
          <w:lang w:val="lt-LT"/>
        </w:rPr>
      </w:pPr>
    </w:p>
    <w:p w14:paraId="03EC2D09" w14:textId="77777777" w:rsidR="00890384" w:rsidRDefault="00890384">
      <w:pPr>
        <w:snapToGrid w:val="0"/>
        <w:rPr>
          <w:snapToGrid/>
          <w:szCs w:val="24"/>
          <w:lang w:val="lt-LT"/>
        </w:rPr>
      </w:pPr>
    </w:p>
    <w:p w14:paraId="16887376" w14:textId="77777777" w:rsidR="00890384" w:rsidRDefault="00890384">
      <w:pPr>
        <w:snapToGrid w:val="0"/>
        <w:rPr>
          <w:snapToGrid/>
          <w:szCs w:val="24"/>
          <w:lang w:val="lt-LT"/>
        </w:rPr>
      </w:pPr>
    </w:p>
    <w:p w14:paraId="0BC22A65" w14:textId="77777777" w:rsidR="00890384" w:rsidRDefault="00890384">
      <w:pPr>
        <w:snapToGrid w:val="0"/>
        <w:rPr>
          <w:snapToGrid/>
          <w:szCs w:val="24"/>
          <w:lang w:val="lt-LT"/>
        </w:rPr>
      </w:pPr>
    </w:p>
    <w:p w14:paraId="32E124D5" w14:textId="77777777" w:rsidR="00890384" w:rsidRDefault="00890384">
      <w:pPr>
        <w:snapToGrid w:val="0"/>
        <w:rPr>
          <w:snapToGrid/>
          <w:szCs w:val="24"/>
          <w:lang w:val="lt-LT"/>
        </w:rPr>
      </w:pPr>
    </w:p>
    <w:p w14:paraId="024EC571" w14:textId="77777777" w:rsidR="00890384" w:rsidRDefault="00890384">
      <w:pPr>
        <w:snapToGrid w:val="0"/>
        <w:rPr>
          <w:snapToGrid/>
          <w:szCs w:val="24"/>
          <w:lang w:val="lt-LT"/>
        </w:rPr>
      </w:pPr>
    </w:p>
    <w:p w14:paraId="22F92D29" w14:textId="77777777" w:rsidR="00890384" w:rsidRDefault="00890384">
      <w:pPr>
        <w:snapToGrid w:val="0"/>
        <w:rPr>
          <w:snapToGrid/>
          <w:szCs w:val="24"/>
          <w:lang w:val="lt-LT"/>
        </w:rPr>
      </w:pPr>
    </w:p>
    <w:p w14:paraId="4C463EB6" w14:textId="77777777" w:rsidR="00890384" w:rsidRDefault="00890384">
      <w:pPr>
        <w:snapToGrid w:val="0"/>
        <w:rPr>
          <w:snapToGrid/>
          <w:szCs w:val="24"/>
          <w:lang w:val="lt-LT"/>
        </w:rPr>
      </w:pPr>
    </w:p>
    <w:p w14:paraId="3DE09B2B" w14:textId="77777777" w:rsidR="00890384" w:rsidRDefault="00890384">
      <w:pPr>
        <w:snapToGrid w:val="0"/>
        <w:rPr>
          <w:snapToGrid/>
          <w:szCs w:val="24"/>
          <w:lang w:val="lt-LT"/>
        </w:rPr>
      </w:pPr>
    </w:p>
    <w:p w14:paraId="6CAD8C4C" w14:textId="77777777" w:rsidR="00890384" w:rsidRDefault="00890384">
      <w:pPr>
        <w:snapToGrid w:val="0"/>
        <w:rPr>
          <w:snapToGrid/>
          <w:szCs w:val="24"/>
          <w:lang w:val="lt-LT"/>
        </w:rPr>
      </w:pPr>
    </w:p>
    <w:p w14:paraId="58EC2AFB" w14:textId="77777777" w:rsidR="00890384" w:rsidRDefault="00890384">
      <w:pPr>
        <w:snapToGrid w:val="0"/>
        <w:rPr>
          <w:snapToGrid/>
          <w:szCs w:val="24"/>
          <w:lang w:val="lt-LT"/>
        </w:rPr>
      </w:pPr>
    </w:p>
    <w:p w14:paraId="7739C442" w14:textId="77777777" w:rsidR="00890384" w:rsidRDefault="00B26795">
      <w:pPr>
        <w:keepNext/>
        <w:snapToGrid w:val="0"/>
        <w:spacing w:line="240" w:lineRule="auto"/>
        <w:jc w:val="center"/>
        <w:outlineLvl w:val="1"/>
        <w:rPr>
          <w:b/>
          <w:snapToGrid/>
          <w:szCs w:val="24"/>
          <w:lang w:val="lt-LT" w:eastAsia="x-none"/>
        </w:rPr>
      </w:pPr>
      <w:r>
        <w:rPr>
          <w:b/>
          <w:bCs/>
          <w:iCs/>
          <w:snapToGrid/>
          <w:szCs w:val="28"/>
          <w:lang w:val="lt-LT" w:eastAsia="x-none"/>
        </w:rPr>
        <w:t>A. ŽENKLINIMAS</w:t>
      </w:r>
    </w:p>
    <w:p w14:paraId="7E2B197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 </w:t>
      </w:r>
      <w:r>
        <w:rPr>
          <w:snapToGrid/>
          <w:szCs w:val="22"/>
          <w:lang w:val="lt-LT"/>
        </w:rPr>
        <w:br w:type="page"/>
      </w:r>
    </w:p>
    <w:p w14:paraId="567C4C2F" w14:textId="77777777" w:rsidR="00890384" w:rsidRDefault="00890384">
      <w:pPr>
        <w:widowControl w:val="0"/>
        <w:shd w:val="clear" w:color="auto" w:fill="FFFFFF"/>
        <w:tabs>
          <w:tab w:val="clear" w:pos="567"/>
        </w:tabs>
        <w:autoSpaceDE w:val="0"/>
        <w:autoSpaceDN w:val="0"/>
        <w:spacing w:line="240" w:lineRule="auto"/>
        <w:rPr>
          <w:snapToGrid/>
          <w:szCs w:val="22"/>
          <w:lang w:val="lt-LT"/>
        </w:rPr>
      </w:pPr>
    </w:p>
    <w:p w14:paraId="79838734" w14:textId="77777777" w:rsidR="00890384" w:rsidRDefault="00B26795">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rPr>
          <w:b/>
          <w:snapToGrid/>
          <w:szCs w:val="22"/>
          <w:lang w:val="lt-LT"/>
        </w:rPr>
      </w:pPr>
      <w:r>
        <w:rPr>
          <w:b/>
          <w:snapToGrid/>
          <w:szCs w:val="22"/>
          <w:lang w:val="lt-LT"/>
        </w:rPr>
        <w:t>INFORMACIJA ANT IŠORINĖS PAKUOTĖS</w:t>
      </w:r>
    </w:p>
    <w:p w14:paraId="45E6D7D1" w14:textId="77777777" w:rsidR="00890384" w:rsidRDefault="00890384">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Cs/>
          <w:snapToGrid/>
          <w:szCs w:val="22"/>
          <w:lang w:val="lt-LT"/>
        </w:rPr>
      </w:pPr>
    </w:p>
    <w:p w14:paraId="43F24591" w14:textId="77777777" w:rsidR="00890384" w:rsidRDefault="00B26795">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rPr>
          <w:bCs/>
          <w:snapToGrid/>
          <w:szCs w:val="22"/>
          <w:lang w:val="lt-LT"/>
        </w:rPr>
      </w:pPr>
      <w:r>
        <w:rPr>
          <w:b/>
          <w:snapToGrid/>
          <w:szCs w:val="22"/>
          <w:lang w:val="lt-LT"/>
        </w:rPr>
        <w:t>LIZDINIŲ PLOKŠTELIŲ DĖŽUTĖ</w:t>
      </w:r>
    </w:p>
    <w:p w14:paraId="4063A0F2" w14:textId="77777777" w:rsidR="00890384" w:rsidRDefault="00890384">
      <w:pPr>
        <w:widowControl w:val="0"/>
        <w:tabs>
          <w:tab w:val="clear" w:pos="567"/>
        </w:tabs>
        <w:autoSpaceDE w:val="0"/>
        <w:autoSpaceDN w:val="0"/>
        <w:spacing w:line="240" w:lineRule="auto"/>
        <w:rPr>
          <w:snapToGrid/>
          <w:szCs w:val="22"/>
          <w:lang w:val="lt-LT"/>
        </w:rPr>
      </w:pPr>
    </w:p>
    <w:p w14:paraId="49223283" w14:textId="77777777" w:rsidR="00890384" w:rsidRDefault="00890384">
      <w:pPr>
        <w:widowControl w:val="0"/>
        <w:tabs>
          <w:tab w:val="clear" w:pos="567"/>
        </w:tabs>
        <w:autoSpaceDE w:val="0"/>
        <w:autoSpaceDN w:val="0"/>
        <w:spacing w:line="240" w:lineRule="auto"/>
        <w:rPr>
          <w:snapToGrid/>
          <w:szCs w:val="22"/>
          <w:lang w:val="lt-LT"/>
        </w:rPr>
      </w:pPr>
    </w:p>
    <w:p w14:paraId="3FF8BA2F"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VAISTINIO PREPARATO PAVADINIMAS</w:t>
      </w:r>
    </w:p>
    <w:p w14:paraId="440B7ACF" w14:textId="77777777" w:rsidR="00890384" w:rsidRDefault="00890384">
      <w:pPr>
        <w:keepNext/>
        <w:widowControl w:val="0"/>
        <w:tabs>
          <w:tab w:val="clear" w:pos="567"/>
        </w:tabs>
        <w:autoSpaceDE w:val="0"/>
        <w:autoSpaceDN w:val="0"/>
        <w:spacing w:line="240" w:lineRule="auto"/>
        <w:rPr>
          <w:snapToGrid/>
          <w:szCs w:val="22"/>
          <w:lang w:val="lt-LT"/>
        </w:rPr>
      </w:pPr>
    </w:p>
    <w:p w14:paraId="077339F5"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2,5 mg plėvele dengtos tabletės</w:t>
      </w:r>
    </w:p>
    <w:p w14:paraId="6A832EEA"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highlight w:val="lightGray"/>
          <w:lang w:val="lt-LT"/>
        </w:rPr>
        <w:t>Aboxoma</w:t>
      </w:r>
      <w:r>
        <w:rPr>
          <w:snapToGrid/>
          <w:szCs w:val="22"/>
          <w:highlight w:val="lightGray"/>
          <w:lang w:val="lt-LT"/>
        </w:rPr>
        <w:t xml:space="preserve"> 5 mg plėvele dengtos tabletės</w:t>
      </w:r>
    </w:p>
    <w:p w14:paraId="45ABA8B7" w14:textId="77777777" w:rsidR="00890384" w:rsidRDefault="00B26795">
      <w:pPr>
        <w:widowControl w:val="0"/>
        <w:tabs>
          <w:tab w:val="clear" w:pos="567"/>
        </w:tabs>
        <w:autoSpaceDE w:val="0"/>
        <w:autoSpaceDN w:val="0"/>
        <w:spacing w:line="240" w:lineRule="auto"/>
        <w:rPr>
          <w:b/>
          <w:snapToGrid/>
          <w:szCs w:val="22"/>
          <w:lang w:val="lt-LT"/>
        </w:rPr>
      </w:pPr>
      <w:r>
        <w:rPr>
          <w:snapToGrid/>
          <w:szCs w:val="22"/>
          <w:lang w:val="lt-LT"/>
        </w:rPr>
        <w:t>apiksabanas</w:t>
      </w:r>
    </w:p>
    <w:p w14:paraId="657448EC" w14:textId="77777777" w:rsidR="00890384" w:rsidRDefault="00890384">
      <w:pPr>
        <w:widowControl w:val="0"/>
        <w:tabs>
          <w:tab w:val="clear" w:pos="567"/>
        </w:tabs>
        <w:autoSpaceDE w:val="0"/>
        <w:autoSpaceDN w:val="0"/>
        <w:spacing w:line="240" w:lineRule="auto"/>
        <w:rPr>
          <w:snapToGrid/>
          <w:szCs w:val="22"/>
          <w:lang w:val="lt-LT"/>
        </w:rPr>
      </w:pPr>
    </w:p>
    <w:p w14:paraId="391E7AC6" w14:textId="77777777" w:rsidR="00890384" w:rsidRDefault="00890384">
      <w:pPr>
        <w:widowControl w:val="0"/>
        <w:tabs>
          <w:tab w:val="clear" w:pos="567"/>
        </w:tabs>
        <w:autoSpaceDE w:val="0"/>
        <w:autoSpaceDN w:val="0"/>
        <w:spacing w:line="240" w:lineRule="auto"/>
        <w:rPr>
          <w:snapToGrid/>
          <w:szCs w:val="22"/>
          <w:lang w:val="lt-LT"/>
        </w:rPr>
      </w:pPr>
    </w:p>
    <w:p w14:paraId="6158CD21"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VEIKLIOJI (-IOS) MEDŽIAGA (-OS) IR JOS (-Ų) KIEKIS (-IAI)</w:t>
      </w:r>
    </w:p>
    <w:p w14:paraId="26C2449B" w14:textId="77777777" w:rsidR="00890384" w:rsidRDefault="00890384">
      <w:pPr>
        <w:keepNext/>
        <w:widowControl w:val="0"/>
        <w:tabs>
          <w:tab w:val="clear" w:pos="567"/>
        </w:tabs>
        <w:autoSpaceDE w:val="0"/>
        <w:autoSpaceDN w:val="0"/>
        <w:spacing w:line="240" w:lineRule="auto"/>
        <w:rPr>
          <w:snapToGrid/>
          <w:szCs w:val="22"/>
          <w:lang w:val="lt-LT"/>
        </w:rPr>
      </w:pPr>
    </w:p>
    <w:p w14:paraId="05CEAB1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Kiekvienoje plėvele dengtoje tabletėje yra 2,5 mg apiksabano.</w:t>
      </w:r>
    </w:p>
    <w:p w14:paraId="6485DDA7" w14:textId="77777777" w:rsidR="00890384" w:rsidRDefault="00B26795">
      <w:pPr>
        <w:widowControl w:val="0"/>
        <w:tabs>
          <w:tab w:val="clear" w:pos="567"/>
        </w:tabs>
        <w:autoSpaceDE w:val="0"/>
        <w:autoSpaceDN w:val="0"/>
        <w:spacing w:line="240" w:lineRule="auto"/>
        <w:rPr>
          <w:snapToGrid/>
          <w:szCs w:val="22"/>
          <w:lang w:val="lt-LT"/>
        </w:rPr>
      </w:pPr>
      <w:r>
        <w:rPr>
          <w:snapToGrid/>
          <w:szCs w:val="22"/>
          <w:highlight w:val="lightGray"/>
          <w:lang w:val="lt-LT"/>
        </w:rPr>
        <w:t>Kiekvienoje plėvele dengtoje tabletėje yra 5 mg apiksabano.</w:t>
      </w:r>
    </w:p>
    <w:p w14:paraId="7E954321" w14:textId="77777777" w:rsidR="00890384" w:rsidRDefault="00890384">
      <w:pPr>
        <w:widowControl w:val="0"/>
        <w:tabs>
          <w:tab w:val="clear" w:pos="567"/>
        </w:tabs>
        <w:autoSpaceDE w:val="0"/>
        <w:autoSpaceDN w:val="0"/>
        <w:spacing w:line="240" w:lineRule="auto"/>
        <w:rPr>
          <w:snapToGrid/>
          <w:szCs w:val="22"/>
          <w:lang w:val="lt-LT"/>
        </w:rPr>
      </w:pPr>
    </w:p>
    <w:p w14:paraId="3F3D45AB" w14:textId="77777777" w:rsidR="00890384" w:rsidRDefault="00890384">
      <w:pPr>
        <w:widowControl w:val="0"/>
        <w:tabs>
          <w:tab w:val="clear" w:pos="567"/>
        </w:tabs>
        <w:autoSpaceDE w:val="0"/>
        <w:autoSpaceDN w:val="0"/>
        <w:spacing w:line="240" w:lineRule="auto"/>
        <w:rPr>
          <w:snapToGrid/>
          <w:szCs w:val="22"/>
          <w:lang w:val="lt-LT"/>
        </w:rPr>
      </w:pPr>
    </w:p>
    <w:p w14:paraId="2CA6948D"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PAGALBINIŲ MEDŽIAGŲ SĄRAŠAS</w:t>
      </w:r>
    </w:p>
    <w:p w14:paraId="0D9DC07D" w14:textId="77777777" w:rsidR="00890384" w:rsidRDefault="00890384">
      <w:pPr>
        <w:widowControl w:val="0"/>
        <w:tabs>
          <w:tab w:val="clear" w:pos="567"/>
        </w:tabs>
        <w:autoSpaceDE w:val="0"/>
        <w:autoSpaceDN w:val="0"/>
        <w:spacing w:line="240" w:lineRule="auto"/>
        <w:rPr>
          <w:snapToGrid/>
          <w:szCs w:val="22"/>
          <w:lang w:val="lt-LT"/>
        </w:rPr>
      </w:pPr>
    </w:p>
    <w:p w14:paraId="77EE380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Sudėtyje yra laktozės.</w:t>
      </w:r>
    </w:p>
    <w:p w14:paraId="08E83C5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Daugiau informacijos pateikiama pakuotės lapelyje.</w:t>
      </w:r>
    </w:p>
    <w:p w14:paraId="50606AC4" w14:textId="77777777" w:rsidR="00890384" w:rsidRDefault="00890384">
      <w:pPr>
        <w:widowControl w:val="0"/>
        <w:tabs>
          <w:tab w:val="clear" w:pos="567"/>
        </w:tabs>
        <w:autoSpaceDE w:val="0"/>
        <w:autoSpaceDN w:val="0"/>
        <w:spacing w:line="240" w:lineRule="auto"/>
        <w:rPr>
          <w:snapToGrid/>
          <w:szCs w:val="22"/>
          <w:lang w:val="lt-LT"/>
        </w:rPr>
      </w:pPr>
    </w:p>
    <w:p w14:paraId="1DECB6C6" w14:textId="77777777" w:rsidR="00890384" w:rsidRDefault="00890384">
      <w:pPr>
        <w:widowControl w:val="0"/>
        <w:tabs>
          <w:tab w:val="clear" w:pos="567"/>
        </w:tabs>
        <w:autoSpaceDE w:val="0"/>
        <w:autoSpaceDN w:val="0"/>
        <w:spacing w:line="240" w:lineRule="auto"/>
        <w:rPr>
          <w:snapToGrid/>
          <w:szCs w:val="22"/>
          <w:lang w:val="lt-LT"/>
        </w:rPr>
      </w:pPr>
    </w:p>
    <w:p w14:paraId="1D2C8E0B"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FARMACINĖ FORMA IR KIEKIS PAKUOTĖJE</w:t>
      </w:r>
    </w:p>
    <w:p w14:paraId="5151F3BE" w14:textId="77777777" w:rsidR="00890384" w:rsidRDefault="00890384">
      <w:pPr>
        <w:widowControl w:val="0"/>
        <w:tabs>
          <w:tab w:val="clear" w:pos="567"/>
        </w:tabs>
        <w:autoSpaceDE w:val="0"/>
        <w:autoSpaceDN w:val="0"/>
        <w:spacing w:line="240" w:lineRule="auto"/>
        <w:rPr>
          <w:snapToGrid/>
          <w:szCs w:val="22"/>
          <w:lang w:val="lt-LT"/>
        </w:rPr>
      </w:pPr>
    </w:p>
    <w:p w14:paraId="50009F42" w14:textId="77777777" w:rsidR="00890384" w:rsidRDefault="00B26795">
      <w:pPr>
        <w:widowControl w:val="0"/>
        <w:tabs>
          <w:tab w:val="clear" w:pos="567"/>
        </w:tabs>
        <w:autoSpaceDE w:val="0"/>
        <w:autoSpaceDN w:val="0"/>
        <w:spacing w:line="240" w:lineRule="auto"/>
        <w:rPr>
          <w:snapToGrid/>
          <w:szCs w:val="22"/>
          <w:lang w:val="lt-LT"/>
        </w:rPr>
      </w:pPr>
      <w:r>
        <w:rPr>
          <w:snapToGrid/>
          <w:szCs w:val="22"/>
          <w:highlight w:val="lightGray"/>
          <w:lang w:val="lt-LT"/>
        </w:rPr>
        <w:t>plėvele dengta tabletė</w:t>
      </w:r>
    </w:p>
    <w:p w14:paraId="42EA7BA5" w14:textId="77777777" w:rsidR="00890384" w:rsidRDefault="00890384">
      <w:pPr>
        <w:widowControl w:val="0"/>
        <w:spacing w:line="240" w:lineRule="auto"/>
        <w:rPr>
          <w:snapToGrid/>
          <w:szCs w:val="22"/>
          <w:lang w:val="lt-LT"/>
        </w:rPr>
      </w:pPr>
    </w:p>
    <w:p w14:paraId="38964C86" w14:textId="77777777" w:rsidR="00890384" w:rsidRDefault="00B26795">
      <w:pPr>
        <w:widowControl w:val="0"/>
        <w:spacing w:line="240" w:lineRule="auto"/>
        <w:rPr>
          <w:snapToGrid/>
          <w:szCs w:val="22"/>
          <w:lang w:val="lt-LT"/>
        </w:rPr>
      </w:pPr>
      <w:r>
        <w:rPr>
          <w:snapToGrid/>
          <w:szCs w:val="22"/>
          <w:lang w:val="lt-LT"/>
        </w:rPr>
        <w:t>10 plėvele dengtų tablečių</w:t>
      </w:r>
    </w:p>
    <w:p w14:paraId="79027383" w14:textId="77777777" w:rsidR="00890384" w:rsidRDefault="00B26795">
      <w:pPr>
        <w:widowControl w:val="0"/>
        <w:spacing w:line="240" w:lineRule="auto"/>
        <w:rPr>
          <w:snapToGrid/>
          <w:szCs w:val="22"/>
          <w:highlight w:val="lightGray"/>
          <w:lang w:val="lt-LT"/>
        </w:rPr>
      </w:pPr>
      <w:r>
        <w:rPr>
          <w:snapToGrid/>
          <w:szCs w:val="22"/>
          <w:highlight w:val="lightGray"/>
          <w:lang w:val="lt-LT"/>
        </w:rPr>
        <w:t>14 plėvele dengtų tablečių</w:t>
      </w:r>
    </w:p>
    <w:p w14:paraId="6E1669B0" w14:textId="77777777" w:rsidR="00890384" w:rsidRDefault="00B26795">
      <w:pPr>
        <w:widowControl w:val="0"/>
        <w:spacing w:line="240" w:lineRule="auto"/>
        <w:rPr>
          <w:snapToGrid/>
          <w:szCs w:val="22"/>
          <w:highlight w:val="lightGray"/>
          <w:lang w:val="lt-LT"/>
        </w:rPr>
      </w:pPr>
      <w:r>
        <w:rPr>
          <w:snapToGrid/>
          <w:szCs w:val="22"/>
          <w:highlight w:val="lightGray"/>
          <w:lang w:val="lt-LT"/>
        </w:rPr>
        <w:t>20 plėvele dengtų tablečių</w:t>
      </w:r>
    </w:p>
    <w:p w14:paraId="6CE183F0" w14:textId="77777777" w:rsidR="00890384" w:rsidRDefault="00B26795">
      <w:pPr>
        <w:widowControl w:val="0"/>
        <w:spacing w:line="240" w:lineRule="auto"/>
        <w:rPr>
          <w:snapToGrid/>
          <w:szCs w:val="22"/>
          <w:highlight w:val="lightGray"/>
          <w:lang w:val="lt-LT"/>
        </w:rPr>
      </w:pPr>
      <w:r>
        <w:rPr>
          <w:snapToGrid/>
          <w:szCs w:val="22"/>
          <w:highlight w:val="lightGray"/>
          <w:lang w:val="lt-LT"/>
        </w:rPr>
        <w:t>28 plėvele dengtos tabletės</w:t>
      </w:r>
    </w:p>
    <w:p w14:paraId="228F89E5" w14:textId="77777777" w:rsidR="00890384" w:rsidRDefault="00B26795">
      <w:pPr>
        <w:widowControl w:val="0"/>
        <w:spacing w:line="240" w:lineRule="auto"/>
        <w:rPr>
          <w:snapToGrid/>
          <w:szCs w:val="22"/>
          <w:highlight w:val="lightGray"/>
          <w:lang w:val="lt-LT"/>
        </w:rPr>
      </w:pPr>
      <w:r>
        <w:rPr>
          <w:snapToGrid/>
          <w:szCs w:val="22"/>
          <w:highlight w:val="lightGray"/>
          <w:lang w:val="lt-LT"/>
        </w:rPr>
        <w:t>56 plėvele dengtos tabletės</w:t>
      </w:r>
    </w:p>
    <w:p w14:paraId="77A9EBD5" w14:textId="77777777" w:rsidR="00890384" w:rsidRDefault="00B26795">
      <w:pPr>
        <w:widowControl w:val="0"/>
        <w:spacing w:line="240" w:lineRule="auto"/>
        <w:rPr>
          <w:snapToGrid/>
          <w:szCs w:val="22"/>
          <w:highlight w:val="lightGray"/>
          <w:lang w:val="lt-LT"/>
        </w:rPr>
      </w:pPr>
      <w:r>
        <w:rPr>
          <w:snapToGrid/>
          <w:szCs w:val="22"/>
          <w:highlight w:val="lightGray"/>
          <w:lang w:val="lt-LT"/>
        </w:rPr>
        <w:t>60 plėvele dengtų tablečių</w:t>
      </w:r>
    </w:p>
    <w:p w14:paraId="4CC93BD2" w14:textId="77777777" w:rsidR="00890384" w:rsidRDefault="00B26795">
      <w:pPr>
        <w:widowControl w:val="0"/>
        <w:spacing w:line="240" w:lineRule="auto"/>
        <w:rPr>
          <w:snapToGrid/>
          <w:szCs w:val="22"/>
          <w:highlight w:val="lightGray"/>
          <w:lang w:val="lt-LT"/>
        </w:rPr>
      </w:pPr>
      <w:r>
        <w:rPr>
          <w:snapToGrid/>
          <w:szCs w:val="22"/>
          <w:highlight w:val="lightGray"/>
          <w:lang w:val="lt-LT"/>
        </w:rPr>
        <w:t>100 plėvele dengtų tablečių</w:t>
      </w:r>
    </w:p>
    <w:p w14:paraId="5F08C16D" w14:textId="77777777" w:rsidR="00890384" w:rsidRDefault="00B26795">
      <w:pPr>
        <w:widowControl w:val="0"/>
        <w:spacing w:line="240" w:lineRule="auto"/>
        <w:rPr>
          <w:snapToGrid/>
          <w:szCs w:val="22"/>
          <w:highlight w:val="lightGray"/>
          <w:lang w:val="lt-LT"/>
        </w:rPr>
      </w:pPr>
      <w:r>
        <w:rPr>
          <w:snapToGrid/>
          <w:szCs w:val="22"/>
          <w:highlight w:val="lightGray"/>
          <w:lang w:val="lt-LT"/>
        </w:rPr>
        <w:t>168 plėvele dengtos tabletės</w:t>
      </w:r>
    </w:p>
    <w:p w14:paraId="6DF16024" w14:textId="77777777" w:rsidR="00890384" w:rsidRDefault="00B26795">
      <w:pPr>
        <w:widowControl w:val="0"/>
        <w:spacing w:line="240" w:lineRule="auto"/>
        <w:rPr>
          <w:snapToGrid/>
          <w:szCs w:val="22"/>
          <w:lang w:val="lt-LT"/>
        </w:rPr>
      </w:pPr>
      <w:r>
        <w:rPr>
          <w:snapToGrid/>
          <w:szCs w:val="22"/>
          <w:highlight w:val="lightGray"/>
          <w:lang w:val="lt-LT"/>
        </w:rPr>
        <w:t>200 plėvele dengtų tablečių</w:t>
      </w:r>
    </w:p>
    <w:p w14:paraId="60023458" w14:textId="77777777" w:rsidR="00890384" w:rsidRDefault="00890384">
      <w:pPr>
        <w:widowControl w:val="0"/>
        <w:tabs>
          <w:tab w:val="clear" w:pos="567"/>
        </w:tabs>
        <w:autoSpaceDE w:val="0"/>
        <w:autoSpaceDN w:val="0"/>
        <w:spacing w:line="240" w:lineRule="auto"/>
        <w:rPr>
          <w:snapToGrid/>
          <w:szCs w:val="22"/>
          <w:lang w:val="lt-LT"/>
        </w:rPr>
      </w:pPr>
    </w:p>
    <w:p w14:paraId="4F9F0A21" w14:textId="77777777" w:rsidR="00890384" w:rsidRDefault="00890384">
      <w:pPr>
        <w:widowControl w:val="0"/>
        <w:tabs>
          <w:tab w:val="clear" w:pos="567"/>
        </w:tabs>
        <w:autoSpaceDE w:val="0"/>
        <w:autoSpaceDN w:val="0"/>
        <w:spacing w:line="240" w:lineRule="auto"/>
        <w:rPr>
          <w:snapToGrid/>
          <w:szCs w:val="22"/>
          <w:lang w:val="lt-LT"/>
        </w:rPr>
      </w:pPr>
    </w:p>
    <w:p w14:paraId="23547EFD"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VARTOJIMO METODAS IR BŪDAS (-AI)</w:t>
      </w:r>
    </w:p>
    <w:p w14:paraId="7B987212" w14:textId="77777777" w:rsidR="00890384" w:rsidRDefault="00890384">
      <w:pPr>
        <w:keepNext/>
        <w:widowControl w:val="0"/>
        <w:tabs>
          <w:tab w:val="clear" w:pos="567"/>
        </w:tabs>
        <w:autoSpaceDE w:val="0"/>
        <w:autoSpaceDN w:val="0"/>
        <w:spacing w:line="240" w:lineRule="auto"/>
        <w:rPr>
          <w:snapToGrid/>
          <w:szCs w:val="22"/>
          <w:lang w:val="lt-LT"/>
        </w:rPr>
      </w:pPr>
    </w:p>
    <w:p w14:paraId="225D054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Prieš vartojimą perskaitykite pakuotės lapelį.</w:t>
      </w:r>
    </w:p>
    <w:p w14:paraId="65A0BF52" w14:textId="77777777" w:rsidR="00890384" w:rsidRDefault="00890384">
      <w:pPr>
        <w:widowControl w:val="0"/>
        <w:tabs>
          <w:tab w:val="clear" w:pos="567"/>
        </w:tabs>
        <w:autoSpaceDE w:val="0"/>
        <w:autoSpaceDN w:val="0"/>
        <w:spacing w:line="240" w:lineRule="auto"/>
        <w:rPr>
          <w:snapToGrid/>
          <w:szCs w:val="22"/>
          <w:lang w:val="lt-LT"/>
        </w:rPr>
      </w:pPr>
    </w:p>
    <w:p w14:paraId="62D8AC0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2D4BFFA1" w14:textId="77777777" w:rsidR="00890384" w:rsidRDefault="00890384">
      <w:pPr>
        <w:widowControl w:val="0"/>
        <w:tabs>
          <w:tab w:val="clear" w:pos="567"/>
        </w:tabs>
        <w:autoSpaceDE w:val="0"/>
        <w:autoSpaceDN w:val="0"/>
        <w:spacing w:line="240" w:lineRule="auto"/>
        <w:rPr>
          <w:snapToGrid/>
          <w:szCs w:val="22"/>
          <w:lang w:val="lt-LT"/>
        </w:rPr>
      </w:pPr>
    </w:p>
    <w:p w14:paraId="579A85B9" w14:textId="77777777" w:rsidR="00890384" w:rsidRDefault="00890384">
      <w:pPr>
        <w:widowControl w:val="0"/>
        <w:tabs>
          <w:tab w:val="clear" w:pos="567"/>
        </w:tabs>
        <w:autoSpaceDE w:val="0"/>
        <w:autoSpaceDN w:val="0"/>
        <w:spacing w:line="240" w:lineRule="auto"/>
        <w:rPr>
          <w:snapToGrid/>
          <w:szCs w:val="22"/>
          <w:lang w:val="lt-LT"/>
        </w:rPr>
      </w:pPr>
    </w:p>
    <w:p w14:paraId="5E08F9EC"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SPECIALUS ĮSPĖJIMAS, KAD VAISTINĮ PREPARATĄ BŪTINA LAIKYTI VAIKAMS NEPASTEBIMOJE IR NEPASIEKIAMOJE VIETOJE</w:t>
      </w:r>
    </w:p>
    <w:p w14:paraId="1968CC45" w14:textId="77777777" w:rsidR="00890384" w:rsidRDefault="00890384">
      <w:pPr>
        <w:keepNext/>
        <w:widowControl w:val="0"/>
        <w:tabs>
          <w:tab w:val="clear" w:pos="567"/>
        </w:tabs>
        <w:autoSpaceDE w:val="0"/>
        <w:autoSpaceDN w:val="0"/>
        <w:spacing w:line="240" w:lineRule="auto"/>
        <w:rPr>
          <w:snapToGrid/>
          <w:szCs w:val="22"/>
          <w:lang w:val="lt-LT"/>
        </w:rPr>
      </w:pPr>
    </w:p>
    <w:p w14:paraId="64713E5E" w14:textId="77777777" w:rsidR="00890384" w:rsidRDefault="00B26795">
      <w:pPr>
        <w:widowControl w:val="0"/>
        <w:tabs>
          <w:tab w:val="clear" w:pos="567"/>
        </w:tabs>
        <w:autoSpaceDE w:val="0"/>
        <w:autoSpaceDN w:val="0"/>
        <w:spacing w:line="240" w:lineRule="auto"/>
        <w:outlineLvl w:val="0"/>
        <w:rPr>
          <w:snapToGrid/>
          <w:szCs w:val="22"/>
          <w:lang w:val="lt-LT"/>
        </w:rPr>
      </w:pPr>
      <w:r>
        <w:rPr>
          <w:snapToGrid/>
          <w:szCs w:val="22"/>
          <w:lang w:val="lt-LT"/>
        </w:rPr>
        <w:t>Laikyti vaikams nepastebimoje ir nepasiekiamoje vietoje.</w:t>
      </w:r>
    </w:p>
    <w:p w14:paraId="67728B0A" w14:textId="77777777" w:rsidR="00890384" w:rsidRDefault="00890384">
      <w:pPr>
        <w:widowControl w:val="0"/>
        <w:tabs>
          <w:tab w:val="clear" w:pos="567"/>
        </w:tabs>
        <w:autoSpaceDE w:val="0"/>
        <w:autoSpaceDN w:val="0"/>
        <w:spacing w:line="240" w:lineRule="auto"/>
        <w:rPr>
          <w:snapToGrid/>
          <w:szCs w:val="22"/>
          <w:lang w:val="lt-LT"/>
        </w:rPr>
      </w:pPr>
    </w:p>
    <w:p w14:paraId="304CF83E" w14:textId="77777777" w:rsidR="00890384" w:rsidRDefault="00890384">
      <w:pPr>
        <w:widowControl w:val="0"/>
        <w:tabs>
          <w:tab w:val="clear" w:pos="567"/>
        </w:tabs>
        <w:autoSpaceDE w:val="0"/>
        <w:autoSpaceDN w:val="0"/>
        <w:spacing w:line="240" w:lineRule="auto"/>
        <w:rPr>
          <w:snapToGrid/>
          <w:szCs w:val="22"/>
          <w:lang w:val="lt-LT"/>
        </w:rPr>
      </w:pPr>
    </w:p>
    <w:p w14:paraId="13DC34CC"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lastRenderedPageBreak/>
        <w:t>KITAS (-I) SPECIALUS (-ŪS) ĮSPĖJIMAS (-AI) (JEI REIKIA)</w:t>
      </w:r>
    </w:p>
    <w:p w14:paraId="01E23A86" w14:textId="77777777" w:rsidR="00890384" w:rsidRDefault="00890384">
      <w:pPr>
        <w:keepNext/>
        <w:widowControl w:val="0"/>
        <w:tabs>
          <w:tab w:val="clear" w:pos="567"/>
        </w:tabs>
        <w:autoSpaceDE w:val="0"/>
        <w:autoSpaceDN w:val="0"/>
        <w:spacing w:line="240" w:lineRule="auto"/>
        <w:rPr>
          <w:snapToGrid/>
          <w:szCs w:val="22"/>
          <w:lang w:val="lt-LT"/>
        </w:rPr>
      </w:pPr>
    </w:p>
    <w:p w14:paraId="5EEBD3EF" w14:textId="77777777" w:rsidR="00890384" w:rsidRDefault="00890384">
      <w:pPr>
        <w:widowControl w:val="0"/>
        <w:tabs>
          <w:tab w:val="clear" w:pos="567"/>
          <w:tab w:val="left" w:pos="749"/>
        </w:tabs>
        <w:autoSpaceDE w:val="0"/>
        <w:autoSpaceDN w:val="0"/>
        <w:spacing w:line="240" w:lineRule="auto"/>
        <w:rPr>
          <w:snapToGrid/>
          <w:szCs w:val="22"/>
          <w:lang w:val="lt-LT"/>
        </w:rPr>
      </w:pPr>
    </w:p>
    <w:p w14:paraId="182E6CF1"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TINKAMUMO LAIKAS</w:t>
      </w:r>
    </w:p>
    <w:p w14:paraId="4816205C" w14:textId="77777777" w:rsidR="00890384" w:rsidRDefault="00890384">
      <w:pPr>
        <w:keepNext/>
        <w:widowControl w:val="0"/>
        <w:tabs>
          <w:tab w:val="clear" w:pos="567"/>
        </w:tabs>
        <w:autoSpaceDE w:val="0"/>
        <w:autoSpaceDN w:val="0"/>
        <w:spacing w:line="240" w:lineRule="auto"/>
        <w:rPr>
          <w:snapToGrid/>
          <w:szCs w:val="22"/>
          <w:lang w:val="lt-LT"/>
        </w:rPr>
      </w:pPr>
    </w:p>
    <w:p w14:paraId="13E435D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EXP</w:t>
      </w:r>
    </w:p>
    <w:p w14:paraId="34F2AA29" w14:textId="77777777" w:rsidR="00890384" w:rsidRDefault="00890384">
      <w:pPr>
        <w:widowControl w:val="0"/>
        <w:tabs>
          <w:tab w:val="clear" w:pos="567"/>
        </w:tabs>
        <w:autoSpaceDE w:val="0"/>
        <w:autoSpaceDN w:val="0"/>
        <w:spacing w:line="240" w:lineRule="auto"/>
        <w:rPr>
          <w:snapToGrid/>
          <w:szCs w:val="22"/>
          <w:lang w:val="lt-LT"/>
        </w:rPr>
      </w:pPr>
    </w:p>
    <w:p w14:paraId="5C76C90D" w14:textId="77777777" w:rsidR="00890384" w:rsidRDefault="00890384">
      <w:pPr>
        <w:widowControl w:val="0"/>
        <w:tabs>
          <w:tab w:val="clear" w:pos="567"/>
        </w:tabs>
        <w:autoSpaceDE w:val="0"/>
        <w:autoSpaceDN w:val="0"/>
        <w:spacing w:line="240" w:lineRule="auto"/>
        <w:rPr>
          <w:snapToGrid/>
          <w:szCs w:val="22"/>
          <w:lang w:val="lt-LT"/>
        </w:rPr>
      </w:pPr>
    </w:p>
    <w:p w14:paraId="540BCF9D"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SPECIALIOS LAIKYMO SĄLYGOS</w:t>
      </w:r>
    </w:p>
    <w:p w14:paraId="64289658" w14:textId="77777777" w:rsidR="00890384" w:rsidRDefault="00890384">
      <w:pPr>
        <w:keepNext/>
        <w:widowControl w:val="0"/>
        <w:tabs>
          <w:tab w:val="clear" w:pos="567"/>
        </w:tabs>
        <w:autoSpaceDE w:val="0"/>
        <w:autoSpaceDN w:val="0"/>
        <w:spacing w:line="240" w:lineRule="auto"/>
        <w:rPr>
          <w:snapToGrid/>
          <w:szCs w:val="22"/>
          <w:lang w:val="lt-LT"/>
        </w:rPr>
      </w:pPr>
    </w:p>
    <w:p w14:paraId="041CA5C8" w14:textId="77777777" w:rsidR="00890384" w:rsidRDefault="00890384">
      <w:pPr>
        <w:widowControl w:val="0"/>
        <w:tabs>
          <w:tab w:val="clear" w:pos="567"/>
        </w:tabs>
        <w:autoSpaceDE w:val="0"/>
        <w:autoSpaceDN w:val="0"/>
        <w:spacing w:line="240" w:lineRule="auto"/>
        <w:ind w:left="567" w:hanging="567"/>
        <w:rPr>
          <w:snapToGrid/>
          <w:szCs w:val="22"/>
          <w:lang w:val="lt-LT"/>
        </w:rPr>
      </w:pPr>
    </w:p>
    <w:p w14:paraId="5A10AE24"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SPECIALIOS ATSARGUMO PRIEMONĖS DĖL NESUVARTOTO VAISTINIO PREPARATO AR JO ATLIEKŲ TVARKYMO (JEI REIKIA)</w:t>
      </w:r>
    </w:p>
    <w:p w14:paraId="4CF575AA" w14:textId="77777777" w:rsidR="00890384" w:rsidRDefault="00890384">
      <w:pPr>
        <w:widowControl w:val="0"/>
        <w:tabs>
          <w:tab w:val="clear" w:pos="567"/>
        </w:tabs>
        <w:autoSpaceDE w:val="0"/>
        <w:autoSpaceDN w:val="0"/>
        <w:spacing w:line="240" w:lineRule="auto"/>
        <w:rPr>
          <w:snapToGrid/>
          <w:szCs w:val="22"/>
          <w:lang w:val="lt-LT"/>
        </w:rPr>
      </w:pPr>
    </w:p>
    <w:p w14:paraId="7FAFEBBF" w14:textId="77777777" w:rsidR="00890384" w:rsidRDefault="00890384">
      <w:pPr>
        <w:widowControl w:val="0"/>
        <w:tabs>
          <w:tab w:val="clear" w:pos="567"/>
        </w:tabs>
        <w:autoSpaceDE w:val="0"/>
        <w:autoSpaceDN w:val="0"/>
        <w:spacing w:line="240" w:lineRule="auto"/>
        <w:rPr>
          <w:snapToGrid/>
          <w:szCs w:val="22"/>
          <w:lang w:val="lt-LT"/>
        </w:rPr>
      </w:pPr>
    </w:p>
    <w:p w14:paraId="1AF3FB4B"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REGISTRUOTOJO PAVADINIMAS IR ADRESAS</w:t>
      </w:r>
    </w:p>
    <w:p w14:paraId="1CFC3E4C" w14:textId="77777777" w:rsidR="00890384" w:rsidRDefault="00890384">
      <w:pPr>
        <w:widowControl w:val="0"/>
        <w:tabs>
          <w:tab w:val="clear" w:pos="567"/>
        </w:tabs>
        <w:autoSpaceDE w:val="0"/>
        <w:autoSpaceDN w:val="0"/>
        <w:spacing w:line="240" w:lineRule="auto"/>
        <w:rPr>
          <w:snapToGrid/>
          <w:szCs w:val="22"/>
          <w:lang w:val="lt-LT"/>
        </w:rPr>
      </w:pPr>
    </w:p>
    <w:p w14:paraId="13EE991E" w14:textId="77777777" w:rsidR="00890384" w:rsidRDefault="00B26795">
      <w:pPr>
        <w:rPr>
          <w:snapToGrid/>
          <w:szCs w:val="22"/>
          <w:lang w:val="lt-LT"/>
        </w:rPr>
      </w:pPr>
      <w:r>
        <w:rPr>
          <w:snapToGrid/>
          <w:szCs w:val="22"/>
          <w:lang w:val="lt-LT"/>
        </w:rPr>
        <w:t>KRKA, d.d., Novo mesto, Šmarješka cesta 6, 8501 Novo mesto, Slovėnija</w:t>
      </w:r>
    </w:p>
    <w:p w14:paraId="4374CD85" w14:textId="77777777" w:rsidR="00890384" w:rsidRDefault="00890384">
      <w:pPr>
        <w:widowControl w:val="0"/>
        <w:tabs>
          <w:tab w:val="clear" w:pos="567"/>
        </w:tabs>
        <w:autoSpaceDE w:val="0"/>
        <w:autoSpaceDN w:val="0"/>
        <w:spacing w:line="240" w:lineRule="auto"/>
        <w:rPr>
          <w:snapToGrid/>
          <w:szCs w:val="22"/>
          <w:lang w:val="lt-LT"/>
        </w:rPr>
      </w:pPr>
    </w:p>
    <w:p w14:paraId="72FD34F0" w14:textId="77777777" w:rsidR="00890384" w:rsidRDefault="00890384">
      <w:pPr>
        <w:widowControl w:val="0"/>
        <w:tabs>
          <w:tab w:val="clear" w:pos="567"/>
        </w:tabs>
        <w:autoSpaceDE w:val="0"/>
        <w:autoSpaceDN w:val="0"/>
        <w:spacing w:line="240" w:lineRule="auto"/>
        <w:rPr>
          <w:snapToGrid/>
          <w:szCs w:val="22"/>
          <w:lang w:val="lt-LT"/>
        </w:rPr>
      </w:pPr>
    </w:p>
    <w:p w14:paraId="76E4E248"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 xml:space="preserve">REGISTRACIJOS PAŽYMĖJIMO NUMERIS (-IAI) </w:t>
      </w:r>
    </w:p>
    <w:p w14:paraId="45C9D12D" w14:textId="77777777" w:rsidR="00890384" w:rsidRDefault="00890384">
      <w:pPr>
        <w:widowControl w:val="0"/>
        <w:tabs>
          <w:tab w:val="clear" w:pos="567"/>
        </w:tabs>
        <w:autoSpaceDE w:val="0"/>
        <w:autoSpaceDN w:val="0"/>
        <w:spacing w:line="240" w:lineRule="auto"/>
        <w:rPr>
          <w:snapToGrid/>
          <w:szCs w:val="22"/>
          <w:lang w:val="lt-LT"/>
        </w:rPr>
      </w:pPr>
    </w:p>
    <w:p w14:paraId="6A6A9046"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2,5 mg</w:t>
      </w:r>
    </w:p>
    <w:p w14:paraId="152DC0F9" w14:textId="77777777" w:rsidR="00890384" w:rsidRDefault="00B26795">
      <w:pPr>
        <w:widowControl w:val="0"/>
        <w:tabs>
          <w:tab w:val="clear" w:pos="567"/>
        </w:tabs>
        <w:autoSpaceDE w:val="0"/>
        <w:autoSpaceDN w:val="0"/>
        <w:spacing w:line="240" w:lineRule="auto"/>
        <w:rPr>
          <w:snapToGrid/>
          <w:szCs w:val="22"/>
          <w:highlight w:val="lightGray"/>
          <w:lang w:val="lt-LT"/>
        </w:rPr>
      </w:pPr>
      <w:r>
        <w:rPr>
          <w:kern w:val="28"/>
          <w:szCs w:val="22"/>
        </w:rPr>
        <w:t xml:space="preserve">LT/1/21/4842/001 </w:t>
      </w:r>
      <w:r>
        <w:rPr>
          <w:snapToGrid/>
          <w:szCs w:val="22"/>
          <w:highlight w:val="lightGray"/>
          <w:lang w:val="lt-LT"/>
        </w:rPr>
        <w:t>– N10</w:t>
      </w:r>
    </w:p>
    <w:p w14:paraId="1750C762"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LT/1/21/4842/002 – N14</w:t>
      </w:r>
    </w:p>
    <w:p w14:paraId="10FDB38D"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LT/1/21/4842/003 – N20</w:t>
      </w:r>
    </w:p>
    <w:p w14:paraId="6FDDDD7E"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LT/1/21/4842/004 – N28</w:t>
      </w:r>
    </w:p>
    <w:p w14:paraId="2D873099"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LT/1/21/4842/005 – N56</w:t>
      </w:r>
    </w:p>
    <w:p w14:paraId="366020F2"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LT/1/21/4842/006 – N60</w:t>
      </w:r>
    </w:p>
    <w:p w14:paraId="20DCA2B5"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LT/1/21/4842/007 – N100</w:t>
      </w:r>
    </w:p>
    <w:p w14:paraId="4B5AB579"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LT/1/21/4842/008 – N168</w:t>
      </w:r>
    </w:p>
    <w:p w14:paraId="71F0B3E0"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LT/1/21/4842/009 – N200</w:t>
      </w:r>
    </w:p>
    <w:p w14:paraId="3A319F2C" w14:textId="77777777" w:rsidR="00890384" w:rsidRDefault="00890384">
      <w:pPr>
        <w:widowControl w:val="0"/>
        <w:tabs>
          <w:tab w:val="clear" w:pos="567"/>
        </w:tabs>
        <w:autoSpaceDE w:val="0"/>
        <w:autoSpaceDN w:val="0"/>
        <w:spacing w:line="240" w:lineRule="auto"/>
        <w:rPr>
          <w:snapToGrid/>
          <w:szCs w:val="22"/>
          <w:highlight w:val="lightGray"/>
          <w:lang w:val="lt-LT"/>
        </w:rPr>
      </w:pPr>
    </w:p>
    <w:p w14:paraId="1CB42C22"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5 mg</w:t>
      </w:r>
    </w:p>
    <w:p w14:paraId="470DE353"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lang w:val="lt-LT"/>
        </w:rPr>
        <w:t xml:space="preserve">LT/1/21/4843/001 </w:t>
      </w:r>
      <w:r>
        <w:rPr>
          <w:snapToGrid/>
          <w:szCs w:val="22"/>
          <w:highlight w:val="lightGray"/>
          <w:lang w:val="lt-LT"/>
        </w:rPr>
        <w:t>– N10</w:t>
      </w:r>
    </w:p>
    <w:p w14:paraId="7AD6D239"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LT/1/21/4843/002 – N14</w:t>
      </w:r>
    </w:p>
    <w:p w14:paraId="1E4BC434"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LT/1/21/4843/003 – N20</w:t>
      </w:r>
    </w:p>
    <w:p w14:paraId="5BB2BD28"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LT/1/21/4843/004 – N28</w:t>
      </w:r>
    </w:p>
    <w:p w14:paraId="730F7F32"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LT/1/21/4843/005 – N56</w:t>
      </w:r>
    </w:p>
    <w:p w14:paraId="348F8EEF"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LT/1/21/4843/006 – N60</w:t>
      </w:r>
    </w:p>
    <w:p w14:paraId="026B44B7"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LT/1/21/4843/007 – N100</w:t>
      </w:r>
    </w:p>
    <w:p w14:paraId="6837C472"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LT/1/21/4843/008 – N168</w:t>
      </w:r>
    </w:p>
    <w:p w14:paraId="3E782A73" w14:textId="77777777" w:rsidR="00890384" w:rsidRDefault="00B26795">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LT/1/21/4843/009 – N200</w:t>
      </w:r>
    </w:p>
    <w:p w14:paraId="230150E0" w14:textId="77777777" w:rsidR="00890384" w:rsidRDefault="00890384">
      <w:pPr>
        <w:widowControl w:val="0"/>
        <w:tabs>
          <w:tab w:val="clear" w:pos="567"/>
        </w:tabs>
        <w:autoSpaceDE w:val="0"/>
        <w:autoSpaceDN w:val="0"/>
        <w:spacing w:line="240" w:lineRule="auto"/>
        <w:rPr>
          <w:snapToGrid/>
          <w:szCs w:val="22"/>
          <w:highlight w:val="lightGray"/>
          <w:lang w:val="lt-LT"/>
        </w:rPr>
      </w:pPr>
    </w:p>
    <w:p w14:paraId="048865B7" w14:textId="77777777" w:rsidR="00890384" w:rsidRDefault="00890384">
      <w:pPr>
        <w:widowControl w:val="0"/>
        <w:tabs>
          <w:tab w:val="clear" w:pos="567"/>
        </w:tabs>
        <w:autoSpaceDE w:val="0"/>
        <w:autoSpaceDN w:val="0"/>
        <w:spacing w:line="240" w:lineRule="auto"/>
        <w:rPr>
          <w:snapToGrid/>
          <w:szCs w:val="22"/>
          <w:lang w:val="lt-LT"/>
        </w:rPr>
      </w:pPr>
    </w:p>
    <w:p w14:paraId="7FB2C3C4"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 xml:space="preserve">SERIJOS NUMERIS </w:t>
      </w:r>
    </w:p>
    <w:p w14:paraId="080D2F71" w14:textId="77777777" w:rsidR="00890384" w:rsidRDefault="00890384">
      <w:pPr>
        <w:widowControl w:val="0"/>
        <w:tabs>
          <w:tab w:val="clear" w:pos="567"/>
        </w:tabs>
        <w:autoSpaceDE w:val="0"/>
        <w:autoSpaceDN w:val="0"/>
        <w:spacing w:line="240" w:lineRule="auto"/>
        <w:rPr>
          <w:i/>
          <w:snapToGrid/>
          <w:szCs w:val="22"/>
          <w:lang w:val="lt-LT"/>
        </w:rPr>
      </w:pPr>
    </w:p>
    <w:p w14:paraId="7CE1B1A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Lot</w:t>
      </w:r>
    </w:p>
    <w:p w14:paraId="79685470" w14:textId="77777777" w:rsidR="00890384" w:rsidRDefault="00890384">
      <w:pPr>
        <w:widowControl w:val="0"/>
        <w:tabs>
          <w:tab w:val="clear" w:pos="567"/>
        </w:tabs>
        <w:autoSpaceDE w:val="0"/>
        <w:autoSpaceDN w:val="0"/>
        <w:spacing w:line="240" w:lineRule="auto"/>
        <w:rPr>
          <w:snapToGrid/>
          <w:szCs w:val="22"/>
          <w:lang w:val="lt-LT"/>
        </w:rPr>
      </w:pPr>
    </w:p>
    <w:p w14:paraId="327C3CB5" w14:textId="77777777" w:rsidR="00890384" w:rsidRDefault="00890384">
      <w:pPr>
        <w:widowControl w:val="0"/>
        <w:tabs>
          <w:tab w:val="clear" w:pos="567"/>
        </w:tabs>
        <w:autoSpaceDE w:val="0"/>
        <w:autoSpaceDN w:val="0"/>
        <w:spacing w:line="240" w:lineRule="auto"/>
        <w:rPr>
          <w:snapToGrid/>
          <w:szCs w:val="22"/>
          <w:lang w:val="lt-LT"/>
        </w:rPr>
      </w:pPr>
    </w:p>
    <w:p w14:paraId="6331B482"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PARDAVIMO (IŠDAVIMO) TVARKA</w:t>
      </w:r>
    </w:p>
    <w:p w14:paraId="04E6C761" w14:textId="77777777" w:rsidR="00890384" w:rsidRDefault="00890384">
      <w:pPr>
        <w:widowControl w:val="0"/>
        <w:tabs>
          <w:tab w:val="clear" w:pos="567"/>
        </w:tabs>
        <w:autoSpaceDE w:val="0"/>
        <w:autoSpaceDN w:val="0"/>
        <w:spacing w:line="240" w:lineRule="auto"/>
        <w:rPr>
          <w:snapToGrid/>
          <w:szCs w:val="22"/>
          <w:lang w:val="lt-LT"/>
        </w:rPr>
      </w:pPr>
    </w:p>
    <w:p w14:paraId="247B9A2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Receptinis vaistas</w:t>
      </w:r>
    </w:p>
    <w:p w14:paraId="34D56957" w14:textId="77777777" w:rsidR="00890384" w:rsidRDefault="00890384">
      <w:pPr>
        <w:widowControl w:val="0"/>
        <w:tabs>
          <w:tab w:val="clear" w:pos="567"/>
        </w:tabs>
        <w:autoSpaceDE w:val="0"/>
        <w:autoSpaceDN w:val="0"/>
        <w:spacing w:line="240" w:lineRule="auto"/>
        <w:rPr>
          <w:snapToGrid/>
          <w:szCs w:val="22"/>
          <w:lang w:val="lt-LT"/>
        </w:rPr>
      </w:pPr>
    </w:p>
    <w:p w14:paraId="7A36F7A8" w14:textId="77777777" w:rsidR="00890384" w:rsidRDefault="00890384">
      <w:pPr>
        <w:widowControl w:val="0"/>
        <w:tabs>
          <w:tab w:val="clear" w:pos="567"/>
        </w:tabs>
        <w:autoSpaceDE w:val="0"/>
        <w:autoSpaceDN w:val="0"/>
        <w:spacing w:line="240" w:lineRule="auto"/>
        <w:rPr>
          <w:snapToGrid/>
          <w:szCs w:val="22"/>
          <w:lang w:val="lt-LT"/>
        </w:rPr>
      </w:pPr>
    </w:p>
    <w:p w14:paraId="29C7EC0E"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lastRenderedPageBreak/>
        <w:t>VARTOJIMO INSTRUKCIJA</w:t>
      </w:r>
    </w:p>
    <w:p w14:paraId="75B7B105" w14:textId="77777777" w:rsidR="00890384" w:rsidRDefault="00890384">
      <w:pPr>
        <w:widowControl w:val="0"/>
        <w:tabs>
          <w:tab w:val="clear" w:pos="567"/>
        </w:tabs>
        <w:autoSpaceDE w:val="0"/>
        <w:autoSpaceDN w:val="0"/>
        <w:spacing w:line="240" w:lineRule="auto"/>
        <w:rPr>
          <w:snapToGrid/>
          <w:szCs w:val="22"/>
          <w:lang w:val="lt-LT"/>
        </w:rPr>
      </w:pPr>
    </w:p>
    <w:p w14:paraId="230F0827" w14:textId="77777777" w:rsidR="00890384" w:rsidRDefault="00890384">
      <w:pPr>
        <w:widowControl w:val="0"/>
        <w:tabs>
          <w:tab w:val="clear" w:pos="567"/>
        </w:tabs>
        <w:autoSpaceDE w:val="0"/>
        <w:autoSpaceDN w:val="0"/>
        <w:spacing w:line="240" w:lineRule="auto"/>
        <w:rPr>
          <w:snapToGrid/>
          <w:szCs w:val="22"/>
          <w:lang w:val="lt-LT"/>
        </w:rPr>
      </w:pPr>
    </w:p>
    <w:p w14:paraId="12B8730C"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INFORMACIJA BRAILIO RAŠTU</w:t>
      </w:r>
    </w:p>
    <w:p w14:paraId="492253A6" w14:textId="77777777" w:rsidR="00890384" w:rsidRDefault="00890384">
      <w:pPr>
        <w:widowControl w:val="0"/>
        <w:tabs>
          <w:tab w:val="clear" w:pos="567"/>
        </w:tabs>
        <w:autoSpaceDE w:val="0"/>
        <w:autoSpaceDN w:val="0"/>
        <w:spacing w:line="240" w:lineRule="auto"/>
        <w:rPr>
          <w:snapToGrid/>
          <w:szCs w:val="22"/>
          <w:lang w:val="lt-LT"/>
        </w:rPr>
      </w:pPr>
    </w:p>
    <w:p w14:paraId="44EFDB4D" w14:textId="1DE9840C"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2,5 mg</w:t>
      </w:r>
    </w:p>
    <w:p w14:paraId="40BCE433"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highlight w:val="lightGray"/>
          <w:lang w:val="lt-LT"/>
        </w:rPr>
        <w:t>Aboxoma</w:t>
      </w:r>
      <w:r>
        <w:rPr>
          <w:snapToGrid/>
          <w:szCs w:val="22"/>
          <w:highlight w:val="lightGray"/>
          <w:lang w:val="lt-LT"/>
        </w:rPr>
        <w:t xml:space="preserve"> 5 mg</w:t>
      </w:r>
    </w:p>
    <w:p w14:paraId="298B6074" w14:textId="77777777" w:rsidR="00890384" w:rsidRDefault="00890384">
      <w:pPr>
        <w:widowControl w:val="0"/>
        <w:tabs>
          <w:tab w:val="clear" w:pos="567"/>
        </w:tabs>
        <w:autoSpaceDE w:val="0"/>
        <w:autoSpaceDN w:val="0"/>
        <w:spacing w:line="240" w:lineRule="auto"/>
        <w:rPr>
          <w:snapToGrid/>
          <w:szCs w:val="22"/>
          <w:shd w:val="clear" w:color="auto" w:fill="CCCCCC"/>
          <w:lang w:val="lt-LT"/>
        </w:rPr>
      </w:pPr>
    </w:p>
    <w:p w14:paraId="63001981" w14:textId="77777777" w:rsidR="00890384" w:rsidRDefault="00890384">
      <w:pPr>
        <w:widowControl w:val="0"/>
        <w:tabs>
          <w:tab w:val="clear" w:pos="567"/>
        </w:tabs>
        <w:autoSpaceDE w:val="0"/>
        <w:autoSpaceDN w:val="0"/>
        <w:spacing w:line="240" w:lineRule="auto"/>
        <w:rPr>
          <w:snapToGrid/>
          <w:szCs w:val="22"/>
          <w:shd w:val="clear" w:color="auto" w:fill="CCCCCC"/>
          <w:lang w:val="lt-LT"/>
        </w:rPr>
      </w:pPr>
    </w:p>
    <w:p w14:paraId="15DF6220"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i/>
          <w:snapToGrid/>
          <w:szCs w:val="22"/>
          <w:lang w:val="lt-LT"/>
        </w:rPr>
      </w:pPr>
      <w:r>
        <w:rPr>
          <w:b/>
          <w:snapToGrid/>
          <w:szCs w:val="22"/>
          <w:lang w:val="lt-LT"/>
        </w:rPr>
        <w:t>UNIKALUS IDENTIFIKATORIUS – 2D BRŪKŠNINIS KODAS</w:t>
      </w:r>
    </w:p>
    <w:p w14:paraId="35C42D8F" w14:textId="77777777" w:rsidR="00890384" w:rsidRDefault="00890384">
      <w:pPr>
        <w:widowControl w:val="0"/>
        <w:tabs>
          <w:tab w:val="clear" w:pos="567"/>
        </w:tabs>
        <w:autoSpaceDE w:val="0"/>
        <w:autoSpaceDN w:val="0"/>
        <w:spacing w:line="240" w:lineRule="auto"/>
        <w:rPr>
          <w:snapToGrid/>
          <w:szCs w:val="22"/>
          <w:lang w:val="lt-LT"/>
        </w:rPr>
      </w:pPr>
    </w:p>
    <w:p w14:paraId="421488D0" w14:textId="77777777" w:rsidR="00890384" w:rsidRDefault="00B26795">
      <w:pPr>
        <w:widowControl w:val="0"/>
        <w:tabs>
          <w:tab w:val="clear" w:pos="567"/>
        </w:tabs>
        <w:autoSpaceDE w:val="0"/>
        <w:autoSpaceDN w:val="0"/>
        <w:spacing w:line="240" w:lineRule="auto"/>
        <w:rPr>
          <w:snapToGrid/>
          <w:szCs w:val="22"/>
          <w:shd w:val="clear" w:color="auto" w:fill="CCCCCC"/>
          <w:lang w:val="lt-LT"/>
        </w:rPr>
      </w:pPr>
      <w:r>
        <w:rPr>
          <w:snapToGrid/>
          <w:szCs w:val="22"/>
          <w:highlight w:val="lightGray"/>
          <w:lang w:val="lt-LT"/>
        </w:rPr>
        <w:t>2D brūkšninis kodas su nurodytu unikaliu identifikatoriumi.</w:t>
      </w:r>
    </w:p>
    <w:p w14:paraId="28D16071" w14:textId="77777777" w:rsidR="00890384" w:rsidRDefault="00890384">
      <w:pPr>
        <w:widowControl w:val="0"/>
        <w:tabs>
          <w:tab w:val="clear" w:pos="567"/>
        </w:tabs>
        <w:autoSpaceDE w:val="0"/>
        <w:autoSpaceDN w:val="0"/>
        <w:spacing w:line="240" w:lineRule="auto"/>
        <w:rPr>
          <w:snapToGrid/>
          <w:szCs w:val="22"/>
          <w:shd w:val="clear" w:color="auto" w:fill="CCCCCC"/>
          <w:lang w:val="lt-LT"/>
        </w:rPr>
      </w:pPr>
    </w:p>
    <w:p w14:paraId="036D9078" w14:textId="77777777" w:rsidR="00890384" w:rsidRDefault="00890384">
      <w:pPr>
        <w:widowControl w:val="0"/>
        <w:tabs>
          <w:tab w:val="clear" w:pos="567"/>
        </w:tabs>
        <w:autoSpaceDE w:val="0"/>
        <w:autoSpaceDN w:val="0"/>
        <w:spacing w:line="240" w:lineRule="auto"/>
        <w:rPr>
          <w:snapToGrid/>
          <w:szCs w:val="22"/>
          <w:shd w:val="clear" w:color="auto" w:fill="CCCCCC"/>
          <w:lang w:val="lt-LT"/>
        </w:rPr>
      </w:pPr>
    </w:p>
    <w:p w14:paraId="1D4BEEAA" w14:textId="77777777" w:rsidR="00890384" w:rsidRDefault="00B26795">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i/>
          <w:snapToGrid/>
          <w:szCs w:val="22"/>
          <w:lang w:val="lt-LT"/>
        </w:rPr>
      </w:pPr>
      <w:r>
        <w:rPr>
          <w:b/>
          <w:snapToGrid/>
          <w:szCs w:val="22"/>
          <w:lang w:val="lt-LT"/>
        </w:rPr>
        <w:t>UNIKALUS IDENTIFIKATORIUS – ŽMONĖMS SUPRANTAMI DUOMENYS</w:t>
      </w:r>
    </w:p>
    <w:p w14:paraId="050FA38A" w14:textId="77777777" w:rsidR="00890384" w:rsidRDefault="00890384">
      <w:pPr>
        <w:widowControl w:val="0"/>
        <w:tabs>
          <w:tab w:val="clear" w:pos="567"/>
        </w:tabs>
        <w:autoSpaceDE w:val="0"/>
        <w:autoSpaceDN w:val="0"/>
        <w:spacing w:line="240" w:lineRule="auto"/>
        <w:rPr>
          <w:snapToGrid/>
          <w:szCs w:val="22"/>
          <w:lang w:val="lt-LT"/>
        </w:rPr>
      </w:pPr>
    </w:p>
    <w:p w14:paraId="440185F4" w14:textId="77777777" w:rsidR="00890384" w:rsidRDefault="00B26795">
      <w:pPr>
        <w:widowControl w:val="0"/>
        <w:tabs>
          <w:tab w:val="clear" w:pos="567"/>
        </w:tabs>
        <w:autoSpaceDE w:val="0"/>
        <w:autoSpaceDN w:val="0"/>
        <w:spacing w:line="240" w:lineRule="auto"/>
        <w:rPr>
          <w:snapToGrid/>
          <w:color w:val="008000"/>
          <w:szCs w:val="22"/>
          <w:lang w:val="lt-LT"/>
        </w:rPr>
      </w:pPr>
      <w:r>
        <w:rPr>
          <w:snapToGrid/>
          <w:szCs w:val="22"/>
          <w:lang w:val="lt-LT"/>
        </w:rPr>
        <w:t>PC</w:t>
      </w:r>
    </w:p>
    <w:p w14:paraId="097CAA8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SN</w:t>
      </w:r>
    </w:p>
    <w:p w14:paraId="0EA78C9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NN</w:t>
      </w:r>
    </w:p>
    <w:p w14:paraId="4CC91428" w14:textId="77777777" w:rsidR="00890384" w:rsidRDefault="00890384">
      <w:pPr>
        <w:widowControl w:val="0"/>
        <w:tabs>
          <w:tab w:val="clear" w:pos="567"/>
        </w:tabs>
        <w:autoSpaceDE w:val="0"/>
        <w:autoSpaceDN w:val="0"/>
        <w:spacing w:line="240" w:lineRule="auto"/>
        <w:rPr>
          <w:snapToGrid/>
          <w:szCs w:val="22"/>
          <w:shd w:val="clear" w:color="auto" w:fill="CCCCCC"/>
          <w:lang w:val="lt-LT"/>
        </w:rPr>
      </w:pPr>
    </w:p>
    <w:p w14:paraId="59172F2D" w14:textId="77777777" w:rsidR="00890384" w:rsidRDefault="00B26795">
      <w:pPr>
        <w:widowControl w:val="0"/>
        <w:tabs>
          <w:tab w:val="clear" w:pos="567"/>
        </w:tabs>
        <w:autoSpaceDE w:val="0"/>
        <w:autoSpaceDN w:val="0"/>
        <w:spacing w:line="240" w:lineRule="auto"/>
        <w:rPr>
          <w:b/>
          <w:snapToGrid/>
          <w:szCs w:val="22"/>
          <w:lang w:val="lt-LT"/>
        </w:rPr>
      </w:pPr>
      <w:r>
        <w:rPr>
          <w:snapToGrid/>
          <w:szCs w:val="22"/>
          <w:lang w:val="lt-LT"/>
        </w:rPr>
        <w:br w:type="page"/>
      </w:r>
    </w:p>
    <w:p w14:paraId="6979B9B8" w14:textId="77777777" w:rsidR="00890384" w:rsidRDefault="00B26795">
      <w:pPr>
        <w:widowControl w:val="0"/>
        <w:pBdr>
          <w:top w:val="single" w:sz="4" w:space="1" w:color="auto"/>
          <w:left w:val="single" w:sz="4" w:space="4" w:color="auto"/>
          <w:bottom w:val="single" w:sz="4" w:space="1" w:color="auto"/>
          <w:right w:val="single" w:sz="4" w:space="4" w:color="auto"/>
        </w:pBdr>
        <w:tabs>
          <w:tab w:val="clear" w:pos="567"/>
          <w:tab w:val="left" w:pos="0"/>
        </w:tabs>
        <w:autoSpaceDE w:val="0"/>
        <w:autoSpaceDN w:val="0"/>
        <w:spacing w:line="240" w:lineRule="auto"/>
        <w:rPr>
          <w:b/>
          <w:snapToGrid/>
          <w:szCs w:val="22"/>
          <w:lang w:val="lt-LT"/>
        </w:rPr>
      </w:pPr>
      <w:r>
        <w:rPr>
          <w:b/>
          <w:snapToGrid/>
          <w:szCs w:val="22"/>
          <w:lang w:val="lt-LT"/>
        </w:rPr>
        <w:lastRenderedPageBreak/>
        <w:t>MINIMALI INFORMACIJA ANT LIZDINIŲ PLOKŠTELIŲ ARBA DVISLUOKSNIŲ JUOSTELIŲ</w:t>
      </w:r>
    </w:p>
    <w:p w14:paraId="7DD6C904" w14:textId="77777777" w:rsidR="00890384" w:rsidRDefault="00890384">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
          <w:snapToGrid/>
          <w:szCs w:val="22"/>
          <w:lang w:val="lt-LT"/>
        </w:rPr>
      </w:pPr>
    </w:p>
    <w:p w14:paraId="33EAA45A" w14:textId="77777777" w:rsidR="00890384" w:rsidRDefault="00B26795">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
          <w:snapToGrid/>
          <w:szCs w:val="22"/>
          <w:lang w:val="lt-LT"/>
        </w:rPr>
      </w:pPr>
      <w:r>
        <w:rPr>
          <w:b/>
          <w:snapToGrid/>
          <w:szCs w:val="22"/>
          <w:lang w:val="lt-LT"/>
        </w:rPr>
        <w:t>LIZDINĖ PLOKŠTELĖ</w:t>
      </w:r>
    </w:p>
    <w:p w14:paraId="4BAFDAF3" w14:textId="77777777" w:rsidR="00890384" w:rsidRDefault="00890384">
      <w:pPr>
        <w:widowControl w:val="0"/>
        <w:tabs>
          <w:tab w:val="clear" w:pos="567"/>
        </w:tabs>
        <w:autoSpaceDE w:val="0"/>
        <w:autoSpaceDN w:val="0"/>
        <w:spacing w:line="240" w:lineRule="auto"/>
        <w:rPr>
          <w:snapToGrid/>
          <w:szCs w:val="22"/>
          <w:lang w:val="lt-LT"/>
        </w:rPr>
      </w:pPr>
    </w:p>
    <w:p w14:paraId="346F7658" w14:textId="77777777" w:rsidR="00890384" w:rsidRDefault="00890384">
      <w:pPr>
        <w:widowControl w:val="0"/>
        <w:tabs>
          <w:tab w:val="clear" w:pos="567"/>
        </w:tabs>
        <w:autoSpaceDE w:val="0"/>
        <w:autoSpaceDN w:val="0"/>
        <w:spacing w:line="240" w:lineRule="auto"/>
        <w:rPr>
          <w:snapToGrid/>
          <w:szCs w:val="22"/>
          <w:lang w:val="lt-LT"/>
        </w:rPr>
      </w:pPr>
    </w:p>
    <w:p w14:paraId="331BCE2F" w14:textId="77777777" w:rsidR="00890384" w:rsidRDefault="00B26795">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VAISTINIO PREPARATO PAVADINIMAS</w:t>
      </w:r>
    </w:p>
    <w:p w14:paraId="4CC1AE1A" w14:textId="77777777" w:rsidR="00890384" w:rsidRDefault="00890384">
      <w:pPr>
        <w:widowControl w:val="0"/>
        <w:tabs>
          <w:tab w:val="clear" w:pos="567"/>
        </w:tabs>
        <w:autoSpaceDE w:val="0"/>
        <w:autoSpaceDN w:val="0"/>
        <w:spacing w:line="240" w:lineRule="auto"/>
        <w:rPr>
          <w:i/>
          <w:snapToGrid/>
          <w:szCs w:val="22"/>
          <w:lang w:val="lt-LT"/>
        </w:rPr>
      </w:pPr>
    </w:p>
    <w:p w14:paraId="3D40EACB"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2,5 mg plėvele dengtos tabletės</w:t>
      </w:r>
    </w:p>
    <w:p w14:paraId="7E7C554B"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highlight w:val="lightGray"/>
          <w:lang w:val="lt-LT"/>
        </w:rPr>
        <w:t>Aboxoma</w:t>
      </w:r>
      <w:r>
        <w:rPr>
          <w:snapToGrid/>
          <w:szCs w:val="22"/>
          <w:highlight w:val="lightGray"/>
          <w:lang w:val="lt-LT"/>
        </w:rPr>
        <w:t xml:space="preserve"> 5 mg plėvele dengtos tabletės</w:t>
      </w:r>
    </w:p>
    <w:p w14:paraId="02E11F80" w14:textId="77777777" w:rsidR="00890384" w:rsidRDefault="00890384">
      <w:pPr>
        <w:widowControl w:val="0"/>
        <w:tabs>
          <w:tab w:val="clear" w:pos="567"/>
        </w:tabs>
        <w:autoSpaceDE w:val="0"/>
        <w:autoSpaceDN w:val="0"/>
        <w:spacing w:line="240" w:lineRule="auto"/>
        <w:rPr>
          <w:snapToGrid/>
          <w:szCs w:val="22"/>
          <w:lang w:val="lt-LT"/>
        </w:rPr>
      </w:pPr>
    </w:p>
    <w:p w14:paraId="118231B7" w14:textId="77777777" w:rsidR="00890384" w:rsidRDefault="00B26795">
      <w:pPr>
        <w:widowControl w:val="0"/>
        <w:tabs>
          <w:tab w:val="clear" w:pos="567"/>
        </w:tabs>
        <w:autoSpaceDE w:val="0"/>
        <w:autoSpaceDN w:val="0"/>
        <w:spacing w:line="240" w:lineRule="auto"/>
        <w:rPr>
          <w:i/>
          <w:iCs/>
          <w:snapToGrid/>
          <w:szCs w:val="22"/>
          <w:highlight w:val="lightGray"/>
          <w:lang w:val="lt-LT"/>
        </w:rPr>
      </w:pPr>
      <w:r>
        <w:rPr>
          <w:i/>
          <w:iCs/>
          <w:snapToGrid/>
          <w:szCs w:val="22"/>
          <w:highlight w:val="lightGray"/>
          <w:lang w:val="lt-LT"/>
        </w:rPr>
        <w:t>Daugiakalbei lizdinei plokštelei</w:t>
      </w:r>
    </w:p>
    <w:p w14:paraId="4ABA0682"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2,5 mg tabletės</w:t>
      </w:r>
    </w:p>
    <w:p w14:paraId="5D988F94"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highlight w:val="lightGray"/>
          <w:lang w:val="lt-LT"/>
        </w:rPr>
        <w:t>Aboxoma</w:t>
      </w:r>
      <w:r>
        <w:rPr>
          <w:snapToGrid/>
          <w:szCs w:val="22"/>
          <w:highlight w:val="lightGray"/>
          <w:lang w:val="lt-LT"/>
        </w:rPr>
        <w:t xml:space="preserve"> 5 mg tabletės</w:t>
      </w:r>
    </w:p>
    <w:p w14:paraId="40C8FF40" w14:textId="77777777" w:rsidR="00890384" w:rsidRDefault="00890384">
      <w:pPr>
        <w:widowControl w:val="0"/>
        <w:tabs>
          <w:tab w:val="clear" w:pos="567"/>
        </w:tabs>
        <w:autoSpaceDE w:val="0"/>
        <w:autoSpaceDN w:val="0"/>
        <w:spacing w:line="240" w:lineRule="auto"/>
        <w:rPr>
          <w:snapToGrid/>
          <w:szCs w:val="22"/>
          <w:lang w:val="lt-LT"/>
        </w:rPr>
      </w:pPr>
    </w:p>
    <w:p w14:paraId="79F515F6" w14:textId="77777777" w:rsidR="00890384" w:rsidRDefault="00B26795">
      <w:pPr>
        <w:widowControl w:val="0"/>
        <w:tabs>
          <w:tab w:val="clear" w:pos="567"/>
        </w:tabs>
        <w:autoSpaceDE w:val="0"/>
        <w:autoSpaceDN w:val="0"/>
        <w:spacing w:line="240" w:lineRule="auto"/>
        <w:rPr>
          <w:b/>
          <w:snapToGrid/>
          <w:szCs w:val="22"/>
          <w:lang w:val="lt-LT"/>
        </w:rPr>
      </w:pPr>
      <w:r>
        <w:rPr>
          <w:snapToGrid/>
          <w:szCs w:val="22"/>
          <w:lang w:val="lt-LT"/>
        </w:rPr>
        <w:t>apiksabanas</w:t>
      </w:r>
    </w:p>
    <w:p w14:paraId="4A5864CB" w14:textId="77777777" w:rsidR="00890384" w:rsidRDefault="00890384">
      <w:pPr>
        <w:widowControl w:val="0"/>
        <w:tabs>
          <w:tab w:val="clear" w:pos="567"/>
        </w:tabs>
        <w:autoSpaceDE w:val="0"/>
        <w:autoSpaceDN w:val="0"/>
        <w:spacing w:line="240" w:lineRule="auto"/>
        <w:rPr>
          <w:snapToGrid/>
          <w:szCs w:val="22"/>
          <w:lang w:val="lt-LT"/>
        </w:rPr>
      </w:pPr>
    </w:p>
    <w:p w14:paraId="3C1FA546" w14:textId="77777777" w:rsidR="00890384" w:rsidRDefault="00890384">
      <w:pPr>
        <w:widowControl w:val="0"/>
        <w:tabs>
          <w:tab w:val="clear" w:pos="567"/>
        </w:tabs>
        <w:autoSpaceDE w:val="0"/>
        <w:autoSpaceDN w:val="0"/>
        <w:spacing w:line="240" w:lineRule="auto"/>
        <w:rPr>
          <w:snapToGrid/>
          <w:szCs w:val="22"/>
          <w:lang w:val="lt-LT"/>
        </w:rPr>
      </w:pPr>
    </w:p>
    <w:p w14:paraId="25144CFE" w14:textId="77777777" w:rsidR="00890384" w:rsidRDefault="00B26795">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REGISTRUOTOJO PAVADINIMAS</w:t>
      </w:r>
    </w:p>
    <w:p w14:paraId="16DA6898" w14:textId="77777777" w:rsidR="00890384" w:rsidRDefault="00890384">
      <w:pPr>
        <w:widowControl w:val="0"/>
        <w:tabs>
          <w:tab w:val="clear" w:pos="567"/>
        </w:tabs>
        <w:autoSpaceDE w:val="0"/>
        <w:autoSpaceDN w:val="0"/>
        <w:spacing w:line="240" w:lineRule="auto"/>
        <w:rPr>
          <w:snapToGrid/>
          <w:szCs w:val="22"/>
          <w:lang w:val="lt-LT"/>
        </w:rPr>
      </w:pPr>
    </w:p>
    <w:p w14:paraId="53EB4B29" w14:textId="77777777" w:rsidR="00890384" w:rsidRDefault="00B26795">
      <w:pPr>
        <w:rPr>
          <w:snapToGrid/>
          <w:szCs w:val="22"/>
          <w:lang w:val="lt-LT"/>
        </w:rPr>
      </w:pPr>
      <w:r>
        <w:rPr>
          <w:snapToGrid/>
          <w:szCs w:val="22"/>
          <w:lang w:val="lt-LT"/>
        </w:rPr>
        <w:t>KRKA</w:t>
      </w:r>
    </w:p>
    <w:p w14:paraId="04AF49BA" w14:textId="77777777" w:rsidR="00890384" w:rsidRDefault="00890384">
      <w:pPr>
        <w:widowControl w:val="0"/>
        <w:tabs>
          <w:tab w:val="clear" w:pos="567"/>
        </w:tabs>
        <w:autoSpaceDE w:val="0"/>
        <w:autoSpaceDN w:val="0"/>
        <w:spacing w:line="240" w:lineRule="auto"/>
        <w:rPr>
          <w:snapToGrid/>
          <w:szCs w:val="22"/>
          <w:lang w:val="lt-LT"/>
        </w:rPr>
      </w:pPr>
    </w:p>
    <w:p w14:paraId="53AC1247" w14:textId="77777777" w:rsidR="00890384" w:rsidRDefault="00890384">
      <w:pPr>
        <w:widowControl w:val="0"/>
        <w:tabs>
          <w:tab w:val="clear" w:pos="567"/>
        </w:tabs>
        <w:autoSpaceDE w:val="0"/>
        <w:autoSpaceDN w:val="0"/>
        <w:spacing w:line="240" w:lineRule="auto"/>
        <w:rPr>
          <w:snapToGrid/>
          <w:szCs w:val="22"/>
          <w:lang w:val="lt-LT"/>
        </w:rPr>
      </w:pPr>
    </w:p>
    <w:p w14:paraId="0B45FFFE" w14:textId="77777777" w:rsidR="00890384" w:rsidRDefault="00B26795">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TINKAMUMO LAIKAS</w:t>
      </w:r>
    </w:p>
    <w:p w14:paraId="177A70B8" w14:textId="77777777" w:rsidR="00890384" w:rsidRDefault="00890384">
      <w:pPr>
        <w:widowControl w:val="0"/>
        <w:tabs>
          <w:tab w:val="clear" w:pos="567"/>
        </w:tabs>
        <w:autoSpaceDE w:val="0"/>
        <w:autoSpaceDN w:val="0"/>
        <w:spacing w:line="240" w:lineRule="auto"/>
        <w:rPr>
          <w:snapToGrid/>
          <w:szCs w:val="22"/>
          <w:lang w:val="lt-LT"/>
        </w:rPr>
      </w:pPr>
    </w:p>
    <w:p w14:paraId="4F42F43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EXP</w:t>
      </w:r>
    </w:p>
    <w:p w14:paraId="569FFD15" w14:textId="77777777" w:rsidR="00890384" w:rsidRDefault="00890384">
      <w:pPr>
        <w:widowControl w:val="0"/>
        <w:tabs>
          <w:tab w:val="clear" w:pos="567"/>
        </w:tabs>
        <w:autoSpaceDE w:val="0"/>
        <w:autoSpaceDN w:val="0"/>
        <w:spacing w:line="240" w:lineRule="auto"/>
        <w:rPr>
          <w:snapToGrid/>
          <w:szCs w:val="22"/>
          <w:lang w:val="lt-LT"/>
        </w:rPr>
      </w:pPr>
    </w:p>
    <w:p w14:paraId="52BCE851" w14:textId="77777777" w:rsidR="00890384" w:rsidRDefault="00890384">
      <w:pPr>
        <w:widowControl w:val="0"/>
        <w:tabs>
          <w:tab w:val="clear" w:pos="567"/>
        </w:tabs>
        <w:autoSpaceDE w:val="0"/>
        <w:autoSpaceDN w:val="0"/>
        <w:spacing w:line="240" w:lineRule="auto"/>
        <w:rPr>
          <w:snapToGrid/>
          <w:szCs w:val="22"/>
          <w:lang w:val="lt-LT"/>
        </w:rPr>
      </w:pPr>
    </w:p>
    <w:p w14:paraId="34295586" w14:textId="77777777" w:rsidR="00890384" w:rsidRDefault="00B26795">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SERIJOS NUMERIS</w:t>
      </w:r>
    </w:p>
    <w:p w14:paraId="30C2D750" w14:textId="77777777" w:rsidR="00890384" w:rsidRDefault="00890384">
      <w:pPr>
        <w:widowControl w:val="0"/>
        <w:tabs>
          <w:tab w:val="clear" w:pos="567"/>
        </w:tabs>
        <w:autoSpaceDE w:val="0"/>
        <w:autoSpaceDN w:val="0"/>
        <w:spacing w:line="240" w:lineRule="auto"/>
        <w:rPr>
          <w:snapToGrid/>
          <w:szCs w:val="22"/>
          <w:lang w:val="lt-LT"/>
        </w:rPr>
      </w:pPr>
    </w:p>
    <w:p w14:paraId="3DCAE58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Lot</w:t>
      </w:r>
    </w:p>
    <w:p w14:paraId="2BD4B1EE" w14:textId="77777777" w:rsidR="00890384" w:rsidRDefault="00890384">
      <w:pPr>
        <w:widowControl w:val="0"/>
        <w:tabs>
          <w:tab w:val="clear" w:pos="567"/>
        </w:tabs>
        <w:autoSpaceDE w:val="0"/>
        <w:autoSpaceDN w:val="0"/>
        <w:spacing w:line="240" w:lineRule="auto"/>
        <w:rPr>
          <w:snapToGrid/>
          <w:szCs w:val="22"/>
          <w:lang w:val="lt-LT"/>
        </w:rPr>
      </w:pPr>
    </w:p>
    <w:p w14:paraId="19BAC64A" w14:textId="77777777" w:rsidR="00890384" w:rsidRDefault="00890384">
      <w:pPr>
        <w:widowControl w:val="0"/>
        <w:tabs>
          <w:tab w:val="clear" w:pos="567"/>
        </w:tabs>
        <w:autoSpaceDE w:val="0"/>
        <w:autoSpaceDN w:val="0"/>
        <w:spacing w:line="240" w:lineRule="auto"/>
        <w:rPr>
          <w:snapToGrid/>
          <w:szCs w:val="22"/>
          <w:lang w:val="lt-LT"/>
        </w:rPr>
      </w:pPr>
    </w:p>
    <w:p w14:paraId="2D55BBA8" w14:textId="77777777" w:rsidR="00890384" w:rsidRDefault="00B26795">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KITA</w:t>
      </w:r>
    </w:p>
    <w:p w14:paraId="4D0CED67" w14:textId="77777777" w:rsidR="00890384" w:rsidRDefault="00890384">
      <w:pPr>
        <w:widowControl w:val="0"/>
        <w:tabs>
          <w:tab w:val="clear" w:pos="567"/>
        </w:tabs>
        <w:autoSpaceDE w:val="0"/>
        <w:autoSpaceDN w:val="0"/>
        <w:spacing w:line="240" w:lineRule="auto"/>
        <w:rPr>
          <w:snapToGrid/>
          <w:szCs w:val="22"/>
          <w:lang w:val="lt-LT"/>
        </w:rPr>
      </w:pPr>
    </w:p>
    <w:p w14:paraId="03FC6C4D" w14:textId="77777777" w:rsidR="00890384" w:rsidRPr="005261E3" w:rsidRDefault="00B26795">
      <w:pPr>
        <w:widowControl w:val="0"/>
        <w:rPr>
          <w:iCs/>
          <w:szCs w:val="22"/>
          <w:lang w:val="lt-LT"/>
        </w:rPr>
      </w:pPr>
      <w:r w:rsidRPr="005261E3">
        <w:rPr>
          <w:iCs/>
          <w:szCs w:val="22"/>
          <w:lang w:val="lt-LT"/>
        </w:rPr>
        <w:t>saulė (simbolis)</w:t>
      </w:r>
    </w:p>
    <w:p w14:paraId="05D37E53" w14:textId="77777777" w:rsidR="00890384" w:rsidRDefault="00B26795">
      <w:pPr>
        <w:widowControl w:val="0"/>
        <w:rPr>
          <w:iCs/>
          <w:szCs w:val="22"/>
          <w:lang w:val="lt-LT"/>
        </w:rPr>
      </w:pPr>
      <w:r w:rsidRPr="005261E3">
        <w:rPr>
          <w:iCs/>
          <w:szCs w:val="22"/>
          <w:lang w:val="lt-LT"/>
        </w:rPr>
        <w:t>mėnulis (simbolis)</w:t>
      </w:r>
    </w:p>
    <w:p w14:paraId="1DA1DA0C" w14:textId="77777777" w:rsidR="00890384" w:rsidRPr="005261E3" w:rsidRDefault="00890384">
      <w:pPr>
        <w:widowControl w:val="0"/>
        <w:rPr>
          <w:iCs/>
          <w:szCs w:val="22"/>
          <w:lang w:val="lt-LT"/>
        </w:rPr>
      </w:pPr>
    </w:p>
    <w:p w14:paraId="6536B20F" w14:textId="33B82D9A" w:rsidR="00890384" w:rsidRPr="005261E3" w:rsidRDefault="00890384">
      <w:pPr>
        <w:widowControl w:val="0"/>
        <w:rPr>
          <w:i/>
          <w:szCs w:val="22"/>
          <w:highlight w:val="lightGray"/>
          <w:lang w:val="lt-LT"/>
        </w:rPr>
      </w:pPr>
    </w:p>
    <w:p w14:paraId="7E59D006" w14:textId="77777777" w:rsidR="00890384" w:rsidRDefault="00B26795">
      <w:pPr>
        <w:widowControl w:val="0"/>
        <w:rPr>
          <w:iCs/>
          <w:szCs w:val="22"/>
          <w:highlight w:val="lightGray"/>
          <w:lang w:val="lt-LT"/>
        </w:rPr>
      </w:pPr>
      <w:r>
        <w:rPr>
          <w:iCs/>
          <w:szCs w:val="22"/>
          <w:highlight w:val="lightGray"/>
          <w:lang w:val="lt-LT"/>
        </w:rPr>
        <w:t>P.</w:t>
      </w:r>
    </w:p>
    <w:p w14:paraId="568E6991" w14:textId="77777777" w:rsidR="00890384" w:rsidRDefault="00B26795">
      <w:pPr>
        <w:widowControl w:val="0"/>
        <w:rPr>
          <w:iCs/>
          <w:szCs w:val="22"/>
          <w:highlight w:val="lightGray"/>
          <w:lang w:val="lt-LT"/>
        </w:rPr>
      </w:pPr>
      <w:r>
        <w:rPr>
          <w:iCs/>
          <w:szCs w:val="22"/>
          <w:highlight w:val="lightGray"/>
          <w:lang w:val="lt-LT"/>
        </w:rPr>
        <w:t>A.</w:t>
      </w:r>
    </w:p>
    <w:p w14:paraId="3074D564" w14:textId="77777777" w:rsidR="00890384" w:rsidRDefault="00B26795">
      <w:pPr>
        <w:widowControl w:val="0"/>
        <w:rPr>
          <w:iCs/>
          <w:szCs w:val="22"/>
          <w:highlight w:val="lightGray"/>
          <w:lang w:val="lt-LT"/>
        </w:rPr>
      </w:pPr>
      <w:r>
        <w:rPr>
          <w:iCs/>
          <w:szCs w:val="22"/>
          <w:highlight w:val="lightGray"/>
          <w:lang w:val="lt-LT"/>
        </w:rPr>
        <w:t>T.</w:t>
      </w:r>
    </w:p>
    <w:p w14:paraId="0D2B1E85" w14:textId="77777777" w:rsidR="00890384" w:rsidRDefault="00B26795">
      <w:pPr>
        <w:widowControl w:val="0"/>
        <w:rPr>
          <w:iCs/>
          <w:szCs w:val="22"/>
          <w:highlight w:val="lightGray"/>
          <w:lang w:val="lt-LT"/>
        </w:rPr>
      </w:pPr>
      <w:r>
        <w:rPr>
          <w:iCs/>
          <w:szCs w:val="22"/>
          <w:highlight w:val="lightGray"/>
          <w:lang w:val="lt-LT"/>
        </w:rPr>
        <w:t>K.</w:t>
      </w:r>
    </w:p>
    <w:p w14:paraId="4A3E88D7" w14:textId="77777777" w:rsidR="00890384" w:rsidRDefault="00B26795">
      <w:pPr>
        <w:widowControl w:val="0"/>
        <w:rPr>
          <w:iCs/>
          <w:szCs w:val="22"/>
          <w:highlight w:val="lightGray"/>
          <w:lang w:val="lt-LT"/>
        </w:rPr>
      </w:pPr>
      <w:r>
        <w:rPr>
          <w:iCs/>
          <w:szCs w:val="22"/>
          <w:highlight w:val="lightGray"/>
          <w:lang w:val="lt-LT"/>
        </w:rPr>
        <w:t>Pn.</w:t>
      </w:r>
    </w:p>
    <w:p w14:paraId="5C14869B" w14:textId="77777777" w:rsidR="00890384" w:rsidRDefault="00B26795">
      <w:pPr>
        <w:widowControl w:val="0"/>
        <w:rPr>
          <w:iCs/>
          <w:szCs w:val="22"/>
          <w:highlight w:val="lightGray"/>
          <w:lang w:val="lt-LT"/>
        </w:rPr>
      </w:pPr>
      <w:r>
        <w:rPr>
          <w:iCs/>
          <w:szCs w:val="22"/>
          <w:highlight w:val="lightGray"/>
          <w:lang w:val="lt-LT"/>
        </w:rPr>
        <w:t>Š.</w:t>
      </w:r>
    </w:p>
    <w:p w14:paraId="1A7CD4BC" w14:textId="77777777" w:rsidR="00890384" w:rsidRDefault="00B26795">
      <w:pPr>
        <w:widowControl w:val="0"/>
        <w:rPr>
          <w:iCs/>
          <w:szCs w:val="22"/>
          <w:highlight w:val="lightGray"/>
          <w:lang w:val="lt-LT"/>
        </w:rPr>
      </w:pPr>
      <w:r>
        <w:rPr>
          <w:iCs/>
          <w:szCs w:val="22"/>
          <w:highlight w:val="lightGray"/>
          <w:lang w:val="lt-LT"/>
        </w:rPr>
        <w:t>S</w:t>
      </w:r>
    </w:p>
    <w:p w14:paraId="41F9DD67" w14:textId="77777777" w:rsidR="00890384" w:rsidRDefault="00890384">
      <w:pPr>
        <w:widowControl w:val="0"/>
        <w:tabs>
          <w:tab w:val="clear" w:pos="567"/>
        </w:tabs>
        <w:autoSpaceDE w:val="0"/>
        <w:autoSpaceDN w:val="0"/>
        <w:spacing w:line="240" w:lineRule="auto"/>
        <w:rPr>
          <w:snapToGrid/>
          <w:szCs w:val="22"/>
          <w:lang w:val="lt-LT"/>
        </w:rPr>
      </w:pPr>
    </w:p>
    <w:p w14:paraId="29AF9F9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br w:type="page"/>
      </w:r>
    </w:p>
    <w:p w14:paraId="518A68A1" w14:textId="3BBA4330" w:rsidR="00890384" w:rsidRDefault="00B26795">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107"/>
        <w:rPr>
          <w:b/>
          <w:snapToGrid/>
          <w:szCs w:val="22"/>
          <w:lang w:val="lt-LT"/>
        </w:rPr>
      </w:pPr>
      <w:r>
        <w:rPr>
          <w:b/>
          <w:snapToGrid/>
          <w:szCs w:val="22"/>
          <w:lang w:val="lt-LT"/>
        </w:rPr>
        <w:lastRenderedPageBreak/>
        <w:t>PACIENTO KORTELĖ</w:t>
      </w:r>
    </w:p>
    <w:p w14:paraId="45DCBD3B" w14:textId="77777777" w:rsidR="00890384" w:rsidRDefault="00890384">
      <w:pPr>
        <w:widowControl w:val="0"/>
        <w:tabs>
          <w:tab w:val="clear" w:pos="567"/>
        </w:tabs>
        <w:autoSpaceDE w:val="0"/>
        <w:autoSpaceDN w:val="0"/>
        <w:spacing w:line="240" w:lineRule="auto"/>
        <w:ind w:left="118"/>
        <w:rPr>
          <w:snapToGrid/>
          <w:sz w:val="20"/>
          <w:szCs w:val="22"/>
          <w:lang w:val="lt-LT"/>
        </w:rPr>
      </w:pPr>
    </w:p>
    <w:p w14:paraId="40546AFB" w14:textId="77777777" w:rsidR="00890384" w:rsidRDefault="00B26795">
      <w:pPr>
        <w:widowControl w:val="0"/>
        <w:tabs>
          <w:tab w:val="clear" w:pos="567"/>
        </w:tabs>
        <w:autoSpaceDE w:val="0"/>
        <w:autoSpaceDN w:val="0"/>
        <w:spacing w:line="240" w:lineRule="auto"/>
        <w:rPr>
          <w:b/>
          <w:snapToGrid/>
          <w:szCs w:val="22"/>
          <w:lang w:val="lt-LT"/>
        </w:rPr>
      </w:pPr>
      <w:r>
        <w:rPr>
          <w:b/>
          <w:snapToGrid/>
          <w:color w:val="000000"/>
          <w:szCs w:val="22"/>
          <w:lang w:val="lt-LT"/>
        </w:rPr>
        <w:t>Aboxoma</w:t>
      </w:r>
      <w:r>
        <w:rPr>
          <w:b/>
          <w:snapToGrid/>
          <w:szCs w:val="22"/>
          <w:lang w:val="lt-LT"/>
        </w:rPr>
        <w:t xml:space="preserve"> (apiksabanas) </w:t>
      </w:r>
    </w:p>
    <w:p w14:paraId="01990444" w14:textId="77777777" w:rsidR="00890384" w:rsidRDefault="00890384">
      <w:pPr>
        <w:widowControl w:val="0"/>
        <w:tabs>
          <w:tab w:val="clear" w:pos="567"/>
        </w:tabs>
        <w:autoSpaceDE w:val="0"/>
        <w:autoSpaceDN w:val="0"/>
        <w:spacing w:line="240" w:lineRule="auto"/>
        <w:rPr>
          <w:b/>
          <w:snapToGrid/>
          <w:szCs w:val="22"/>
          <w:lang w:val="lt-LT"/>
        </w:rPr>
      </w:pPr>
    </w:p>
    <w:p w14:paraId="66455973" w14:textId="73B064E5"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Paciento kortelė</w:t>
      </w:r>
    </w:p>
    <w:p w14:paraId="0D858C30" w14:textId="77777777" w:rsidR="00890384" w:rsidRDefault="00890384">
      <w:pPr>
        <w:widowControl w:val="0"/>
        <w:tabs>
          <w:tab w:val="clear" w:pos="567"/>
        </w:tabs>
        <w:autoSpaceDE w:val="0"/>
        <w:autoSpaceDN w:val="0"/>
        <w:spacing w:line="240" w:lineRule="auto"/>
        <w:rPr>
          <w:b/>
          <w:snapToGrid/>
          <w:szCs w:val="22"/>
          <w:lang w:val="lt-LT"/>
        </w:rPr>
      </w:pPr>
    </w:p>
    <w:p w14:paraId="575FD298"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Visada turėkite su savimi šią kortelę / Ši kortelė visada turi būti su vaiku ar globėju</w:t>
      </w:r>
    </w:p>
    <w:p w14:paraId="121F0429" w14:textId="77777777" w:rsidR="00890384" w:rsidRDefault="00890384">
      <w:pPr>
        <w:widowControl w:val="0"/>
        <w:tabs>
          <w:tab w:val="clear" w:pos="567"/>
        </w:tabs>
        <w:autoSpaceDE w:val="0"/>
        <w:autoSpaceDN w:val="0"/>
        <w:spacing w:line="240" w:lineRule="auto"/>
        <w:rPr>
          <w:b/>
          <w:snapToGrid/>
          <w:szCs w:val="22"/>
          <w:lang w:val="lt-LT"/>
        </w:rPr>
      </w:pPr>
    </w:p>
    <w:p w14:paraId="4AEF64CC" w14:textId="2D5D75F5"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Parodykite šią kortelę vaistininkui, odontologui ir kitiems sveikatos priežiūros specialistams, prieš pradedant gydymą.</w:t>
      </w:r>
    </w:p>
    <w:p w14:paraId="5CFAC006" w14:textId="77777777" w:rsidR="00890384" w:rsidRDefault="00890384">
      <w:pPr>
        <w:widowControl w:val="0"/>
        <w:tabs>
          <w:tab w:val="clear" w:pos="567"/>
        </w:tabs>
        <w:autoSpaceDE w:val="0"/>
        <w:autoSpaceDN w:val="0"/>
        <w:spacing w:line="240" w:lineRule="auto"/>
        <w:rPr>
          <w:b/>
          <w:snapToGrid/>
          <w:szCs w:val="22"/>
          <w:lang w:val="lt-LT"/>
        </w:rPr>
      </w:pPr>
    </w:p>
    <w:p w14:paraId="1AA57ED3"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 xml:space="preserve">Aš gydausi antikoaguliantų grupės vaistu </w:t>
      </w:r>
      <w:r>
        <w:rPr>
          <w:b/>
          <w:snapToGrid/>
          <w:color w:val="000000"/>
          <w:szCs w:val="22"/>
          <w:lang w:val="lt-LT"/>
        </w:rPr>
        <w:t>Aboxoma</w:t>
      </w:r>
      <w:r>
        <w:rPr>
          <w:b/>
          <w:snapToGrid/>
          <w:szCs w:val="22"/>
          <w:lang w:val="lt-LT"/>
        </w:rPr>
        <w:t xml:space="preserve"> (apiksabanu), kuris padeda apsisaugoti nuo kraujo krešulių susidarymo.</w:t>
      </w:r>
    </w:p>
    <w:p w14:paraId="59FF138E" w14:textId="77777777" w:rsidR="00890384" w:rsidRDefault="00890384">
      <w:pPr>
        <w:widowControl w:val="0"/>
        <w:tabs>
          <w:tab w:val="clear" w:pos="567"/>
        </w:tabs>
        <w:autoSpaceDE w:val="0"/>
        <w:autoSpaceDN w:val="0"/>
        <w:spacing w:line="240" w:lineRule="auto"/>
        <w:rPr>
          <w:b/>
          <w:snapToGrid/>
          <w:sz w:val="21"/>
          <w:szCs w:val="22"/>
          <w:lang w:val="lt-LT"/>
        </w:rPr>
      </w:pPr>
    </w:p>
    <w:p w14:paraId="299E238D"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Prašome užpildykite šį skyrių arba paprašykite užpildyti gydytojo</w:t>
      </w:r>
    </w:p>
    <w:p w14:paraId="32C6A07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Paciento vardas, pavardė:</w:t>
      </w:r>
    </w:p>
    <w:p w14:paraId="09065FE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Gimimo data:</w:t>
      </w:r>
    </w:p>
    <w:p w14:paraId="5498F72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Indikacija:</w:t>
      </w:r>
    </w:p>
    <w:p w14:paraId="0B4D964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Svoris (vaikams):</w:t>
      </w:r>
    </w:p>
    <w:p w14:paraId="3A8A6A0C" w14:textId="77777777" w:rsidR="00890384" w:rsidRDefault="00B26795">
      <w:pPr>
        <w:widowControl w:val="0"/>
        <w:tabs>
          <w:tab w:val="clear" w:pos="567"/>
          <w:tab w:val="left" w:pos="1506"/>
        </w:tabs>
        <w:autoSpaceDE w:val="0"/>
        <w:autoSpaceDN w:val="0"/>
        <w:spacing w:line="240" w:lineRule="auto"/>
        <w:rPr>
          <w:snapToGrid/>
          <w:szCs w:val="22"/>
          <w:lang w:val="lt-LT"/>
        </w:rPr>
      </w:pPr>
      <w:r>
        <w:rPr>
          <w:snapToGrid/>
          <w:szCs w:val="22"/>
          <w:lang w:val="lt-LT"/>
        </w:rPr>
        <w:t>Dozavimas:</w:t>
      </w:r>
      <w:r>
        <w:rPr>
          <w:snapToGrid/>
          <w:szCs w:val="22"/>
          <w:lang w:val="lt-LT"/>
        </w:rPr>
        <w:tab/>
        <w:t xml:space="preserve">mg du kartus per parą </w:t>
      </w:r>
    </w:p>
    <w:p w14:paraId="6B1322CD" w14:textId="77777777" w:rsidR="00890384" w:rsidRDefault="00B26795">
      <w:pPr>
        <w:widowControl w:val="0"/>
        <w:tabs>
          <w:tab w:val="clear" w:pos="567"/>
          <w:tab w:val="left" w:pos="1506"/>
        </w:tabs>
        <w:autoSpaceDE w:val="0"/>
        <w:autoSpaceDN w:val="0"/>
        <w:spacing w:line="240" w:lineRule="auto"/>
        <w:rPr>
          <w:snapToGrid/>
          <w:szCs w:val="22"/>
          <w:lang w:val="lt-LT"/>
        </w:rPr>
      </w:pPr>
      <w:r>
        <w:rPr>
          <w:snapToGrid/>
          <w:szCs w:val="22"/>
          <w:lang w:val="lt-LT"/>
        </w:rPr>
        <w:t>Gydytojo vardas, pavardė:</w:t>
      </w:r>
    </w:p>
    <w:p w14:paraId="582B078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Gydytojo telefono numeris:</w:t>
      </w:r>
    </w:p>
    <w:p w14:paraId="05CBFBF1" w14:textId="77777777" w:rsidR="00890384" w:rsidRDefault="00890384">
      <w:pPr>
        <w:widowControl w:val="0"/>
        <w:tabs>
          <w:tab w:val="clear" w:pos="567"/>
        </w:tabs>
        <w:autoSpaceDE w:val="0"/>
        <w:autoSpaceDN w:val="0"/>
        <w:spacing w:line="240" w:lineRule="auto"/>
        <w:rPr>
          <w:snapToGrid/>
          <w:szCs w:val="22"/>
          <w:lang w:val="lt-LT"/>
        </w:rPr>
      </w:pPr>
    </w:p>
    <w:p w14:paraId="7D8D0DB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Informacija pacientams / globėjams</w:t>
      </w:r>
    </w:p>
    <w:p w14:paraId="2754E68D" w14:textId="77777777" w:rsidR="00890384" w:rsidRDefault="00890384">
      <w:pPr>
        <w:widowControl w:val="0"/>
        <w:tabs>
          <w:tab w:val="clear" w:pos="567"/>
        </w:tabs>
        <w:autoSpaceDE w:val="0"/>
        <w:autoSpaceDN w:val="0"/>
        <w:spacing w:line="240" w:lineRule="auto"/>
        <w:outlineLvl w:val="1"/>
        <w:rPr>
          <w:b/>
          <w:bCs/>
          <w:snapToGrid/>
          <w:szCs w:val="22"/>
          <w:lang w:val="lt-LT"/>
        </w:rPr>
      </w:pPr>
    </w:p>
    <w:p w14:paraId="7F1D6F6F" w14:textId="3C5C8AAA" w:rsidR="00890384" w:rsidRDefault="00B26795">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Reguliariai vartokite / duokite </w:t>
      </w:r>
      <w:r>
        <w:rPr>
          <w:snapToGrid/>
          <w:color w:val="000000"/>
          <w:szCs w:val="22"/>
          <w:lang w:val="lt-LT"/>
        </w:rPr>
        <w:t>Aboxoma</w:t>
      </w:r>
      <w:r>
        <w:rPr>
          <w:snapToGrid/>
          <w:szCs w:val="22"/>
          <w:lang w:val="lt-LT"/>
        </w:rPr>
        <w:t xml:space="preserve"> kaip nurodyta. Jeigu praleidote rytinę dozę, išgerkite / duokite ją iš karto, kai tik prisiminsite ir ją galima gerti / duoti kartu su vakarine doze. Praleistą vakaro dozę galima išgerti/suleisti tik tą patį vakarą. Kitą rytą nevartokite / neduokite dviejų dozių, o kitą dieną toliau laikykitės dozavimo grafiko du kartus per parą, kaip rekomenduojama.</w:t>
      </w:r>
    </w:p>
    <w:p w14:paraId="2748E8B7" w14:textId="77777777" w:rsidR="00890384" w:rsidRDefault="00B26795">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Nenutraukite </w:t>
      </w:r>
      <w:r>
        <w:rPr>
          <w:snapToGrid/>
          <w:color w:val="000000"/>
          <w:szCs w:val="22"/>
          <w:lang w:val="lt-LT"/>
        </w:rPr>
        <w:t>Aboxoma</w:t>
      </w:r>
      <w:r>
        <w:rPr>
          <w:snapToGrid/>
          <w:szCs w:val="22"/>
          <w:lang w:val="lt-LT"/>
        </w:rPr>
        <w:t xml:space="preserve"> vartojimo nepasitarę su gydytoju, nes pacientui yra insulto (suaugusiesiems) / kraujo krešulių (vaikams) ar kitokių komplikacijų pasireiškimo rizika.</w:t>
      </w:r>
    </w:p>
    <w:p w14:paraId="331483D5" w14:textId="77777777" w:rsidR="00890384" w:rsidRDefault="00B26795">
      <w:pPr>
        <w:widowControl w:val="0"/>
        <w:numPr>
          <w:ilvl w:val="0"/>
          <w:numId w:val="20"/>
        </w:numPr>
        <w:autoSpaceDE w:val="0"/>
        <w:autoSpaceDN w:val="0"/>
        <w:spacing w:line="240" w:lineRule="auto"/>
        <w:ind w:left="567"/>
        <w:rPr>
          <w:rFonts w:ascii="Symbol" w:hAnsi="Symbol"/>
          <w:snapToGrid/>
          <w:szCs w:val="22"/>
          <w:lang w:val="lt-LT"/>
        </w:rPr>
      </w:pPr>
      <w:r>
        <w:rPr>
          <w:snapToGrid/>
          <w:color w:val="000000"/>
          <w:szCs w:val="22"/>
          <w:lang w:val="lt-LT"/>
        </w:rPr>
        <w:t>Aboxoma</w:t>
      </w:r>
      <w:r>
        <w:rPr>
          <w:snapToGrid/>
          <w:szCs w:val="22"/>
          <w:lang w:val="lt-LT"/>
        </w:rPr>
        <w:t xml:space="preserve"> padeda skystinti kraują. Tačiau dėl to gali padidėti kraujavimo rizika.</w:t>
      </w:r>
    </w:p>
    <w:p w14:paraId="35124391" w14:textId="77777777" w:rsidR="00890384" w:rsidRDefault="00B26795">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Kraujavimo požymiai ir simptomai yra mėlynių atsiradimas ar kraujavimas po oda, deguto spalvos išmatos, kraujas šlapime, kraujavimas iš nosies, svaigulys, nuovargis, blyškumas ar silpnumas, staigus stiprus galvos skausmas, atkosėjimas krauju ar vėmimas krauju.</w:t>
      </w:r>
    </w:p>
    <w:p w14:paraId="18B6EC91" w14:textId="77777777" w:rsidR="00890384" w:rsidRDefault="00B26795">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Jeigu pasireiškia kraujavimas, kuris nenustoja savaime, </w:t>
      </w:r>
      <w:r>
        <w:rPr>
          <w:b/>
          <w:snapToGrid/>
          <w:szCs w:val="22"/>
          <w:lang w:val="lt-LT"/>
        </w:rPr>
        <w:t>nedelsdami kreipkitės medicininės pagalbos.</w:t>
      </w:r>
    </w:p>
    <w:p w14:paraId="3C9E36D1" w14:textId="77777777" w:rsidR="00890384" w:rsidRDefault="00B26795">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Jeigu Jums / pacientui reikia chirurginės operacijos arba bet kokios invazinės procedūros, informuokite gydantį gydytoją, kad vartojate </w:t>
      </w:r>
      <w:r>
        <w:rPr>
          <w:snapToGrid/>
          <w:color w:val="000000"/>
          <w:szCs w:val="22"/>
          <w:lang w:val="lt-LT"/>
        </w:rPr>
        <w:t>Aboxoma / informuokite sveikatos priežiūros paslaugų teikėją, kad vaikas vartoja Aboxoma</w:t>
      </w:r>
      <w:r>
        <w:rPr>
          <w:snapToGrid/>
          <w:szCs w:val="22"/>
          <w:lang w:val="lt-LT"/>
        </w:rPr>
        <w:t>.</w:t>
      </w:r>
    </w:p>
    <w:p w14:paraId="1CA9B5FC" w14:textId="77777777" w:rsidR="00890384" w:rsidRDefault="00890384">
      <w:pPr>
        <w:widowControl w:val="0"/>
        <w:tabs>
          <w:tab w:val="clear" w:pos="567"/>
        </w:tabs>
        <w:autoSpaceDE w:val="0"/>
        <w:autoSpaceDN w:val="0"/>
        <w:spacing w:line="240" w:lineRule="auto"/>
        <w:rPr>
          <w:snapToGrid/>
          <w:szCs w:val="22"/>
          <w:lang w:val="lt-LT"/>
        </w:rPr>
      </w:pPr>
    </w:p>
    <w:p w14:paraId="35B7580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Informacija sveikatos priežiūros specialistams</w:t>
      </w:r>
    </w:p>
    <w:p w14:paraId="55B878A1"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color w:val="000000"/>
          <w:szCs w:val="22"/>
          <w:lang w:val="lt-LT"/>
        </w:rPr>
        <w:t>Aboxoma</w:t>
      </w:r>
      <w:r>
        <w:rPr>
          <w:snapToGrid/>
          <w:szCs w:val="22"/>
          <w:lang w:val="lt-LT"/>
        </w:rPr>
        <w:t xml:space="preserve"> (apiksabanas) yra geriamasis antikoaguliantas, kuris veikia tiesiogiai selektyviai slopindamas Xa faktorių.</w:t>
      </w:r>
    </w:p>
    <w:p w14:paraId="20F896E6"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color w:val="000000"/>
          <w:szCs w:val="22"/>
          <w:lang w:val="lt-LT"/>
        </w:rPr>
        <w:t>Aboxoma</w:t>
      </w:r>
      <w:r>
        <w:rPr>
          <w:snapToGrid/>
          <w:szCs w:val="22"/>
          <w:lang w:val="lt-LT"/>
        </w:rPr>
        <w:t xml:space="preserve"> gali didinti kraujavimo riziką. Pasireiškus stipriam kraujavimui, </w:t>
      </w:r>
      <w:r>
        <w:rPr>
          <w:snapToGrid/>
          <w:color w:val="000000"/>
          <w:szCs w:val="22"/>
          <w:lang w:val="lt-LT"/>
        </w:rPr>
        <w:t>Aboxoma</w:t>
      </w:r>
      <w:r>
        <w:rPr>
          <w:snapToGrid/>
          <w:szCs w:val="22"/>
          <w:lang w:val="lt-LT"/>
        </w:rPr>
        <w:t xml:space="preserve"> vartojimą reikia nedelsiant nutraukti.</w:t>
      </w:r>
    </w:p>
    <w:p w14:paraId="7BC1CA4C"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 xml:space="preserve">Gydant </w:t>
      </w:r>
      <w:r>
        <w:rPr>
          <w:snapToGrid/>
          <w:color w:val="000000"/>
          <w:szCs w:val="22"/>
          <w:lang w:val="lt-LT"/>
        </w:rPr>
        <w:t>Aboxoma</w:t>
      </w:r>
      <w:r>
        <w:rPr>
          <w:snapToGrid/>
          <w:szCs w:val="22"/>
          <w:lang w:val="lt-LT"/>
        </w:rPr>
        <w:t>, įprastai stebėti ekspozicijos nereikia. Kalibruotas kiekybinis anti-Xa faktoriaus mėginys gali būti naudingas išskirtinėmis aplinkybėmis, pavyzdžiui, perdozavimo ir neatidėliotinos operacijos atvejais (protrombino laiko (PL), TNS ir aktyvinto dalinio tromboplastino laiko (aDTL) krešėjimo mėginių atlikti nerekomenduojama) – žr. PCS.</w:t>
      </w:r>
    </w:p>
    <w:p w14:paraId="547AB028"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Yra vaistinis preparatas, kuris neutralizuoja apiksabano slopinantį poveikį Xa faktoriui. Tačiau suaugusiesiems jo saugumas ir veiksmingumas vaikams nebuvo nustatytas (žr. andeksaneto alfa PCS).</w:t>
      </w:r>
    </w:p>
    <w:p w14:paraId="01C4D3C3" w14:textId="77777777" w:rsidR="00890384" w:rsidRDefault="00B26795">
      <w:pPr>
        <w:widowControl w:val="0"/>
        <w:autoSpaceDE w:val="0"/>
        <w:autoSpaceDN w:val="0"/>
        <w:spacing w:line="240" w:lineRule="auto"/>
        <w:rPr>
          <w:snapToGrid/>
          <w:szCs w:val="22"/>
          <w:lang w:val="lt-LT"/>
        </w:rPr>
      </w:pPr>
      <w:r>
        <w:rPr>
          <w:snapToGrid/>
          <w:szCs w:val="22"/>
          <w:lang w:val="lt-LT"/>
        </w:rPr>
        <w:br w:type="page"/>
      </w:r>
    </w:p>
    <w:p w14:paraId="76FCA286" w14:textId="77777777" w:rsidR="00890384" w:rsidRDefault="00890384">
      <w:pPr>
        <w:widowControl w:val="0"/>
        <w:tabs>
          <w:tab w:val="clear" w:pos="567"/>
        </w:tabs>
        <w:autoSpaceDE w:val="0"/>
        <w:autoSpaceDN w:val="0"/>
        <w:spacing w:line="240" w:lineRule="auto"/>
        <w:rPr>
          <w:snapToGrid/>
          <w:szCs w:val="22"/>
          <w:lang w:val="lt-LT"/>
        </w:rPr>
      </w:pPr>
    </w:p>
    <w:p w14:paraId="54F3E1D9" w14:textId="77777777" w:rsidR="00890384" w:rsidRDefault="00890384">
      <w:pPr>
        <w:widowControl w:val="0"/>
        <w:tabs>
          <w:tab w:val="clear" w:pos="567"/>
        </w:tabs>
        <w:autoSpaceDE w:val="0"/>
        <w:autoSpaceDN w:val="0"/>
        <w:spacing w:line="240" w:lineRule="auto"/>
        <w:rPr>
          <w:snapToGrid/>
          <w:szCs w:val="22"/>
          <w:lang w:val="lt-LT"/>
        </w:rPr>
      </w:pPr>
    </w:p>
    <w:p w14:paraId="2B2C1348" w14:textId="77777777" w:rsidR="00890384" w:rsidRDefault="00890384">
      <w:pPr>
        <w:widowControl w:val="0"/>
        <w:tabs>
          <w:tab w:val="clear" w:pos="567"/>
        </w:tabs>
        <w:autoSpaceDE w:val="0"/>
        <w:autoSpaceDN w:val="0"/>
        <w:spacing w:line="240" w:lineRule="auto"/>
        <w:rPr>
          <w:snapToGrid/>
          <w:szCs w:val="22"/>
          <w:lang w:val="lt-LT"/>
        </w:rPr>
      </w:pPr>
    </w:p>
    <w:p w14:paraId="54EC75A4" w14:textId="77777777" w:rsidR="00890384" w:rsidRDefault="00890384">
      <w:pPr>
        <w:widowControl w:val="0"/>
        <w:tabs>
          <w:tab w:val="clear" w:pos="567"/>
        </w:tabs>
        <w:autoSpaceDE w:val="0"/>
        <w:autoSpaceDN w:val="0"/>
        <w:spacing w:line="240" w:lineRule="auto"/>
        <w:rPr>
          <w:snapToGrid/>
          <w:szCs w:val="22"/>
          <w:lang w:val="lt-LT"/>
        </w:rPr>
      </w:pPr>
    </w:p>
    <w:p w14:paraId="0E69EF2B" w14:textId="77777777" w:rsidR="00890384" w:rsidRDefault="00890384">
      <w:pPr>
        <w:widowControl w:val="0"/>
        <w:tabs>
          <w:tab w:val="clear" w:pos="567"/>
        </w:tabs>
        <w:autoSpaceDE w:val="0"/>
        <w:autoSpaceDN w:val="0"/>
        <w:spacing w:line="240" w:lineRule="auto"/>
        <w:rPr>
          <w:snapToGrid/>
          <w:szCs w:val="22"/>
          <w:lang w:val="lt-LT"/>
        </w:rPr>
      </w:pPr>
    </w:p>
    <w:p w14:paraId="11090F41" w14:textId="77777777" w:rsidR="00890384" w:rsidRDefault="00890384">
      <w:pPr>
        <w:widowControl w:val="0"/>
        <w:tabs>
          <w:tab w:val="clear" w:pos="567"/>
        </w:tabs>
        <w:autoSpaceDE w:val="0"/>
        <w:autoSpaceDN w:val="0"/>
        <w:spacing w:line="240" w:lineRule="auto"/>
        <w:rPr>
          <w:snapToGrid/>
          <w:szCs w:val="22"/>
          <w:lang w:val="lt-LT"/>
        </w:rPr>
      </w:pPr>
    </w:p>
    <w:p w14:paraId="239AE0CB" w14:textId="77777777" w:rsidR="00890384" w:rsidRDefault="00890384">
      <w:pPr>
        <w:widowControl w:val="0"/>
        <w:tabs>
          <w:tab w:val="clear" w:pos="567"/>
        </w:tabs>
        <w:autoSpaceDE w:val="0"/>
        <w:autoSpaceDN w:val="0"/>
        <w:spacing w:line="240" w:lineRule="auto"/>
        <w:rPr>
          <w:snapToGrid/>
          <w:szCs w:val="22"/>
          <w:lang w:val="lt-LT"/>
        </w:rPr>
      </w:pPr>
    </w:p>
    <w:p w14:paraId="07AE9DB9" w14:textId="77777777" w:rsidR="00890384" w:rsidRDefault="00890384">
      <w:pPr>
        <w:widowControl w:val="0"/>
        <w:tabs>
          <w:tab w:val="clear" w:pos="567"/>
        </w:tabs>
        <w:autoSpaceDE w:val="0"/>
        <w:autoSpaceDN w:val="0"/>
        <w:spacing w:line="240" w:lineRule="auto"/>
        <w:rPr>
          <w:snapToGrid/>
          <w:szCs w:val="22"/>
          <w:lang w:val="lt-LT"/>
        </w:rPr>
      </w:pPr>
    </w:p>
    <w:p w14:paraId="50E56ABE" w14:textId="77777777" w:rsidR="00890384" w:rsidRDefault="00890384">
      <w:pPr>
        <w:widowControl w:val="0"/>
        <w:tabs>
          <w:tab w:val="clear" w:pos="567"/>
        </w:tabs>
        <w:autoSpaceDE w:val="0"/>
        <w:autoSpaceDN w:val="0"/>
        <w:spacing w:line="240" w:lineRule="auto"/>
        <w:rPr>
          <w:snapToGrid/>
          <w:szCs w:val="22"/>
          <w:lang w:val="lt-LT"/>
        </w:rPr>
      </w:pPr>
    </w:p>
    <w:p w14:paraId="0C3CDF22" w14:textId="77777777" w:rsidR="00890384" w:rsidRDefault="00890384">
      <w:pPr>
        <w:widowControl w:val="0"/>
        <w:tabs>
          <w:tab w:val="clear" w:pos="567"/>
        </w:tabs>
        <w:autoSpaceDE w:val="0"/>
        <w:autoSpaceDN w:val="0"/>
        <w:spacing w:line="240" w:lineRule="auto"/>
        <w:rPr>
          <w:snapToGrid/>
          <w:szCs w:val="22"/>
          <w:lang w:val="lt-LT"/>
        </w:rPr>
      </w:pPr>
    </w:p>
    <w:p w14:paraId="1648C23E" w14:textId="77777777" w:rsidR="00890384" w:rsidRDefault="00890384">
      <w:pPr>
        <w:widowControl w:val="0"/>
        <w:tabs>
          <w:tab w:val="clear" w:pos="567"/>
        </w:tabs>
        <w:autoSpaceDE w:val="0"/>
        <w:autoSpaceDN w:val="0"/>
        <w:spacing w:line="240" w:lineRule="auto"/>
        <w:rPr>
          <w:snapToGrid/>
          <w:szCs w:val="22"/>
          <w:lang w:val="lt-LT"/>
        </w:rPr>
      </w:pPr>
    </w:p>
    <w:p w14:paraId="0050826B" w14:textId="77777777" w:rsidR="00890384" w:rsidRDefault="00890384">
      <w:pPr>
        <w:widowControl w:val="0"/>
        <w:tabs>
          <w:tab w:val="clear" w:pos="567"/>
        </w:tabs>
        <w:autoSpaceDE w:val="0"/>
        <w:autoSpaceDN w:val="0"/>
        <w:spacing w:line="240" w:lineRule="auto"/>
        <w:rPr>
          <w:snapToGrid/>
          <w:szCs w:val="22"/>
          <w:lang w:val="lt-LT"/>
        </w:rPr>
      </w:pPr>
    </w:p>
    <w:p w14:paraId="2BA7F7B2" w14:textId="77777777" w:rsidR="00890384" w:rsidRDefault="00890384">
      <w:pPr>
        <w:widowControl w:val="0"/>
        <w:tabs>
          <w:tab w:val="clear" w:pos="567"/>
        </w:tabs>
        <w:autoSpaceDE w:val="0"/>
        <w:autoSpaceDN w:val="0"/>
        <w:spacing w:line="240" w:lineRule="auto"/>
        <w:rPr>
          <w:snapToGrid/>
          <w:szCs w:val="22"/>
          <w:lang w:val="lt-LT"/>
        </w:rPr>
      </w:pPr>
    </w:p>
    <w:p w14:paraId="65D643AD" w14:textId="77777777" w:rsidR="00890384" w:rsidRDefault="00890384">
      <w:pPr>
        <w:widowControl w:val="0"/>
        <w:tabs>
          <w:tab w:val="clear" w:pos="567"/>
        </w:tabs>
        <w:autoSpaceDE w:val="0"/>
        <w:autoSpaceDN w:val="0"/>
        <w:spacing w:line="240" w:lineRule="auto"/>
        <w:rPr>
          <w:snapToGrid/>
          <w:szCs w:val="22"/>
          <w:lang w:val="lt-LT"/>
        </w:rPr>
      </w:pPr>
    </w:p>
    <w:p w14:paraId="67EF2E2B" w14:textId="77777777" w:rsidR="00890384" w:rsidRDefault="00890384">
      <w:pPr>
        <w:widowControl w:val="0"/>
        <w:tabs>
          <w:tab w:val="clear" w:pos="567"/>
        </w:tabs>
        <w:autoSpaceDE w:val="0"/>
        <w:autoSpaceDN w:val="0"/>
        <w:spacing w:line="240" w:lineRule="auto"/>
        <w:rPr>
          <w:snapToGrid/>
          <w:szCs w:val="22"/>
          <w:lang w:val="lt-LT"/>
        </w:rPr>
      </w:pPr>
    </w:p>
    <w:p w14:paraId="5DCB1E28" w14:textId="77777777" w:rsidR="00890384" w:rsidRDefault="00890384">
      <w:pPr>
        <w:widowControl w:val="0"/>
        <w:tabs>
          <w:tab w:val="clear" w:pos="567"/>
        </w:tabs>
        <w:autoSpaceDE w:val="0"/>
        <w:autoSpaceDN w:val="0"/>
        <w:spacing w:line="240" w:lineRule="auto"/>
        <w:rPr>
          <w:snapToGrid/>
          <w:szCs w:val="22"/>
          <w:lang w:val="lt-LT"/>
        </w:rPr>
      </w:pPr>
    </w:p>
    <w:p w14:paraId="5450CC02" w14:textId="77777777" w:rsidR="00890384" w:rsidRDefault="00890384">
      <w:pPr>
        <w:widowControl w:val="0"/>
        <w:tabs>
          <w:tab w:val="clear" w:pos="567"/>
        </w:tabs>
        <w:autoSpaceDE w:val="0"/>
        <w:autoSpaceDN w:val="0"/>
        <w:spacing w:line="240" w:lineRule="auto"/>
        <w:rPr>
          <w:snapToGrid/>
          <w:szCs w:val="22"/>
          <w:lang w:val="lt-LT"/>
        </w:rPr>
      </w:pPr>
    </w:p>
    <w:p w14:paraId="3AAF3CA6" w14:textId="77777777" w:rsidR="00890384" w:rsidRDefault="00890384">
      <w:pPr>
        <w:widowControl w:val="0"/>
        <w:tabs>
          <w:tab w:val="clear" w:pos="567"/>
        </w:tabs>
        <w:autoSpaceDE w:val="0"/>
        <w:autoSpaceDN w:val="0"/>
        <w:spacing w:line="240" w:lineRule="auto"/>
        <w:rPr>
          <w:snapToGrid/>
          <w:szCs w:val="22"/>
          <w:lang w:val="lt-LT"/>
        </w:rPr>
      </w:pPr>
    </w:p>
    <w:p w14:paraId="6FB67090" w14:textId="77777777" w:rsidR="00890384" w:rsidRDefault="00890384">
      <w:pPr>
        <w:widowControl w:val="0"/>
        <w:tabs>
          <w:tab w:val="clear" w:pos="567"/>
        </w:tabs>
        <w:autoSpaceDE w:val="0"/>
        <w:autoSpaceDN w:val="0"/>
        <w:spacing w:line="240" w:lineRule="auto"/>
        <w:rPr>
          <w:snapToGrid/>
          <w:szCs w:val="22"/>
          <w:lang w:val="lt-LT"/>
        </w:rPr>
      </w:pPr>
    </w:p>
    <w:p w14:paraId="4509305C" w14:textId="77777777" w:rsidR="00890384" w:rsidRDefault="00890384">
      <w:pPr>
        <w:widowControl w:val="0"/>
        <w:tabs>
          <w:tab w:val="clear" w:pos="567"/>
        </w:tabs>
        <w:autoSpaceDE w:val="0"/>
        <w:autoSpaceDN w:val="0"/>
        <w:spacing w:line="240" w:lineRule="auto"/>
        <w:rPr>
          <w:snapToGrid/>
          <w:szCs w:val="22"/>
          <w:lang w:val="lt-LT"/>
        </w:rPr>
      </w:pPr>
    </w:p>
    <w:p w14:paraId="0C911091" w14:textId="77777777" w:rsidR="00890384" w:rsidRDefault="00890384">
      <w:pPr>
        <w:widowControl w:val="0"/>
        <w:tabs>
          <w:tab w:val="clear" w:pos="567"/>
        </w:tabs>
        <w:autoSpaceDE w:val="0"/>
        <w:autoSpaceDN w:val="0"/>
        <w:spacing w:line="240" w:lineRule="auto"/>
        <w:rPr>
          <w:snapToGrid/>
          <w:szCs w:val="22"/>
          <w:lang w:val="lt-LT"/>
        </w:rPr>
      </w:pPr>
    </w:p>
    <w:p w14:paraId="343547AB" w14:textId="77777777" w:rsidR="00890384" w:rsidRDefault="00890384">
      <w:pPr>
        <w:widowControl w:val="0"/>
        <w:tabs>
          <w:tab w:val="clear" w:pos="567"/>
        </w:tabs>
        <w:autoSpaceDE w:val="0"/>
        <w:autoSpaceDN w:val="0"/>
        <w:spacing w:line="240" w:lineRule="auto"/>
        <w:rPr>
          <w:snapToGrid/>
          <w:szCs w:val="22"/>
          <w:lang w:val="lt-LT"/>
        </w:rPr>
      </w:pPr>
    </w:p>
    <w:p w14:paraId="7B0B3F6A" w14:textId="77777777" w:rsidR="00890384" w:rsidRDefault="00890384">
      <w:pPr>
        <w:widowControl w:val="0"/>
        <w:tabs>
          <w:tab w:val="clear" w:pos="567"/>
        </w:tabs>
        <w:autoSpaceDE w:val="0"/>
        <w:autoSpaceDN w:val="0"/>
        <w:spacing w:line="240" w:lineRule="auto"/>
        <w:rPr>
          <w:snapToGrid/>
          <w:szCs w:val="22"/>
          <w:lang w:val="lt-LT"/>
        </w:rPr>
      </w:pPr>
    </w:p>
    <w:p w14:paraId="798CAC9B" w14:textId="77777777" w:rsidR="00890384" w:rsidRDefault="00B26795">
      <w:pPr>
        <w:widowControl w:val="0"/>
        <w:tabs>
          <w:tab w:val="clear" w:pos="567"/>
        </w:tabs>
        <w:autoSpaceDE w:val="0"/>
        <w:autoSpaceDN w:val="0"/>
        <w:spacing w:line="240" w:lineRule="auto"/>
        <w:jc w:val="center"/>
        <w:outlineLvl w:val="0"/>
        <w:rPr>
          <w:b/>
          <w:bCs/>
          <w:snapToGrid/>
          <w:szCs w:val="22"/>
          <w:lang w:val="lt-LT"/>
        </w:rPr>
      </w:pPr>
      <w:bookmarkStart w:id="7" w:name="B._PAKUOTĖS_LAPELIS"/>
      <w:bookmarkEnd w:id="7"/>
      <w:r>
        <w:rPr>
          <w:b/>
          <w:bCs/>
          <w:snapToGrid/>
          <w:szCs w:val="22"/>
          <w:lang w:val="lt-LT"/>
        </w:rPr>
        <w:t>B. PAKUOTĖS LAPELIS</w:t>
      </w:r>
    </w:p>
    <w:p w14:paraId="24C6B41D" w14:textId="77777777" w:rsidR="00890384" w:rsidRDefault="00B26795">
      <w:pPr>
        <w:widowControl w:val="0"/>
        <w:tabs>
          <w:tab w:val="clear" w:pos="567"/>
        </w:tabs>
        <w:autoSpaceDE w:val="0"/>
        <w:autoSpaceDN w:val="0"/>
        <w:spacing w:line="240" w:lineRule="auto"/>
        <w:jc w:val="center"/>
        <w:rPr>
          <w:b/>
          <w:bCs/>
          <w:snapToGrid/>
          <w:szCs w:val="22"/>
          <w:lang w:val="lt-LT"/>
        </w:rPr>
      </w:pPr>
      <w:r>
        <w:rPr>
          <w:snapToGrid/>
          <w:szCs w:val="22"/>
          <w:lang w:val="lt-LT"/>
        </w:rPr>
        <w:br w:type="page"/>
      </w:r>
      <w:r>
        <w:rPr>
          <w:b/>
          <w:bCs/>
          <w:snapToGrid/>
          <w:szCs w:val="22"/>
          <w:lang w:val="lt-LT"/>
        </w:rPr>
        <w:lastRenderedPageBreak/>
        <w:t>Pakuotės lapelis: informacija vartotojui</w:t>
      </w:r>
    </w:p>
    <w:p w14:paraId="75F89579" w14:textId="77777777" w:rsidR="00890384" w:rsidRDefault="00890384">
      <w:pPr>
        <w:widowControl w:val="0"/>
        <w:tabs>
          <w:tab w:val="clear" w:pos="567"/>
        </w:tabs>
        <w:autoSpaceDE w:val="0"/>
        <w:autoSpaceDN w:val="0"/>
        <w:spacing w:line="240" w:lineRule="auto"/>
        <w:rPr>
          <w:b/>
          <w:snapToGrid/>
          <w:szCs w:val="22"/>
          <w:lang w:val="lt-LT"/>
        </w:rPr>
      </w:pPr>
    </w:p>
    <w:p w14:paraId="5C8B3419" w14:textId="77777777" w:rsidR="00890384" w:rsidRDefault="00B26795">
      <w:pPr>
        <w:widowControl w:val="0"/>
        <w:tabs>
          <w:tab w:val="clear" w:pos="567"/>
        </w:tabs>
        <w:autoSpaceDE w:val="0"/>
        <w:autoSpaceDN w:val="0"/>
        <w:spacing w:line="240" w:lineRule="auto"/>
        <w:jc w:val="center"/>
        <w:rPr>
          <w:b/>
          <w:bCs/>
          <w:snapToGrid/>
          <w:szCs w:val="22"/>
          <w:lang w:val="lt-LT"/>
        </w:rPr>
      </w:pPr>
      <w:r>
        <w:rPr>
          <w:b/>
          <w:snapToGrid/>
          <w:color w:val="000000"/>
          <w:szCs w:val="22"/>
          <w:lang w:val="lt-LT"/>
        </w:rPr>
        <w:t>Aboxoma</w:t>
      </w:r>
      <w:r>
        <w:rPr>
          <w:b/>
          <w:bCs/>
          <w:snapToGrid/>
          <w:szCs w:val="22"/>
          <w:lang w:val="lt-LT"/>
        </w:rPr>
        <w:t xml:space="preserve"> 2,5 mg plėvele dengtos tabletės</w:t>
      </w:r>
    </w:p>
    <w:p w14:paraId="635A87B5"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apiksabanas</w:t>
      </w:r>
    </w:p>
    <w:p w14:paraId="231528C9" w14:textId="77777777" w:rsidR="00890384" w:rsidRDefault="00890384">
      <w:pPr>
        <w:widowControl w:val="0"/>
        <w:tabs>
          <w:tab w:val="clear" w:pos="567"/>
        </w:tabs>
        <w:autoSpaceDE w:val="0"/>
        <w:autoSpaceDN w:val="0"/>
        <w:spacing w:line="240" w:lineRule="auto"/>
        <w:rPr>
          <w:snapToGrid/>
          <w:szCs w:val="22"/>
          <w:lang w:val="lt-LT"/>
        </w:rPr>
      </w:pPr>
    </w:p>
    <w:p w14:paraId="7DCA6E6C"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59FB2968"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13706482"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59CC8E04"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17711189"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67BA85B1" w14:textId="77777777" w:rsidR="00890384" w:rsidRDefault="00890384">
      <w:pPr>
        <w:widowControl w:val="0"/>
        <w:tabs>
          <w:tab w:val="clear" w:pos="567"/>
        </w:tabs>
        <w:autoSpaceDE w:val="0"/>
        <w:autoSpaceDN w:val="0"/>
        <w:spacing w:line="240" w:lineRule="auto"/>
        <w:rPr>
          <w:snapToGrid/>
          <w:szCs w:val="22"/>
          <w:lang w:val="lt-LT"/>
        </w:rPr>
      </w:pPr>
    </w:p>
    <w:p w14:paraId="79A7B7BB"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3240785F" w14:textId="77777777" w:rsidR="00890384" w:rsidRDefault="00890384">
      <w:pPr>
        <w:widowControl w:val="0"/>
        <w:tabs>
          <w:tab w:val="clear" w:pos="567"/>
        </w:tabs>
        <w:autoSpaceDE w:val="0"/>
        <w:autoSpaceDN w:val="0"/>
        <w:spacing w:line="240" w:lineRule="auto"/>
        <w:ind w:left="540" w:hanging="540"/>
        <w:rPr>
          <w:b/>
          <w:snapToGrid/>
          <w:szCs w:val="22"/>
          <w:lang w:val="lt-LT"/>
        </w:rPr>
      </w:pPr>
    </w:p>
    <w:p w14:paraId="6E569CAA" w14:textId="77777777" w:rsidR="00890384" w:rsidRDefault="00B26795">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yra </w:t>
      </w:r>
      <w:r>
        <w:rPr>
          <w:snapToGrid/>
          <w:color w:val="000000"/>
          <w:szCs w:val="22"/>
          <w:lang w:val="lt-LT"/>
        </w:rPr>
        <w:t>Aboxoma</w:t>
      </w:r>
      <w:r>
        <w:rPr>
          <w:snapToGrid/>
          <w:szCs w:val="22"/>
          <w:lang w:val="lt-LT"/>
        </w:rPr>
        <w:t xml:space="preserve"> ir kam jis vartojamas</w:t>
      </w:r>
    </w:p>
    <w:p w14:paraId="0BC522E4" w14:textId="77777777" w:rsidR="00890384" w:rsidRDefault="00B26795">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žinotina prieš vartojant </w:t>
      </w:r>
      <w:r>
        <w:rPr>
          <w:snapToGrid/>
          <w:color w:val="000000"/>
          <w:szCs w:val="22"/>
          <w:lang w:val="lt-LT"/>
        </w:rPr>
        <w:t>Aboxoma</w:t>
      </w:r>
    </w:p>
    <w:p w14:paraId="24D8457E" w14:textId="77777777" w:rsidR="00890384" w:rsidRDefault="00B26795">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vartoti </w:t>
      </w:r>
      <w:r>
        <w:rPr>
          <w:snapToGrid/>
          <w:color w:val="000000"/>
          <w:szCs w:val="22"/>
          <w:lang w:val="lt-LT"/>
        </w:rPr>
        <w:t>Aboxoma</w:t>
      </w:r>
    </w:p>
    <w:p w14:paraId="17EEC340" w14:textId="77777777" w:rsidR="00890384" w:rsidRDefault="00B26795">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Galimas šalutinis poveikis</w:t>
      </w:r>
    </w:p>
    <w:p w14:paraId="3DC524E0" w14:textId="77777777" w:rsidR="00890384" w:rsidRDefault="00B26795">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laikyti </w:t>
      </w:r>
      <w:r>
        <w:rPr>
          <w:snapToGrid/>
          <w:color w:val="000000"/>
          <w:szCs w:val="22"/>
          <w:lang w:val="lt-LT"/>
        </w:rPr>
        <w:t>Aboxoma</w:t>
      </w:r>
    </w:p>
    <w:p w14:paraId="4F2468CF" w14:textId="77777777" w:rsidR="00890384" w:rsidRDefault="00B26795">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Pakuotės turinys ir kita informacija</w:t>
      </w:r>
    </w:p>
    <w:p w14:paraId="42D5B952" w14:textId="77777777" w:rsidR="00890384" w:rsidRDefault="00890384">
      <w:pPr>
        <w:widowControl w:val="0"/>
        <w:tabs>
          <w:tab w:val="clear" w:pos="567"/>
        </w:tabs>
        <w:autoSpaceDE w:val="0"/>
        <w:autoSpaceDN w:val="0"/>
        <w:spacing w:line="240" w:lineRule="auto"/>
        <w:rPr>
          <w:snapToGrid/>
          <w:szCs w:val="22"/>
          <w:lang w:val="lt-LT"/>
        </w:rPr>
      </w:pPr>
    </w:p>
    <w:p w14:paraId="1C335CC0"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797A030B" w14:textId="77777777" w:rsidR="00890384" w:rsidRDefault="00B26795">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yra </w:t>
      </w:r>
      <w:r>
        <w:rPr>
          <w:b/>
          <w:snapToGrid/>
          <w:color w:val="000000"/>
          <w:szCs w:val="22"/>
          <w:lang w:val="lt-LT"/>
        </w:rPr>
        <w:t>Aboxoma</w:t>
      </w:r>
      <w:r>
        <w:rPr>
          <w:b/>
          <w:bCs/>
          <w:snapToGrid/>
          <w:szCs w:val="22"/>
          <w:lang w:val="lt-LT"/>
        </w:rPr>
        <w:t xml:space="preserve"> ir kam jis vartojamas</w:t>
      </w:r>
    </w:p>
    <w:p w14:paraId="58D3C045" w14:textId="77777777" w:rsidR="00890384" w:rsidRDefault="00890384">
      <w:pPr>
        <w:widowControl w:val="0"/>
        <w:tabs>
          <w:tab w:val="clear" w:pos="567"/>
        </w:tabs>
        <w:autoSpaceDE w:val="0"/>
        <w:autoSpaceDN w:val="0"/>
        <w:spacing w:line="240" w:lineRule="auto"/>
        <w:rPr>
          <w:b/>
          <w:snapToGrid/>
          <w:szCs w:val="22"/>
          <w:lang w:val="lt-LT"/>
        </w:rPr>
      </w:pPr>
    </w:p>
    <w:p w14:paraId="4E83F9E5"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3816B66F" w14:textId="77777777" w:rsidR="00890384" w:rsidRDefault="00890384">
      <w:pPr>
        <w:widowControl w:val="0"/>
        <w:tabs>
          <w:tab w:val="clear" w:pos="567"/>
        </w:tabs>
        <w:autoSpaceDE w:val="0"/>
        <w:autoSpaceDN w:val="0"/>
        <w:spacing w:line="240" w:lineRule="auto"/>
        <w:rPr>
          <w:snapToGrid/>
          <w:szCs w:val="22"/>
          <w:lang w:val="lt-LT"/>
        </w:rPr>
      </w:pPr>
    </w:p>
    <w:p w14:paraId="5A619DE9"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vartojamas suaugusiesiems:</w:t>
      </w:r>
    </w:p>
    <w:p w14:paraId="6DF3C876"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kelti pavojų gyvybei ir dėl jos gali reikėti skubios medicinos pagalbos;</w:t>
      </w:r>
    </w:p>
    <w:p w14:paraId="3C5E4862" w14:textId="77777777" w:rsidR="00890384" w:rsidRDefault="00890384">
      <w:pPr>
        <w:widowControl w:val="0"/>
        <w:autoSpaceDE w:val="0"/>
        <w:autoSpaceDN w:val="0"/>
        <w:spacing w:line="240" w:lineRule="auto"/>
        <w:ind w:left="567"/>
        <w:rPr>
          <w:snapToGrid/>
          <w:szCs w:val="22"/>
          <w:lang w:val="lt-LT"/>
        </w:rPr>
      </w:pPr>
    </w:p>
    <w:p w14:paraId="080BB8A3"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44B7014F" w14:textId="77777777" w:rsidR="00890384" w:rsidRDefault="00890384">
      <w:pPr>
        <w:widowControl w:val="0"/>
        <w:autoSpaceDE w:val="0"/>
        <w:autoSpaceDN w:val="0"/>
        <w:spacing w:line="240" w:lineRule="auto"/>
        <w:ind w:left="567"/>
        <w:rPr>
          <w:snapToGrid/>
          <w:szCs w:val="22"/>
          <w:lang w:val="lt-LT"/>
        </w:rPr>
      </w:pPr>
    </w:p>
    <w:p w14:paraId="3BBA011A"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69C90E45" w14:textId="77777777" w:rsidR="00890384" w:rsidRDefault="00890384">
      <w:pPr>
        <w:widowControl w:val="0"/>
        <w:tabs>
          <w:tab w:val="clear" w:pos="567"/>
        </w:tabs>
        <w:autoSpaceDE w:val="0"/>
        <w:autoSpaceDN w:val="0"/>
        <w:spacing w:line="240" w:lineRule="auto"/>
      </w:pPr>
    </w:p>
    <w:p w14:paraId="61356660" w14:textId="72E879EF" w:rsidR="00890384" w:rsidRDefault="00B26795">
      <w:pPr>
        <w:widowControl w:val="0"/>
        <w:tabs>
          <w:tab w:val="clear" w:pos="567"/>
        </w:tabs>
        <w:autoSpaceDE w:val="0"/>
        <w:autoSpaceDN w:val="0"/>
        <w:spacing w:line="240" w:lineRule="auto"/>
      </w:pPr>
      <w:r>
        <w:t>Aboxoma vartojamas vaikams nuo 28 dienų iki 18 metų, kraujo krešuliams gydyti ir užkirsti kelią pakartotiniam kraujo krešulių susidarymui venose arba plaučių kraujagyslėse.</w:t>
      </w:r>
    </w:p>
    <w:p w14:paraId="58A54DA3" w14:textId="77777777" w:rsidR="00890384" w:rsidRDefault="00890384">
      <w:pPr>
        <w:widowControl w:val="0"/>
        <w:tabs>
          <w:tab w:val="clear" w:pos="567"/>
        </w:tabs>
        <w:autoSpaceDE w:val="0"/>
        <w:autoSpaceDN w:val="0"/>
        <w:spacing w:line="240" w:lineRule="auto"/>
      </w:pPr>
    </w:p>
    <w:p w14:paraId="58A03B1B" w14:textId="77777777" w:rsidR="00890384" w:rsidRDefault="00B26795">
      <w:pPr>
        <w:widowControl w:val="0"/>
        <w:tabs>
          <w:tab w:val="clear" w:pos="567"/>
        </w:tabs>
        <w:autoSpaceDE w:val="0"/>
        <w:autoSpaceDN w:val="0"/>
        <w:spacing w:line="240" w:lineRule="auto"/>
        <w:rPr>
          <w:snapToGrid/>
          <w:szCs w:val="22"/>
          <w:lang w:val="lt-LT"/>
        </w:rPr>
      </w:pPr>
      <w:r>
        <w:t>Apie dozę, rekomenduojamą pagal kūno svorį, žr. 3 skyriuje.</w:t>
      </w:r>
    </w:p>
    <w:p w14:paraId="1608734C" w14:textId="77777777" w:rsidR="00890384" w:rsidRDefault="00890384">
      <w:pPr>
        <w:widowControl w:val="0"/>
        <w:tabs>
          <w:tab w:val="clear" w:pos="567"/>
        </w:tabs>
        <w:autoSpaceDE w:val="0"/>
        <w:autoSpaceDN w:val="0"/>
        <w:spacing w:line="240" w:lineRule="auto"/>
        <w:rPr>
          <w:snapToGrid/>
          <w:szCs w:val="22"/>
          <w:lang w:val="lt-LT"/>
        </w:rPr>
      </w:pPr>
    </w:p>
    <w:p w14:paraId="5D3BE115" w14:textId="77777777" w:rsidR="00890384" w:rsidRDefault="00B26795">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r>
        <w:rPr>
          <w:b/>
          <w:snapToGrid/>
          <w:color w:val="000000"/>
          <w:szCs w:val="22"/>
          <w:lang w:val="lt-LT"/>
        </w:rPr>
        <w:t>Aboxoma</w:t>
      </w:r>
    </w:p>
    <w:p w14:paraId="5D36BE7D" w14:textId="77777777" w:rsidR="00890384" w:rsidRDefault="00890384">
      <w:pPr>
        <w:widowControl w:val="0"/>
        <w:tabs>
          <w:tab w:val="clear" w:pos="567"/>
          <w:tab w:val="left" w:pos="802"/>
          <w:tab w:val="left" w:pos="803"/>
        </w:tabs>
        <w:autoSpaceDE w:val="0"/>
        <w:autoSpaceDN w:val="0"/>
        <w:spacing w:line="240" w:lineRule="auto"/>
        <w:outlineLvl w:val="1"/>
        <w:rPr>
          <w:b/>
          <w:bCs/>
          <w:snapToGrid/>
          <w:szCs w:val="22"/>
          <w:lang w:val="lt-LT"/>
        </w:rPr>
      </w:pPr>
    </w:p>
    <w:p w14:paraId="1836B5C7" w14:textId="5A10BEB5" w:rsidR="00890384" w:rsidRDefault="00B26795">
      <w:pPr>
        <w:widowControl w:val="0"/>
        <w:tabs>
          <w:tab w:val="clear" w:pos="567"/>
          <w:tab w:val="left" w:pos="802"/>
          <w:tab w:val="left" w:pos="803"/>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vartoti draudžiama:</w:t>
      </w:r>
    </w:p>
    <w:p w14:paraId="05E84A25"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lastRenderedPageBreak/>
        <w:t xml:space="preserve">jeigu </w:t>
      </w:r>
      <w:r>
        <w:rPr>
          <w:b/>
          <w:snapToGrid/>
          <w:szCs w:val="22"/>
          <w:lang w:val="lt-LT"/>
        </w:rPr>
        <w:t xml:space="preserve">yra alergija </w:t>
      </w:r>
      <w:r>
        <w:rPr>
          <w:snapToGrid/>
          <w:szCs w:val="22"/>
          <w:lang w:val="lt-LT"/>
        </w:rPr>
        <w:t>apiksabanui arba bet kuriai pagalbinei šio vaisto medžiagai (jos išvardytos 6 skyriuje);</w:t>
      </w:r>
    </w:p>
    <w:p w14:paraId="3B711F6B"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7DCF2BA0"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0FC99E93"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dėl kurios padidėja kraujavimo rizika (dėl kepenų ligos pasireiškia koaguliopatija);</w:t>
      </w:r>
    </w:p>
    <w:p w14:paraId="44D53436"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(pvz., varfarino, rivaroksabano, dabigatrano arba heparino), išskyrus atvejus, kai keičiamas gydymas antikoaguliantais arba yra veninis arba arterinis kateteris ir heparinas leidžiamas per šį kateterį jo praeinamumui palaikyti, arba jeigu į kraujagyslę įstatytas zondas (kateterinė abliacija) gydyti nereguliarų širdies ritmą (aritmiją).</w:t>
      </w:r>
    </w:p>
    <w:p w14:paraId="4240C80B" w14:textId="77777777" w:rsidR="00890384" w:rsidRDefault="00890384">
      <w:pPr>
        <w:widowControl w:val="0"/>
        <w:tabs>
          <w:tab w:val="clear" w:pos="567"/>
        </w:tabs>
        <w:autoSpaceDE w:val="0"/>
        <w:autoSpaceDN w:val="0"/>
        <w:spacing w:line="240" w:lineRule="auto"/>
        <w:rPr>
          <w:snapToGrid/>
          <w:szCs w:val="22"/>
          <w:lang w:val="lt-LT"/>
        </w:rPr>
      </w:pPr>
    </w:p>
    <w:p w14:paraId="4A473253"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28627C4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6547BA97" w14:textId="77777777" w:rsidR="00890384" w:rsidRDefault="00B26795">
      <w:pPr>
        <w:widowControl w:val="0"/>
        <w:numPr>
          <w:ilvl w:val="0"/>
          <w:numId w:val="22"/>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0BCE0F2C"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7B28B611"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63DD9506"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46AAE1EB"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24A9CCF0" w14:textId="77777777" w:rsidR="00890384" w:rsidRDefault="00B26795">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2127E17D" w14:textId="77777777" w:rsidR="00890384" w:rsidRDefault="00B26795">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12024B22" w14:textId="77777777" w:rsidR="00890384" w:rsidRDefault="00B26795">
      <w:pPr>
        <w:widowControl w:val="0"/>
        <w:tabs>
          <w:tab w:val="clear" w:pos="567"/>
        </w:tabs>
        <w:autoSpaceDE w:val="0"/>
        <w:autoSpaceDN w:val="0"/>
        <w:spacing w:line="240" w:lineRule="auto"/>
        <w:rPr>
          <w:bCs/>
          <w:snapToGrid/>
          <w:szCs w:val="22"/>
          <w:lang w:val="lt-LT"/>
        </w:rPr>
      </w:pPr>
      <w:r>
        <w:rPr>
          <w:bCs/>
          <w:snapToGrid/>
          <w:szCs w:val="22"/>
          <w:lang w:val="lt-LT"/>
        </w:rPr>
        <w:t>Šis vaistas bus atsargiai skiriamas pacientams, kuriems nustatyta kepenų funkcijos sutrikimo požymių;</w:t>
      </w:r>
    </w:p>
    <w:p w14:paraId="7D091F34" w14:textId="77777777" w:rsidR="00890384" w:rsidRDefault="00B26795">
      <w:pPr>
        <w:widowControl w:val="0"/>
        <w:numPr>
          <w:ilvl w:val="0"/>
          <w:numId w:val="24"/>
        </w:numPr>
        <w:autoSpaceDE w:val="0"/>
        <w:autoSpaceDN w:val="0"/>
        <w:spacing w:line="240" w:lineRule="auto"/>
        <w:ind w:left="567"/>
        <w:rPr>
          <w:snapToGrid/>
          <w:szCs w:val="22"/>
          <w:lang w:val="lt-LT"/>
        </w:rPr>
      </w:pPr>
      <w:r>
        <w:rPr>
          <w:b/>
          <w:snapToGrid/>
          <w:szCs w:val="22"/>
          <w:lang w:val="lt-LT"/>
        </w:rPr>
        <w:t xml:space="preserve">į Jūsų stuburą yra įvestas vamzdelis (kateteris) arba buvo švirkščiama vaistų </w:t>
      </w:r>
      <w:r>
        <w:rPr>
          <w:snapToGrid/>
          <w:szCs w:val="22"/>
          <w:lang w:val="lt-LT"/>
        </w:rPr>
        <w:t>(nejautrai sukelti arba skausmui malšinti); šiuo atveju gydytojas nurodys Jums vartoti šį vaistą po kateterio pašalinimo praėjus 5 valandoms ar daugiau;</w:t>
      </w:r>
    </w:p>
    <w:p w14:paraId="61FF1582" w14:textId="77777777" w:rsidR="00890384" w:rsidRDefault="00B26795">
      <w:pPr>
        <w:widowControl w:val="0"/>
        <w:numPr>
          <w:ilvl w:val="0"/>
          <w:numId w:val="24"/>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11E913BE" w14:textId="77777777" w:rsidR="00890384" w:rsidRDefault="00B26795">
      <w:pPr>
        <w:widowControl w:val="0"/>
        <w:numPr>
          <w:ilvl w:val="0"/>
          <w:numId w:val="24"/>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35A708A3" w14:textId="77777777" w:rsidR="00890384" w:rsidRDefault="00890384">
      <w:pPr>
        <w:widowControl w:val="0"/>
        <w:tabs>
          <w:tab w:val="clear" w:pos="567"/>
        </w:tabs>
        <w:autoSpaceDE w:val="0"/>
        <w:autoSpaceDN w:val="0"/>
        <w:spacing w:line="240" w:lineRule="auto"/>
        <w:rPr>
          <w:snapToGrid/>
          <w:szCs w:val="22"/>
          <w:lang w:val="lt-LT"/>
        </w:rPr>
      </w:pPr>
    </w:p>
    <w:p w14:paraId="640319E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Vartojant </w:t>
      </w:r>
      <w:r>
        <w:rPr>
          <w:snapToGrid/>
          <w:color w:val="000000"/>
          <w:szCs w:val="22"/>
          <w:lang w:val="lt-LT"/>
        </w:rPr>
        <w:t>Aboxoma</w:t>
      </w:r>
      <w:r>
        <w:rPr>
          <w:snapToGrid/>
          <w:szCs w:val="22"/>
          <w:lang w:val="lt-LT"/>
        </w:rPr>
        <w:t>, atsargumo priemonių reikia:</w:t>
      </w:r>
    </w:p>
    <w:p w14:paraId="6606623A" w14:textId="77777777" w:rsidR="00890384" w:rsidRDefault="00B26795">
      <w:pPr>
        <w:widowControl w:val="0"/>
        <w:numPr>
          <w:ilvl w:val="0"/>
          <w:numId w:val="24"/>
        </w:numPr>
        <w:autoSpaceDE w:val="0"/>
        <w:autoSpaceDN w:val="0"/>
        <w:spacing w:line="240" w:lineRule="auto"/>
        <w:ind w:left="567"/>
        <w:rPr>
          <w:snapToGrid/>
          <w:szCs w:val="22"/>
          <w:lang w:val="lt-LT"/>
        </w:rPr>
      </w:pPr>
      <w:r>
        <w:rPr>
          <w:snapToGrid/>
          <w:szCs w:val="22"/>
          <w:lang w:val="lt-LT"/>
        </w:rPr>
        <w:t>jeigu žinote, kad sergate liga, vadinama antifosfolipidiniu sindromu (imuninės sistemos sutrikimas, dėl kurio padidėja kraujo krešulių susidarymo rizika), pasakykite apie tai gydytojui, kuris nuspręs, ar reikės keisti Jums taikomą gydymą.</w:t>
      </w:r>
    </w:p>
    <w:p w14:paraId="1DF32FB4" w14:textId="77777777" w:rsidR="00890384" w:rsidRDefault="00890384">
      <w:pPr>
        <w:widowControl w:val="0"/>
        <w:tabs>
          <w:tab w:val="clear" w:pos="567"/>
        </w:tabs>
        <w:autoSpaceDE w:val="0"/>
        <w:autoSpaceDN w:val="0"/>
        <w:spacing w:line="240" w:lineRule="auto"/>
        <w:rPr>
          <w:snapToGrid/>
          <w:szCs w:val="22"/>
          <w:lang w:val="lt-LT"/>
        </w:rPr>
      </w:pPr>
    </w:p>
    <w:p w14:paraId="1579BDB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7A6F1D11" w14:textId="77777777" w:rsidR="00890384" w:rsidRDefault="00890384">
      <w:pPr>
        <w:widowControl w:val="0"/>
        <w:tabs>
          <w:tab w:val="clear" w:pos="567"/>
        </w:tabs>
        <w:autoSpaceDE w:val="0"/>
        <w:autoSpaceDN w:val="0"/>
        <w:spacing w:line="240" w:lineRule="auto"/>
        <w:rPr>
          <w:snapToGrid/>
          <w:szCs w:val="22"/>
          <w:lang w:val="lt-LT"/>
        </w:rPr>
      </w:pPr>
    </w:p>
    <w:p w14:paraId="13BB195A"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0BC8550F" w14:textId="4F710D01"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vaikams ir paaugliams, </w:t>
      </w:r>
      <w:r>
        <w:t>sveriantiems mažiausiai 35 kg</w:t>
      </w:r>
      <w:r>
        <w:rPr>
          <w:snapToGrid/>
          <w:szCs w:val="22"/>
          <w:lang w:val="lt-LT"/>
        </w:rPr>
        <w:t>.</w:t>
      </w:r>
    </w:p>
    <w:p w14:paraId="1F73DF3E" w14:textId="77777777" w:rsidR="00890384" w:rsidRDefault="00890384">
      <w:pPr>
        <w:widowControl w:val="0"/>
        <w:tabs>
          <w:tab w:val="clear" w:pos="567"/>
        </w:tabs>
        <w:autoSpaceDE w:val="0"/>
        <w:autoSpaceDN w:val="0"/>
        <w:spacing w:line="240" w:lineRule="auto"/>
        <w:rPr>
          <w:snapToGrid/>
          <w:szCs w:val="22"/>
          <w:lang w:val="lt-LT"/>
        </w:rPr>
      </w:pPr>
    </w:p>
    <w:p w14:paraId="3B48093E"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r>
        <w:rPr>
          <w:b/>
          <w:snapToGrid/>
          <w:color w:val="000000"/>
          <w:szCs w:val="22"/>
          <w:lang w:val="lt-LT"/>
        </w:rPr>
        <w:t>Aboxoma</w:t>
      </w:r>
    </w:p>
    <w:p w14:paraId="5597607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2B5BD5D9" w14:textId="77777777" w:rsidR="00890384" w:rsidRDefault="00890384">
      <w:pPr>
        <w:widowControl w:val="0"/>
        <w:tabs>
          <w:tab w:val="clear" w:pos="567"/>
        </w:tabs>
        <w:autoSpaceDE w:val="0"/>
        <w:autoSpaceDN w:val="0"/>
        <w:spacing w:line="240" w:lineRule="auto"/>
        <w:rPr>
          <w:snapToGrid/>
          <w:szCs w:val="22"/>
          <w:lang w:val="lt-LT"/>
        </w:rPr>
      </w:pPr>
    </w:p>
    <w:p w14:paraId="7D27B6E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r>
        <w:rPr>
          <w:snapToGrid/>
          <w:color w:val="000000"/>
          <w:szCs w:val="22"/>
          <w:lang w:val="lt-LT"/>
        </w:rPr>
        <w:t>Aboxoma</w:t>
      </w:r>
      <w:r>
        <w:rPr>
          <w:snapToGrid/>
          <w:szCs w:val="22"/>
          <w:lang w:val="lt-LT"/>
        </w:rPr>
        <w:t xml:space="preserve"> poveikį, o kiti vaistai gali jį silpninti. Gydytojas nuspręs, ar Jums skirti </w:t>
      </w:r>
      <w:r>
        <w:rPr>
          <w:snapToGrid/>
          <w:color w:val="000000"/>
          <w:szCs w:val="22"/>
          <w:lang w:val="lt-LT"/>
        </w:rPr>
        <w:t>Aboxoma</w:t>
      </w:r>
      <w:r>
        <w:rPr>
          <w:snapToGrid/>
          <w:szCs w:val="22"/>
          <w:lang w:val="lt-LT"/>
        </w:rPr>
        <w:t xml:space="preserve"> šių vaistų vartojimo metu ir kaip atidžiai stebėti Jūsų būklę.</w:t>
      </w:r>
    </w:p>
    <w:p w14:paraId="77A0AA49" w14:textId="77777777" w:rsidR="00890384" w:rsidRDefault="00890384">
      <w:pPr>
        <w:widowControl w:val="0"/>
        <w:tabs>
          <w:tab w:val="clear" w:pos="567"/>
        </w:tabs>
        <w:autoSpaceDE w:val="0"/>
        <w:autoSpaceDN w:val="0"/>
        <w:spacing w:line="240" w:lineRule="auto"/>
        <w:rPr>
          <w:snapToGrid/>
          <w:szCs w:val="22"/>
          <w:lang w:val="lt-LT"/>
        </w:rPr>
      </w:pPr>
    </w:p>
    <w:p w14:paraId="69B1A1C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r>
        <w:rPr>
          <w:snapToGrid/>
          <w:color w:val="000000"/>
          <w:szCs w:val="22"/>
          <w:lang w:val="lt-LT"/>
        </w:rPr>
        <w:t>Aboxoma</w:t>
      </w:r>
      <w:r>
        <w:rPr>
          <w:snapToGrid/>
          <w:szCs w:val="22"/>
          <w:lang w:val="lt-LT"/>
        </w:rPr>
        <w:t xml:space="preserve"> poveikį ir didinti nepageidaujamo kraujavimo riziką:</w:t>
      </w:r>
    </w:p>
    <w:p w14:paraId="5E98922E" w14:textId="77777777" w:rsidR="00890384" w:rsidRDefault="00B26795">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(pvz., ketokonazolas ir kt.);</w:t>
      </w:r>
    </w:p>
    <w:p w14:paraId="1E2CD9B6" w14:textId="77777777" w:rsidR="00890384" w:rsidRDefault="00B26795">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39A8DD48" w14:textId="77777777" w:rsidR="00890384" w:rsidRDefault="00B26795">
      <w:pPr>
        <w:widowControl w:val="0"/>
        <w:numPr>
          <w:ilvl w:val="0"/>
          <w:numId w:val="25"/>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(pvz., enoksaparinas ir kt.);</w:t>
      </w:r>
    </w:p>
    <w:p w14:paraId="1E3DD58C" w14:textId="77777777" w:rsidR="00890384" w:rsidRDefault="00B26795">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acetilsalicilo rūgštis (aspirinas) ar naproksenas). Ypač, jei esate vyresni kaip 75 metų ir vartojate acetilsalicilo rūgštį (aspiriną), Jums gali būti </w:t>
      </w:r>
      <w:r>
        <w:rPr>
          <w:snapToGrid/>
          <w:szCs w:val="22"/>
          <w:lang w:val="lt-LT"/>
        </w:rPr>
        <w:lastRenderedPageBreak/>
        <w:t>padidėjusi kraujavimo rizika;</w:t>
      </w:r>
    </w:p>
    <w:p w14:paraId="45360CCA" w14:textId="77777777" w:rsidR="00890384" w:rsidRDefault="00B26795">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(pvz., diltiazemas);</w:t>
      </w:r>
    </w:p>
    <w:p w14:paraId="45956C50" w14:textId="77777777" w:rsidR="00890384" w:rsidRDefault="00B26795">
      <w:pPr>
        <w:widowControl w:val="0"/>
        <w:numPr>
          <w:ilvl w:val="0"/>
          <w:numId w:val="25"/>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serotonino reabsorbcijos inhibitoriai </w:t>
      </w:r>
      <w:r>
        <w:rPr>
          <w:snapToGrid/>
          <w:szCs w:val="22"/>
          <w:lang w:val="lt-LT"/>
        </w:rPr>
        <w:t>arba</w:t>
      </w:r>
      <w:r>
        <w:rPr>
          <w:b/>
          <w:bCs/>
          <w:snapToGrid/>
          <w:szCs w:val="22"/>
          <w:lang w:val="lt-LT"/>
        </w:rPr>
        <w:t xml:space="preserve"> serotonino-norepinefrino reabsorbcijos inhibitoriai.</w:t>
      </w:r>
    </w:p>
    <w:p w14:paraId="1069051E"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27F6116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r>
        <w:rPr>
          <w:snapToGrid/>
          <w:color w:val="000000"/>
          <w:szCs w:val="22"/>
          <w:lang w:val="lt-LT"/>
        </w:rPr>
        <w:t>Aboxoma</w:t>
      </w:r>
      <w:r>
        <w:rPr>
          <w:snapToGrid/>
          <w:szCs w:val="22"/>
          <w:lang w:val="lt-LT"/>
        </w:rPr>
        <w:t xml:space="preserve"> gebėjimą apsaugoti nuo kraujo krešulių susidarymo:</w:t>
      </w:r>
    </w:p>
    <w:p w14:paraId="2605D35D" w14:textId="77777777" w:rsidR="00890384" w:rsidRDefault="00B26795">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(pvz., fenitoinas ir kt.);</w:t>
      </w:r>
    </w:p>
    <w:p w14:paraId="488A6CCD" w14:textId="77777777" w:rsidR="00890384" w:rsidRDefault="00B26795">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017CE266" w14:textId="77777777" w:rsidR="00890384" w:rsidRDefault="00B26795">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(pvz., rifampicinas).</w:t>
      </w:r>
    </w:p>
    <w:p w14:paraId="2F060214" w14:textId="77777777" w:rsidR="00890384" w:rsidRDefault="00890384">
      <w:pPr>
        <w:widowControl w:val="0"/>
        <w:tabs>
          <w:tab w:val="clear" w:pos="567"/>
        </w:tabs>
        <w:autoSpaceDE w:val="0"/>
        <w:autoSpaceDN w:val="0"/>
        <w:spacing w:line="240" w:lineRule="auto"/>
        <w:rPr>
          <w:snapToGrid/>
          <w:szCs w:val="22"/>
          <w:lang w:val="lt-LT"/>
        </w:rPr>
      </w:pPr>
    </w:p>
    <w:p w14:paraId="148A7463"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ir žindymo laikotarpis</w:t>
      </w:r>
    </w:p>
    <w:p w14:paraId="1E9FC50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7255A10C" w14:textId="77777777" w:rsidR="00890384" w:rsidRDefault="00890384">
      <w:pPr>
        <w:widowControl w:val="0"/>
        <w:tabs>
          <w:tab w:val="clear" w:pos="567"/>
        </w:tabs>
        <w:autoSpaceDE w:val="0"/>
        <w:autoSpaceDN w:val="0"/>
        <w:spacing w:line="240" w:lineRule="auto"/>
        <w:rPr>
          <w:snapToGrid/>
          <w:szCs w:val="22"/>
          <w:lang w:val="lt-LT"/>
        </w:rPr>
      </w:pPr>
    </w:p>
    <w:p w14:paraId="5A103E35"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poveikis nėštumo eigai ir negimusiam kūdikiui nežinomas. Nėštumo metu šio vaisto vartoti negalima. Jeigu šio vaisto vartojimo metu pastotumėte, </w:t>
      </w:r>
      <w:r>
        <w:rPr>
          <w:b/>
          <w:snapToGrid/>
          <w:szCs w:val="22"/>
          <w:lang w:val="lt-LT"/>
        </w:rPr>
        <w:t>nedelsdama kreipkitės į gydytoją</w:t>
      </w:r>
      <w:r>
        <w:rPr>
          <w:snapToGrid/>
          <w:szCs w:val="22"/>
          <w:lang w:val="lt-LT"/>
        </w:rPr>
        <w:t>.</w:t>
      </w:r>
    </w:p>
    <w:p w14:paraId="3C2F6E9D" w14:textId="77777777" w:rsidR="00890384" w:rsidRDefault="00890384">
      <w:pPr>
        <w:widowControl w:val="0"/>
        <w:tabs>
          <w:tab w:val="clear" w:pos="567"/>
        </w:tabs>
        <w:autoSpaceDE w:val="0"/>
        <w:autoSpaceDN w:val="0"/>
        <w:spacing w:line="240" w:lineRule="auto"/>
        <w:rPr>
          <w:snapToGrid/>
          <w:szCs w:val="22"/>
          <w:lang w:val="lt-LT"/>
        </w:rPr>
      </w:pPr>
    </w:p>
    <w:p w14:paraId="02B3647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Nežinoma, ar </w:t>
      </w:r>
      <w:r>
        <w:rPr>
          <w:snapToGrid/>
          <w:color w:val="000000"/>
          <w:szCs w:val="22"/>
          <w:lang w:val="lt-LT"/>
        </w:rPr>
        <w:t>Aboxoma</w:t>
      </w:r>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3720E9A4" w14:textId="77777777" w:rsidR="00890384" w:rsidRDefault="00890384">
      <w:pPr>
        <w:widowControl w:val="0"/>
        <w:tabs>
          <w:tab w:val="clear" w:pos="567"/>
        </w:tabs>
        <w:autoSpaceDE w:val="0"/>
        <w:autoSpaceDN w:val="0"/>
        <w:spacing w:line="240" w:lineRule="auto"/>
        <w:rPr>
          <w:snapToGrid/>
          <w:szCs w:val="22"/>
          <w:lang w:val="lt-LT"/>
        </w:rPr>
      </w:pPr>
    </w:p>
    <w:p w14:paraId="04B000F7"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6F21B9AD"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r>
        <w:rPr>
          <w:snapToGrid/>
          <w:color w:val="000000"/>
          <w:szCs w:val="22"/>
          <w:lang w:val="lt-LT"/>
        </w:rPr>
        <w:t>Aboxoma</w:t>
      </w:r>
      <w:r>
        <w:rPr>
          <w:snapToGrid/>
          <w:szCs w:val="22"/>
          <w:lang w:val="lt-LT"/>
        </w:rPr>
        <w:t xml:space="preserve"> trikdytų gebėjimą vairuoti ar valdyti mechanizmus.</w:t>
      </w:r>
    </w:p>
    <w:p w14:paraId="7BDD19A8" w14:textId="77777777" w:rsidR="00890384" w:rsidRDefault="00890384">
      <w:pPr>
        <w:widowControl w:val="0"/>
        <w:tabs>
          <w:tab w:val="clear" w:pos="567"/>
        </w:tabs>
        <w:autoSpaceDE w:val="0"/>
        <w:autoSpaceDN w:val="0"/>
        <w:spacing w:line="240" w:lineRule="auto"/>
        <w:rPr>
          <w:snapToGrid/>
          <w:szCs w:val="22"/>
          <w:lang w:val="lt-LT"/>
        </w:rPr>
      </w:pPr>
    </w:p>
    <w:p w14:paraId="6C2E2CF4" w14:textId="77777777" w:rsidR="00890384" w:rsidRDefault="00B26795">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sudėtyje yra laktozės ir natrio</w:t>
      </w:r>
    </w:p>
    <w:p w14:paraId="427F6E4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2DB640F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mmol (23 mg) natrio, t. y. jis beveik neturi reikšmės.</w:t>
      </w:r>
    </w:p>
    <w:p w14:paraId="43E7B6F3" w14:textId="77777777" w:rsidR="00890384" w:rsidRDefault="00890384">
      <w:pPr>
        <w:widowControl w:val="0"/>
        <w:tabs>
          <w:tab w:val="clear" w:pos="567"/>
        </w:tabs>
        <w:autoSpaceDE w:val="0"/>
        <w:autoSpaceDN w:val="0"/>
        <w:spacing w:line="240" w:lineRule="auto"/>
        <w:rPr>
          <w:snapToGrid/>
          <w:szCs w:val="22"/>
          <w:lang w:val="lt-LT"/>
        </w:rPr>
      </w:pPr>
    </w:p>
    <w:p w14:paraId="2B6252FC" w14:textId="77777777" w:rsidR="00890384" w:rsidRDefault="00890384">
      <w:pPr>
        <w:widowControl w:val="0"/>
        <w:tabs>
          <w:tab w:val="clear" w:pos="567"/>
        </w:tabs>
        <w:autoSpaceDE w:val="0"/>
        <w:autoSpaceDN w:val="0"/>
        <w:spacing w:line="240" w:lineRule="auto"/>
        <w:rPr>
          <w:snapToGrid/>
          <w:szCs w:val="22"/>
          <w:lang w:val="lt-LT"/>
        </w:rPr>
      </w:pPr>
    </w:p>
    <w:p w14:paraId="761644B1" w14:textId="77777777" w:rsidR="00890384" w:rsidRDefault="00B26795">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r>
        <w:rPr>
          <w:b/>
          <w:snapToGrid/>
          <w:color w:val="000000"/>
          <w:szCs w:val="22"/>
          <w:lang w:val="lt-LT"/>
        </w:rPr>
        <w:t>Aboxoma</w:t>
      </w:r>
    </w:p>
    <w:p w14:paraId="4F562E84" w14:textId="77777777" w:rsidR="00890384" w:rsidRDefault="00890384">
      <w:pPr>
        <w:widowControl w:val="0"/>
        <w:tabs>
          <w:tab w:val="clear" w:pos="567"/>
        </w:tabs>
        <w:autoSpaceDE w:val="0"/>
        <w:autoSpaceDN w:val="0"/>
        <w:spacing w:line="240" w:lineRule="auto"/>
        <w:rPr>
          <w:b/>
          <w:snapToGrid/>
          <w:szCs w:val="22"/>
          <w:lang w:val="lt-LT"/>
        </w:rPr>
      </w:pPr>
    </w:p>
    <w:p w14:paraId="38434D4E"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08F96A87" w14:textId="77777777" w:rsidR="00890384" w:rsidRDefault="00890384">
      <w:pPr>
        <w:widowControl w:val="0"/>
        <w:tabs>
          <w:tab w:val="clear" w:pos="567"/>
        </w:tabs>
        <w:autoSpaceDE w:val="0"/>
        <w:autoSpaceDN w:val="0"/>
        <w:spacing w:line="240" w:lineRule="auto"/>
        <w:rPr>
          <w:snapToGrid/>
          <w:szCs w:val="22"/>
          <w:lang w:val="lt-LT"/>
        </w:rPr>
      </w:pPr>
    </w:p>
    <w:p w14:paraId="63787191"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1EA9AE2E" w14:textId="77777777" w:rsidR="00890384" w:rsidRDefault="00890384">
      <w:pPr>
        <w:widowControl w:val="0"/>
        <w:tabs>
          <w:tab w:val="clear" w:pos="567"/>
        </w:tabs>
        <w:autoSpaceDE w:val="0"/>
        <w:autoSpaceDN w:val="0"/>
        <w:spacing w:line="240" w:lineRule="auto"/>
        <w:rPr>
          <w:snapToGrid/>
          <w:szCs w:val="22"/>
          <w:lang w:val="lt-LT"/>
        </w:rPr>
      </w:pPr>
    </w:p>
    <w:p w14:paraId="6E8BE0C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r>
        <w:rPr>
          <w:snapToGrid/>
          <w:color w:val="000000"/>
          <w:szCs w:val="22"/>
          <w:lang w:val="lt-LT"/>
        </w:rPr>
        <w:t>Aboxoma</w:t>
      </w:r>
      <w:r>
        <w:rPr>
          <w:snapToGrid/>
          <w:szCs w:val="22"/>
          <w:lang w:val="lt-LT"/>
        </w:rPr>
        <w:t xml:space="preserve"> galima vartoti valgant arba be maisto. Stenkitės tabletes vartoti kasdien tuo pačiu laiku, kad būtų pasiektas geriausias gydomasis poveikis.</w:t>
      </w:r>
    </w:p>
    <w:p w14:paraId="073AB90A" w14:textId="77777777" w:rsidR="00890384" w:rsidRDefault="00890384">
      <w:pPr>
        <w:widowControl w:val="0"/>
        <w:tabs>
          <w:tab w:val="clear" w:pos="567"/>
        </w:tabs>
        <w:autoSpaceDE w:val="0"/>
        <w:autoSpaceDN w:val="0"/>
        <w:spacing w:line="240" w:lineRule="auto"/>
        <w:rPr>
          <w:snapToGrid/>
          <w:szCs w:val="22"/>
          <w:lang w:val="lt-LT"/>
        </w:rPr>
      </w:pPr>
    </w:p>
    <w:p w14:paraId="72D9759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r>
        <w:rPr>
          <w:snapToGrid/>
          <w:color w:val="000000"/>
          <w:szCs w:val="22"/>
          <w:lang w:val="lt-LT"/>
        </w:rPr>
        <w:t>Aboxoma</w:t>
      </w:r>
      <w:r>
        <w:rPr>
          <w:snapToGrid/>
          <w:szCs w:val="22"/>
          <w:lang w:val="lt-LT"/>
        </w:rPr>
        <w:t>. Tabletę galima sutrinti ir sumaišyti su vandeniu, 5 % gliukozės tirpalu vandenyje, obuolių sultimis arba obuolių tyre prieš pat vartojimą.</w:t>
      </w:r>
    </w:p>
    <w:p w14:paraId="1B813491" w14:textId="77777777" w:rsidR="00890384" w:rsidRDefault="00890384">
      <w:pPr>
        <w:widowControl w:val="0"/>
        <w:tabs>
          <w:tab w:val="clear" w:pos="567"/>
        </w:tabs>
        <w:autoSpaceDE w:val="0"/>
        <w:autoSpaceDN w:val="0"/>
        <w:spacing w:line="240" w:lineRule="auto"/>
        <w:rPr>
          <w:snapToGrid/>
          <w:szCs w:val="22"/>
          <w:lang w:val="lt-LT"/>
        </w:rPr>
      </w:pPr>
    </w:p>
    <w:p w14:paraId="46CA6B54"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5E844863"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sutrinkite tabletes grūstuvu ir grūstuve;</w:t>
      </w:r>
    </w:p>
    <w:p w14:paraId="13D9D3C3"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269D927E"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išgerkite mišinį;</w:t>
      </w:r>
    </w:p>
    <w:p w14:paraId="0609BD86"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3EB877AD" w14:textId="77777777" w:rsidR="00890384" w:rsidRDefault="00890384">
      <w:pPr>
        <w:widowControl w:val="0"/>
        <w:tabs>
          <w:tab w:val="clear" w:pos="567"/>
        </w:tabs>
        <w:autoSpaceDE w:val="0"/>
        <w:autoSpaceDN w:val="0"/>
        <w:spacing w:line="240" w:lineRule="auto"/>
        <w:rPr>
          <w:snapToGrid/>
          <w:szCs w:val="22"/>
          <w:lang w:val="lt-LT"/>
        </w:rPr>
      </w:pPr>
    </w:p>
    <w:p w14:paraId="45D3F1F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r>
        <w:rPr>
          <w:snapToGrid/>
          <w:color w:val="000000"/>
          <w:szCs w:val="22"/>
          <w:lang w:val="lt-LT"/>
        </w:rPr>
        <w:t>Aboxoma</w:t>
      </w:r>
      <w:r>
        <w:rPr>
          <w:snapToGrid/>
          <w:szCs w:val="22"/>
          <w:lang w:val="lt-LT"/>
        </w:rPr>
        <w:t xml:space="preserve"> tabletę, ištirpintą 60 ml vandens arba 5 % gliukozės tirpale vandenyje, pro nazogastrinį (nosies-skrandžio) vamzdelį.</w:t>
      </w:r>
    </w:p>
    <w:p w14:paraId="6EF5E9C4" w14:textId="77777777" w:rsidR="00890384" w:rsidRDefault="00890384">
      <w:pPr>
        <w:widowControl w:val="0"/>
        <w:tabs>
          <w:tab w:val="clear" w:pos="567"/>
        </w:tabs>
        <w:autoSpaceDE w:val="0"/>
        <w:autoSpaceDN w:val="0"/>
        <w:spacing w:line="240" w:lineRule="auto"/>
        <w:outlineLvl w:val="1"/>
        <w:rPr>
          <w:b/>
          <w:bCs/>
          <w:snapToGrid/>
          <w:szCs w:val="22"/>
          <w:lang w:val="lt-LT"/>
        </w:rPr>
      </w:pPr>
    </w:p>
    <w:p w14:paraId="6B15F30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lastRenderedPageBreak/>
        <w:t>Aboxoma</w:t>
      </w:r>
      <w:r>
        <w:rPr>
          <w:b/>
          <w:bCs/>
          <w:snapToGrid/>
          <w:szCs w:val="22"/>
          <w:lang w:val="lt-LT"/>
        </w:rPr>
        <w:t xml:space="preserve"> vartokite pagal tokias rekomendacijas:</w:t>
      </w:r>
    </w:p>
    <w:p w14:paraId="4418F988" w14:textId="77777777" w:rsidR="00890384" w:rsidRDefault="00890384">
      <w:pPr>
        <w:widowControl w:val="0"/>
        <w:tabs>
          <w:tab w:val="clear" w:pos="567"/>
        </w:tabs>
        <w:autoSpaceDE w:val="0"/>
        <w:autoSpaceDN w:val="0"/>
        <w:spacing w:line="240" w:lineRule="auto"/>
        <w:rPr>
          <w:b/>
          <w:snapToGrid/>
          <w:szCs w:val="22"/>
          <w:lang w:val="lt-LT"/>
        </w:rPr>
      </w:pPr>
    </w:p>
    <w:p w14:paraId="0D29B3D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po klubo arba kelio sąnario pakeitimo operacijų</w:t>
      </w:r>
      <w:r>
        <w:rPr>
          <w:snapToGrid/>
          <w:szCs w:val="22"/>
          <w:lang w:val="lt-LT"/>
        </w:rPr>
        <w:t xml:space="preserve"> </w:t>
      </w:r>
    </w:p>
    <w:p w14:paraId="13E52C5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2,5 mg </w:t>
      </w:r>
      <w:r>
        <w:rPr>
          <w:snapToGrid/>
          <w:color w:val="000000"/>
          <w:szCs w:val="22"/>
          <w:lang w:val="lt-LT"/>
        </w:rPr>
        <w:t>Aboxoma</w:t>
      </w:r>
      <w:r>
        <w:rPr>
          <w:snapToGrid/>
          <w:szCs w:val="22"/>
          <w:lang w:val="lt-LT"/>
        </w:rPr>
        <w:t xml:space="preserve"> tabletę du kartus per parą, pavyzdžiui, vieną tabletę reikia vartoti ryte, o kitą – vakare.</w:t>
      </w:r>
    </w:p>
    <w:p w14:paraId="59E34C1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Pirmąją tabletę turite išgerti praėjus 12</w:t>
      </w:r>
      <w:r>
        <w:rPr>
          <w:snapToGrid/>
          <w:szCs w:val="22"/>
          <w:lang w:val="lt-LT"/>
        </w:rPr>
        <w:noBreakHyphen/>
        <w:t>24 valandoms po atliktos operacijos.</w:t>
      </w:r>
    </w:p>
    <w:p w14:paraId="7FEAEE8F" w14:textId="77777777" w:rsidR="00890384" w:rsidRDefault="00890384">
      <w:pPr>
        <w:widowControl w:val="0"/>
        <w:tabs>
          <w:tab w:val="clear" w:pos="567"/>
        </w:tabs>
        <w:autoSpaceDE w:val="0"/>
        <w:autoSpaceDN w:val="0"/>
        <w:spacing w:line="240" w:lineRule="auto"/>
        <w:rPr>
          <w:snapToGrid/>
          <w:szCs w:val="22"/>
          <w:lang w:val="lt-LT"/>
        </w:rPr>
      </w:pPr>
    </w:p>
    <w:p w14:paraId="72CEECD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Jums atlikta didelė </w:t>
      </w:r>
      <w:r>
        <w:rPr>
          <w:b/>
          <w:snapToGrid/>
          <w:szCs w:val="22"/>
          <w:lang w:val="lt-LT"/>
        </w:rPr>
        <w:t xml:space="preserve">klubo sąnario </w:t>
      </w:r>
      <w:r>
        <w:rPr>
          <w:snapToGrid/>
          <w:szCs w:val="22"/>
          <w:lang w:val="lt-LT"/>
        </w:rPr>
        <w:t xml:space="preserve">operacija, tabletes paprastai reikės vartoti 32-38 dienas. Jeigu Jums atlikta didelė </w:t>
      </w:r>
      <w:r>
        <w:rPr>
          <w:b/>
          <w:snapToGrid/>
          <w:szCs w:val="22"/>
          <w:lang w:val="lt-LT"/>
        </w:rPr>
        <w:t xml:space="preserve">kelio sąnario </w:t>
      </w:r>
      <w:r>
        <w:rPr>
          <w:snapToGrid/>
          <w:szCs w:val="22"/>
          <w:lang w:val="lt-LT"/>
        </w:rPr>
        <w:t>operacija, tabletes paprastai reikės vartoti 10-14 dienų.</w:t>
      </w:r>
    </w:p>
    <w:p w14:paraId="0760EEEB" w14:textId="77777777" w:rsidR="00890384" w:rsidRDefault="00890384">
      <w:pPr>
        <w:widowControl w:val="0"/>
        <w:tabs>
          <w:tab w:val="clear" w:pos="567"/>
        </w:tabs>
        <w:autoSpaceDE w:val="0"/>
        <w:autoSpaceDN w:val="0"/>
        <w:spacing w:line="240" w:lineRule="auto"/>
        <w:rPr>
          <w:snapToGrid/>
          <w:szCs w:val="22"/>
          <w:lang w:val="lt-LT"/>
        </w:rPr>
      </w:pPr>
    </w:p>
    <w:p w14:paraId="2CBA55C2"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0378C9A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r>
        <w:rPr>
          <w:snapToGrid/>
          <w:color w:val="000000"/>
          <w:szCs w:val="22"/>
          <w:lang w:val="lt-LT"/>
        </w:rPr>
        <w:t>Aboxoma</w:t>
      </w:r>
      <w:r>
        <w:rPr>
          <w:snapToGrid/>
          <w:szCs w:val="22"/>
          <w:lang w:val="lt-LT"/>
        </w:rPr>
        <w:t xml:space="preserve"> tabletę du kartus per parą.</w:t>
      </w:r>
    </w:p>
    <w:p w14:paraId="4BDC946F" w14:textId="77777777" w:rsidR="00890384" w:rsidRDefault="00890384">
      <w:pPr>
        <w:widowControl w:val="0"/>
        <w:tabs>
          <w:tab w:val="clear" w:pos="567"/>
        </w:tabs>
        <w:autoSpaceDE w:val="0"/>
        <w:autoSpaceDN w:val="0"/>
        <w:spacing w:line="240" w:lineRule="auto"/>
        <w:rPr>
          <w:snapToGrid/>
          <w:szCs w:val="22"/>
          <w:lang w:val="lt-LT"/>
        </w:rPr>
      </w:pPr>
    </w:p>
    <w:p w14:paraId="683749D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r>
        <w:rPr>
          <w:snapToGrid/>
          <w:color w:val="000000"/>
          <w:szCs w:val="22"/>
          <w:lang w:val="lt-LT"/>
        </w:rPr>
        <w:t>Aboxoma</w:t>
      </w:r>
      <w:r>
        <w:rPr>
          <w:snapToGrid/>
          <w:szCs w:val="22"/>
          <w:lang w:val="lt-LT"/>
        </w:rPr>
        <w:t xml:space="preserve"> tabletę du kartus per parą, jeigu:</w:t>
      </w:r>
    </w:p>
    <w:p w14:paraId="2C182C40" w14:textId="77777777" w:rsidR="00890384" w:rsidRDefault="00B26795">
      <w:pPr>
        <w:widowControl w:val="0"/>
        <w:numPr>
          <w:ilvl w:val="0"/>
          <w:numId w:val="28"/>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36664BBF" w14:textId="77777777" w:rsidR="00890384" w:rsidRDefault="00B26795">
      <w:pPr>
        <w:widowControl w:val="0"/>
        <w:numPr>
          <w:ilvl w:val="0"/>
          <w:numId w:val="28"/>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0D74B695" w14:textId="77777777" w:rsidR="00890384" w:rsidRDefault="00B26795">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(kreatinino koncentracija kraujo serume yra 1,5 mg/dl [133 mikromoliai/l] arba didesnė);</w:t>
      </w:r>
    </w:p>
    <w:p w14:paraId="518D1D96" w14:textId="77777777" w:rsidR="00890384" w:rsidRDefault="00B26795">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2DB4EAD2" w14:textId="77777777" w:rsidR="00890384" w:rsidRDefault="00B26795">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10A14046" w14:textId="77777777" w:rsidR="00890384" w:rsidRDefault="00890384">
      <w:pPr>
        <w:widowControl w:val="0"/>
        <w:tabs>
          <w:tab w:val="clear" w:pos="567"/>
        </w:tabs>
        <w:autoSpaceDE w:val="0"/>
        <w:autoSpaceDN w:val="0"/>
        <w:spacing w:line="240" w:lineRule="auto"/>
        <w:rPr>
          <w:snapToGrid/>
          <w:szCs w:val="22"/>
          <w:lang w:val="lt-LT"/>
        </w:rPr>
      </w:pPr>
    </w:p>
    <w:p w14:paraId="152B89E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42575AC2" w14:textId="77777777" w:rsidR="00890384" w:rsidRDefault="00890384">
      <w:pPr>
        <w:widowControl w:val="0"/>
        <w:tabs>
          <w:tab w:val="clear" w:pos="567"/>
        </w:tabs>
        <w:autoSpaceDE w:val="0"/>
        <w:autoSpaceDN w:val="0"/>
        <w:spacing w:line="240" w:lineRule="auto"/>
        <w:rPr>
          <w:snapToGrid/>
          <w:szCs w:val="22"/>
          <w:lang w:val="lt-LT"/>
        </w:rPr>
      </w:pPr>
    </w:p>
    <w:p w14:paraId="2C41A283"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6D0453D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r>
        <w:rPr>
          <w:snapToGrid/>
          <w:color w:val="000000"/>
          <w:szCs w:val="22"/>
          <w:lang w:val="lt-LT"/>
        </w:rPr>
        <w:t>Aboxoma</w:t>
      </w:r>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5A11D15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r>
        <w:rPr>
          <w:snapToGrid/>
          <w:color w:val="000000"/>
          <w:szCs w:val="22"/>
          <w:lang w:val="lt-LT"/>
        </w:rPr>
        <w:t>Aboxoma</w:t>
      </w:r>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7899269C" w14:textId="77777777" w:rsidR="00890384" w:rsidRDefault="00890384">
      <w:pPr>
        <w:widowControl w:val="0"/>
        <w:tabs>
          <w:tab w:val="clear" w:pos="567"/>
        </w:tabs>
        <w:autoSpaceDE w:val="0"/>
        <w:autoSpaceDN w:val="0"/>
        <w:spacing w:line="240" w:lineRule="auto"/>
        <w:rPr>
          <w:snapToGrid/>
          <w:szCs w:val="22"/>
          <w:lang w:val="lt-LT"/>
        </w:rPr>
      </w:pPr>
    </w:p>
    <w:p w14:paraId="266B225D"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77120EA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snapToGrid/>
          <w:color w:val="000000"/>
          <w:szCs w:val="22"/>
          <w:lang w:val="lt-LT"/>
        </w:rPr>
        <w:t>Aboxoma</w:t>
      </w:r>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0AC8A70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4EBBD443" w14:textId="77777777" w:rsidR="00890384" w:rsidRDefault="00890384">
      <w:pPr>
        <w:widowControl w:val="0"/>
        <w:tabs>
          <w:tab w:val="clear" w:pos="567"/>
        </w:tabs>
        <w:autoSpaceDE w:val="0"/>
        <w:autoSpaceDN w:val="0"/>
        <w:spacing w:line="240" w:lineRule="auto"/>
        <w:rPr>
          <w:snapToGrid/>
          <w:szCs w:val="22"/>
          <w:lang w:val="lt-LT"/>
        </w:rPr>
      </w:pPr>
    </w:p>
    <w:p w14:paraId="16CAF4B2" w14:textId="77777777" w:rsidR="00890384" w:rsidRDefault="00B26795">
      <w:pPr>
        <w:widowControl w:val="0"/>
        <w:tabs>
          <w:tab w:val="clear" w:pos="567"/>
        </w:tabs>
        <w:autoSpaceDE w:val="0"/>
        <w:autoSpaceDN w:val="0"/>
        <w:spacing w:line="240" w:lineRule="auto"/>
      </w:pPr>
      <w:r>
        <w:t>Vartojimas vaikams ir paaugliams</w:t>
      </w:r>
    </w:p>
    <w:p w14:paraId="031A08CA" w14:textId="77777777" w:rsidR="00890384" w:rsidRDefault="00890384">
      <w:pPr>
        <w:widowControl w:val="0"/>
        <w:tabs>
          <w:tab w:val="clear" w:pos="567"/>
        </w:tabs>
        <w:autoSpaceDE w:val="0"/>
        <w:autoSpaceDN w:val="0"/>
        <w:spacing w:line="240" w:lineRule="auto"/>
      </w:pPr>
    </w:p>
    <w:p w14:paraId="18CFE2BC" w14:textId="77777777" w:rsidR="00890384" w:rsidRDefault="00B26795">
      <w:pPr>
        <w:widowControl w:val="0"/>
        <w:tabs>
          <w:tab w:val="clear" w:pos="567"/>
        </w:tabs>
        <w:autoSpaceDE w:val="0"/>
        <w:autoSpaceDN w:val="0"/>
        <w:spacing w:line="240" w:lineRule="auto"/>
      </w:pPr>
      <w:r>
        <w:t>Kraujo krešuliams gydyti ir užkirsti kelią pakartotiniam kraujo krešulių susidarymui venose arba plaučių kraujagyslėse.</w:t>
      </w:r>
    </w:p>
    <w:p w14:paraId="7A3A065C" w14:textId="77777777" w:rsidR="00890384" w:rsidRDefault="00890384">
      <w:pPr>
        <w:widowControl w:val="0"/>
        <w:tabs>
          <w:tab w:val="clear" w:pos="567"/>
        </w:tabs>
        <w:autoSpaceDE w:val="0"/>
        <w:autoSpaceDN w:val="0"/>
        <w:spacing w:line="240" w:lineRule="auto"/>
      </w:pPr>
    </w:p>
    <w:p w14:paraId="1F12F3E1" w14:textId="77777777" w:rsidR="00890384" w:rsidRDefault="00B26795">
      <w:pPr>
        <w:widowControl w:val="0"/>
        <w:tabs>
          <w:tab w:val="clear" w:pos="567"/>
        </w:tabs>
        <w:autoSpaceDE w:val="0"/>
        <w:autoSpaceDN w:val="0"/>
        <w:spacing w:line="240" w:lineRule="auto"/>
      </w:pPr>
      <w:r>
        <w:t xml:space="preserve">Visada vartokite arba duokite šį vaistą tiksliai, kaip nurodė Jūsų arba vaiko gydytojas arba vaistininkas. Jeigu abejojate, kreipkitės į savo arba vaiko gydytoją, vaistininką arba slaugytoją. </w:t>
      </w:r>
    </w:p>
    <w:p w14:paraId="3522CD57" w14:textId="77777777" w:rsidR="00890384" w:rsidRDefault="00890384">
      <w:pPr>
        <w:widowControl w:val="0"/>
        <w:tabs>
          <w:tab w:val="clear" w:pos="567"/>
        </w:tabs>
        <w:autoSpaceDE w:val="0"/>
        <w:autoSpaceDN w:val="0"/>
        <w:spacing w:line="240" w:lineRule="auto"/>
      </w:pPr>
    </w:p>
    <w:p w14:paraId="132C4AD7" w14:textId="77777777" w:rsidR="00890384" w:rsidRDefault="00B26795">
      <w:pPr>
        <w:widowControl w:val="0"/>
        <w:tabs>
          <w:tab w:val="clear" w:pos="567"/>
        </w:tabs>
        <w:autoSpaceDE w:val="0"/>
        <w:autoSpaceDN w:val="0"/>
        <w:spacing w:line="240" w:lineRule="auto"/>
      </w:pPr>
      <w:r>
        <w:t>Stenkitės dozę vartoti arba duoti kasdien tuo pačiu laiku, kad būtų pasiektas geriausias gydomasis poveikis.</w:t>
      </w:r>
    </w:p>
    <w:p w14:paraId="253FD17B" w14:textId="77777777" w:rsidR="00890384" w:rsidRDefault="00890384">
      <w:pPr>
        <w:widowControl w:val="0"/>
        <w:tabs>
          <w:tab w:val="clear" w:pos="567"/>
        </w:tabs>
        <w:autoSpaceDE w:val="0"/>
        <w:autoSpaceDN w:val="0"/>
        <w:spacing w:line="240" w:lineRule="auto"/>
      </w:pPr>
    </w:p>
    <w:p w14:paraId="1C541814" w14:textId="77777777" w:rsidR="00890384" w:rsidRDefault="00B26795">
      <w:pPr>
        <w:widowControl w:val="0"/>
        <w:tabs>
          <w:tab w:val="clear" w:pos="567"/>
        </w:tabs>
        <w:autoSpaceDE w:val="0"/>
        <w:autoSpaceDN w:val="0"/>
        <w:spacing w:line="240" w:lineRule="auto"/>
      </w:pPr>
      <w:r>
        <w:t>Apiksabano dozė priklauso nuo kūno svorio, ją apskaičiuos gydytojas.</w:t>
      </w:r>
    </w:p>
    <w:p w14:paraId="612C7A2D" w14:textId="77777777" w:rsidR="00890384" w:rsidRDefault="00890384">
      <w:pPr>
        <w:widowControl w:val="0"/>
        <w:tabs>
          <w:tab w:val="clear" w:pos="567"/>
        </w:tabs>
        <w:autoSpaceDE w:val="0"/>
        <w:autoSpaceDN w:val="0"/>
        <w:spacing w:line="240" w:lineRule="auto"/>
      </w:pPr>
    </w:p>
    <w:p w14:paraId="0257F20F" w14:textId="77777777" w:rsidR="00890384" w:rsidRDefault="00B26795">
      <w:pPr>
        <w:widowControl w:val="0"/>
        <w:tabs>
          <w:tab w:val="clear" w:pos="567"/>
        </w:tabs>
        <w:autoSpaceDE w:val="0"/>
        <w:autoSpaceDN w:val="0"/>
        <w:spacing w:line="240" w:lineRule="auto"/>
      </w:pPr>
      <w:r>
        <w:t xml:space="preserve">Rekomenduojama dozė vaikams ir paaugliams, sveriantiems mažiausiai 35 kg, pirmąsias 7 dienas yra po </w:t>
      </w:r>
      <w:r w:rsidRPr="005261E3">
        <w:rPr>
          <w:b/>
          <w:bCs/>
        </w:rPr>
        <w:t xml:space="preserve">keturias </w:t>
      </w:r>
      <w:r>
        <w:t xml:space="preserve">Aboxoma </w:t>
      </w:r>
      <w:r w:rsidRPr="005261E3">
        <w:rPr>
          <w:b/>
          <w:bCs/>
        </w:rPr>
        <w:t>2,5 mg</w:t>
      </w:r>
      <w:r>
        <w:t xml:space="preserve"> tabletes du kartus per parą, pavyzdžiui: keturias tabletes reikia vartoti ryte, o kitas keturias – vakare. Po 7 dienų rekomenduojama dozė yra po </w:t>
      </w:r>
      <w:r w:rsidRPr="005261E3">
        <w:rPr>
          <w:b/>
          <w:bCs/>
        </w:rPr>
        <w:t>dvi</w:t>
      </w:r>
      <w:r>
        <w:t xml:space="preserve"> Aboxoma </w:t>
      </w:r>
      <w:r w:rsidRPr="005261E3">
        <w:rPr>
          <w:b/>
          <w:bCs/>
        </w:rPr>
        <w:t>2,5 mg</w:t>
      </w:r>
      <w:r>
        <w:t xml:space="preserve"> tabletes du kartus per parą, pavyzdžiui: dvi tabletes reikia vartoti ryte, o kitas dvi – vakare.</w:t>
      </w:r>
    </w:p>
    <w:p w14:paraId="02EDD789" w14:textId="77777777" w:rsidR="00890384" w:rsidRDefault="00890384">
      <w:pPr>
        <w:widowControl w:val="0"/>
        <w:tabs>
          <w:tab w:val="clear" w:pos="567"/>
        </w:tabs>
        <w:autoSpaceDE w:val="0"/>
        <w:autoSpaceDN w:val="0"/>
        <w:spacing w:line="240" w:lineRule="auto"/>
      </w:pPr>
    </w:p>
    <w:p w14:paraId="79724B15" w14:textId="77777777" w:rsidR="00890384" w:rsidRDefault="00B26795">
      <w:pPr>
        <w:widowControl w:val="0"/>
        <w:tabs>
          <w:tab w:val="clear" w:pos="567"/>
        </w:tabs>
        <w:autoSpaceDE w:val="0"/>
        <w:autoSpaceDN w:val="0"/>
        <w:spacing w:line="240" w:lineRule="auto"/>
      </w:pPr>
      <w:r>
        <w:t>Tėvai ar prižiūrintys asmenys turi stebėti vaiką, kad įsitikintų, jog suvartota visa dozė.</w:t>
      </w:r>
    </w:p>
    <w:p w14:paraId="30B74AD4" w14:textId="77777777" w:rsidR="00890384" w:rsidRDefault="00890384">
      <w:pPr>
        <w:widowControl w:val="0"/>
        <w:tabs>
          <w:tab w:val="clear" w:pos="567"/>
        </w:tabs>
        <w:autoSpaceDE w:val="0"/>
        <w:autoSpaceDN w:val="0"/>
        <w:spacing w:line="240" w:lineRule="auto"/>
      </w:pPr>
    </w:p>
    <w:p w14:paraId="02BE7013" w14:textId="67E47DA5" w:rsidR="00890384" w:rsidRPr="005261E3" w:rsidRDefault="00B26795">
      <w:pPr>
        <w:widowControl w:val="0"/>
        <w:tabs>
          <w:tab w:val="clear" w:pos="567"/>
        </w:tabs>
        <w:autoSpaceDE w:val="0"/>
        <w:autoSpaceDN w:val="0"/>
        <w:spacing w:line="240" w:lineRule="auto"/>
      </w:pPr>
      <w:r>
        <w:t xml:space="preserve">Svarbu </w:t>
      </w:r>
      <w:r w:rsidR="00FD38E3">
        <w:t>reguliariai lankytis</w:t>
      </w:r>
      <w:r>
        <w:t xml:space="preserve"> pas gydytoją, nes keičiantis svoriui dozę gali tekti keisti.</w:t>
      </w:r>
    </w:p>
    <w:p w14:paraId="5EDE4033" w14:textId="77777777" w:rsidR="00890384" w:rsidRDefault="00890384">
      <w:pPr>
        <w:widowControl w:val="0"/>
        <w:tabs>
          <w:tab w:val="clear" w:pos="567"/>
        </w:tabs>
        <w:autoSpaceDE w:val="0"/>
        <w:autoSpaceDN w:val="0"/>
        <w:spacing w:line="240" w:lineRule="auto"/>
        <w:rPr>
          <w:snapToGrid/>
          <w:szCs w:val="22"/>
          <w:lang w:val="lt-LT"/>
        </w:rPr>
      </w:pPr>
    </w:p>
    <w:p w14:paraId="0F51C052"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4E4BC176" w14:textId="77777777" w:rsidR="00890384" w:rsidRDefault="00890384">
      <w:pPr>
        <w:widowControl w:val="0"/>
        <w:tabs>
          <w:tab w:val="clear" w:pos="567"/>
        </w:tabs>
        <w:autoSpaceDE w:val="0"/>
        <w:autoSpaceDN w:val="0"/>
        <w:spacing w:line="240" w:lineRule="auto"/>
        <w:rPr>
          <w:b/>
          <w:snapToGrid/>
          <w:szCs w:val="22"/>
          <w:lang w:val="lt-LT"/>
        </w:rPr>
      </w:pPr>
    </w:p>
    <w:p w14:paraId="4B49A422" w14:textId="77777777" w:rsidR="00890384" w:rsidRDefault="00B26795">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w:t>
      </w:r>
      <w:r>
        <w:rPr>
          <w:i/>
          <w:snapToGrid/>
          <w:color w:val="000000"/>
          <w:szCs w:val="22"/>
          <w:lang w:val="lt-LT"/>
        </w:rPr>
        <w:t>Aboxoma</w:t>
      </w:r>
      <w:r>
        <w:rPr>
          <w:i/>
          <w:snapToGrid/>
          <w:szCs w:val="22"/>
          <w:lang w:val="lt-LT"/>
        </w:rPr>
        <w:t xml:space="preserve"> keičiant į gydymą antikoaguliantais</w:t>
      </w:r>
    </w:p>
    <w:p w14:paraId="632A8524"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r>
        <w:rPr>
          <w:snapToGrid/>
          <w:color w:val="000000"/>
          <w:szCs w:val="22"/>
          <w:lang w:val="lt-LT"/>
        </w:rPr>
        <w:t>Aboxoma</w:t>
      </w:r>
      <w:r>
        <w:rPr>
          <w:snapToGrid/>
          <w:szCs w:val="22"/>
          <w:lang w:val="lt-LT"/>
        </w:rPr>
        <w:t xml:space="preserve"> vartojimą. Pradėkite gydymą antikoaguliantais (pvz., heparinu) tuo laiku, kada turėtumėte išgerti kitą tabletę.</w:t>
      </w:r>
    </w:p>
    <w:p w14:paraId="71429948" w14:textId="77777777" w:rsidR="00890384" w:rsidRDefault="00890384">
      <w:pPr>
        <w:widowControl w:val="0"/>
        <w:tabs>
          <w:tab w:val="clear" w:pos="567"/>
        </w:tabs>
        <w:autoSpaceDE w:val="0"/>
        <w:autoSpaceDN w:val="0"/>
        <w:spacing w:line="240" w:lineRule="auto"/>
        <w:rPr>
          <w:snapToGrid/>
          <w:szCs w:val="22"/>
          <w:lang w:val="lt-LT"/>
        </w:rPr>
      </w:pPr>
    </w:p>
    <w:p w14:paraId="22FF4BE1" w14:textId="77777777" w:rsidR="00890384" w:rsidRDefault="00B26795">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antikoaguliantais keičiant į gydymą </w:t>
      </w:r>
      <w:r>
        <w:rPr>
          <w:i/>
          <w:snapToGrid/>
          <w:color w:val="000000"/>
          <w:szCs w:val="22"/>
          <w:lang w:val="lt-LT"/>
        </w:rPr>
        <w:t>Aboxoma</w:t>
      </w:r>
    </w:p>
    <w:p w14:paraId="370EBFCB"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r>
        <w:rPr>
          <w:snapToGrid/>
          <w:color w:val="000000"/>
          <w:szCs w:val="22"/>
          <w:lang w:val="lt-LT"/>
        </w:rPr>
        <w:t>Aboxoma</w:t>
      </w:r>
      <w:r>
        <w:rPr>
          <w:snapToGrid/>
          <w:szCs w:val="22"/>
          <w:lang w:val="lt-LT"/>
        </w:rPr>
        <w:t xml:space="preserve"> tuo laiku, kada turėtumėte vartoti kitą antikoagulianto dozę, o toliau vartokite vaistą įprastai.</w:t>
      </w:r>
    </w:p>
    <w:p w14:paraId="4BE0AC68" w14:textId="77777777" w:rsidR="00890384" w:rsidRDefault="00890384">
      <w:pPr>
        <w:widowControl w:val="0"/>
        <w:tabs>
          <w:tab w:val="clear" w:pos="567"/>
        </w:tabs>
        <w:autoSpaceDE w:val="0"/>
        <w:autoSpaceDN w:val="0"/>
        <w:spacing w:line="240" w:lineRule="auto"/>
        <w:rPr>
          <w:snapToGrid/>
          <w:szCs w:val="22"/>
          <w:lang w:val="lt-LT"/>
        </w:rPr>
      </w:pPr>
    </w:p>
    <w:p w14:paraId="0542ED93" w14:textId="77777777" w:rsidR="00890384" w:rsidRDefault="00B26795">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r>
        <w:rPr>
          <w:i/>
          <w:snapToGrid/>
          <w:color w:val="000000"/>
          <w:szCs w:val="22"/>
          <w:lang w:val="lt-LT"/>
        </w:rPr>
        <w:t>Aboxoma</w:t>
      </w:r>
    </w:p>
    <w:p w14:paraId="73A0C111"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r>
        <w:rPr>
          <w:snapToGrid/>
          <w:color w:val="000000"/>
          <w:szCs w:val="22"/>
          <w:lang w:val="lt-LT"/>
        </w:rPr>
        <w:t>Aboxoma</w:t>
      </w:r>
      <w:r>
        <w:rPr>
          <w:snapToGrid/>
          <w:szCs w:val="22"/>
          <w:lang w:val="lt-LT"/>
        </w:rPr>
        <w:t>.</w:t>
      </w:r>
    </w:p>
    <w:p w14:paraId="791BB0DE" w14:textId="77777777" w:rsidR="00890384" w:rsidRDefault="00890384">
      <w:pPr>
        <w:widowControl w:val="0"/>
        <w:tabs>
          <w:tab w:val="clear" w:pos="567"/>
        </w:tabs>
        <w:autoSpaceDE w:val="0"/>
        <w:autoSpaceDN w:val="0"/>
        <w:spacing w:line="240" w:lineRule="auto"/>
        <w:rPr>
          <w:snapToGrid/>
          <w:szCs w:val="22"/>
          <w:lang w:val="lt-LT"/>
        </w:rPr>
      </w:pPr>
    </w:p>
    <w:p w14:paraId="365D330E" w14:textId="77777777" w:rsidR="00890384" w:rsidRDefault="00B26795">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w:t>
      </w:r>
      <w:r>
        <w:rPr>
          <w:i/>
          <w:snapToGrid/>
          <w:color w:val="000000"/>
          <w:szCs w:val="22"/>
          <w:lang w:val="lt-LT"/>
        </w:rPr>
        <w:t>Aboxoma</w:t>
      </w:r>
      <w:r>
        <w:rPr>
          <w:i/>
          <w:snapToGrid/>
          <w:szCs w:val="22"/>
          <w:lang w:val="lt-LT"/>
        </w:rPr>
        <w:t xml:space="preserve"> keičiant į gydymą antikoaguliantu, kurio sudėtyje yra vitamino K antagonisto (pvz., varfarino)</w:t>
      </w:r>
    </w:p>
    <w:p w14:paraId="307C640C"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r>
        <w:rPr>
          <w:snapToGrid/>
          <w:color w:val="000000"/>
          <w:szCs w:val="22"/>
          <w:lang w:val="lt-LT"/>
        </w:rPr>
        <w:t>Aboxoma</w:t>
      </w:r>
      <w:r>
        <w:rPr>
          <w:snapToGrid/>
          <w:szCs w:val="22"/>
          <w:lang w:val="lt-LT"/>
        </w:rPr>
        <w:t xml:space="preserve"> ne trumpiau kaip 2 dienas po to, kai išgersite pirmąją vaisto, kurio sudėtyje yra vitamino K antagonisto, dozę. Gydytojas turės matuoti kraujo rodmenis ir nurodys Jums, kada baigti vartoti </w:t>
      </w:r>
      <w:r>
        <w:rPr>
          <w:snapToGrid/>
          <w:color w:val="000000"/>
          <w:szCs w:val="22"/>
          <w:lang w:val="lt-LT"/>
        </w:rPr>
        <w:t>Aboxoma</w:t>
      </w:r>
      <w:r>
        <w:rPr>
          <w:snapToGrid/>
          <w:szCs w:val="22"/>
          <w:lang w:val="lt-LT"/>
        </w:rPr>
        <w:t>.</w:t>
      </w:r>
    </w:p>
    <w:p w14:paraId="2F16F089" w14:textId="77777777" w:rsidR="00890384" w:rsidRDefault="00890384">
      <w:pPr>
        <w:widowControl w:val="0"/>
        <w:tabs>
          <w:tab w:val="clear" w:pos="567"/>
        </w:tabs>
        <w:autoSpaceDE w:val="0"/>
        <w:autoSpaceDN w:val="0"/>
        <w:spacing w:line="240" w:lineRule="auto"/>
        <w:outlineLvl w:val="1"/>
        <w:rPr>
          <w:b/>
          <w:bCs/>
          <w:snapToGrid/>
          <w:szCs w:val="22"/>
          <w:lang w:val="lt-LT"/>
        </w:rPr>
      </w:pPr>
    </w:p>
    <w:p w14:paraId="1E1678E2"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Pacientai, kuriems atliekama kardioversija</w:t>
      </w:r>
    </w:p>
    <w:p w14:paraId="5F284A0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27AC8C71" w14:textId="77777777" w:rsidR="00890384" w:rsidRDefault="00890384">
      <w:pPr>
        <w:widowControl w:val="0"/>
        <w:tabs>
          <w:tab w:val="clear" w:pos="567"/>
        </w:tabs>
        <w:autoSpaceDE w:val="0"/>
        <w:autoSpaceDN w:val="0"/>
        <w:spacing w:line="240" w:lineRule="auto"/>
        <w:rPr>
          <w:snapToGrid/>
          <w:szCs w:val="22"/>
          <w:lang w:val="lt-LT"/>
        </w:rPr>
      </w:pPr>
    </w:p>
    <w:p w14:paraId="219490B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r>
        <w:rPr>
          <w:b/>
          <w:snapToGrid/>
          <w:color w:val="000000"/>
          <w:szCs w:val="22"/>
          <w:lang w:val="lt-LT"/>
        </w:rPr>
        <w:t>Aboxoma</w:t>
      </w:r>
      <w:r>
        <w:rPr>
          <w:b/>
          <w:bCs/>
          <w:snapToGrid/>
          <w:szCs w:val="22"/>
          <w:lang w:val="lt-LT"/>
        </w:rPr>
        <w:t xml:space="preserve"> dozę</w:t>
      </w:r>
    </w:p>
    <w:p w14:paraId="5B81534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r>
        <w:rPr>
          <w:snapToGrid/>
          <w:color w:val="000000"/>
          <w:szCs w:val="22"/>
          <w:lang w:val="lt-LT"/>
        </w:rPr>
        <w:t>Aboxoma</w:t>
      </w:r>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0B65134E" w14:textId="77777777" w:rsidR="00890384" w:rsidRDefault="00890384">
      <w:pPr>
        <w:widowControl w:val="0"/>
        <w:tabs>
          <w:tab w:val="clear" w:pos="567"/>
        </w:tabs>
        <w:autoSpaceDE w:val="0"/>
        <w:autoSpaceDN w:val="0"/>
        <w:spacing w:line="240" w:lineRule="auto"/>
        <w:rPr>
          <w:snapToGrid/>
          <w:szCs w:val="22"/>
          <w:lang w:val="lt-LT"/>
        </w:rPr>
      </w:pPr>
    </w:p>
    <w:p w14:paraId="3FA24D8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r>
        <w:rPr>
          <w:snapToGrid/>
          <w:color w:val="000000"/>
          <w:szCs w:val="22"/>
          <w:lang w:val="lt-LT"/>
        </w:rPr>
        <w:t>Aboxoma</w:t>
      </w:r>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50845A94" w14:textId="77777777" w:rsidR="00890384" w:rsidRDefault="00890384">
      <w:pPr>
        <w:widowControl w:val="0"/>
        <w:tabs>
          <w:tab w:val="clear" w:pos="567"/>
        </w:tabs>
        <w:autoSpaceDE w:val="0"/>
        <w:autoSpaceDN w:val="0"/>
        <w:spacing w:line="240" w:lineRule="auto"/>
        <w:rPr>
          <w:snapToGrid/>
          <w:szCs w:val="22"/>
          <w:lang w:val="lt-LT"/>
        </w:rPr>
      </w:pPr>
    </w:p>
    <w:p w14:paraId="0093BE41"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r>
        <w:rPr>
          <w:b/>
          <w:snapToGrid/>
          <w:color w:val="000000"/>
          <w:szCs w:val="22"/>
          <w:lang w:val="lt-LT"/>
        </w:rPr>
        <w:t>Aboxoma</w:t>
      </w:r>
    </w:p>
    <w:p w14:paraId="3EF678F6" w14:textId="13E1B8D8" w:rsidR="00890384" w:rsidRDefault="00B26795">
      <w:pPr>
        <w:widowControl w:val="0"/>
        <w:numPr>
          <w:ilvl w:val="0"/>
          <w:numId w:val="30"/>
        </w:numPr>
        <w:autoSpaceDE w:val="0"/>
        <w:autoSpaceDN w:val="0"/>
        <w:spacing w:line="240" w:lineRule="auto"/>
        <w:ind w:left="567" w:hanging="567"/>
        <w:rPr>
          <w:snapToGrid/>
          <w:szCs w:val="22"/>
          <w:lang w:val="lt-LT"/>
        </w:rPr>
      </w:pPr>
      <w:r>
        <w:t>Jeigu praleidote rytinę dozę, suvartokite ją</w:t>
      </w:r>
      <w:r>
        <w:rPr>
          <w:snapToGrid/>
          <w:szCs w:val="22"/>
          <w:lang w:val="lt-LT"/>
        </w:rPr>
        <w:t xml:space="preserve"> iš karto prisiminę ir</w:t>
      </w:r>
      <w:r>
        <w:t xml:space="preserve"> ją galima vartoti kartu su vakarine doze</w:t>
      </w:r>
      <w:r>
        <w:rPr>
          <w:snapToGrid/>
          <w:szCs w:val="22"/>
          <w:lang w:val="lt-LT"/>
        </w:rPr>
        <w:t>.</w:t>
      </w:r>
    </w:p>
    <w:p w14:paraId="108B5BCC" w14:textId="557CFCFA" w:rsidR="00890384" w:rsidRDefault="00B26795">
      <w:pPr>
        <w:widowControl w:val="0"/>
        <w:numPr>
          <w:ilvl w:val="0"/>
          <w:numId w:val="30"/>
        </w:numPr>
        <w:autoSpaceDE w:val="0"/>
        <w:autoSpaceDN w:val="0"/>
        <w:spacing w:line="240" w:lineRule="auto"/>
        <w:ind w:left="567" w:hanging="567"/>
        <w:rPr>
          <w:snapToGrid/>
          <w:szCs w:val="22"/>
          <w:lang w:val="lt-LT"/>
        </w:rPr>
      </w:pPr>
      <w:r>
        <w:t xml:space="preserve"> Praleistą vakarinę dozę galima vartoti tik tą patį vakarą. Nevartokite dviejų dozių kitą rytą. Kitą dieną tiesiog toliau vartokite įprastą dozę du kartus per parą, kaip rekomenduojama.</w:t>
      </w:r>
    </w:p>
    <w:p w14:paraId="55A01AF8" w14:textId="77777777" w:rsidR="00890384" w:rsidRDefault="00890384">
      <w:pPr>
        <w:widowControl w:val="0"/>
        <w:tabs>
          <w:tab w:val="clear" w:pos="567"/>
        </w:tabs>
        <w:autoSpaceDE w:val="0"/>
        <w:autoSpaceDN w:val="0"/>
        <w:spacing w:line="240" w:lineRule="auto"/>
        <w:rPr>
          <w:snapToGrid/>
          <w:szCs w:val="22"/>
          <w:lang w:val="lt-LT"/>
        </w:rPr>
      </w:pPr>
    </w:p>
    <w:p w14:paraId="7A3790FB" w14:textId="77777777" w:rsidR="00890384" w:rsidRDefault="00B26795">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40C1D4CF" w14:textId="77777777" w:rsidR="00890384" w:rsidRDefault="00890384">
      <w:pPr>
        <w:widowControl w:val="0"/>
        <w:tabs>
          <w:tab w:val="clear" w:pos="567"/>
        </w:tabs>
        <w:autoSpaceDE w:val="0"/>
        <w:autoSpaceDN w:val="0"/>
        <w:spacing w:line="240" w:lineRule="auto"/>
        <w:rPr>
          <w:snapToGrid/>
          <w:szCs w:val="22"/>
          <w:lang w:val="lt-LT"/>
        </w:rPr>
      </w:pPr>
    </w:p>
    <w:p w14:paraId="670DEB21"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r>
        <w:rPr>
          <w:b/>
          <w:snapToGrid/>
          <w:color w:val="000000"/>
          <w:szCs w:val="22"/>
          <w:lang w:val="lt-LT"/>
        </w:rPr>
        <w:t>Aboxoma</w:t>
      </w:r>
    </w:p>
    <w:p w14:paraId="1C023A5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1C84DDEB" w14:textId="77777777" w:rsidR="00890384" w:rsidRDefault="00890384">
      <w:pPr>
        <w:widowControl w:val="0"/>
        <w:tabs>
          <w:tab w:val="clear" w:pos="567"/>
        </w:tabs>
        <w:autoSpaceDE w:val="0"/>
        <w:autoSpaceDN w:val="0"/>
        <w:spacing w:line="240" w:lineRule="auto"/>
        <w:rPr>
          <w:snapToGrid/>
          <w:szCs w:val="22"/>
          <w:lang w:val="lt-LT"/>
        </w:rPr>
      </w:pPr>
    </w:p>
    <w:p w14:paraId="304250B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7B1E8BB6" w14:textId="77777777" w:rsidR="00890384" w:rsidRDefault="00890384">
      <w:pPr>
        <w:widowControl w:val="0"/>
        <w:tabs>
          <w:tab w:val="clear" w:pos="567"/>
        </w:tabs>
        <w:autoSpaceDE w:val="0"/>
        <w:autoSpaceDN w:val="0"/>
        <w:spacing w:line="240" w:lineRule="auto"/>
        <w:rPr>
          <w:snapToGrid/>
          <w:szCs w:val="22"/>
          <w:lang w:val="lt-LT"/>
        </w:rPr>
      </w:pPr>
    </w:p>
    <w:p w14:paraId="5DE2B728" w14:textId="77777777" w:rsidR="00890384" w:rsidRDefault="00890384">
      <w:pPr>
        <w:widowControl w:val="0"/>
        <w:tabs>
          <w:tab w:val="clear" w:pos="567"/>
        </w:tabs>
        <w:autoSpaceDE w:val="0"/>
        <w:autoSpaceDN w:val="0"/>
        <w:spacing w:line="240" w:lineRule="auto"/>
        <w:rPr>
          <w:snapToGrid/>
          <w:szCs w:val="22"/>
          <w:lang w:val="lt-LT"/>
        </w:rPr>
      </w:pPr>
    </w:p>
    <w:p w14:paraId="5D99650D" w14:textId="77777777" w:rsidR="00890384" w:rsidRDefault="00B26795">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60C696A9" w14:textId="77777777" w:rsidR="00890384" w:rsidRDefault="00890384">
      <w:pPr>
        <w:widowControl w:val="0"/>
        <w:tabs>
          <w:tab w:val="clear" w:pos="567"/>
        </w:tabs>
        <w:autoSpaceDE w:val="0"/>
        <w:autoSpaceDN w:val="0"/>
        <w:spacing w:line="240" w:lineRule="auto"/>
        <w:rPr>
          <w:b/>
          <w:snapToGrid/>
          <w:szCs w:val="22"/>
          <w:lang w:val="lt-LT"/>
        </w:rPr>
      </w:pPr>
    </w:p>
    <w:p w14:paraId="3D8EC3A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r>
        <w:rPr>
          <w:snapToGrid/>
          <w:color w:val="000000"/>
          <w:szCs w:val="22"/>
          <w:lang w:val="lt-LT"/>
        </w:rPr>
        <w:t>Aboxoma</w:t>
      </w:r>
      <w:r>
        <w:rPr>
          <w:snapToGrid/>
          <w:szCs w:val="22"/>
          <w:lang w:val="lt-LT"/>
        </w:rPr>
        <w:t xml:space="preserve"> gali būti vartojamas esant trims skirtingoms medicininėms būklėms. Kiekvienos šių būklių </w:t>
      </w:r>
      <w:r>
        <w:rPr>
          <w:snapToGrid/>
          <w:szCs w:val="22"/>
          <w:lang w:val="lt-LT"/>
        </w:rPr>
        <w:lastRenderedPageBreak/>
        <w:t>atveju žinomas skirtingas šalutinis poveikis, kuris pasireiškia skirtingu dažnumu, todėl toliau yra išvardytas atskirai.</w:t>
      </w:r>
    </w:p>
    <w:p w14:paraId="28F5044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5AB32357" w14:textId="77777777" w:rsidR="00890384" w:rsidRDefault="00890384">
      <w:pPr>
        <w:widowControl w:val="0"/>
        <w:tabs>
          <w:tab w:val="clear" w:pos="567"/>
        </w:tabs>
        <w:autoSpaceDE w:val="0"/>
        <w:autoSpaceDN w:val="0"/>
        <w:spacing w:line="240" w:lineRule="auto"/>
        <w:rPr>
          <w:snapToGrid/>
          <w:szCs w:val="22"/>
          <w:lang w:val="lt-LT"/>
        </w:rPr>
      </w:pPr>
    </w:p>
    <w:p w14:paraId="255F95E0"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r>
        <w:rPr>
          <w:snapToGrid/>
          <w:color w:val="000000"/>
          <w:szCs w:val="22"/>
          <w:u w:val="single"/>
          <w:lang w:val="lt-LT"/>
        </w:rPr>
        <w:t>Aboxoma</w:t>
      </w:r>
      <w:r>
        <w:rPr>
          <w:snapToGrid/>
          <w:szCs w:val="22"/>
          <w:u w:val="single"/>
          <w:lang w:val="lt-LT"/>
        </w:rPr>
        <w:t>, kad</w:t>
      </w:r>
      <w:r>
        <w:rPr>
          <w:snapToGrid/>
          <w:szCs w:val="22"/>
          <w:lang w:val="lt-LT"/>
        </w:rPr>
        <w:t xml:space="preserve"> </w:t>
      </w:r>
      <w:r>
        <w:rPr>
          <w:snapToGrid/>
          <w:szCs w:val="22"/>
          <w:u w:val="single"/>
          <w:lang w:val="lt-LT"/>
        </w:rPr>
        <w:t>nesusiformuotų kraujo krešuliai po klubo arba kelio sąnario pakeitimo operacijų.</w:t>
      </w:r>
    </w:p>
    <w:p w14:paraId="5F0580F9" w14:textId="77777777" w:rsidR="00890384" w:rsidRDefault="00890384">
      <w:pPr>
        <w:widowControl w:val="0"/>
        <w:tabs>
          <w:tab w:val="clear" w:pos="567"/>
        </w:tabs>
        <w:autoSpaceDE w:val="0"/>
        <w:autoSpaceDN w:val="0"/>
        <w:spacing w:line="240" w:lineRule="auto"/>
        <w:rPr>
          <w:snapToGrid/>
          <w:szCs w:val="22"/>
          <w:lang w:val="lt-LT"/>
        </w:rPr>
      </w:pPr>
    </w:p>
    <w:p w14:paraId="7131BF0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1C7B3376"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3D71F256"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576A971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2F345DD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pykinimas (šleikštulys).</w:t>
      </w:r>
    </w:p>
    <w:p w14:paraId="070122A8" w14:textId="77777777" w:rsidR="00890384" w:rsidRDefault="00890384">
      <w:pPr>
        <w:widowControl w:val="0"/>
        <w:tabs>
          <w:tab w:val="clear" w:pos="567"/>
        </w:tabs>
        <w:autoSpaceDE w:val="0"/>
        <w:autoSpaceDN w:val="0"/>
        <w:spacing w:line="240" w:lineRule="auto"/>
        <w:rPr>
          <w:snapToGrid/>
          <w:szCs w:val="22"/>
          <w:lang w:val="lt-LT"/>
        </w:rPr>
      </w:pPr>
    </w:p>
    <w:p w14:paraId="519B2BD2"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48ECF83F"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45FC646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7EA3886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t. y. kraujosruvų susidarymas ir patinimas, kraujo ar skysčio išskyros iš chirurginės žaizdos, pjūvio vietos (žaizdos sekrecija) ar injekcijos vietos;</w:t>
      </w:r>
    </w:p>
    <w:p w14:paraId="62B47C8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žarnyno ar ryškaus (raudono) kraujo atsiradimas išmatose;</w:t>
      </w:r>
    </w:p>
    <w:p w14:paraId="41195DC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052F208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7C001D07"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2B66A00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1B156058"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1E1DCDDD"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786F4C1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w:t>
      </w:r>
    </w:p>
    <w:p w14:paraId="60C7AA2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14:paraId="66D8A902"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20D8AD10" w14:textId="77777777" w:rsidR="00890384" w:rsidRDefault="00890384">
      <w:pPr>
        <w:widowControl w:val="0"/>
        <w:tabs>
          <w:tab w:val="clear" w:pos="567"/>
        </w:tabs>
        <w:autoSpaceDE w:val="0"/>
        <w:autoSpaceDN w:val="0"/>
        <w:spacing w:line="240" w:lineRule="auto"/>
        <w:rPr>
          <w:snapToGrid/>
          <w:szCs w:val="22"/>
          <w:lang w:val="lt-LT"/>
        </w:rPr>
      </w:pPr>
    </w:p>
    <w:p w14:paraId="3373F18A" w14:textId="77777777" w:rsidR="00890384" w:rsidRDefault="00B26795">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Reti šalutinio poveikio reiškiniai (gali pasireikšti rečiau kaip 1 iš 1 000 asmenų):</w:t>
      </w:r>
    </w:p>
    <w:p w14:paraId="020613DA" w14:textId="77777777" w:rsidR="00890384" w:rsidRDefault="00B26795">
      <w:pPr>
        <w:widowControl w:val="0"/>
        <w:numPr>
          <w:ilvl w:val="0"/>
          <w:numId w:val="32"/>
        </w:numPr>
        <w:autoSpaceDE w:val="0"/>
        <w:autoSpaceDN w:val="0"/>
        <w:spacing w:line="240" w:lineRule="auto"/>
        <w:ind w:left="567"/>
        <w:jc w:val="both"/>
        <w:rPr>
          <w:snapToGrid/>
          <w:szCs w:val="22"/>
          <w:lang w:val="lt-LT"/>
        </w:rPr>
      </w:pPr>
      <w:r>
        <w:rPr>
          <w:snapToGrid/>
          <w:szCs w:val="22"/>
          <w:lang w:val="lt-LT"/>
        </w:rPr>
        <w:t xml:space="preserve">alerginės (padidėjusio jautrumo) reakcijos, kurios gali sukelti: veido, lūpų, burnos, liežuvio ir (arba) gerklės patinimą bei apsunkintą kvėpavimą. Jeigu pasireikštų bet kuris iš šių simptomų, </w:t>
      </w:r>
      <w:r>
        <w:rPr>
          <w:b/>
          <w:snapToGrid/>
          <w:szCs w:val="22"/>
          <w:lang w:val="lt-LT"/>
        </w:rPr>
        <w:t>nedelsdami kreipkitės į gydytoją</w:t>
      </w:r>
      <w:r>
        <w:rPr>
          <w:snapToGrid/>
          <w:szCs w:val="22"/>
          <w:lang w:val="lt-LT"/>
        </w:rPr>
        <w:t>;</w:t>
      </w:r>
    </w:p>
    <w:p w14:paraId="3E344812"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76BDA50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6470906C"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akyje;</w:t>
      </w:r>
    </w:p>
    <w:p w14:paraId="4D6176B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 ar atkosėjimas krauju;</w:t>
      </w:r>
    </w:p>
    <w:p w14:paraId="2F154C5D"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5F1F507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4F5FE144" w14:textId="77777777" w:rsidR="00890384" w:rsidRDefault="00890384">
      <w:pPr>
        <w:widowControl w:val="0"/>
        <w:tabs>
          <w:tab w:val="clear" w:pos="567"/>
        </w:tabs>
        <w:autoSpaceDE w:val="0"/>
        <w:autoSpaceDN w:val="0"/>
        <w:spacing w:line="240" w:lineRule="auto"/>
        <w:rPr>
          <w:snapToGrid/>
          <w:szCs w:val="22"/>
          <w:lang w:val="lt-LT"/>
        </w:rPr>
      </w:pPr>
    </w:p>
    <w:p w14:paraId="2C51D25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59FEDE8B"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21AC684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6E28D68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 arba ryklėje (gerklėje);</w:t>
      </w:r>
    </w:p>
    <w:p w14:paraId="2FBA495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189B674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1CD66AE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 (tiesiosios žarnos venų mazginių išsiplėtimų);</w:t>
      </w:r>
    </w:p>
    <w:p w14:paraId="68D11FA0"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39B71DEF"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104276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(vaskulitas), dėl kurio gali atsirasti odos išbėrimas arba ryškios, plokščios, raudonos, apvalios dėmės po odos paviršiumi arba mėlynės (kraujosruvos).</w:t>
      </w:r>
    </w:p>
    <w:p w14:paraId="576767A3" w14:textId="77777777" w:rsidR="00890384" w:rsidRDefault="00890384">
      <w:pPr>
        <w:widowControl w:val="0"/>
        <w:tabs>
          <w:tab w:val="clear" w:pos="567"/>
        </w:tabs>
        <w:autoSpaceDE w:val="0"/>
        <w:autoSpaceDN w:val="0"/>
        <w:spacing w:line="240" w:lineRule="auto"/>
        <w:rPr>
          <w:snapToGrid/>
          <w:szCs w:val="22"/>
          <w:lang w:val="lt-LT"/>
        </w:rPr>
      </w:pPr>
    </w:p>
    <w:p w14:paraId="34FFC94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lastRenderedPageBreak/>
        <w:t xml:space="preserve">Toliau išvardytas žinomas šalutinis poveikis, kuris gali pasireikšti vartojant </w:t>
      </w:r>
      <w:r>
        <w:rPr>
          <w:snapToGrid/>
          <w:color w:val="000000"/>
          <w:szCs w:val="22"/>
          <w:u w:val="single"/>
          <w:lang w:val="lt-LT"/>
        </w:rPr>
        <w:t>Aboxoma</w:t>
      </w:r>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53D9ACAA" w14:textId="77777777" w:rsidR="00890384" w:rsidRDefault="00890384">
      <w:pPr>
        <w:widowControl w:val="0"/>
        <w:tabs>
          <w:tab w:val="clear" w:pos="567"/>
        </w:tabs>
        <w:autoSpaceDE w:val="0"/>
        <w:autoSpaceDN w:val="0"/>
        <w:spacing w:line="240" w:lineRule="auto"/>
        <w:rPr>
          <w:snapToGrid/>
          <w:szCs w:val="22"/>
          <w:lang w:val="lt-LT"/>
        </w:rPr>
      </w:pPr>
    </w:p>
    <w:p w14:paraId="60C1E9F8"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0A39C4BC"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653D1A8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742F18F6"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4DDD7B7E"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44D780C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1A74B46E"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0A3A9AC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0550B4B0"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0430891A"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550850A8"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3B0B2F4C"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37225086"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3A77FD5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gama gliutamiltransferazės (GGT) aktyvumą kraujyje.</w:t>
      </w:r>
    </w:p>
    <w:p w14:paraId="283E080F" w14:textId="77777777" w:rsidR="00890384" w:rsidRDefault="00890384">
      <w:pPr>
        <w:widowControl w:val="0"/>
        <w:tabs>
          <w:tab w:val="clear" w:pos="567"/>
        </w:tabs>
        <w:autoSpaceDE w:val="0"/>
        <w:autoSpaceDN w:val="0"/>
        <w:spacing w:line="240" w:lineRule="auto"/>
        <w:rPr>
          <w:snapToGrid/>
          <w:szCs w:val="22"/>
          <w:lang w:val="lt-LT"/>
        </w:rPr>
      </w:pPr>
    </w:p>
    <w:p w14:paraId="6EC7F60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083718F5"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4C52660"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5A5E13A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6623F0C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0BD84A8D"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03B0B14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(kraujosruvos) ir patinimą, kraujo ar skysčio išskyras iš chirurginės žaizdos (pjūvio) vietos (žaizdos sekreciją) arba injekcijos vietų;</w:t>
      </w:r>
    </w:p>
    <w:p w14:paraId="2C8ECC0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w:t>
      </w:r>
    </w:p>
    <w:p w14:paraId="7D355E4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036F168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57BEE944"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5207BB7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0DAF449C"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17E7C4A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14:paraId="316F118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0D014FDA"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06611AD1"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564E7561"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1AF9DF96" w14:textId="77777777" w:rsidR="00890384" w:rsidRDefault="00890384">
      <w:pPr>
        <w:widowControl w:val="0"/>
        <w:tabs>
          <w:tab w:val="clear" w:pos="567"/>
        </w:tabs>
        <w:autoSpaceDE w:val="0"/>
        <w:autoSpaceDN w:val="0"/>
        <w:spacing w:line="240" w:lineRule="auto"/>
        <w:rPr>
          <w:snapToGrid/>
          <w:szCs w:val="22"/>
          <w:lang w:val="lt-LT"/>
        </w:rPr>
      </w:pPr>
    </w:p>
    <w:p w14:paraId="7F032CB2"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37D6932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3DD783E6"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0FEBF4C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6A198706"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705DD522" w14:textId="77777777" w:rsidR="00890384" w:rsidRDefault="00890384">
      <w:pPr>
        <w:widowControl w:val="0"/>
        <w:tabs>
          <w:tab w:val="clear" w:pos="567"/>
        </w:tabs>
        <w:autoSpaceDE w:val="0"/>
        <w:autoSpaceDN w:val="0"/>
        <w:spacing w:line="240" w:lineRule="auto"/>
        <w:rPr>
          <w:snapToGrid/>
          <w:szCs w:val="22"/>
          <w:lang w:val="lt-LT"/>
        </w:rPr>
      </w:pPr>
    </w:p>
    <w:p w14:paraId="5AC65F07"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07387C1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1CFE45F2" w14:textId="77777777" w:rsidR="00890384" w:rsidRDefault="00890384">
      <w:pPr>
        <w:widowControl w:val="0"/>
        <w:tabs>
          <w:tab w:val="clear" w:pos="567"/>
        </w:tabs>
        <w:autoSpaceDE w:val="0"/>
        <w:autoSpaceDN w:val="0"/>
        <w:spacing w:line="240" w:lineRule="auto"/>
        <w:rPr>
          <w:snapToGrid/>
          <w:szCs w:val="22"/>
          <w:lang w:val="lt-LT"/>
        </w:rPr>
      </w:pPr>
    </w:p>
    <w:p w14:paraId="61CE0D7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38E82D35"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kraujagyslių uždegimas (vaskulitas), dėl kurio gali atsirasti odos išbėrimas arba ryškios, </w:t>
      </w:r>
      <w:r>
        <w:rPr>
          <w:snapToGrid/>
          <w:szCs w:val="22"/>
          <w:lang w:val="lt-LT"/>
        </w:rPr>
        <w:lastRenderedPageBreak/>
        <w:t>plokščios, raudonos, apvalios dėmės po odos paviršiumi arba mėlynės (kraujosruvos).</w:t>
      </w:r>
    </w:p>
    <w:p w14:paraId="3E1B17F4" w14:textId="77777777" w:rsidR="00890384" w:rsidRDefault="00890384">
      <w:pPr>
        <w:widowControl w:val="0"/>
        <w:tabs>
          <w:tab w:val="clear" w:pos="567"/>
        </w:tabs>
        <w:autoSpaceDE w:val="0"/>
        <w:autoSpaceDN w:val="0"/>
        <w:spacing w:line="240" w:lineRule="auto"/>
        <w:rPr>
          <w:snapToGrid/>
          <w:szCs w:val="22"/>
          <w:lang w:val="lt-LT"/>
        </w:rPr>
      </w:pPr>
    </w:p>
    <w:p w14:paraId="3072D358"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r>
        <w:rPr>
          <w:snapToGrid/>
          <w:color w:val="000000"/>
          <w:szCs w:val="22"/>
          <w:u w:val="single"/>
          <w:lang w:val="lt-LT"/>
        </w:rPr>
        <w:t>Aboxoma</w:t>
      </w:r>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4022996E" w14:textId="77777777" w:rsidR="00890384" w:rsidRDefault="00890384">
      <w:pPr>
        <w:widowControl w:val="0"/>
        <w:tabs>
          <w:tab w:val="clear" w:pos="567"/>
        </w:tabs>
        <w:autoSpaceDE w:val="0"/>
        <w:autoSpaceDN w:val="0"/>
        <w:spacing w:line="240" w:lineRule="auto"/>
        <w:rPr>
          <w:snapToGrid/>
          <w:szCs w:val="22"/>
          <w:lang w:val="lt-LT"/>
        </w:rPr>
      </w:pPr>
    </w:p>
    <w:p w14:paraId="0A64EF39"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5D3A248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1A97A86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4723759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36621DD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6D1F4C4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64BDCF60"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60C98DA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2F4D5D6C"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4605D2D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875B347"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066BA7B4"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6B0D4FFF"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78C2DEE5"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66EE01B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gama gliutamiltransferazės (GGT) arba alaninaminotransferazės (ALT) aktyvumą kraujyje.</w:t>
      </w:r>
    </w:p>
    <w:p w14:paraId="53C55D97" w14:textId="77777777" w:rsidR="00890384" w:rsidRDefault="00890384">
      <w:pPr>
        <w:widowControl w:val="0"/>
        <w:tabs>
          <w:tab w:val="clear" w:pos="567"/>
        </w:tabs>
        <w:autoSpaceDE w:val="0"/>
        <w:autoSpaceDN w:val="0"/>
        <w:spacing w:line="240" w:lineRule="auto"/>
        <w:rPr>
          <w:snapToGrid/>
          <w:szCs w:val="22"/>
          <w:lang w:val="lt-LT"/>
        </w:rPr>
      </w:pPr>
    </w:p>
    <w:p w14:paraId="55A450F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1BC29E7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14455448"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2BF11F7"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3721195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0BD59B3D"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1CB11FF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5224386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52946996"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w:t>
      </w:r>
    </w:p>
    <w:p w14:paraId="22A372BD"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73758EE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7FF92B3B"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14FC707F"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33746791"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13B5FEB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47F89E0C"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27D412B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14:paraId="0DDEE6F4" w14:textId="77777777" w:rsidR="00890384" w:rsidRDefault="00890384">
      <w:pPr>
        <w:widowControl w:val="0"/>
        <w:tabs>
          <w:tab w:val="clear" w:pos="567"/>
        </w:tabs>
        <w:autoSpaceDE w:val="0"/>
        <w:autoSpaceDN w:val="0"/>
        <w:spacing w:line="240" w:lineRule="auto"/>
        <w:rPr>
          <w:snapToGrid/>
          <w:szCs w:val="22"/>
          <w:lang w:val="lt-LT"/>
        </w:rPr>
      </w:pPr>
    </w:p>
    <w:p w14:paraId="3B4EC468"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57D1923C" w14:textId="77777777" w:rsidR="00890384" w:rsidRDefault="00B26795">
      <w:pPr>
        <w:widowControl w:val="0"/>
        <w:numPr>
          <w:ilvl w:val="0"/>
          <w:numId w:val="6"/>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1DE3FA7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4E0B711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27FDF6AA" w14:textId="77777777" w:rsidR="00890384" w:rsidRDefault="00890384">
      <w:pPr>
        <w:widowControl w:val="0"/>
        <w:tabs>
          <w:tab w:val="clear" w:pos="567"/>
        </w:tabs>
        <w:autoSpaceDE w:val="0"/>
        <w:autoSpaceDN w:val="0"/>
        <w:spacing w:line="240" w:lineRule="auto"/>
        <w:ind w:left="900" w:hanging="360"/>
        <w:rPr>
          <w:snapToGrid/>
          <w:szCs w:val="22"/>
          <w:lang w:val="lt-LT"/>
        </w:rPr>
      </w:pPr>
    </w:p>
    <w:p w14:paraId="54ECAEE6"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16FE90EA"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3F0A0EF0"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7FEBF449"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1A079254"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lastRenderedPageBreak/>
        <w:t>kraujagyslių uždegimas (vaskulitas), dėl kurio gali atsirasti odos išbėrimas arba ryškios, plokščios, raudonos, apvalios dėmės po odos paviršiumi arba mėlynės (kraujosruvos).</w:t>
      </w:r>
    </w:p>
    <w:p w14:paraId="2F855318" w14:textId="77777777" w:rsidR="00890384" w:rsidRDefault="00890384">
      <w:pPr>
        <w:widowControl w:val="0"/>
        <w:tabs>
          <w:tab w:val="clear" w:pos="567"/>
        </w:tabs>
        <w:autoSpaceDE w:val="0"/>
        <w:autoSpaceDN w:val="0"/>
        <w:spacing w:line="240" w:lineRule="auto"/>
      </w:pPr>
    </w:p>
    <w:p w14:paraId="28D18A80" w14:textId="07C0A449" w:rsidR="00890384" w:rsidRDefault="00BF5AB7">
      <w:pPr>
        <w:widowControl w:val="0"/>
        <w:tabs>
          <w:tab w:val="clear" w:pos="567"/>
        </w:tabs>
        <w:autoSpaceDE w:val="0"/>
        <w:autoSpaceDN w:val="0"/>
        <w:spacing w:line="240" w:lineRule="auto"/>
      </w:pPr>
      <w:r>
        <w:t>Kitas</w:t>
      </w:r>
      <w:r w:rsidR="00B26795">
        <w:t xml:space="preserve"> šalutinis poveikis</w:t>
      </w:r>
      <w:r>
        <w:t>, kuris gali pasireikšti</w:t>
      </w:r>
      <w:r w:rsidR="00B26795">
        <w:t xml:space="preserve"> vaikams ir paaugliams</w:t>
      </w:r>
    </w:p>
    <w:p w14:paraId="09BB0E9F" w14:textId="77777777" w:rsidR="00890384" w:rsidRDefault="00890384">
      <w:pPr>
        <w:widowControl w:val="0"/>
        <w:tabs>
          <w:tab w:val="clear" w:pos="567"/>
        </w:tabs>
        <w:autoSpaceDE w:val="0"/>
        <w:autoSpaceDN w:val="0"/>
        <w:spacing w:line="240" w:lineRule="auto"/>
      </w:pPr>
    </w:p>
    <w:p w14:paraId="682C8D20" w14:textId="77777777" w:rsidR="00890384" w:rsidRDefault="00B26795">
      <w:pPr>
        <w:widowControl w:val="0"/>
        <w:tabs>
          <w:tab w:val="clear" w:pos="567"/>
        </w:tabs>
        <w:autoSpaceDE w:val="0"/>
        <w:autoSpaceDN w:val="0"/>
        <w:spacing w:line="240" w:lineRule="auto"/>
      </w:pPr>
      <w:r>
        <w:t xml:space="preserve">Jeigu pastebėjote bet kurį iš šių simptomų, </w:t>
      </w:r>
      <w:r w:rsidRPr="005261E3">
        <w:rPr>
          <w:b/>
          <w:bCs/>
        </w:rPr>
        <w:t>nedelsdami kreipkitės į vaiko gydytoją</w:t>
      </w:r>
      <w:r>
        <w:t>:</w:t>
      </w:r>
    </w:p>
    <w:p w14:paraId="102EFAA4" w14:textId="77777777" w:rsidR="00890384" w:rsidRDefault="00B26795">
      <w:pPr>
        <w:widowControl w:val="0"/>
        <w:numPr>
          <w:ilvl w:val="0"/>
          <w:numId w:val="31"/>
        </w:numPr>
        <w:autoSpaceDE w:val="0"/>
        <w:autoSpaceDN w:val="0"/>
        <w:spacing w:line="240" w:lineRule="auto"/>
        <w:ind w:left="567" w:hanging="567"/>
        <w:rPr>
          <w:snapToGrid/>
          <w:szCs w:val="22"/>
          <w:lang w:val="lt-LT"/>
        </w:rPr>
      </w:pPr>
      <w:r>
        <w:t>Alerginės (padidėjusio jautrumo) reakcijos, kurios gali sukelti: veido, lūpų, burnos, liežuvio ir (arba) gerklės patinimą bei kvėpavimo pasunkėjimą. Šis šalutinis poveikis yra dažnas (gali pasireikšti rečiau kaip 1 iš 10 asmenų).</w:t>
      </w:r>
    </w:p>
    <w:p w14:paraId="75521C46" w14:textId="046B281D" w:rsidR="00890384" w:rsidRDefault="00B26795">
      <w:pPr>
        <w:widowControl w:val="0"/>
        <w:autoSpaceDE w:val="0"/>
        <w:autoSpaceDN w:val="0"/>
        <w:spacing w:line="240" w:lineRule="auto"/>
      </w:pPr>
      <w:r>
        <w:t>Apskritai vaikams ir paaugliams, gydytiemsAboxoma,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6A139A32" w14:textId="77777777" w:rsidR="00890384" w:rsidRPr="005261E3" w:rsidRDefault="00890384" w:rsidP="005261E3">
      <w:pPr>
        <w:widowControl w:val="0"/>
        <w:autoSpaceDE w:val="0"/>
        <w:autoSpaceDN w:val="0"/>
        <w:spacing w:line="240" w:lineRule="auto"/>
        <w:rPr>
          <w:snapToGrid/>
          <w:szCs w:val="22"/>
          <w:lang w:val="lt-LT"/>
        </w:rPr>
      </w:pPr>
    </w:p>
    <w:p w14:paraId="0D0F583E" w14:textId="77777777" w:rsidR="00890384" w:rsidRPr="005261E3" w:rsidRDefault="00B26795" w:rsidP="005261E3">
      <w:pPr>
        <w:widowControl w:val="0"/>
        <w:autoSpaceDE w:val="0"/>
        <w:autoSpaceDN w:val="0"/>
        <w:spacing w:line="240" w:lineRule="auto"/>
        <w:rPr>
          <w:snapToGrid/>
          <w:szCs w:val="22"/>
          <w:lang w:val="lt-LT"/>
        </w:rPr>
      </w:pPr>
      <w:r>
        <w:rPr>
          <w:b/>
          <w:bCs/>
        </w:rPr>
        <w:t>Labai dažni šalutinio poveikio reiškiniai (gali pasireikšti ne rečiau kaip 1 iš 10 asmenų):</w:t>
      </w:r>
    </w:p>
    <w:p w14:paraId="20B90177" w14:textId="1DEE9EBA" w:rsidR="00890384" w:rsidRPr="005261E3" w:rsidRDefault="00AA592C">
      <w:pPr>
        <w:widowControl w:val="0"/>
        <w:numPr>
          <w:ilvl w:val="0"/>
          <w:numId w:val="31"/>
        </w:numPr>
        <w:autoSpaceDE w:val="0"/>
        <w:autoSpaceDN w:val="0"/>
        <w:spacing w:line="240" w:lineRule="auto"/>
        <w:ind w:left="567" w:hanging="567"/>
        <w:rPr>
          <w:snapToGrid/>
          <w:szCs w:val="22"/>
          <w:lang w:val="lt-LT"/>
        </w:rPr>
      </w:pPr>
      <w:r>
        <w:t>k</w:t>
      </w:r>
      <w:r w:rsidR="00B26795">
        <w:t>raujavimas, įskaitant:</w:t>
      </w:r>
    </w:p>
    <w:p w14:paraId="7479FBE2"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makšties;</w:t>
      </w:r>
    </w:p>
    <w:p w14:paraId="06C0FC26" w14:textId="77777777" w:rsidR="00890384" w:rsidRPr="005261E3" w:rsidRDefault="00B26795" w:rsidP="005261E3">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nosies.</w:t>
      </w:r>
    </w:p>
    <w:p w14:paraId="3495F8C6" w14:textId="77777777" w:rsidR="00890384" w:rsidRPr="005261E3" w:rsidRDefault="00890384" w:rsidP="005261E3">
      <w:pPr>
        <w:widowControl w:val="0"/>
        <w:autoSpaceDE w:val="0"/>
        <w:autoSpaceDN w:val="0"/>
        <w:spacing w:line="240" w:lineRule="auto"/>
        <w:rPr>
          <w:snapToGrid/>
          <w:szCs w:val="22"/>
          <w:lang w:val="lt-LT"/>
        </w:rPr>
      </w:pPr>
    </w:p>
    <w:p w14:paraId="78759BE4" w14:textId="77777777" w:rsidR="00890384" w:rsidRPr="005261E3" w:rsidRDefault="00B26795" w:rsidP="005261E3">
      <w:pPr>
        <w:widowControl w:val="0"/>
        <w:autoSpaceDE w:val="0"/>
        <w:autoSpaceDN w:val="0"/>
        <w:spacing w:line="240" w:lineRule="auto"/>
        <w:rPr>
          <w:b/>
          <w:bCs/>
          <w:snapToGrid/>
          <w:szCs w:val="22"/>
          <w:lang w:val="lt-LT"/>
        </w:rPr>
      </w:pPr>
      <w:r w:rsidRPr="005261E3">
        <w:rPr>
          <w:b/>
          <w:bCs/>
        </w:rPr>
        <w:t>Dažn</w:t>
      </w:r>
      <w:r>
        <w:rPr>
          <w:b/>
          <w:bCs/>
        </w:rPr>
        <w:t>i</w:t>
      </w:r>
      <w:r w:rsidRPr="005261E3">
        <w:rPr>
          <w:b/>
          <w:bCs/>
        </w:rPr>
        <w:t xml:space="preserve"> šalutini</w:t>
      </w:r>
      <w:r>
        <w:rPr>
          <w:b/>
          <w:bCs/>
        </w:rPr>
        <w:t>o</w:t>
      </w:r>
      <w:r w:rsidRPr="005261E3">
        <w:rPr>
          <w:b/>
          <w:bCs/>
        </w:rPr>
        <w:t xml:space="preserve"> poveiki</w:t>
      </w:r>
      <w:r>
        <w:rPr>
          <w:b/>
          <w:bCs/>
        </w:rPr>
        <w:t>o reiškiniai</w:t>
      </w:r>
      <w:r w:rsidRPr="005261E3">
        <w:rPr>
          <w:b/>
          <w:bCs/>
        </w:rPr>
        <w:t xml:space="preserve"> (gali pasireikšti rečiau kaip 1 iš 10 asmenų):</w:t>
      </w:r>
    </w:p>
    <w:p w14:paraId="52EA8378" w14:textId="664C1644" w:rsidR="00890384" w:rsidRPr="005261E3" w:rsidRDefault="00AA592C">
      <w:pPr>
        <w:widowControl w:val="0"/>
        <w:numPr>
          <w:ilvl w:val="0"/>
          <w:numId w:val="31"/>
        </w:numPr>
        <w:autoSpaceDE w:val="0"/>
        <w:autoSpaceDN w:val="0"/>
        <w:spacing w:line="240" w:lineRule="auto"/>
        <w:ind w:left="567" w:hanging="567"/>
        <w:rPr>
          <w:snapToGrid/>
          <w:szCs w:val="22"/>
          <w:lang w:val="lt-LT"/>
        </w:rPr>
      </w:pPr>
      <w:r>
        <w:t>k</w:t>
      </w:r>
      <w:r w:rsidR="00B26795">
        <w:t>raujavimas, įskaitant:</w:t>
      </w:r>
    </w:p>
    <w:p w14:paraId="09C2865D"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dantenų;</w:t>
      </w:r>
    </w:p>
    <w:p w14:paraId="06A94341"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kraują šlapime;</w:t>
      </w:r>
    </w:p>
    <w:p w14:paraId="2685C133"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mėlynių (kraujosruvų) atsiradimą ir patinimą;</w:t>
      </w:r>
    </w:p>
    <w:p w14:paraId="745177EC"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žarnyno arba tiesiosios žarnos;</w:t>
      </w:r>
    </w:p>
    <w:p w14:paraId="747293FD"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ryškaus (raudono) kraujo atsiradimą išmatose;</w:t>
      </w:r>
    </w:p>
    <w:p w14:paraId="6AA44978" w14:textId="0FFD9988" w:rsidR="00890384" w:rsidRPr="005261E3" w:rsidRDefault="00B26795" w:rsidP="005261E3">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po operacijos pasireiškiantį kraujavimą, įskaitant mėlynes (kraujosruvas) ir patinimą, kraujo sunkimąsi iš chirurginės žaizdos (pjūvio) vietos (žaizdos sekreciją) arba injekcijos vietų</w:t>
      </w:r>
      <w:r w:rsidR="00AA592C">
        <w:t>;</w:t>
      </w:r>
    </w:p>
    <w:p w14:paraId="3BA36479" w14:textId="0FFF2099" w:rsidR="00890384" w:rsidRPr="005261E3" w:rsidRDefault="00AA592C">
      <w:pPr>
        <w:widowControl w:val="0"/>
        <w:numPr>
          <w:ilvl w:val="0"/>
          <w:numId w:val="31"/>
        </w:numPr>
        <w:autoSpaceDE w:val="0"/>
        <w:autoSpaceDN w:val="0"/>
        <w:spacing w:line="240" w:lineRule="auto"/>
        <w:ind w:left="567" w:hanging="567"/>
        <w:rPr>
          <w:snapToGrid/>
          <w:szCs w:val="22"/>
          <w:lang w:val="lt-LT"/>
        </w:rPr>
      </w:pPr>
      <w:r>
        <w:t>p</w:t>
      </w:r>
      <w:r w:rsidR="00B26795">
        <w:t>laukų slinkimas;</w:t>
      </w:r>
    </w:p>
    <w:p w14:paraId="065254AC" w14:textId="499244A7" w:rsidR="00890384" w:rsidRPr="005261E3" w:rsidRDefault="00AA592C">
      <w:pPr>
        <w:widowControl w:val="0"/>
        <w:numPr>
          <w:ilvl w:val="0"/>
          <w:numId w:val="31"/>
        </w:numPr>
        <w:autoSpaceDE w:val="0"/>
        <w:autoSpaceDN w:val="0"/>
        <w:spacing w:line="240" w:lineRule="auto"/>
        <w:ind w:left="567" w:hanging="567"/>
        <w:rPr>
          <w:snapToGrid/>
          <w:szCs w:val="22"/>
          <w:lang w:val="lt-LT"/>
        </w:rPr>
      </w:pPr>
      <w:r>
        <w:t>m</w:t>
      </w:r>
      <w:r w:rsidR="00B26795">
        <w:t>ažakraujystė, dėl kurios gali pasireikšti nuovargis ar blyškumas;</w:t>
      </w:r>
    </w:p>
    <w:p w14:paraId="1F86EE61" w14:textId="0B60A7EB" w:rsidR="00890384" w:rsidRPr="005261E3" w:rsidRDefault="00AA592C">
      <w:pPr>
        <w:widowControl w:val="0"/>
        <w:numPr>
          <w:ilvl w:val="0"/>
          <w:numId w:val="31"/>
        </w:numPr>
        <w:autoSpaceDE w:val="0"/>
        <w:autoSpaceDN w:val="0"/>
        <w:spacing w:line="240" w:lineRule="auto"/>
        <w:ind w:left="567" w:hanging="567"/>
        <w:rPr>
          <w:snapToGrid/>
          <w:szCs w:val="22"/>
          <w:lang w:val="lt-LT"/>
        </w:rPr>
      </w:pPr>
      <w:r>
        <w:t>s</w:t>
      </w:r>
      <w:r w:rsidR="00B26795">
        <w:t>umažėjęs trombocitų (kraujo plokštelių) skaičius vaiko kraujyje (dėl ko gali sutrikti krešėjimas);</w:t>
      </w:r>
    </w:p>
    <w:p w14:paraId="1673B2F1" w14:textId="16168F68" w:rsidR="00890384" w:rsidRPr="005261E3" w:rsidRDefault="00AA592C">
      <w:pPr>
        <w:widowControl w:val="0"/>
        <w:numPr>
          <w:ilvl w:val="0"/>
          <w:numId w:val="31"/>
        </w:numPr>
        <w:autoSpaceDE w:val="0"/>
        <w:autoSpaceDN w:val="0"/>
        <w:spacing w:line="240" w:lineRule="auto"/>
        <w:ind w:left="567" w:hanging="567"/>
        <w:rPr>
          <w:snapToGrid/>
          <w:szCs w:val="22"/>
          <w:lang w:val="lt-LT"/>
        </w:rPr>
      </w:pPr>
      <w:r>
        <w:t>p</w:t>
      </w:r>
      <w:r w:rsidR="00B26795">
        <w:t>ykinimas (šleikštulys);</w:t>
      </w:r>
    </w:p>
    <w:p w14:paraId="6FA487C3" w14:textId="5870D6A8" w:rsidR="00890384" w:rsidRPr="005261E3" w:rsidRDefault="00AA592C">
      <w:pPr>
        <w:widowControl w:val="0"/>
        <w:numPr>
          <w:ilvl w:val="0"/>
          <w:numId w:val="31"/>
        </w:numPr>
        <w:autoSpaceDE w:val="0"/>
        <w:autoSpaceDN w:val="0"/>
        <w:spacing w:line="240" w:lineRule="auto"/>
        <w:ind w:left="567" w:hanging="567"/>
        <w:rPr>
          <w:snapToGrid/>
          <w:szCs w:val="22"/>
          <w:lang w:val="lt-LT"/>
        </w:rPr>
      </w:pPr>
      <w:r>
        <w:t>o</w:t>
      </w:r>
      <w:r w:rsidR="00B26795">
        <w:t>dos bėrimas;</w:t>
      </w:r>
    </w:p>
    <w:p w14:paraId="15F9373B" w14:textId="7BE7BF79" w:rsidR="00890384" w:rsidRPr="005261E3" w:rsidRDefault="00AA592C">
      <w:pPr>
        <w:widowControl w:val="0"/>
        <w:numPr>
          <w:ilvl w:val="0"/>
          <w:numId w:val="31"/>
        </w:numPr>
        <w:autoSpaceDE w:val="0"/>
        <w:autoSpaceDN w:val="0"/>
        <w:spacing w:line="240" w:lineRule="auto"/>
        <w:ind w:left="567" w:hanging="567"/>
        <w:rPr>
          <w:snapToGrid/>
          <w:szCs w:val="22"/>
          <w:lang w:val="lt-LT"/>
        </w:rPr>
      </w:pPr>
      <w:bookmarkStart w:id="8" w:name="_Hlk180070005"/>
      <w:r>
        <w:t>n</w:t>
      </w:r>
      <w:r w:rsidR="00B26795">
        <w:t>iežulys;</w:t>
      </w:r>
    </w:p>
    <w:bookmarkEnd w:id="8"/>
    <w:p w14:paraId="14C8A1C9" w14:textId="5D3DE992" w:rsidR="00890384" w:rsidRPr="005261E3" w:rsidRDefault="00AA592C">
      <w:pPr>
        <w:widowControl w:val="0"/>
        <w:numPr>
          <w:ilvl w:val="0"/>
          <w:numId w:val="31"/>
        </w:numPr>
        <w:autoSpaceDE w:val="0"/>
        <w:autoSpaceDN w:val="0"/>
        <w:spacing w:line="240" w:lineRule="auto"/>
        <w:ind w:left="567" w:hanging="567"/>
        <w:rPr>
          <w:snapToGrid/>
          <w:szCs w:val="22"/>
          <w:lang w:val="lt-LT"/>
        </w:rPr>
      </w:pPr>
      <w:r>
        <w:t>s</w:t>
      </w:r>
      <w:r w:rsidR="00B26795">
        <w:t>umažėjęs kraujospūdis, dėl ko vaikas gali jausti silpnumą (alpti) ar gali padažnėti širdies susitraukimų ritmas (pulsas);</w:t>
      </w:r>
    </w:p>
    <w:p w14:paraId="6FF35D34" w14:textId="2B366832" w:rsidR="00890384" w:rsidRPr="005261E3" w:rsidRDefault="00AA592C">
      <w:pPr>
        <w:widowControl w:val="0"/>
        <w:numPr>
          <w:ilvl w:val="0"/>
          <w:numId w:val="31"/>
        </w:numPr>
        <w:autoSpaceDE w:val="0"/>
        <w:autoSpaceDN w:val="0"/>
        <w:spacing w:line="240" w:lineRule="auto"/>
        <w:ind w:left="567" w:hanging="567"/>
        <w:rPr>
          <w:snapToGrid/>
          <w:szCs w:val="22"/>
          <w:lang w:val="lt-LT"/>
        </w:rPr>
      </w:pPr>
      <w:r>
        <w:t>k</w:t>
      </w:r>
      <w:r w:rsidR="00B26795">
        <w:t>raujo tyrimų pokyčiai, kurie gali rodyti:</w:t>
      </w:r>
    </w:p>
    <w:p w14:paraId="664B9524" w14:textId="61481E0E"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sutrikusią kepenų </w:t>
      </w:r>
      <w:r w:rsidR="00C25B9A">
        <w:t>funkciją</w:t>
      </w:r>
      <w:r>
        <w:t>;</w:t>
      </w:r>
    </w:p>
    <w:p w14:paraId="7CA56CA7"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kai kurių kepenų fermentų aktyvumą;</w:t>
      </w:r>
    </w:p>
    <w:p w14:paraId="7146360E"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alaninaminotransferazės (ALT) aktyvumą.</w:t>
      </w:r>
    </w:p>
    <w:p w14:paraId="2D94ACCD" w14:textId="77777777" w:rsidR="00890384" w:rsidRDefault="00890384">
      <w:pPr>
        <w:widowControl w:val="0"/>
        <w:tabs>
          <w:tab w:val="clear" w:pos="567"/>
          <w:tab w:val="left" w:pos="1372"/>
        </w:tabs>
        <w:autoSpaceDE w:val="0"/>
        <w:autoSpaceDN w:val="0"/>
        <w:spacing w:line="240" w:lineRule="auto"/>
      </w:pPr>
    </w:p>
    <w:p w14:paraId="3BB5F5BC" w14:textId="77777777" w:rsidR="00890384" w:rsidRPr="005261E3" w:rsidRDefault="00B26795" w:rsidP="005261E3">
      <w:pPr>
        <w:widowControl w:val="0"/>
        <w:tabs>
          <w:tab w:val="clear" w:pos="567"/>
          <w:tab w:val="left" w:pos="1372"/>
        </w:tabs>
        <w:autoSpaceDE w:val="0"/>
        <w:autoSpaceDN w:val="0"/>
        <w:spacing w:line="240" w:lineRule="auto"/>
        <w:rPr>
          <w:b/>
          <w:bCs/>
          <w:snapToGrid/>
          <w:szCs w:val="22"/>
          <w:lang w:val="en-US"/>
        </w:rPr>
      </w:pPr>
      <w:r w:rsidRPr="005261E3">
        <w:rPr>
          <w:b/>
          <w:bCs/>
        </w:rPr>
        <w:t>Dažnis nežinomas (negali būti apskaičiuotas pagal turimus duomenis):</w:t>
      </w:r>
    </w:p>
    <w:p w14:paraId="4EA10F27" w14:textId="26B5DB66" w:rsidR="00890384" w:rsidRPr="005261E3" w:rsidRDefault="00AA592C">
      <w:pPr>
        <w:widowControl w:val="0"/>
        <w:numPr>
          <w:ilvl w:val="0"/>
          <w:numId w:val="31"/>
        </w:numPr>
        <w:autoSpaceDE w:val="0"/>
        <w:autoSpaceDN w:val="0"/>
        <w:spacing w:line="240" w:lineRule="auto"/>
        <w:ind w:left="567" w:hanging="567"/>
        <w:rPr>
          <w:snapToGrid/>
          <w:szCs w:val="22"/>
          <w:lang w:val="lt-LT"/>
        </w:rPr>
      </w:pPr>
      <w:r>
        <w:t>k</w:t>
      </w:r>
      <w:r w:rsidR="00B26795">
        <w:t>raujavimas:</w:t>
      </w:r>
    </w:p>
    <w:p w14:paraId="13CF2D8D" w14:textId="2CA97E59"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į pilvo ertmę arba </w:t>
      </w:r>
      <w:r w:rsidR="00161063">
        <w:t>už jos</w:t>
      </w:r>
      <w:r>
        <w:t xml:space="preserve"> esančią ertmę;</w:t>
      </w:r>
    </w:p>
    <w:p w14:paraId="0E1340A9"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skrandyje;</w:t>
      </w:r>
    </w:p>
    <w:p w14:paraId="13A43CFC"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akis;</w:t>
      </w:r>
    </w:p>
    <w:p w14:paraId="1EC43BC2" w14:textId="7D60F6EB" w:rsidR="00890384" w:rsidRPr="005261E3" w:rsidRDefault="0071461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burnoje</w:t>
      </w:r>
      <w:r w:rsidR="00B26795">
        <w:t>;</w:t>
      </w:r>
    </w:p>
    <w:p w14:paraId="69353B65"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iš hemoroidų (tiesiosios žarnos venų mazginių išsiplėtimų);</w:t>
      </w:r>
    </w:p>
    <w:p w14:paraId="3A347B31"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iš burnos arba kraujas atkosėtuose skrepliuose;</w:t>
      </w:r>
    </w:p>
    <w:p w14:paraId="0A66D70D"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galvos arba nugaros smegenis;</w:t>
      </w:r>
    </w:p>
    <w:p w14:paraId="2654D5CE"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plaučiuose;</w:t>
      </w:r>
    </w:p>
    <w:p w14:paraId="1F9B0FA3" w14:textId="77777777" w:rsidR="00890384" w:rsidRPr="005261E3" w:rsidRDefault="00B26795" w:rsidP="005261E3">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raumenis;</w:t>
      </w:r>
    </w:p>
    <w:p w14:paraId="1AB3A4DA" w14:textId="20A38C7D" w:rsidR="00890384" w:rsidRPr="005261E3" w:rsidRDefault="00AA592C">
      <w:pPr>
        <w:widowControl w:val="0"/>
        <w:numPr>
          <w:ilvl w:val="0"/>
          <w:numId w:val="31"/>
        </w:numPr>
        <w:autoSpaceDE w:val="0"/>
        <w:autoSpaceDN w:val="0"/>
        <w:spacing w:line="240" w:lineRule="auto"/>
        <w:ind w:left="567" w:hanging="567"/>
        <w:rPr>
          <w:snapToGrid/>
          <w:szCs w:val="22"/>
          <w:lang w:val="lt-LT"/>
        </w:rPr>
      </w:pPr>
      <w:r>
        <w:t>o</w:t>
      </w:r>
      <w:r w:rsidR="00B26795">
        <w:t>dos bėrimas, dėl kurio gali susidaryti pūslės arba dėmės, atrodančios kaip maži taikiniai (tamsus taškas viduryje, apjuostas šviesesniu apskritimu su tamsiu išoriniu žiedu; toks bėrimas vadinamas daugiaforme raudone);</w:t>
      </w:r>
    </w:p>
    <w:p w14:paraId="78C8015B" w14:textId="75FA5416" w:rsidR="00890384" w:rsidRPr="005261E3" w:rsidRDefault="00AA592C">
      <w:pPr>
        <w:widowControl w:val="0"/>
        <w:numPr>
          <w:ilvl w:val="0"/>
          <w:numId w:val="31"/>
        </w:numPr>
        <w:autoSpaceDE w:val="0"/>
        <w:autoSpaceDN w:val="0"/>
        <w:spacing w:line="240" w:lineRule="auto"/>
        <w:ind w:left="567" w:hanging="567"/>
        <w:rPr>
          <w:snapToGrid/>
          <w:szCs w:val="22"/>
          <w:lang w:val="lt-LT"/>
        </w:rPr>
      </w:pPr>
      <w:r>
        <w:lastRenderedPageBreak/>
        <w:t>k</w:t>
      </w:r>
      <w:r w:rsidR="00B26795">
        <w:t>raujagyslių uždegimas (vaskulitas), dėl kurio gali atsirasti odos bėrimas arba ryškios, plokščios, raudonos, apvalios dėmės po od</w:t>
      </w:r>
      <w:r w:rsidR="00747C62">
        <w:t>a</w:t>
      </w:r>
      <w:r w:rsidR="00B26795">
        <w:t>arba mėlynės (kraujosruvos);</w:t>
      </w:r>
    </w:p>
    <w:p w14:paraId="2BE8E8CF" w14:textId="1F78B453" w:rsidR="00890384" w:rsidRPr="005261E3" w:rsidRDefault="00AA592C">
      <w:pPr>
        <w:widowControl w:val="0"/>
        <w:numPr>
          <w:ilvl w:val="0"/>
          <w:numId w:val="31"/>
        </w:numPr>
        <w:autoSpaceDE w:val="0"/>
        <w:autoSpaceDN w:val="0"/>
        <w:spacing w:line="240" w:lineRule="auto"/>
        <w:ind w:left="567" w:hanging="567"/>
        <w:rPr>
          <w:snapToGrid/>
          <w:szCs w:val="22"/>
          <w:lang w:val="lt-LT"/>
        </w:rPr>
      </w:pPr>
      <w:r>
        <w:t>k</w:t>
      </w:r>
      <w:r w:rsidR="00B26795">
        <w:t>raujo tyrimų pokyčiai, kurie gali rodyti:</w:t>
      </w:r>
    </w:p>
    <w:p w14:paraId="213824A5" w14:textId="77777777" w:rsidR="00890384" w:rsidRPr="005261E3"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gama gliutamiltransferazės (GGT) aktyvumą kraujyje;</w:t>
      </w:r>
    </w:p>
    <w:p w14:paraId="01E28072" w14:textId="77777777" w:rsidR="00890384" w:rsidRPr="005261E3" w:rsidRDefault="00B26795" w:rsidP="005261E3">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laboratoriniais tyrimais nustatomas kraujas išmatose arba šlapime.</w:t>
      </w:r>
    </w:p>
    <w:p w14:paraId="69665939" w14:textId="77777777" w:rsidR="00890384" w:rsidRDefault="00890384" w:rsidP="005261E3">
      <w:pPr>
        <w:widowControl w:val="0"/>
        <w:autoSpaceDE w:val="0"/>
        <w:autoSpaceDN w:val="0"/>
        <w:spacing w:line="240" w:lineRule="auto"/>
        <w:ind w:left="567"/>
        <w:rPr>
          <w:snapToGrid/>
          <w:szCs w:val="22"/>
          <w:lang w:val="lt-LT"/>
        </w:rPr>
      </w:pPr>
    </w:p>
    <w:p w14:paraId="1679C850"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59065F0E" w14:textId="74AA9004" w:rsidR="00890384" w:rsidRDefault="00B26795">
      <w:pPr>
        <w:ind w:right="-1"/>
        <w:rPr>
          <w:snapToGrid/>
          <w:lang w:val="lt-LT"/>
        </w:rPr>
      </w:pPr>
      <w:bookmarkStart w:id="9" w:name="_Hlk180404526"/>
      <w:r>
        <w:rPr>
          <w:snapToGrid/>
          <w:szCs w:val="22"/>
          <w:lang w:val="lt-LT" w:eastAsia="lt-LT"/>
        </w:rPr>
        <w:t xml:space="preserve">Jeigu pasireiškė šalutinis poveikis, įskaitant šiame lapelyje nenurodytą, pasakykite gydytojui, vaistininkui arba slaugytojui. </w:t>
      </w:r>
      <w:bookmarkStart w:id="10" w:name="_Hlk173407583"/>
      <w:r>
        <w:rPr>
          <w:snapToGrid/>
          <w:szCs w:val="22"/>
          <w:lang w:val="lt-LT" w:eastAsia="lt-LT"/>
        </w:rPr>
        <w:t xml:space="preserve">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w:t>
      </w:r>
      <w:r w:rsidR="00AA592C">
        <w:rPr>
          <w:snapToGrid/>
          <w:szCs w:val="22"/>
          <w:lang w:val="lt-LT" w:eastAsia="lt-LT"/>
        </w:rPr>
        <w:t>+370</w:t>
      </w:r>
      <w:r>
        <w:rPr>
          <w:snapToGrid/>
          <w:szCs w:val="22"/>
          <w:lang w:val="lt-LT" w:eastAsia="lt-LT"/>
        </w:rPr>
        <w:t xml:space="preserve"> 800 73 568. Pranešdami apie šalutinį poveikį galite mums padėti gauti daugiau informacijos apie šio vaisto saugumą</w:t>
      </w:r>
      <w:r>
        <w:rPr>
          <w:snapToGrid/>
          <w:lang w:val="lt-LT"/>
        </w:rPr>
        <w:t>.</w:t>
      </w:r>
      <w:bookmarkEnd w:id="10"/>
    </w:p>
    <w:bookmarkEnd w:id="9"/>
    <w:p w14:paraId="2611EFB7" w14:textId="77777777" w:rsidR="00890384" w:rsidRDefault="00890384">
      <w:pPr>
        <w:ind w:right="-1"/>
        <w:rPr>
          <w:snapToGrid/>
          <w:szCs w:val="22"/>
          <w:lang w:val="lt-LT"/>
        </w:rPr>
      </w:pPr>
    </w:p>
    <w:p w14:paraId="192607F0" w14:textId="77777777" w:rsidR="00890384" w:rsidRDefault="00890384">
      <w:pPr>
        <w:widowControl w:val="0"/>
        <w:tabs>
          <w:tab w:val="clear" w:pos="567"/>
        </w:tabs>
        <w:autoSpaceDE w:val="0"/>
        <w:autoSpaceDN w:val="0"/>
        <w:spacing w:line="240" w:lineRule="auto"/>
        <w:rPr>
          <w:snapToGrid/>
          <w:szCs w:val="22"/>
          <w:lang w:val="lt-LT"/>
        </w:rPr>
      </w:pPr>
    </w:p>
    <w:p w14:paraId="630B4E76" w14:textId="77777777" w:rsidR="00890384" w:rsidRDefault="00B26795">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r>
        <w:rPr>
          <w:b/>
          <w:snapToGrid/>
          <w:color w:val="000000"/>
          <w:szCs w:val="22"/>
          <w:lang w:val="lt-LT"/>
        </w:rPr>
        <w:t>Aboxoma</w:t>
      </w:r>
    </w:p>
    <w:p w14:paraId="43CE019F" w14:textId="77777777" w:rsidR="00890384" w:rsidRDefault="00890384">
      <w:pPr>
        <w:widowControl w:val="0"/>
        <w:tabs>
          <w:tab w:val="clear" w:pos="567"/>
        </w:tabs>
        <w:autoSpaceDE w:val="0"/>
        <w:autoSpaceDN w:val="0"/>
        <w:spacing w:line="240" w:lineRule="auto"/>
        <w:rPr>
          <w:b/>
          <w:snapToGrid/>
          <w:szCs w:val="22"/>
          <w:lang w:val="lt-LT"/>
        </w:rPr>
      </w:pPr>
    </w:p>
    <w:p w14:paraId="51211B2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7E1BCB08" w14:textId="77777777" w:rsidR="00890384" w:rsidRDefault="00890384">
      <w:pPr>
        <w:widowControl w:val="0"/>
        <w:tabs>
          <w:tab w:val="clear" w:pos="567"/>
        </w:tabs>
        <w:autoSpaceDE w:val="0"/>
        <w:autoSpaceDN w:val="0"/>
        <w:spacing w:line="240" w:lineRule="auto"/>
        <w:rPr>
          <w:snapToGrid/>
          <w:szCs w:val="22"/>
          <w:lang w:val="lt-LT"/>
        </w:rPr>
      </w:pPr>
    </w:p>
    <w:p w14:paraId="0B48FBA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09E9FD93" w14:textId="77777777" w:rsidR="00890384" w:rsidRDefault="00890384">
      <w:pPr>
        <w:widowControl w:val="0"/>
        <w:tabs>
          <w:tab w:val="clear" w:pos="567"/>
        </w:tabs>
        <w:autoSpaceDE w:val="0"/>
        <w:autoSpaceDN w:val="0"/>
        <w:spacing w:line="240" w:lineRule="auto"/>
        <w:rPr>
          <w:snapToGrid/>
          <w:szCs w:val="22"/>
          <w:lang w:val="lt-LT"/>
        </w:rPr>
      </w:pPr>
    </w:p>
    <w:p w14:paraId="70B198B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683C73AD" w14:textId="77777777" w:rsidR="00890384" w:rsidRDefault="00890384">
      <w:pPr>
        <w:widowControl w:val="0"/>
        <w:tabs>
          <w:tab w:val="clear" w:pos="567"/>
        </w:tabs>
        <w:autoSpaceDE w:val="0"/>
        <w:autoSpaceDN w:val="0"/>
        <w:spacing w:line="240" w:lineRule="auto"/>
        <w:rPr>
          <w:snapToGrid/>
          <w:szCs w:val="22"/>
          <w:lang w:val="lt-LT"/>
        </w:rPr>
      </w:pPr>
    </w:p>
    <w:p w14:paraId="722EB3E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04B868A8" w14:textId="77777777" w:rsidR="00890384" w:rsidRDefault="00890384">
      <w:pPr>
        <w:widowControl w:val="0"/>
        <w:tabs>
          <w:tab w:val="clear" w:pos="567"/>
        </w:tabs>
        <w:autoSpaceDE w:val="0"/>
        <w:autoSpaceDN w:val="0"/>
        <w:spacing w:line="240" w:lineRule="auto"/>
        <w:rPr>
          <w:snapToGrid/>
          <w:szCs w:val="22"/>
          <w:lang w:val="lt-LT"/>
        </w:rPr>
      </w:pPr>
    </w:p>
    <w:p w14:paraId="3193B04D" w14:textId="77777777" w:rsidR="00890384" w:rsidRDefault="00890384">
      <w:pPr>
        <w:widowControl w:val="0"/>
        <w:tabs>
          <w:tab w:val="clear" w:pos="567"/>
        </w:tabs>
        <w:autoSpaceDE w:val="0"/>
        <w:autoSpaceDN w:val="0"/>
        <w:spacing w:line="240" w:lineRule="auto"/>
        <w:rPr>
          <w:snapToGrid/>
          <w:szCs w:val="22"/>
          <w:lang w:val="lt-LT"/>
        </w:rPr>
      </w:pPr>
    </w:p>
    <w:p w14:paraId="09DF4774" w14:textId="77777777" w:rsidR="00890384" w:rsidRDefault="00B26795">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55C4D992" w14:textId="77777777" w:rsidR="00890384" w:rsidRDefault="00890384">
      <w:pPr>
        <w:widowControl w:val="0"/>
        <w:tabs>
          <w:tab w:val="clear" w:pos="567"/>
          <w:tab w:val="left" w:pos="802"/>
          <w:tab w:val="left" w:pos="803"/>
        </w:tabs>
        <w:autoSpaceDE w:val="0"/>
        <w:autoSpaceDN w:val="0"/>
        <w:spacing w:line="240" w:lineRule="auto"/>
        <w:outlineLvl w:val="1"/>
        <w:rPr>
          <w:b/>
          <w:bCs/>
          <w:snapToGrid/>
          <w:szCs w:val="22"/>
          <w:lang w:val="lt-LT"/>
        </w:rPr>
      </w:pPr>
    </w:p>
    <w:p w14:paraId="7BDBAB39" w14:textId="77777777" w:rsidR="00890384" w:rsidRDefault="00B26795">
      <w:pPr>
        <w:widowControl w:val="0"/>
        <w:tabs>
          <w:tab w:val="clear" w:pos="567"/>
          <w:tab w:val="left" w:pos="802"/>
          <w:tab w:val="left" w:pos="803"/>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sudėtis</w:t>
      </w:r>
    </w:p>
    <w:p w14:paraId="3544AD35"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Veiklioji medžiaga yra apiksabanas. Kiekvienoje tabletėje yra 2,5 mg apiksabano.</w:t>
      </w:r>
    </w:p>
    <w:p w14:paraId="26B59BB4"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Pagalbinės medžiagos yra: mikrokristalinė celiuliozė (E460), laktozė monohidratas, kroskarmeliozės natrio druska (E468), natrio laurilsulfatas, hidroksietilceliuliozė ir magnio stearatas (E470b) (tabletės šerdis), hipromeliozė (E464), propilenglikolis (E1520), titano dioksidas (E171) ir talkas (E553b) (tabletės plėvelė). Žr. 2 skyrių „</w:t>
      </w:r>
      <w:r>
        <w:rPr>
          <w:snapToGrid/>
          <w:color w:val="000000"/>
          <w:szCs w:val="22"/>
          <w:lang w:val="lt-LT"/>
        </w:rPr>
        <w:t>Aboxoma</w:t>
      </w:r>
      <w:r>
        <w:rPr>
          <w:snapToGrid/>
          <w:szCs w:val="22"/>
          <w:lang w:val="lt-LT"/>
        </w:rPr>
        <w:t xml:space="preserve"> sudėtyje yra laktozės ir natrio“.</w:t>
      </w:r>
    </w:p>
    <w:p w14:paraId="20230CE1" w14:textId="77777777" w:rsidR="00890384" w:rsidRDefault="00890384">
      <w:pPr>
        <w:widowControl w:val="0"/>
        <w:tabs>
          <w:tab w:val="clear" w:pos="567"/>
        </w:tabs>
        <w:autoSpaceDE w:val="0"/>
        <w:autoSpaceDN w:val="0"/>
        <w:spacing w:line="240" w:lineRule="auto"/>
        <w:rPr>
          <w:snapToGrid/>
          <w:szCs w:val="22"/>
          <w:lang w:val="lt-LT"/>
        </w:rPr>
      </w:pPr>
    </w:p>
    <w:p w14:paraId="7BB1C7F6" w14:textId="77777777" w:rsidR="00890384" w:rsidRDefault="00B26795">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išvaizda ir kiekis pakuotėje</w:t>
      </w:r>
    </w:p>
    <w:p w14:paraId="6E51195B" w14:textId="77777777" w:rsidR="00890384" w:rsidRDefault="00B26795">
      <w:pPr>
        <w:widowControl w:val="0"/>
        <w:tabs>
          <w:tab w:val="clear" w:pos="567"/>
        </w:tabs>
        <w:spacing w:line="240" w:lineRule="auto"/>
        <w:rPr>
          <w:snapToGrid/>
          <w:szCs w:val="22"/>
          <w:lang w:val="lt-LT"/>
        </w:rPr>
      </w:pPr>
      <w:r>
        <w:rPr>
          <w:snapToGrid/>
          <w:szCs w:val="22"/>
          <w:lang w:val="lt-LT"/>
        </w:rPr>
        <w:t>Baltos, apvalios abipus išgaubtos plėvele dengtos tabletės (tabletės), vienoje pusėje yra žyma „2.5“.</w:t>
      </w:r>
    </w:p>
    <w:p w14:paraId="3846B4F7" w14:textId="77777777" w:rsidR="00890384" w:rsidRDefault="00B26795">
      <w:pPr>
        <w:widowControl w:val="0"/>
        <w:tabs>
          <w:tab w:val="clear" w:pos="567"/>
        </w:tabs>
        <w:spacing w:line="240" w:lineRule="auto"/>
        <w:rPr>
          <w:snapToGrid/>
          <w:szCs w:val="22"/>
          <w:lang w:val="lt-LT"/>
        </w:rPr>
      </w:pPr>
      <w:r>
        <w:rPr>
          <w:snapToGrid/>
          <w:szCs w:val="22"/>
          <w:lang w:val="lt-LT"/>
        </w:rPr>
        <w:t>Tabletės matmenys: skersmuo – maždaug 6 mm.</w:t>
      </w:r>
    </w:p>
    <w:p w14:paraId="0B9939C8" w14:textId="77777777" w:rsidR="00890384" w:rsidRDefault="00890384">
      <w:pPr>
        <w:widowControl w:val="0"/>
        <w:tabs>
          <w:tab w:val="clear" w:pos="567"/>
        </w:tabs>
        <w:autoSpaceDE w:val="0"/>
        <w:autoSpaceDN w:val="0"/>
        <w:spacing w:line="240" w:lineRule="auto"/>
        <w:rPr>
          <w:snapToGrid/>
          <w:szCs w:val="22"/>
          <w:lang w:val="lt-LT"/>
        </w:rPr>
      </w:pPr>
    </w:p>
    <w:p w14:paraId="104A5D2A"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tiekiamas dėžutėse, kuriose yra:</w:t>
      </w:r>
    </w:p>
    <w:p w14:paraId="0FE4CDE2" w14:textId="77777777" w:rsidR="00890384" w:rsidRDefault="00B26795">
      <w:pPr>
        <w:widowControl w:val="0"/>
        <w:numPr>
          <w:ilvl w:val="0"/>
          <w:numId w:val="33"/>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57BAFE5D" w14:textId="77777777" w:rsidR="00890384" w:rsidRDefault="00890384">
      <w:pPr>
        <w:widowControl w:val="0"/>
        <w:tabs>
          <w:tab w:val="clear" w:pos="567"/>
        </w:tabs>
        <w:autoSpaceDE w:val="0"/>
        <w:autoSpaceDN w:val="0"/>
        <w:spacing w:line="240" w:lineRule="auto"/>
        <w:rPr>
          <w:snapToGrid/>
          <w:szCs w:val="22"/>
          <w:lang w:val="lt-LT"/>
        </w:rPr>
      </w:pPr>
    </w:p>
    <w:p w14:paraId="3BBD168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6015B2E6" w14:textId="77777777" w:rsidR="00890384" w:rsidRDefault="00890384">
      <w:pPr>
        <w:widowControl w:val="0"/>
        <w:tabs>
          <w:tab w:val="clear" w:pos="567"/>
        </w:tabs>
        <w:autoSpaceDE w:val="0"/>
        <w:autoSpaceDN w:val="0"/>
        <w:spacing w:line="240" w:lineRule="auto"/>
        <w:rPr>
          <w:snapToGrid/>
          <w:szCs w:val="22"/>
          <w:lang w:val="lt-LT"/>
        </w:rPr>
      </w:pPr>
    </w:p>
    <w:p w14:paraId="3B7CFF71" w14:textId="0C897CE5"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45605C61" w14:textId="77777777" w:rsidR="00890384" w:rsidRDefault="00890384">
      <w:pPr>
        <w:widowControl w:val="0"/>
        <w:tabs>
          <w:tab w:val="clear" w:pos="567"/>
        </w:tabs>
        <w:autoSpaceDE w:val="0"/>
        <w:autoSpaceDN w:val="0"/>
        <w:spacing w:line="240" w:lineRule="auto"/>
        <w:rPr>
          <w:snapToGrid/>
          <w:szCs w:val="22"/>
          <w:lang w:val="lt-LT"/>
        </w:rPr>
      </w:pPr>
    </w:p>
    <w:p w14:paraId="1CC4D646"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pakuotėje kartu su pakuotės lapeliu yra paciento įspėjamoji kortelė arba gydytojas Jums gali duoti panašią kortelę.</w:t>
      </w:r>
    </w:p>
    <w:p w14:paraId="465CF786" w14:textId="77777777" w:rsidR="00890384" w:rsidRDefault="00890384">
      <w:pPr>
        <w:widowControl w:val="0"/>
        <w:tabs>
          <w:tab w:val="clear" w:pos="567"/>
        </w:tabs>
        <w:autoSpaceDE w:val="0"/>
        <w:autoSpaceDN w:val="0"/>
        <w:spacing w:line="240" w:lineRule="auto"/>
        <w:rPr>
          <w:snapToGrid/>
          <w:szCs w:val="22"/>
          <w:lang w:val="lt-LT"/>
        </w:rPr>
      </w:pPr>
    </w:p>
    <w:p w14:paraId="77909D14" w14:textId="11891ADC" w:rsidR="00890384" w:rsidRDefault="00B26795">
      <w:pPr>
        <w:widowControl w:val="0"/>
        <w:tabs>
          <w:tab w:val="clear" w:pos="567"/>
        </w:tabs>
        <w:autoSpaceDE w:val="0"/>
        <w:autoSpaceDN w:val="0"/>
        <w:spacing w:line="240" w:lineRule="auto"/>
        <w:rPr>
          <w:b/>
          <w:snapToGrid/>
          <w:szCs w:val="22"/>
          <w:lang w:val="lt-LT"/>
        </w:rPr>
      </w:pPr>
      <w:r>
        <w:rPr>
          <w:snapToGrid/>
          <w:szCs w:val="22"/>
          <w:lang w:val="lt-LT"/>
        </w:rPr>
        <w:t xml:space="preserve">Paciento kortelėje pateikiama informacijos, kuri bus naudinga Jums ir kitus gydytojus įspės, kad vartojate </w:t>
      </w:r>
      <w:r>
        <w:rPr>
          <w:snapToGrid/>
          <w:color w:val="000000"/>
          <w:szCs w:val="22"/>
          <w:lang w:val="lt-LT"/>
        </w:rPr>
        <w:t>Aboxoma</w:t>
      </w:r>
      <w:r>
        <w:rPr>
          <w:snapToGrid/>
          <w:szCs w:val="22"/>
          <w:lang w:val="lt-LT"/>
        </w:rPr>
        <w:t xml:space="preserve">. </w:t>
      </w:r>
      <w:r>
        <w:rPr>
          <w:b/>
          <w:snapToGrid/>
          <w:szCs w:val="22"/>
          <w:lang w:val="lt-LT"/>
        </w:rPr>
        <w:t>Šią kortelę turite visada nešiotis su savimi.</w:t>
      </w:r>
    </w:p>
    <w:p w14:paraId="01E6FA76" w14:textId="77777777" w:rsidR="00890384" w:rsidRDefault="00890384">
      <w:pPr>
        <w:widowControl w:val="0"/>
        <w:tabs>
          <w:tab w:val="clear" w:pos="567"/>
        </w:tabs>
        <w:autoSpaceDE w:val="0"/>
        <w:autoSpaceDN w:val="0"/>
        <w:spacing w:line="240" w:lineRule="auto"/>
        <w:rPr>
          <w:b/>
          <w:snapToGrid/>
          <w:szCs w:val="22"/>
          <w:lang w:val="lt-LT"/>
        </w:rPr>
      </w:pPr>
    </w:p>
    <w:p w14:paraId="15232D74" w14:textId="77777777" w:rsidR="00890384" w:rsidRDefault="00B26795">
      <w:pPr>
        <w:widowControl w:val="0"/>
        <w:numPr>
          <w:ilvl w:val="0"/>
          <w:numId w:val="34"/>
        </w:numPr>
        <w:tabs>
          <w:tab w:val="clear" w:pos="567"/>
        </w:tabs>
        <w:spacing w:line="240" w:lineRule="auto"/>
        <w:ind w:left="567" w:right="-2" w:hanging="567"/>
        <w:rPr>
          <w:snapToGrid/>
          <w:szCs w:val="22"/>
          <w:lang w:val="lt-LT"/>
        </w:rPr>
      </w:pPr>
      <w:r>
        <w:rPr>
          <w:snapToGrid/>
          <w:szCs w:val="22"/>
          <w:lang w:val="lt-LT"/>
        </w:rPr>
        <w:t>Paimkite kortelę</w:t>
      </w:r>
    </w:p>
    <w:p w14:paraId="0193718C" w14:textId="77777777" w:rsidR="00890384" w:rsidRDefault="00890384">
      <w:pPr>
        <w:widowControl w:val="0"/>
        <w:numPr>
          <w:ilvl w:val="12"/>
          <w:numId w:val="0"/>
        </w:numPr>
        <w:tabs>
          <w:tab w:val="clear" w:pos="567"/>
        </w:tabs>
        <w:spacing w:line="240" w:lineRule="auto"/>
        <w:ind w:left="567" w:right="-2" w:hanging="567"/>
        <w:rPr>
          <w:snapToGrid/>
          <w:szCs w:val="22"/>
          <w:lang w:val="lt-LT"/>
        </w:rPr>
      </w:pPr>
    </w:p>
    <w:p w14:paraId="1077A708" w14:textId="77777777" w:rsidR="00890384" w:rsidRDefault="00B26795">
      <w:pPr>
        <w:widowControl w:val="0"/>
        <w:numPr>
          <w:ilvl w:val="0"/>
          <w:numId w:val="34"/>
        </w:numPr>
        <w:tabs>
          <w:tab w:val="clear" w:pos="567"/>
        </w:tabs>
        <w:spacing w:line="240" w:lineRule="auto"/>
        <w:ind w:left="567" w:right="-2" w:hanging="567"/>
        <w:rPr>
          <w:snapToGrid/>
          <w:szCs w:val="22"/>
          <w:lang w:val="lt-LT"/>
        </w:rPr>
      </w:pPr>
      <w:r>
        <w:rPr>
          <w:snapToGrid/>
          <w:szCs w:val="22"/>
          <w:lang w:val="lt-LT"/>
        </w:rPr>
        <w:lastRenderedPageBreak/>
        <w:t>Jei reikia, atskirkite savo kalbos kortelę (tai palengvins perforuoti kraštai)</w:t>
      </w:r>
    </w:p>
    <w:p w14:paraId="594FA6F6" w14:textId="77777777" w:rsidR="00890384" w:rsidRDefault="00890384">
      <w:pPr>
        <w:widowControl w:val="0"/>
        <w:numPr>
          <w:ilvl w:val="12"/>
          <w:numId w:val="0"/>
        </w:numPr>
        <w:tabs>
          <w:tab w:val="clear" w:pos="567"/>
        </w:tabs>
        <w:spacing w:line="240" w:lineRule="auto"/>
        <w:ind w:right="-2"/>
        <w:rPr>
          <w:snapToGrid/>
          <w:szCs w:val="22"/>
          <w:lang w:val="lt-LT"/>
        </w:rPr>
      </w:pPr>
    </w:p>
    <w:p w14:paraId="5FC51487" w14:textId="77777777" w:rsidR="00890384" w:rsidRDefault="00B26795">
      <w:pPr>
        <w:widowControl w:val="0"/>
        <w:numPr>
          <w:ilvl w:val="0"/>
          <w:numId w:val="34"/>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26B16971" w14:textId="77777777" w:rsidR="00890384" w:rsidRDefault="00890384">
      <w:pPr>
        <w:widowControl w:val="0"/>
        <w:numPr>
          <w:ilvl w:val="12"/>
          <w:numId w:val="0"/>
        </w:numPr>
        <w:tabs>
          <w:tab w:val="clear" w:pos="567"/>
        </w:tabs>
        <w:spacing w:line="240" w:lineRule="auto"/>
        <w:ind w:right="-2"/>
        <w:rPr>
          <w:snapToGrid/>
          <w:szCs w:val="22"/>
          <w:lang w:val="lt-LT"/>
        </w:rPr>
      </w:pPr>
    </w:p>
    <w:p w14:paraId="7F26EB30"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Vardas ir pavardė:</w:t>
      </w:r>
    </w:p>
    <w:p w14:paraId="13199A29"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Gimimo data:</w:t>
      </w:r>
    </w:p>
    <w:p w14:paraId="583BC4F9"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Indikacija:</w:t>
      </w:r>
    </w:p>
    <w:p w14:paraId="08007980"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Svoris (vaikų populiacijai):</w:t>
      </w:r>
    </w:p>
    <w:p w14:paraId="1541CC57"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Dozė: .....mg du kartus per parą</w:t>
      </w:r>
    </w:p>
    <w:p w14:paraId="1848D8DC"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vardas ir pavardė:</w:t>
      </w:r>
    </w:p>
    <w:p w14:paraId="3DB42CB0"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telefono numeris:</w:t>
      </w:r>
    </w:p>
    <w:p w14:paraId="442341B1" w14:textId="77777777" w:rsidR="00890384" w:rsidRDefault="00890384">
      <w:pPr>
        <w:widowControl w:val="0"/>
        <w:numPr>
          <w:ilvl w:val="12"/>
          <w:numId w:val="0"/>
        </w:numPr>
        <w:tabs>
          <w:tab w:val="clear" w:pos="567"/>
        </w:tabs>
        <w:spacing w:line="240" w:lineRule="auto"/>
        <w:ind w:left="567" w:right="-2" w:hanging="567"/>
        <w:rPr>
          <w:snapToGrid/>
          <w:szCs w:val="22"/>
          <w:highlight w:val="yellow"/>
          <w:lang w:val="lt-LT"/>
        </w:rPr>
      </w:pPr>
    </w:p>
    <w:p w14:paraId="179BF068" w14:textId="77777777" w:rsidR="00890384" w:rsidRDefault="00B26795">
      <w:pPr>
        <w:widowControl w:val="0"/>
        <w:numPr>
          <w:ilvl w:val="0"/>
          <w:numId w:val="34"/>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546275BC" w14:textId="77777777" w:rsidR="00890384" w:rsidRDefault="00890384">
      <w:pPr>
        <w:widowControl w:val="0"/>
        <w:tabs>
          <w:tab w:val="clear" w:pos="567"/>
        </w:tabs>
        <w:autoSpaceDE w:val="0"/>
        <w:autoSpaceDN w:val="0"/>
        <w:spacing w:line="240" w:lineRule="auto"/>
        <w:rPr>
          <w:snapToGrid/>
          <w:szCs w:val="22"/>
          <w:lang w:val="lt-LT"/>
        </w:rPr>
      </w:pPr>
    </w:p>
    <w:p w14:paraId="604B90BA" w14:textId="77777777" w:rsidR="00890384" w:rsidRDefault="00B26795">
      <w:pPr>
        <w:keepNext/>
        <w:jc w:val="both"/>
        <w:outlineLvl w:val="3"/>
        <w:rPr>
          <w:b/>
          <w:bCs/>
          <w:szCs w:val="28"/>
          <w:lang w:val="lt-LT" w:eastAsia="x-none"/>
        </w:rPr>
      </w:pPr>
      <w:r>
        <w:rPr>
          <w:b/>
          <w:bCs/>
          <w:szCs w:val="28"/>
          <w:lang w:val="lt-LT" w:eastAsia="x-none"/>
        </w:rPr>
        <w:t>Registruotojas ir gamintojas</w:t>
      </w:r>
    </w:p>
    <w:p w14:paraId="4DFC0AD5" w14:textId="77777777" w:rsidR="00890384" w:rsidRDefault="00890384">
      <w:pPr>
        <w:rPr>
          <w:bCs/>
          <w:snapToGrid/>
          <w:szCs w:val="22"/>
          <w:lang w:val="lt-LT"/>
        </w:rPr>
      </w:pPr>
    </w:p>
    <w:p w14:paraId="5938705C" w14:textId="77777777" w:rsidR="00890384" w:rsidRDefault="00B26795">
      <w:pPr>
        <w:rPr>
          <w:bCs/>
          <w:snapToGrid/>
          <w:szCs w:val="22"/>
          <w:lang w:val="lt-LT"/>
        </w:rPr>
      </w:pPr>
      <w:r>
        <w:rPr>
          <w:bCs/>
          <w:snapToGrid/>
          <w:szCs w:val="22"/>
          <w:lang w:val="lt-LT"/>
        </w:rPr>
        <w:t>KRKA, d.d., Novo mesto, Šmarješka cesta 6, 8501 Novo mesto, Slovėnija</w:t>
      </w:r>
    </w:p>
    <w:p w14:paraId="653B513C" w14:textId="77777777" w:rsidR="00890384" w:rsidRDefault="00890384">
      <w:pPr>
        <w:widowControl w:val="0"/>
        <w:numPr>
          <w:ilvl w:val="12"/>
          <w:numId w:val="0"/>
        </w:numPr>
        <w:tabs>
          <w:tab w:val="clear" w:pos="567"/>
        </w:tabs>
        <w:autoSpaceDE w:val="0"/>
        <w:autoSpaceDN w:val="0"/>
        <w:spacing w:line="240" w:lineRule="auto"/>
        <w:rPr>
          <w:bCs/>
          <w:snapToGrid/>
          <w:szCs w:val="22"/>
          <w:lang w:val="lt-LT"/>
        </w:rPr>
      </w:pPr>
    </w:p>
    <w:p w14:paraId="2FA86681" w14:textId="77777777" w:rsidR="00890384" w:rsidRDefault="00B26795">
      <w:pPr>
        <w:widowControl w:val="0"/>
        <w:numPr>
          <w:ilvl w:val="12"/>
          <w:numId w:val="0"/>
        </w:numPr>
        <w:rPr>
          <w:lang w:val="lt-LT"/>
        </w:rPr>
      </w:pPr>
      <w:r>
        <w:rPr>
          <w:b/>
          <w:lang w:val="lt-LT"/>
        </w:rPr>
        <w:t>Šis vaistas Europos ekonominės erdvės valstybėse narėse registruotas tokiais pavadinimais:</w:t>
      </w:r>
    </w:p>
    <w:p w14:paraId="6A71386E" w14:textId="77777777" w:rsidR="00890384" w:rsidRDefault="00890384">
      <w:pPr>
        <w:widowControl w:val="0"/>
        <w:tabs>
          <w:tab w:val="clear" w:pos="567"/>
        </w:tabs>
        <w:spacing w:line="240" w:lineRule="auto"/>
        <w:rPr>
          <w:snapToGrid/>
          <w:szCs w:val="24"/>
          <w:lang w:val="lt-LT" w:eastAsia="x-none"/>
        </w:rPr>
      </w:pPr>
    </w:p>
    <w:tbl>
      <w:tblPr>
        <w:tblW w:w="71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268"/>
      </w:tblGrid>
      <w:tr w:rsidR="00890384" w14:paraId="1E2E2F8F" w14:textId="77777777">
        <w:tc>
          <w:tcPr>
            <w:tcW w:w="4849" w:type="dxa"/>
          </w:tcPr>
          <w:p w14:paraId="148EBE70" w14:textId="77777777" w:rsidR="00890384" w:rsidRDefault="00B26795">
            <w:pPr>
              <w:widowControl w:val="0"/>
              <w:numPr>
                <w:ilvl w:val="12"/>
                <w:numId w:val="0"/>
              </w:numPr>
              <w:ind w:right="-2"/>
              <w:rPr>
                <w:szCs w:val="22"/>
              </w:rPr>
            </w:pPr>
            <w:r>
              <w:rPr>
                <w:lang w:eastAsia="sl-SI"/>
              </w:rPr>
              <w:t>Valstybės narės pavadinimas</w:t>
            </w:r>
          </w:p>
        </w:tc>
        <w:tc>
          <w:tcPr>
            <w:tcW w:w="2268" w:type="dxa"/>
          </w:tcPr>
          <w:p w14:paraId="432C866F" w14:textId="77777777" w:rsidR="00890384" w:rsidRDefault="00B26795">
            <w:pPr>
              <w:widowControl w:val="0"/>
              <w:numPr>
                <w:ilvl w:val="12"/>
                <w:numId w:val="0"/>
              </w:numPr>
              <w:ind w:right="-2"/>
              <w:rPr>
                <w:szCs w:val="22"/>
              </w:rPr>
            </w:pPr>
            <w:r>
              <w:rPr>
                <w:szCs w:val="22"/>
              </w:rPr>
              <w:t>Vaisto pavadinimas</w:t>
            </w:r>
          </w:p>
        </w:tc>
      </w:tr>
      <w:tr w:rsidR="00890384" w14:paraId="24196D19" w14:textId="77777777">
        <w:tc>
          <w:tcPr>
            <w:tcW w:w="4849" w:type="dxa"/>
          </w:tcPr>
          <w:p w14:paraId="6CE3559E" w14:textId="77777777" w:rsidR="00890384" w:rsidRDefault="00B26795">
            <w:pPr>
              <w:widowControl w:val="0"/>
              <w:numPr>
                <w:ilvl w:val="12"/>
                <w:numId w:val="0"/>
              </w:numPr>
              <w:ind w:right="-2"/>
              <w:rPr>
                <w:szCs w:val="22"/>
              </w:rPr>
            </w:pPr>
            <w:r>
              <w:rPr>
                <w:szCs w:val="22"/>
              </w:rPr>
              <w:t>Kroatija, Čekija, Estija, Graikija, Vengrija, Lietuva, Latvija, Lenkija, Rumunija, Slovakija, Slovėnija</w:t>
            </w:r>
          </w:p>
        </w:tc>
        <w:tc>
          <w:tcPr>
            <w:tcW w:w="2268" w:type="dxa"/>
          </w:tcPr>
          <w:p w14:paraId="685871FA" w14:textId="77777777" w:rsidR="00890384" w:rsidRDefault="00B26795">
            <w:pPr>
              <w:widowControl w:val="0"/>
              <w:numPr>
                <w:ilvl w:val="12"/>
                <w:numId w:val="0"/>
              </w:numPr>
              <w:ind w:right="-2"/>
              <w:rPr>
                <w:szCs w:val="22"/>
              </w:rPr>
            </w:pPr>
            <w:r>
              <w:rPr>
                <w:szCs w:val="22"/>
              </w:rPr>
              <w:t>Aboxoma</w:t>
            </w:r>
          </w:p>
        </w:tc>
      </w:tr>
      <w:tr w:rsidR="00890384" w14:paraId="218BA1BF" w14:textId="77777777">
        <w:tc>
          <w:tcPr>
            <w:tcW w:w="4849" w:type="dxa"/>
          </w:tcPr>
          <w:p w14:paraId="7E7B136C" w14:textId="77777777" w:rsidR="00890384" w:rsidRDefault="00B26795">
            <w:pPr>
              <w:widowControl w:val="0"/>
              <w:numPr>
                <w:ilvl w:val="12"/>
                <w:numId w:val="0"/>
              </w:numPr>
              <w:ind w:right="-2"/>
              <w:rPr>
                <w:szCs w:val="22"/>
              </w:rPr>
            </w:pPr>
            <w:r>
              <w:rPr>
                <w:szCs w:val="22"/>
              </w:rPr>
              <w:t>Bulgarija</w:t>
            </w:r>
          </w:p>
        </w:tc>
        <w:tc>
          <w:tcPr>
            <w:tcW w:w="2268" w:type="dxa"/>
          </w:tcPr>
          <w:p w14:paraId="52A5110B" w14:textId="77777777" w:rsidR="00890384" w:rsidRDefault="00B26795">
            <w:pPr>
              <w:widowControl w:val="0"/>
              <w:numPr>
                <w:ilvl w:val="12"/>
                <w:numId w:val="0"/>
              </w:numPr>
              <w:ind w:right="-2"/>
              <w:rPr>
                <w:szCs w:val="22"/>
              </w:rPr>
            </w:pPr>
            <w:r>
              <w:rPr>
                <w:rFonts w:eastAsia="Calibri"/>
                <w:snapToGrid/>
                <w:szCs w:val="22"/>
                <w:lang w:val="lt-LT" w:eastAsia="lt-LT"/>
              </w:rPr>
              <w:t>Абоксома</w:t>
            </w:r>
          </w:p>
        </w:tc>
      </w:tr>
    </w:tbl>
    <w:p w14:paraId="04C8F28F" w14:textId="77777777" w:rsidR="00890384" w:rsidRDefault="00890384">
      <w:pPr>
        <w:widowControl w:val="0"/>
        <w:numPr>
          <w:ilvl w:val="12"/>
          <w:numId w:val="0"/>
        </w:numPr>
        <w:tabs>
          <w:tab w:val="clear" w:pos="567"/>
        </w:tabs>
        <w:autoSpaceDE w:val="0"/>
        <w:autoSpaceDN w:val="0"/>
        <w:spacing w:line="240" w:lineRule="auto"/>
        <w:rPr>
          <w:bCs/>
          <w:snapToGrid/>
          <w:szCs w:val="22"/>
          <w:lang w:val="lt-LT"/>
        </w:rPr>
      </w:pPr>
    </w:p>
    <w:p w14:paraId="2C0E0715" w14:textId="7545A539"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Šis pakuotės lapelis paskutinį kartą peržiūrėtas </w:t>
      </w:r>
      <w:r w:rsidR="005261E3">
        <w:rPr>
          <w:b/>
          <w:bCs/>
          <w:snapToGrid/>
          <w:szCs w:val="22"/>
          <w:lang w:val="lt-LT"/>
        </w:rPr>
        <w:t>2025-04-03</w:t>
      </w:r>
      <w:r>
        <w:rPr>
          <w:b/>
          <w:lang w:val="lt-LT"/>
        </w:rPr>
        <w:t>.</w:t>
      </w:r>
    </w:p>
    <w:p w14:paraId="31326DC6" w14:textId="77777777" w:rsidR="00890384" w:rsidRDefault="00890384">
      <w:pPr>
        <w:widowControl w:val="0"/>
        <w:tabs>
          <w:tab w:val="clear" w:pos="567"/>
        </w:tabs>
        <w:autoSpaceDE w:val="0"/>
        <w:autoSpaceDN w:val="0"/>
        <w:spacing w:line="240" w:lineRule="auto"/>
        <w:rPr>
          <w:b/>
          <w:snapToGrid/>
          <w:szCs w:val="22"/>
          <w:lang w:val="lt-LT"/>
        </w:rPr>
      </w:pPr>
    </w:p>
    <w:p w14:paraId="76AA00CB" w14:textId="2F272E0D"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bookmarkStart w:id="11" w:name="_Hlk173407610"/>
      <w:r>
        <w:rPr>
          <w:snapToGrid/>
          <w:color w:val="0000EE"/>
          <w:szCs w:val="22"/>
          <w:u w:val="single"/>
          <w:lang w:val="lt-LT" w:eastAsia="lt-LT"/>
        </w:rPr>
        <w:t>https://vvkt.lrv.lt/lt/</w:t>
      </w:r>
      <w:bookmarkEnd w:id="11"/>
      <w:r>
        <w:rPr>
          <w:snapToGrid/>
          <w:szCs w:val="22"/>
          <w:lang w:val="lt-LT"/>
        </w:rPr>
        <w:t>.</w:t>
      </w:r>
    </w:p>
    <w:p w14:paraId="72ED70F7" w14:textId="77777777" w:rsidR="00890384" w:rsidRDefault="00890384">
      <w:pPr>
        <w:widowControl w:val="0"/>
        <w:tabs>
          <w:tab w:val="clear" w:pos="567"/>
        </w:tabs>
        <w:autoSpaceDE w:val="0"/>
        <w:autoSpaceDN w:val="0"/>
        <w:spacing w:line="240" w:lineRule="auto"/>
        <w:rPr>
          <w:snapToGrid/>
          <w:szCs w:val="22"/>
          <w:lang w:val="lt-LT"/>
        </w:rPr>
        <w:sectPr w:rsidR="00890384">
          <w:type w:val="continuous"/>
          <w:pgSz w:w="11910" w:h="16840"/>
          <w:pgMar w:top="1134" w:right="1418" w:bottom="1134" w:left="1418" w:header="0" w:footer="635" w:gutter="0"/>
          <w:cols w:space="720"/>
        </w:sectPr>
      </w:pPr>
    </w:p>
    <w:p w14:paraId="1A13B270" w14:textId="77777777" w:rsidR="00890384" w:rsidRDefault="00B26795">
      <w:pPr>
        <w:widowControl w:val="0"/>
        <w:tabs>
          <w:tab w:val="clear" w:pos="567"/>
        </w:tabs>
        <w:autoSpaceDE w:val="0"/>
        <w:autoSpaceDN w:val="0"/>
        <w:spacing w:line="240" w:lineRule="auto"/>
        <w:jc w:val="center"/>
        <w:outlineLvl w:val="1"/>
        <w:rPr>
          <w:b/>
          <w:bCs/>
          <w:snapToGrid/>
          <w:szCs w:val="22"/>
          <w:lang w:val="lt-LT"/>
        </w:rPr>
      </w:pPr>
      <w:r>
        <w:rPr>
          <w:b/>
          <w:bCs/>
          <w:snapToGrid/>
          <w:szCs w:val="22"/>
          <w:lang w:val="lt-LT"/>
        </w:rPr>
        <w:lastRenderedPageBreak/>
        <w:t>Pakuotės lapelis: informacija vartotojui</w:t>
      </w:r>
    </w:p>
    <w:p w14:paraId="00B12C29" w14:textId="77777777" w:rsidR="00890384" w:rsidRDefault="00890384">
      <w:pPr>
        <w:widowControl w:val="0"/>
        <w:tabs>
          <w:tab w:val="clear" w:pos="567"/>
        </w:tabs>
        <w:autoSpaceDE w:val="0"/>
        <w:autoSpaceDN w:val="0"/>
        <w:spacing w:line="240" w:lineRule="auto"/>
        <w:rPr>
          <w:b/>
          <w:snapToGrid/>
          <w:szCs w:val="22"/>
          <w:lang w:val="lt-LT"/>
        </w:rPr>
      </w:pPr>
    </w:p>
    <w:p w14:paraId="27F7E096" w14:textId="77777777" w:rsidR="00890384" w:rsidRDefault="00B26795">
      <w:pPr>
        <w:widowControl w:val="0"/>
        <w:tabs>
          <w:tab w:val="clear" w:pos="567"/>
        </w:tabs>
        <w:autoSpaceDE w:val="0"/>
        <w:autoSpaceDN w:val="0"/>
        <w:spacing w:line="240" w:lineRule="auto"/>
        <w:jc w:val="center"/>
        <w:rPr>
          <w:b/>
          <w:bCs/>
          <w:snapToGrid/>
          <w:szCs w:val="22"/>
          <w:lang w:val="lt-LT"/>
        </w:rPr>
      </w:pPr>
      <w:r>
        <w:rPr>
          <w:b/>
          <w:snapToGrid/>
          <w:color w:val="000000"/>
          <w:szCs w:val="22"/>
          <w:lang w:val="lt-LT"/>
        </w:rPr>
        <w:t>Aboxoma</w:t>
      </w:r>
      <w:r>
        <w:rPr>
          <w:b/>
          <w:bCs/>
          <w:snapToGrid/>
          <w:szCs w:val="22"/>
          <w:lang w:val="lt-LT"/>
        </w:rPr>
        <w:t xml:space="preserve"> 5 mg plėvele dengtos tabletės</w:t>
      </w:r>
    </w:p>
    <w:p w14:paraId="6B6F9D1A" w14:textId="77777777" w:rsidR="00890384" w:rsidRDefault="00B26795">
      <w:pPr>
        <w:widowControl w:val="0"/>
        <w:tabs>
          <w:tab w:val="clear" w:pos="567"/>
        </w:tabs>
        <w:autoSpaceDE w:val="0"/>
        <w:autoSpaceDN w:val="0"/>
        <w:spacing w:line="240" w:lineRule="auto"/>
        <w:jc w:val="center"/>
        <w:rPr>
          <w:snapToGrid/>
          <w:szCs w:val="22"/>
          <w:lang w:val="lt-LT"/>
        </w:rPr>
      </w:pPr>
      <w:r>
        <w:rPr>
          <w:snapToGrid/>
          <w:szCs w:val="22"/>
          <w:lang w:val="lt-LT"/>
        </w:rPr>
        <w:t>apiksabanas</w:t>
      </w:r>
    </w:p>
    <w:p w14:paraId="33EAE625" w14:textId="77777777" w:rsidR="00890384" w:rsidRDefault="00890384">
      <w:pPr>
        <w:widowControl w:val="0"/>
        <w:tabs>
          <w:tab w:val="clear" w:pos="567"/>
        </w:tabs>
        <w:autoSpaceDE w:val="0"/>
        <w:autoSpaceDN w:val="0"/>
        <w:spacing w:line="240" w:lineRule="auto"/>
        <w:rPr>
          <w:snapToGrid/>
          <w:szCs w:val="22"/>
          <w:lang w:val="lt-LT"/>
        </w:rPr>
      </w:pPr>
    </w:p>
    <w:p w14:paraId="558BE6B1"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731DF88D"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5FD53AC6"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123C9A05"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39ED6E5C" w14:textId="77777777" w:rsidR="00890384" w:rsidRDefault="00B26795">
      <w:pPr>
        <w:widowControl w:val="0"/>
        <w:numPr>
          <w:ilvl w:val="0"/>
          <w:numId w:val="7"/>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64AF9045" w14:textId="77777777" w:rsidR="00890384" w:rsidRDefault="00890384">
      <w:pPr>
        <w:widowControl w:val="0"/>
        <w:tabs>
          <w:tab w:val="clear" w:pos="567"/>
        </w:tabs>
        <w:autoSpaceDE w:val="0"/>
        <w:autoSpaceDN w:val="0"/>
        <w:spacing w:line="240" w:lineRule="auto"/>
        <w:rPr>
          <w:snapToGrid/>
          <w:szCs w:val="22"/>
          <w:lang w:val="lt-LT"/>
        </w:rPr>
      </w:pPr>
    </w:p>
    <w:p w14:paraId="3E3E8088"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7ED5B699" w14:textId="77777777" w:rsidR="00890384" w:rsidRDefault="00890384">
      <w:pPr>
        <w:widowControl w:val="0"/>
        <w:tabs>
          <w:tab w:val="clear" w:pos="567"/>
        </w:tabs>
        <w:autoSpaceDE w:val="0"/>
        <w:autoSpaceDN w:val="0"/>
        <w:spacing w:line="240" w:lineRule="auto"/>
        <w:ind w:left="540" w:hanging="540"/>
        <w:rPr>
          <w:b/>
          <w:snapToGrid/>
          <w:szCs w:val="22"/>
          <w:lang w:val="lt-LT"/>
        </w:rPr>
      </w:pPr>
    </w:p>
    <w:p w14:paraId="67CAF993" w14:textId="77777777" w:rsidR="00890384" w:rsidRDefault="00B26795">
      <w:pPr>
        <w:widowControl w:val="0"/>
        <w:numPr>
          <w:ilvl w:val="0"/>
          <w:numId w:val="37"/>
        </w:numPr>
        <w:autoSpaceDE w:val="0"/>
        <w:autoSpaceDN w:val="0"/>
        <w:spacing w:line="240" w:lineRule="auto"/>
        <w:ind w:left="567"/>
        <w:rPr>
          <w:snapToGrid/>
          <w:szCs w:val="22"/>
          <w:lang w:val="lt-LT"/>
        </w:rPr>
      </w:pPr>
      <w:r>
        <w:rPr>
          <w:snapToGrid/>
          <w:szCs w:val="22"/>
          <w:lang w:val="lt-LT"/>
        </w:rPr>
        <w:t xml:space="preserve">Kas yra </w:t>
      </w:r>
      <w:r>
        <w:rPr>
          <w:snapToGrid/>
          <w:color w:val="000000"/>
          <w:szCs w:val="22"/>
          <w:lang w:val="lt-LT"/>
        </w:rPr>
        <w:t>Aboxoma</w:t>
      </w:r>
      <w:r>
        <w:rPr>
          <w:snapToGrid/>
          <w:szCs w:val="22"/>
          <w:lang w:val="lt-LT"/>
        </w:rPr>
        <w:t xml:space="preserve"> ir kam jis vartojamas</w:t>
      </w:r>
    </w:p>
    <w:p w14:paraId="70D56F1D" w14:textId="77777777" w:rsidR="00890384" w:rsidRDefault="00B26795">
      <w:pPr>
        <w:widowControl w:val="0"/>
        <w:numPr>
          <w:ilvl w:val="0"/>
          <w:numId w:val="37"/>
        </w:numPr>
        <w:autoSpaceDE w:val="0"/>
        <w:autoSpaceDN w:val="0"/>
        <w:spacing w:line="240" w:lineRule="auto"/>
        <w:ind w:left="567"/>
        <w:rPr>
          <w:snapToGrid/>
          <w:szCs w:val="22"/>
          <w:lang w:val="lt-LT"/>
        </w:rPr>
      </w:pPr>
      <w:r>
        <w:rPr>
          <w:snapToGrid/>
          <w:szCs w:val="22"/>
          <w:lang w:val="lt-LT"/>
        </w:rPr>
        <w:t xml:space="preserve">Kas žinotina prieš vartojant </w:t>
      </w:r>
      <w:r>
        <w:rPr>
          <w:snapToGrid/>
          <w:color w:val="000000"/>
          <w:szCs w:val="22"/>
          <w:lang w:val="lt-LT"/>
        </w:rPr>
        <w:t>Aboxoma</w:t>
      </w:r>
    </w:p>
    <w:p w14:paraId="4714AF42" w14:textId="77777777" w:rsidR="00890384" w:rsidRDefault="00B26795">
      <w:pPr>
        <w:widowControl w:val="0"/>
        <w:numPr>
          <w:ilvl w:val="0"/>
          <w:numId w:val="37"/>
        </w:numPr>
        <w:autoSpaceDE w:val="0"/>
        <w:autoSpaceDN w:val="0"/>
        <w:spacing w:line="240" w:lineRule="auto"/>
        <w:ind w:left="567"/>
        <w:rPr>
          <w:snapToGrid/>
          <w:szCs w:val="22"/>
          <w:lang w:val="lt-LT"/>
        </w:rPr>
      </w:pPr>
      <w:r>
        <w:rPr>
          <w:snapToGrid/>
          <w:szCs w:val="22"/>
          <w:lang w:val="lt-LT"/>
        </w:rPr>
        <w:t xml:space="preserve">Kaip vartoti </w:t>
      </w:r>
      <w:r>
        <w:rPr>
          <w:snapToGrid/>
          <w:color w:val="000000"/>
          <w:szCs w:val="22"/>
          <w:lang w:val="lt-LT"/>
        </w:rPr>
        <w:t>Aboxoma</w:t>
      </w:r>
    </w:p>
    <w:p w14:paraId="7F945D66" w14:textId="77777777" w:rsidR="00890384" w:rsidRDefault="00B26795">
      <w:pPr>
        <w:widowControl w:val="0"/>
        <w:numPr>
          <w:ilvl w:val="0"/>
          <w:numId w:val="37"/>
        </w:numPr>
        <w:autoSpaceDE w:val="0"/>
        <w:autoSpaceDN w:val="0"/>
        <w:spacing w:line="240" w:lineRule="auto"/>
        <w:ind w:left="567"/>
        <w:rPr>
          <w:snapToGrid/>
          <w:szCs w:val="22"/>
          <w:lang w:val="lt-LT"/>
        </w:rPr>
      </w:pPr>
      <w:r>
        <w:rPr>
          <w:snapToGrid/>
          <w:szCs w:val="22"/>
          <w:lang w:val="lt-LT"/>
        </w:rPr>
        <w:t>Galimas šalutinis poveikis</w:t>
      </w:r>
    </w:p>
    <w:p w14:paraId="79D01DDE" w14:textId="77777777" w:rsidR="00890384" w:rsidRDefault="00B26795">
      <w:pPr>
        <w:widowControl w:val="0"/>
        <w:numPr>
          <w:ilvl w:val="0"/>
          <w:numId w:val="37"/>
        </w:numPr>
        <w:autoSpaceDE w:val="0"/>
        <w:autoSpaceDN w:val="0"/>
        <w:spacing w:line="240" w:lineRule="auto"/>
        <w:ind w:left="567"/>
        <w:rPr>
          <w:snapToGrid/>
          <w:szCs w:val="22"/>
          <w:lang w:val="lt-LT"/>
        </w:rPr>
      </w:pPr>
      <w:r>
        <w:rPr>
          <w:snapToGrid/>
          <w:szCs w:val="22"/>
          <w:lang w:val="lt-LT"/>
        </w:rPr>
        <w:t xml:space="preserve">Kaip laikyti </w:t>
      </w:r>
      <w:r>
        <w:rPr>
          <w:snapToGrid/>
          <w:color w:val="000000"/>
          <w:szCs w:val="22"/>
          <w:lang w:val="lt-LT"/>
        </w:rPr>
        <w:t>Aboxoma</w:t>
      </w:r>
    </w:p>
    <w:p w14:paraId="4016CBC1" w14:textId="77777777" w:rsidR="00890384" w:rsidRDefault="00B26795">
      <w:pPr>
        <w:widowControl w:val="0"/>
        <w:numPr>
          <w:ilvl w:val="0"/>
          <w:numId w:val="37"/>
        </w:numPr>
        <w:autoSpaceDE w:val="0"/>
        <w:autoSpaceDN w:val="0"/>
        <w:spacing w:line="240" w:lineRule="auto"/>
        <w:ind w:left="567"/>
        <w:rPr>
          <w:snapToGrid/>
          <w:szCs w:val="22"/>
          <w:lang w:val="lt-LT"/>
        </w:rPr>
      </w:pPr>
      <w:r>
        <w:rPr>
          <w:snapToGrid/>
          <w:szCs w:val="22"/>
          <w:lang w:val="lt-LT"/>
        </w:rPr>
        <w:t>Pakuotės turinys ir kita informacija</w:t>
      </w:r>
    </w:p>
    <w:p w14:paraId="45937990" w14:textId="77777777" w:rsidR="00890384" w:rsidRDefault="00890384">
      <w:pPr>
        <w:widowControl w:val="0"/>
        <w:tabs>
          <w:tab w:val="clear" w:pos="567"/>
        </w:tabs>
        <w:autoSpaceDE w:val="0"/>
        <w:autoSpaceDN w:val="0"/>
        <w:spacing w:line="240" w:lineRule="auto"/>
        <w:rPr>
          <w:snapToGrid/>
          <w:szCs w:val="22"/>
          <w:lang w:val="lt-LT"/>
        </w:rPr>
      </w:pPr>
    </w:p>
    <w:p w14:paraId="45AB69F8"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5C0D3512" w14:textId="77777777" w:rsidR="00890384" w:rsidRDefault="00B26795">
      <w:pPr>
        <w:widowControl w:val="0"/>
        <w:numPr>
          <w:ilvl w:val="0"/>
          <w:numId w:val="38"/>
        </w:numPr>
        <w:autoSpaceDE w:val="0"/>
        <w:autoSpaceDN w:val="0"/>
        <w:spacing w:line="240" w:lineRule="auto"/>
        <w:ind w:left="567"/>
        <w:outlineLvl w:val="1"/>
        <w:rPr>
          <w:b/>
          <w:bCs/>
          <w:snapToGrid/>
          <w:szCs w:val="22"/>
          <w:lang w:val="lt-LT"/>
        </w:rPr>
      </w:pPr>
      <w:r>
        <w:rPr>
          <w:b/>
          <w:bCs/>
          <w:snapToGrid/>
          <w:szCs w:val="22"/>
          <w:lang w:val="lt-LT"/>
        </w:rPr>
        <w:t xml:space="preserve">Kas yra </w:t>
      </w:r>
      <w:r>
        <w:rPr>
          <w:b/>
          <w:snapToGrid/>
          <w:color w:val="000000"/>
          <w:szCs w:val="22"/>
          <w:lang w:val="lt-LT"/>
        </w:rPr>
        <w:t>Aboxoma</w:t>
      </w:r>
      <w:r>
        <w:rPr>
          <w:b/>
          <w:bCs/>
          <w:snapToGrid/>
          <w:szCs w:val="22"/>
          <w:lang w:val="lt-LT"/>
        </w:rPr>
        <w:t xml:space="preserve"> ir kam jis vartojamas</w:t>
      </w:r>
    </w:p>
    <w:p w14:paraId="01B9D58D" w14:textId="77777777" w:rsidR="00890384" w:rsidRDefault="00890384">
      <w:pPr>
        <w:widowControl w:val="0"/>
        <w:tabs>
          <w:tab w:val="clear" w:pos="567"/>
        </w:tabs>
        <w:autoSpaceDE w:val="0"/>
        <w:autoSpaceDN w:val="0"/>
        <w:spacing w:line="240" w:lineRule="auto"/>
        <w:rPr>
          <w:b/>
          <w:snapToGrid/>
          <w:szCs w:val="22"/>
          <w:lang w:val="lt-LT"/>
        </w:rPr>
      </w:pPr>
    </w:p>
    <w:p w14:paraId="514225D0"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71B1811E" w14:textId="77777777" w:rsidR="00890384" w:rsidRDefault="00890384">
      <w:pPr>
        <w:widowControl w:val="0"/>
        <w:tabs>
          <w:tab w:val="clear" w:pos="567"/>
        </w:tabs>
        <w:autoSpaceDE w:val="0"/>
        <w:autoSpaceDN w:val="0"/>
        <w:spacing w:line="240" w:lineRule="auto"/>
        <w:rPr>
          <w:snapToGrid/>
          <w:szCs w:val="22"/>
          <w:lang w:val="lt-LT"/>
        </w:rPr>
      </w:pPr>
    </w:p>
    <w:p w14:paraId="41B34399"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vartojamas suaugusiesiems:</w:t>
      </w:r>
    </w:p>
    <w:p w14:paraId="15352D69"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341BCD0B" w14:textId="77777777" w:rsidR="00890384" w:rsidRDefault="00890384">
      <w:pPr>
        <w:widowControl w:val="0"/>
        <w:autoSpaceDE w:val="0"/>
        <w:autoSpaceDN w:val="0"/>
        <w:spacing w:line="240" w:lineRule="auto"/>
        <w:ind w:left="567"/>
        <w:rPr>
          <w:snapToGrid/>
          <w:szCs w:val="22"/>
          <w:lang w:val="lt-LT"/>
        </w:rPr>
      </w:pPr>
    </w:p>
    <w:p w14:paraId="2995E5CE" w14:textId="77777777" w:rsidR="00890384" w:rsidRDefault="00B26795">
      <w:pPr>
        <w:widowControl w:val="0"/>
        <w:numPr>
          <w:ilvl w:val="0"/>
          <w:numId w:val="20"/>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769DDC43" w14:textId="77777777" w:rsidR="00890384" w:rsidRDefault="00890384">
      <w:pPr>
        <w:widowControl w:val="0"/>
        <w:tabs>
          <w:tab w:val="clear" w:pos="567"/>
        </w:tabs>
        <w:autoSpaceDE w:val="0"/>
        <w:autoSpaceDN w:val="0"/>
        <w:spacing w:line="240" w:lineRule="auto"/>
        <w:rPr>
          <w:snapToGrid/>
          <w:szCs w:val="22"/>
          <w:lang w:val="lt-LT"/>
        </w:rPr>
      </w:pPr>
    </w:p>
    <w:p w14:paraId="2117DAAC" w14:textId="0D1E7C59" w:rsidR="00890384" w:rsidRDefault="00B26795">
      <w:pPr>
        <w:widowControl w:val="0"/>
        <w:tabs>
          <w:tab w:val="clear" w:pos="567"/>
        </w:tabs>
        <w:autoSpaceDE w:val="0"/>
        <w:autoSpaceDN w:val="0"/>
        <w:spacing w:line="240" w:lineRule="auto"/>
      </w:pPr>
      <w:r>
        <w:t>Aboxoma vartojamas vaikams nuo 28 dienų iki 18 metų, kraujo krešuliams gydyti ir užkirsti kelią pakartotiniam kraujo krešulių susidarymui venose arba plaučių kraujagyslėse.</w:t>
      </w:r>
    </w:p>
    <w:p w14:paraId="2B2CB45B" w14:textId="77777777" w:rsidR="00890384" w:rsidRDefault="00890384">
      <w:pPr>
        <w:widowControl w:val="0"/>
        <w:tabs>
          <w:tab w:val="clear" w:pos="567"/>
        </w:tabs>
        <w:autoSpaceDE w:val="0"/>
        <w:autoSpaceDN w:val="0"/>
        <w:spacing w:line="240" w:lineRule="auto"/>
      </w:pPr>
    </w:p>
    <w:p w14:paraId="6D0FBF8D" w14:textId="77777777" w:rsidR="00890384" w:rsidRDefault="00B26795">
      <w:pPr>
        <w:widowControl w:val="0"/>
        <w:tabs>
          <w:tab w:val="clear" w:pos="567"/>
        </w:tabs>
        <w:autoSpaceDE w:val="0"/>
        <w:autoSpaceDN w:val="0"/>
        <w:spacing w:line="240" w:lineRule="auto"/>
      </w:pPr>
      <w:r>
        <w:t>Apie dozę, rekomenduojamą pagal kūno svorį, žr. 3 skyriuje.</w:t>
      </w:r>
    </w:p>
    <w:p w14:paraId="103482C8" w14:textId="77777777" w:rsidR="00890384" w:rsidRDefault="00890384">
      <w:pPr>
        <w:widowControl w:val="0"/>
        <w:tabs>
          <w:tab w:val="clear" w:pos="567"/>
        </w:tabs>
        <w:autoSpaceDE w:val="0"/>
        <w:autoSpaceDN w:val="0"/>
        <w:spacing w:line="240" w:lineRule="auto"/>
        <w:rPr>
          <w:snapToGrid/>
          <w:szCs w:val="22"/>
          <w:lang w:val="lt-LT"/>
        </w:rPr>
      </w:pPr>
    </w:p>
    <w:p w14:paraId="4989DE30" w14:textId="77777777" w:rsidR="00890384" w:rsidRDefault="00B26795">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r>
        <w:rPr>
          <w:b/>
          <w:snapToGrid/>
          <w:color w:val="000000"/>
          <w:szCs w:val="22"/>
          <w:lang w:val="lt-LT"/>
        </w:rPr>
        <w:t>Aboxoma</w:t>
      </w:r>
    </w:p>
    <w:p w14:paraId="491DC5BB" w14:textId="77777777" w:rsidR="00890384" w:rsidRDefault="00890384">
      <w:pPr>
        <w:widowControl w:val="0"/>
        <w:tabs>
          <w:tab w:val="clear" w:pos="567"/>
          <w:tab w:val="left" w:pos="802"/>
          <w:tab w:val="left" w:pos="803"/>
        </w:tabs>
        <w:autoSpaceDE w:val="0"/>
        <w:autoSpaceDN w:val="0"/>
        <w:spacing w:line="240" w:lineRule="auto"/>
        <w:outlineLvl w:val="1"/>
        <w:rPr>
          <w:b/>
          <w:bCs/>
          <w:snapToGrid/>
          <w:szCs w:val="22"/>
          <w:lang w:val="lt-LT"/>
        </w:rPr>
      </w:pPr>
    </w:p>
    <w:p w14:paraId="16377F29" w14:textId="718DCF6B" w:rsidR="00890384" w:rsidRDefault="00B26795">
      <w:pPr>
        <w:widowControl w:val="0"/>
        <w:tabs>
          <w:tab w:val="clear" w:pos="567"/>
          <w:tab w:val="left" w:pos="802"/>
          <w:tab w:val="left" w:pos="803"/>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vartoti draudžiama:</w:t>
      </w:r>
    </w:p>
    <w:p w14:paraId="6A1614C5"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r>
        <w:rPr>
          <w:snapToGrid/>
          <w:szCs w:val="22"/>
          <w:lang w:val="lt-LT"/>
        </w:rPr>
        <w:t>apiksabanui arba bet kuriai pagalbinei šio vaisto medžiagai (jos išvardytos 6 skyriuje);</w:t>
      </w:r>
    </w:p>
    <w:p w14:paraId="6C27B157"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49CB4666"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16589132"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r>
        <w:rPr>
          <w:snapToGrid/>
          <w:szCs w:val="22"/>
          <w:lang w:val="lt-LT"/>
        </w:rPr>
        <w:lastRenderedPageBreak/>
        <w:t>koaguliopatija);</w:t>
      </w:r>
    </w:p>
    <w:p w14:paraId="5EC6F258" w14:textId="77777777" w:rsidR="00890384" w:rsidRDefault="00B26795">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(pvz., varfarino, rivaroksabano, dabigatrano arba heparino), išskyrus atvejus, kai keičiamas gydymas antikoaguliantais arba yra veninis arba arterinis kateteris ir heparinas leidžiamas per šį kateterį jo praeinamumui palaikyti, arba jeigu į kraujagyslę įstatytas zondas (kateterinė abliacija) gydyti nereguliarų širdies ritmą (aritmiją).</w:t>
      </w:r>
    </w:p>
    <w:p w14:paraId="114C093E" w14:textId="77777777" w:rsidR="00890384" w:rsidRDefault="00890384">
      <w:pPr>
        <w:widowControl w:val="0"/>
        <w:tabs>
          <w:tab w:val="clear" w:pos="567"/>
        </w:tabs>
        <w:autoSpaceDE w:val="0"/>
        <w:autoSpaceDN w:val="0"/>
        <w:spacing w:line="240" w:lineRule="auto"/>
        <w:rPr>
          <w:snapToGrid/>
          <w:szCs w:val="22"/>
          <w:lang w:val="lt-LT"/>
        </w:rPr>
      </w:pPr>
    </w:p>
    <w:p w14:paraId="2D0B38E3"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22921A2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5A0150A2" w14:textId="77777777" w:rsidR="00890384" w:rsidRDefault="00B26795">
      <w:pPr>
        <w:widowControl w:val="0"/>
        <w:numPr>
          <w:ilvl w:val="0"/>
          <w:numId w:val="22"/>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7F7F3F39"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4FA96EE2"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320FB3A3"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1F6B3E65" w14:textId="77777777" w:rsidR="00890384" w:rsidRDefault="00B26795">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70457BC9" w14:textId="77777777" w:rsidR="00890384" w:rsidRDefault="00B26795">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34AAB8B8" w14:textId="77777777" w:rsidR="00890384" w:rsidRDefault="00B26795">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147D3780" w14:textId="77777777" w:rsidR="00890384" w:rsidRDefault="00B26795">
      <w:pPr>
        <w:widowControl w:val="0"/>
        <w:tabs>
          <w:tab w:val="clear" w:pos="567"/>
        </w:tabs>
        <w:autoSpaceDE w:val="0"/>
        <w:autoSpaceDN w:val="0"/>
        <w:spacing w:line="240" w:lineRule="auto"/>
        <w:rPr>
          <w:bCs/>
          <w:snapToGrid/>
          <w:szCs w:val="22"/>
          <w:lang w:val="lt-LT"/>
        </w:rPr>
      </w:pPr>
      <w:r>
        <w:rPr>
          <w:snapToGrid/>
          <w:color w:val="000000"/>
          <w:szCs w:val="22"/>
          <w:lang w:val="lt-LT"/>
        </w:rPr>
        <w:t>Aboxoma</w:t>
      </w:r>
      <w:r>
        <w:rPr>
          <w:bCs/>
          <w:snapToGrid/>
          <w:szCs w:val="22"/>
          <w:lang w:val="lt-LT"/>
        </w:rPr>
        <w:t xml:space="preserve"> bus atsargiai skiriamas pacientams, kuriems nustatyta kepenų funkcijos sutrikimo požymių;</w:t>
      </w:r>
    </w:p>
    <w:p w14:paraId="22C6D602" w14:textId="77777777" w:rsidR="00890384" w:rsidRDefault="00B26795">
      <w:pPr>
        <w:widowControl w:val="0"/>
        <w:numPr>
          <w:ilvl w:val="0"/>
          <w:numId w:val="24"/>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410CE085" w14:textId="77777777" w:rsidR="00890384" w:rsidRDefault="00B26795">
      <w:pPr>
        <w:widowControl w:val="0"/>
        <w:numPr>
          <w:ilvl w:val="0"/>
          <w:numId w:val="24"/>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260E2755" w14:textId="77777777" w:rsidR="00890384" w:rsidRDefault="00890384">
      <w:pPr>
        <w:widowControl w:val="0"/>
        <w:tabs>
          <w:tab w:val="clear" w:pos="567"/>
        </w:tabs>
        <w:autoSpaceDE w:val="0"/>
        <w:autoSpaceDN w:val="0"/>
        <w:spacing w:line="240" w:lineRule="auto"/>
        <w:rPr>
          <w:snapToGrid/>
          <w:szCs w:val="22"/>
          <w:lang w:val="lt-LT"/>
        </w:rPr>
      </w:pPr>
    </w:p>
    <w:p w14:paraId="0807B9A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Vartojant </w:t>
      </w:r>
      <w:r>
        <w:rPr>
          <w:snapToGrid/>
          <w:color w:val="000000"/>
          <w:szCs w:val="22"/>
          <w:lang w:val="lt-LT"/>
        </w:rPr>
        <w:t>Aboxoma</w:t>
      </w:r>
      <w:r>
        <w:rPr>
          <w:snapToGrid/>
          <w:szCs w:val="22"/>
          <w:lang w:val="lt-LT"/>
        </w:rPr>
        <w:t>, atsargumo priemonių reikia:</w:t>
      </w:r>
    </w:p>
    <w:p w14:paraId="2B690F7C" w14:textId="77777777" w:rsidR="00890384" w:rsidRDefault="00B26795">
      <w:pPr>
        <w:widowControl w:val="0"/>
        <w:numPr>
          <w:ilvl w:val="0"/>
          <w:numId w:val="24"/>
        </w:numPr>
        <w:autoSpaceDE w:val="0"/>
        <w:autoSpaceDN w:val="0"/>
        <w:spacing w:line="240" w:lineRule="auto"/>
        <w:ind w:left="567"/>
        <w:rPr>
          <w:snapToGrid/>
          <w:szCs w:val="22"/>
          <w:lang w:val="lt-LT"/>
        </w:rPr>
      </w:pPr>
      <w:r>
        <w:rPr>
          <w:snapToGrid/>
          <w:szCs w:val="22"/>
          <w:lang w:val="lt-LT"/>
        </w:rPr>
        <w:t>jeigu žinote, kad sergate liga, vadinama antifosfolipidiniu sindromu (imuninės sistemos sutrikimas, dėl kurio padidėja kraujo krešulių susidarymo rizika), pasakykite apie tai gydytojui, kuris nuspręs, ar reikės keisti Jums taikomą gydymą.</w:t>
      </w:r>
    </w:p>
    <w:p w14:paraId="7883D226" w14:textId="77777777" w:rsidR="00890384" w:rsidRDefault="00890384">
      <w:pPr>
        <w:widowControl w:val="0"/>
        <w:tabs>
          <w:tab w:val="clear" w:pos="567"/>
        </w:tabs>
        <w:autoSpaceDE w:val="0"/>
        <w:autoSpaceDN w:val="0"/>
        <w:spacing w:line="240" w:lineRule="auto"/>
        <w:rPr>
          <w:snapToGrid/>
          <w:szCs w:val="22"/>
          <w:lang w:val="lt-LT"/>
        </w:rPr>
      </w:pPr>
    </w:p>
    <w:p w14:paraId="7421EE4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54BFA210" w14:textId="77777777" w:rsidR="00890384" w:rsidRDefault="00890384">
      <w:pPr>
        <w:widowControl w:val="0"/>
        <w:tabs>
          <w:tab w:val="clear" w:pos="567"/>
        </w:tabs>
        <w:autoSpaceDE w:val="0"/>
        <w:autoSpaceDN w:val="0"/>
        <w:spacing w:line="240" w:lineRule="auto"/>
        <w:rPr>
          <w:snapToGrid/>
          <w:szCs w:val="22"/>
          <w:lang w:val="lt-LT"/>
        </w:rPr>
      </w:pPr>
    </w:p>
    <w:p w14:paraId="56B93287"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19D44268" w14:textId="65950AB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vartoti vaikams ir paaugliams, </w:t>
      </w:r>
      <w:r>
        <w:t>sveriantiems mažiausiai 35 kg</w:t>
      </w:r>
      <w:r>
        <w:rPr>
          <w:snapToGrid/>
          <w:szCs w:val="22"/>
          <w:lang w:val="lt-LT"/>
        </w:rPr>
        <w:t>..</w:t>
      </w:r>
    </w:p>
    <w:p w14:paraId="7F044FB1" w14:textId="77777777" w:rsidR="00890384" w:rsidRDefault="00890384">
      <w:pPr>
        <w:widowControl w:val="0"/>
        <w:tabs>
          <w:tab w:val="clear" w:pos="567"/>
        </w:tabs>
        <w:autoSpaceDE w:val="0"/>
        <w:autoSpaceDN w:val="0"/>
        <w:spacing w:line="240" w:lineRule="auto"/>
        <w:rPr>
          <w:snapToGrid/>
          <w:szCs w:val="22"/>
          <w:lang w:val="lt-LT"/>
        </w:rPr>
      </w:pPr>
    </w:p>
    <w:p w14:paraId="6372372E"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r>
        <w:rPr>
          <w:b/>
          <w:snapToGrid/>
          <w:color w:val="000000"/>
          <w:szCs w:val="22"/>
          <w:lang w:val="lt-LT"/>
        </w:rPr>
        <w:t>Aboxoma</w:t>
      </w:r>
    </w:p>
    <w:p w14:paraId="2FBBBF8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50B01D8C" w14:textId="77777777" w:rsidR="00890384" w:rsidRDefault="00890384">
      <w:pPr>
        <w:widowControl w:val="0"/>
        <w:tabs>
          <w:tab w:val="clear" w:pos="567"/>
        </w:tabs>
        <w:autoSpaceDE w:val="0"/>
        <w:autoSpaceDN w:val="0"/>
        <w:spacing w:line="240" w:lineRule="auto"/>
        <w:rPr>
          <w:snapToGrid/>
          <w:szCs w:val="22"/>
          <w:lang w:val="lt-LT"/>
        </w:rPr>
      </w:pPr>
    </w:p>
    <w:p w14:paraId="0F6A6CD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r>
        <w:rPr>
          <w:snapToGrid/>
          <w:color w:val="000000"/>
          <w:szCs w:val="22"/>
          <w:lang w:val="lt-LT"/>
        </w:rPr>
        <w:t>Aboxoma</w:t>
      </w:r>
      <w:r>
        <w:rPr>
          <w:snapToGrid/>
          <w:szCs w:val="22"/>
          <w:lang w:val="lt-LT"/>
        </w:rPr>
        <w:t xml:space="preserve"> poveikį, o kiti vaistai gali jį silpninti. Gydytojas nuspręs, ar Jums skirti </w:t>
      </w:r>
      <w:r>
        <w:rPr>
          <w:snapToGrid/>
          <w:color w:val="000000"/>
          <w:szCs w:val="22"/>
          <w:lang w:val="lt-LT"/>
        </w:rPr>
        <w:t>Aboxoma</w:t>
      </w:r>
      <w:r>
        <w:rPr>
          <w:snapToGrid/>
          <w:szCs w:val="22"/>
          <w:lang w:val="lt-LT"/>
        </w:rPr>
        <w:t xml:space="preserve"> šių vaistų vartojimo metu ir kaip atidžiai stebėti Jūsų būklę.</w:t>
      </w:r>
    </w:p>
    <w:p w14:paraId="00DE1394" w14:textId="77777777" w:rsidR="00890384" w:rsidRDefault="00890384">
      <w:pPr>
        <w:widowControl w:val="0"/>
        <w:tabs>
          <w:tab w:val="clear" w:pos="567"/>
        </w:tabs>
        <w:autoSpaceDE w:val="0"/>
        <w:autoSpaceDN w:val="0"/>
        <w:spacing w:line="240" w:lineRule="auto"/>
        <w:rPr>
          <w:snapToGrid/>
          <w:szCs w:val="22"/>
          <w:lang w:val="lt-LT"/>
        </w:rPr>
      </w:pPr>
    </w:p>
    <w:p w14:paraId="62A1D35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r>
        <w:rPr>
          <w:snapToGrid/>
          <w:color w:val="000000"/>
          <w:szCs w:val="22"/>
          <w:lang w:val="lt-LT"/>
        </w:rPr>
        <w:t>Aboxoma</w:t>
      </w:r>
      <w:r>
        <w:rPr>
          <w:snapToGrid/>
          <w:szCs w:val="22"/>
          <w:lang w:val="lt-LT"/>
        </w:rPr>
        <w:t xml:space="preserve"> poveikį ir didinti nepageidaujamo kraujavimo riziką:</w:t>
      </w:r>
    </w:p>
    <w:p w14:paraId="7535310E" w14:textId="77777777" w:rsidR="00890384" w:rsidRDefault="00B26795">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(pvz., ketokonazolas ir kt.);</w:t>
      </w:r>
    </w:p>
    <w:p w14:paraId="14A7CED7" w14:textId="77777777" w:rsidR="00890384" w:rsidRDefault="00B26795">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04B6BF30" w14:textId="77777777" w:rsidR="00890384" w:rsidRDefault="00B26795">
      <w:pPr>
        <w:widowControl w:val="0"/>
        <w:numPr>
          <w:ilvl w:val="0"/>
          <w:numId w:val="25"/>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(pvz., enoksaparinas ir kt.);</w:t>
      </w:r>
    </w:p>
    <w:p w14:paraId="71D146F0" w14:textId="77777777" w:rsidR="00890384" w:rsidRDefault="00B26795">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(pvz., acetilsalicilo rūgštis (aspirinas) ar naproksenas). Ypač, jei esate vyresni kaip 75 metų ir vartojate acetilsalicilo rūgštį (aspiriną), Jums gali būti padidėjusi kraujavimo rizika;</w:t>
      </w:r>
    </w:p>
    <w:p w14:paraId="049B4F5D" w14:textId="77777777" w:rsidR="00890384" w:rsidRDefault="00B26795">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(pvz., diltiazemas);</w:t>
      </w:r>
    </w:p>
    <w:p w14:paraId="55406519" w14:textId="77777777" w:rsidR="00890384" w:rsidRDefault="00B26795">
      <w:pPr>
        <w:widowControl w:val="0"/>
        <w:numPr>
          <w:ilvl w:val="0"/>
          <w:numId w:val="25"/>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serotonino reabsorbcijos inhibitoriai </w:t>
      </w:r>
      <w:r>
        <w:rPr>
          <w:snapToGrid/>
          <w:szCs w:val="22"/>
          <w:lang w:val="lt-LT"/>
        </w:rPr>
        <w:t>arba</w:t>
      </w:r>
      <w:r>
        <w:rPr>
          <w:b/>
          <w:bCs/>
          <w:snapToGrid/>
          <w:szCs w:val="22"/>
          <w:lang w:val="lt-LT"/>
        </w:rPr>
        <w:t xml:space="preserve"> serotonino-norepinefrino reabsorbcijos inhibitoriai.</w:t>
      </w:r>
    </w:p>
    <w:p w14:paraId="22734068" w14:textId="77777777" w:rsidR="00890384" w:rsidRDefault="00890384">
      <w:pPr>
        <w:widowControl w:val="0"/>
        <w:tabs>
          <w:tab w:val="clear" w:pos="567"/>
        </w:tabs>
        <w:autoSpaceDE w:val="0"/>
        <w:autoSpaceDN w:val="0"/>
        <w:spacing w:line="240" w:lineRule="auto"/>
        <w:ind w:left="540" w:hanging="540"/>
        <w:rPr>
          <w:snapToGrid/>
          <w:szCs w:val="22"/>
          <w:lang w:val="lt-LT"/>
        </w:rPr>
      </w:pPr>
    </w:p>
    <w:p w14:paraId="3A7AA4D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r>
        <w:rPr>
          <w:snapToGrid/>
          <w:color w:val="000000"/>
          <w:szCs w:val="22"/>
          <w:lang w:val="lt-LT"/>
        </w:rPr>
        <w:t>Aboxoma</w:t>
      </w:r>
      <w:r>
        <w:rPr>
          <w:snapToGrid/>
          <w:szCs w:val="22"/>
          <w:lang w:val="lt-LT"/>
        </w:rPr>
        <w:t xml:space="preserve"> gebėjimą apsaugoti nuo kraujo krešulių susidarymo:</w:t>
      </w:r>
    </w:p>
    <w:p w14:paraId="0E124B0F" w14:textId="77777777" w:rsidR="00890384" w:rsidRDefault="00B26795">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(pvz., fenitoinas ir kt.);</w:t>
      </w:r>
    </w:p>
    <w:p w14:paraId="6ED64375" w14:textId="77777777" w:rsidR="00890384" w:rsidRDefault="00B26795">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2CE6C482" w14:textId="77777777" w:rsidR="00890384" w:rsidRDefault="00B26795">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(pvz., rifampicinas).</w:t>
      </w:r>
    </w:p>
    <w:p w14:paraId="2C0D835F" w14:textId="77777777" w:rsidR="00890384" w:rsidRDefault="00890384">
      <w:pPr>
        <w:widowControl w:val="0"/>
        <w:tabs>
          <w:tab w:val="clear" w:pos="567"/>
        </w:tabs>
        <w:autoSpaceDE w:val="0"/>
        <w:autoSpaceDN w:val="0"/>
        <w:spacing w:line="240" w:lineRule="auto"/>
        <w:rPr>
          <w:snapToGrid/>
          <w:szCs w:val="22"/>
          <w:lang w:val="lt-LT"/>
        </w:rPr>
      </w:pPr>
    </w:p>
    <w:p w14:paraId="1D75ACAE"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žindymo laikotarpis ir vaisingumas</w:t>
      </w:r>
    </w:p>
    <w:p w14:paraId="466E488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0FE16186" w14:textId="77777777" w:rsidR="00890384" w:rsidRDefault="00890384">
      <w:pPr>
        <w:widowControl w:val="0"/>
        <w:tabs>
          <w:tab w:val="clear" w:pos="567"/>
        </w:tabs>
        <w:autoSpaceDE w:val="0"/>
        <w:autoSpaceDN w:val="0"/>
        <w:spacing w:line="240" w:lineRule="auto"/>
        <w:rPr>
          <w:snapToGrid/>
          <w:szCs w:val="22"/>
          <w:lang w:val="lt-LT"/>
        </w:rPr>
      </w:pPr>
    </w:p>
    <w:p w14:paraId="54671C88"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poveikis nėštumo eigai ir negimusiam kūdikiui nežinomas. Nėštumo metu šio vaisto vartoti negalima. Jeigu </w:t>
      </w:r>
      <w:r>
        <w:rPr>
          <w:snapToGrid/>
          <w:color w:val="000000"/>
          <w:szCs w:val="22"/>
          <w:lang w:val="lt-LT"/>
        </w:rPr>
        <w:t>Aboxoma</w:t>
      </w:r>
      <w:r>
        <w:rPr>
          <w:snapToGrid/>
          <w:szCs w:val="22"/>
          <w:lang w:val="lt-LT"/>
        </w:rPr>
        <w:t xml:space="preserve"> vartojimo metu pastotumėte, </w:t>
      </w:r>
      <w:r>
        <w:rPr>
          <w:b/>
          <w:snapToGrid/>
          <w:szCs w:val="22"/>
          <w:lang w:val="lt-LT"/>
        </w:rPr>
        <w:t>nedelsdama kreipkitės į gydytoją</w:t>
      </w:r>
      <w:r>
        <w:rPr>
          <w:snapToGrid/>
          <w:szCs w:val="22"/>
          <w:lang w:val="lt-LT"/>
        </w:rPr>
        <w:t>.</w:t>
      </w:r>
    </w:p>
    <w:p w14:paraId="12BE78DB" w14:textId="77777777" w:rsidR="00890384" w:rsidRDefault="00890384">
      <w:pPr>
        <w:widowControl w:val="0"/>
        <w:tabs>
          <w:tab w:val="clear" w:pos="567"/>
        </w:tabs>
        <w:autoSpaceDE w:val="0"/>
        <w:autoSpaceDN w:val="0"/>
        <w:spacing w:line="240" w:lineRule="auto"/>
        <w:rPr>
          <w:snapToGrid/>
          <w:szCs w:val="22"/>
          <w:lang w:val="lt-LT"/>
        </w:rPr>
      </w:pPr>
    </w:p>
    <w:p w14:paraId="302F2F2B"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Nežinoma, ar </w:t>
      </w:r>
      <w:r>
        <w:rPr>
          <w:snapToGrid/>
          <w:color w:val="000000"/>
          <w:szCs w:val="22"/>
          <w:lang w:val="lt-LT"/>
        </w:rPr>
        <w:t>Aboxoma</w:t>
      </w:r>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1D3154A6" w14:textId="77777777" w:rsidR="00890384" w:rsidRDefault="00890384">
      <w:pPr>
        <w:widowControl w:val="0"/>
        <w:tabs>
          <w:tab w:val="clear" w:pos="567"/>
        </w:tabs>
        <w:autoSpaceDE w:val="0"/>
        <w:autoSpaceDN w:val="0"/>
        <w:spacing w:line="240" w:lineRule="auto"/>
        <w:rPr>
          <w:snapToGrid/>
          <w:szCs w:val="22"/>
          <w:lang w:val="lt-LT"/>
        </w:rPr>
      </w:pPr>
    </w:p>
    <w:p w14:paraId="0889177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0E56A5D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r>
        <w:rPr>
          <w:snapToGrid/>
          <w:color w:val="000000"/>
          <w:szCs w:val="22"/>
          <w:lang w:val="lt-LT"/>
        </w:rPr>
        <w:t>Aboxoma</w:t>
      </w:r>
      <w:r>
        <w:rPr>
          <w:snapToGrid/>
          <w:szCs w:val="22"/>
          <w:lang w:val="lt-LT"/>
        </w:rPr>
        <w:t xml:space="preserve"> trikdytų gebėjimą vairuoti ar valdyti mechanizmus.</w:t>
      </w:r>
    </w:p>
    <w:p w14:paraId="2D253958" w14:textId="77777777" w:rsidR="00890384" w:rsidRDefault="00890384">
      <w:pPr>
        <w:widowControl w:val="0"/>
        <w:tabs>
          <w:tab w:val="clear" w:pos="567"/>
        </w:tabs>
        <w:autoSpaceDE w:val="0"/>
        <w:autoSpaceDN w:val="0"/>
        <w:spacing w:line="240" w:lineRule="auto"/>
        <w:rPr>
          <w:snapToGrid/>
          <w:szCs w:val="22"/>
          <w:lang w:val="lt-LT"/>
        </w:rPr>
      </w:pPr>
    </w:p>
    <w:p w14:paraId="0815B1B3" w14:textId="77777777" w:rsidR="00890384" w:rsidRDefault="00B26795">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sudėtyje yra laktozės ir natrio</w:t>
      </w:r>
    </w:p>
    <w:p w14:paraId="434ED38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4214CD8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mmol (23 mg) natrio, t. y. jis beveik neturi reikšmės.</w:t>
      </w:r>
    </w:p>
    <w:p w14:paraId="331DDA29" w14:textId="77777777" w:rsidR="00890384" w:rsidRDefault="00890384">
      <w:pPr>
        <w:widowControl w:val="0"/>
        <w:tabs>
          <w:tab w:val="clear" w:pos="567"/>
        </w:tabs>
        <w:autoSpaceDE w:val="0"/>
        <w:autoSpaceDN w:val="0"/>
        <w:spacing w:line="240" w:lineRule="auto"/>
        <w:rPr>
          <w:snapToGrid/>
          <w:szCs w:val="22"/>
          <w:lang w:val="lt-LT"/>
        </w:rPr>
      </w:pPr>
    </w:p>
    <w:p w14:paraId="1B47251F" w14:textId="77777777" w:rsidR="00890384" w:rsidRDefault="00890384">
      <w:pPr>
        <w:widowControl w:val="0"/>
        <w:tabs>
          <w:tab w:val="clear" w:pos="567"/>
        </w:tabs>
        <w:autoSpaceDE w:val="0"/>
        <w:autoSpaceDN w:val="0"/>
        <w:spacing w:line="240" w:lineRule="auto"/>
        <w:rPr>
          <w:snapToGrid/>
          <w:szCs w:val="22"/>
          <w:lang w:val="lt-LT"/>
        </w:rPr>
      </w:pPr>
    </w:p>
    <w:p w14:paraId="1367E204" w14:textId="77777777" w:rsidR="00890384" w:rsidRDefault="00B26795">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r>
        <w:rPr>
          <w:b/>
          <w:snapToGrid/>
          <w:color w:val="000000"/>
          <w:szCs w:val="22"/>
          <w:lang w:val="lt-LT"/>
        </w:rPr>
        <w:t>Aboxoma</w:t>
      </w:r>
    </w:p>
    <w:p w14:paraId="13567F6F" w14:textId="77777777" w:rsidR="00890384" w:rsidRDefault="00890384">
      <w:pPr>
        <w:widowControl w:val="0"/>
        <w:tabs>
          <w:tab w:val="clear" w:pos="567"/>
        </w:tabs>
        <w:autoSpaceDE w:val="0"/>
        <w:autoSpaceDN w:val="0"/>
        <w:spacing w:line="240" w:lineRule="auto"/>
        <w:rPr>
          <w:b/>
          <w:snapToGrid/>
          <w:szCs w:val="22"/>
          <w:lang w:val="lt-LT"/>
        </w:rPr>
      </w:pPr>
    </w:p>
    <w:p w14:paraId="78637FD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1C2C55FE" w14:textId="77777777" w:rsidR="00890384" w:rsidRDefault="00890384">
      <w:pPr>
        <w:widowControl w:val="0"/>
        <w:tabs>
          <w:tab w:val="clear" w:pos="567"/>
        </w:tabs>
        <w:autoSpaceDE w:val="0"/>
        <w:autoSpaceDN w:val="0"/>
        <w:spacing w:line="240" w:lineRule="auto"/>
        <w:rPr>
          <w:snapToGrid/>
          <w:szCs w:val="22"/>
          <w:lang w:val="lt-LT"/>
        </w:rPr>
      </w:pPr>
    </w:p>
    <w:p w14:paraId="6BEBA08D"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497B32AA" w14:textId="77777777" w:rsidR="00890384" w:rsidRDefault="00890384">
      <w:pPr>
        <w:widowControl w:val="0"/>
        <w:tabs>
          <w:tab w:val="clear" w:pos="567"/>
        </w:tabs>
        <w:autoSpaceDE w:val="0"/>
        <w:autoSpaceDN w:val="0"/>
        <w:spacing w:line="240" w:lineRule="auto"/>
        <w:rPr>
          <w:snapToGrid/>
          <w:szCs w:val="22"/>
          <w:lang w:val="lt-LT"/>
        </w:rPr>
      </w:pPr>
    </w:p>
    <w:p w14:paraId="16537DE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r>
        <w:rPr>
          <w:snapToGrid/>
          <w:color w:val="000000"/>
          <w:szCs w:val="22"/>
          <w:lang w:val="lt-LT"/>
        </w:rPr>
        <w:t>Aboxoma</w:t>
      </w:r>
      <w:r>
        <w:rPr>
          <w:snapToGrid/>
          <w:szCs w:val="22"/>
          <w:lang w:val="lt-LT"/>
        </w:rPr>
        <w:t xml:space="preserve"> galima vartoti valgant arba be maisto. Stenkitės tabletes vartoti kasdien tuo pačiu laiku, kad būtų pasiektas geriausias gydomasis poveikis.</w:t>
      </w:r>
    </w:p>
    <w:p w14:paraId="1C11A7BD" w14:textId="77777777" w:rsidR="00890384" w:rsidRDefault="00890384">
      <w:pPr>
        <w:widowControl w:val="0"/>
        <w:tabs>
          <w:tab w:val="clear" w:pos="567"/>
        </w:tabs>
        <w:autoSpaceDE w:val="0"/>
        <w:autoSpaceDN w:val="0"/>
        <w:spacing w:line="240" w:lineRule="auto"/>
        <w:rPr>
          <w:snapToGrid/>
          <w:szCs w:val="22"/>
          <w:lang w:val="lt-LT"/>
        </w:rPr>
      </w:pPr>
    </w:p>
    <w:p w14:paraId="6C5CC690"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r>
        <w:rPr>
          <w:snapToGrid/>
          <w:color w:val="000000"/>
          <w:szCs w:val="22"/>
          <w:lang w:val="lt-LT"/>
        </w:rPr>
        <w:t>Aboxoma</w:t>
      </w:r>
      <w:r>
        <w:rPr>
          <w:snapToGrid/>
          <w:szCs w:val="22"/>
          <w:lang w:val="lt-LT"/>
        </w:rPr>
        <w:t>. Tabletę galima sutrinti ir sumaišyti su vandeniu, 5 % gliukozės tirpalu vandenyje, obuolių sultimis arba obuolių tyre prieš pat vartojimą.</w:t>
      </w:r>
    </w:p>
    <w:p w14:paraId="3E3A7866" w14:textId="77777777" w:rsidR="00890384" w:rsidRDefault="00890384">
      <w:pPr>
        <w:widowControl w:val="0"/>
        <w:tabs>
          <w:tab w:val="clear" w:pos="567"/>
        </w:tabs>
        <w:autoSpaceDE w:val="0"/>
        <w:autoSpaceDN w:val="0"/>
        <w:spacing w:line="240" w:lineRule="auto"/>
        <w:rPr>
          <w:snapToGrid/>
          <w:szCs w:val="22"/>
          <w:lang w:val="lt-LT"/>
        </w:rPr>
      </w:pPr>
    </w:p>
    <w:p w14:paraId="6429C51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317AA347"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sutrinkite tabletes grūstuvu ir grūstuve;</w:t>
      </w:r>
    </w:p>
    <w:p w14:paraId="48D69CCE"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6C4A65A6"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išgerkite mišinį;</w:t>
      </w:r>
    </w:p>
    <w:p w14:paraId="7D2A70D6" w14:textId="77777777" w:rsidR="00890384" w:rsidRDefault="00B26795">
      <w:pPr>
        <w:widowControl w:val="0"/>
        <w:numPr>
          <w:ilvl w:val="0"/>
          <w:numId w:val="27"/>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6037B25C" w14:textId="77777777" w:rsidR="00890384" w:rsidRDefault="00890384">
      <w:pPr>
        <w:widowControl w:val="0"/>
        <w:tabs>
          <w:tab w:val="clear" w:pos="567"/>
        </w:tabs>
        <w:autoSpaceDE w:val="0"/>
        <w:autoSpaceDN w:val="0"/>
        <w:spacing w:line="240" w:lineRule="auto"/>
        <w:rPr>
          <w:snapToGrid/>
          <w:szCs w:val="22"/>
          <w:lang w:val="lt-LT"/>
        </w:rPr>
      </w:pPr>
    </w:p>
    <w:p w14:paraId="53C24D8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r>
        <w:rPr>
          <w:snapToGrid/>
          <w:color w:val="000000"/>
          <w:szCs w:val="22"/>
          <w:lang w:val="lt-LT"/>
        </w:rPr>
        <w:t>Aboxoma</w:t>
      </w:r>
      <w:r>
        <w:rPr>
          <w:snapToGrid/>
          <w:szCs w:val="22"/>
          <w:lang w:val="lt-LT"/>
        </w:rPr>
        <w:t xml:space="preserve"> tabletę, ištirpintą 60 ml vandens arba 5 % gliukozės tirpale vandenyje, pro nazogastrinį (nosies-skrandžio) vamzdelį.</w:t>
      </w:r>
    </w:p>
    <w:p w14:paraId="6026547E" w14:textId="77777777" w:rsidR="00890384" w:rsidRDefault="00890384">
      <w:pPr>
        <w:widowControl w:val="0"/>
        <w:tabs>
          <w:tab w:val="clear" w:pos="567"/>
        </w:tabs>
        <w:autoSpaceDE w:val="0"/>
        <w:autoSpaceDN w:val="0"/>
        <w:spacing w:line="240" w:lineRule="auto"/>
        <w:outlineLvl w:val="1"/>
        <w:rPr>
          <w:b/>
          <w:bCs/>
          <w:snapToGrid/>
          <w:szCs w:val="22"/>
          <w:lang w:val="lt-LT"/>
        </w:rPr>
      </w:pPr>
    </w:p>
    <w:p w14:paraId="3984550B" w14:textId="77777777" w:rsidR="00890384" w:rsidRDefault="00B26795">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vartokite pagal tokias rekomendacijas:</w:t>
      </w:r>
    </w:p>
    <w:p w14:paraId="24BF56B9" w14:textId="77777777" w:rsidR="00890384" w:rsidRDefault="00890384">
      <w:pPr>
        <w:widowControl w:val="0"/>
        <w:tabs>
          <w:tab w:val="clear" w:pos="567"/>
        </w:tabs>
        <w:autoSpaceDE w:val="0"/>
        <w:autoSpaceDN w:val="0"/>
        <w:spacing w:line="240" w:lineRule="auto"/>
        <w:rPr>
          <w:snapToGrid/>
          <w:szCs w:val="22"/>
          <w:lang w:val="lt-LT"/>
        </w:rPr>
      </w:pPr>
    </w:p>
    <w:p w14:paraId="5B6EB4D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411DBBA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r>
        <w:rPr>
          <w:snapToGrid/>
          <w:color w:val="000000"/>
          <w:szCs w:val="22"/>
          <w:lang w:val="lt-LT"/>
        </w:rPr>
        <w:t>Aboxoma</w:t>
      </w:r>
      <w:r>
        <w:rPr>
          <w:snapToGrid/>
          <w:szCs w:val="22"/>
          <w:lang w:val="lt-LT"/>
        </w:rPr>
        <w:t xml:space="preserve"> tabletę du kartus per parą.</w:t>
      </w:r>
    </w:p>
    <w:p w14:paraId="2CB50468" w14:textId="77777777" w:rsidR="00890384" w:rsidRDefault="00890384">
      <w:pPr>
        <w:widowControl w:val="0"/>
        <w:tabs>
          <w:tab w:val="clear" w:pos="567"/>
        </w:tabs>
        <w:autoSpaceDE w:val="0"/>
        <w:autoSpaceDN w:val="0"/>
        <w:spacing w:line="240" w:lineRule="auto"/>
        <w:rPr>
          <w:snapToGrid/>
          <w:szCs w:val="22"/>
          <w:lang w:val="lt-LT"/>
        </w:rPr>
      </w:pPr>
    </w:p>
    <w:p w14:paraId="3776E498"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r>
        <w:rPr>
          <w:snapToGrid/>
          <w:color w:val="000000"/>
          <w:szCs w:val="22"/>
          <w:lang w:val="lt-LT"/>
        </w:rPr>
        <w:t>Aboxoma</w:t>
      </w:r>
      <w:r>
        <w:rPr>
          <w:snapToGrid/>
          <w:szCs w:val="22"/>
          <w:lang w:val="lt-LT"/>
        </w:rPr>
        <w:t xml:space="preserve"> tabletę du kartus per parą, jeigu:</w:t>
      </w:r>
    </w:p>
    <w:p w14:paraId="672C7AC0" w14:textId="77777777" w:rsidR="00890384" w:rsidRDefault="00B26795">
      <w:pPr>
        <w:widowControl w:val="0"/>
        <w:numPr>
          <w:ilvl w:val="0"/>
          <w:numId w:val="28"/>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306E084B" w14:textId="77777777" w:rsidR="00890384" w:rsidRDefault="00B26795">
      <w:pPr>
        <w:widowControl w:val="0"/>
        <w:numPr>
          <w:ilvl w:val="0"/>
          <w:numId w:val="28"/>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0840F858" w14:textId="77777777" w:rsidR="00890384" w:rsidRDefault="00B26795">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 xml:space="preserve">Jūsų kraujo tyrimų rodmenys rodo blogą inkstų funkciją (kreatinino koncentracija kraujo </w:t>
      </w:r>
      <w:r>
        <w:rPr>
          <w:snapToGrid/>
          <w:szCs w:val="22"/>
          <w:lang w:val="lt-LT"/>
        </w:rPr>
        <w:lastRenderedPageBreak/>
        <w:t>serume yra 1,5 mg/dl [133 mikromoliai/l] arba didesnė);</w:t>
      </w:r>
    </w:p>
    <w:p w14:paraId="3F840C4E" w14:textId="77777777" w:rsidR="00890384" w:rsidRDefault="00B26795">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47D8D8FD" w14:textId="77777777" w:rsidR="00890384" w:rsidRDefault="00B26795">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650934C7" w14:textId="77777777" w:rsidR="00890384" w:rsidRDefault="00890384">
      <w:pPr>
        <w:widowControl w:val="0"/>
        <w:tabs>
          <w:tab w:val="clear" w:pos="567"/>
        </w:tabs>
        <w:autoSpaceDE w:val="0"/>
        <w:autoSpaceDN w:val="0"/>
        <w:spacing w:line="240" w:lineRule="auto"/>
        <w:rPr>
          <w:snapToGrid/>
          <w:szCs w:val="22"/>
          <w:lang w:val="lt-LT"/>
        </w:rPr>
      </w:pPr>
    </w:p>
    <w:p w14:paraId="2D3AB27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3FDCBECB" w14:textId="77777777" w:rsidR="00890384" w:rsidRDefault="00890384">
      <w:pPr>
        <w:widowControl w:val="0"/>
        <w:tabs>
          <w:tab w:val="clear" w:pos="567"/>
        </w:tabs>
        <w:autoSpaceDE w:val="0"/>
        <w:autoSpaceDN w:val="0"/>
        <w:spacing w:line="240" w:lineRule="auto"/>
        <w:rPr>
          <w:snapToGrid/>
          <w:szCs w:val="22"/>
          <w:lang w:val="lt-LT"/>
        </w:rPr>
      </w:pPr>
    </w:p>
    <w:p w14:paraId="1290437F"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437A1922"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r>
        <w:rPr>
          <w:snapToGrid/>
          <w:color w:val="000000"/>
          <w:szCs w:val="22"/>
          <w:lang w:val="lt-LT"/>
        </w:rPr>
        <w:t>Aboxoma</w:t>
      </w:r>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3E22F77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r>
        <w:rPr>
          <w:snapToGrid/>
          <w:color w:val="000000"/>
          <w:szCs w:val="22"/>
          <w:lang w:val="lt-LT"/>
        </w:rPr>
        <w:t>Aboxoma</w:t>
      </w:r>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5E7C0FA1" w14:textId="77777777" w:rsidR="00890384" w:rsidRDefault="00890384">
      <w:pPr>
        <w:widowControl w:val="0"/>
        <w:tabs>
          <w:tab w:val="clear" w:pos="567"/>
        </w:tabs>
        <w:autoSpaceDE w:val="0"/>
        <w:autoSpaceDN w:val="0"/>
        <w:spacing w:line="240" w:lineRule="auto"/>
        <w:rPr>
          <w:snapToGrid/>
          <w:szCs w:val="22"/>
          <w:lang w:val="lt-LT"/>
        </w:rPr>
      </w:pPr>
    </w:p>
    <w:p w14:paraId="5870824E" w14:textId="77777777" w:rsidR="00890384" w:rsidRDefault="00B26795">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6F43DCF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snapToGrid/>
          <w:color w:val="000000"/>
          <w:szCs w:val="22"/>
          <w:lang w:val="lt-LT"/>
        </w:rPr>
        <w:t>Aboxoma</w:t>
      </w:r>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1981393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0488CB78" w14:textId="77777777" w:rsidR="00890384" w:rsidRPr="005261E3" w:rsidRDefault="00B26795">
      <w:pPr>
        <w:widowControl w:val="0"/>
        <w:tabs>
          <w:tab w:val="clear" w:pos="567"/>
        </w:tabs>
        <w:autoSpaceDE w:val="0"/>
        <w:autoSpaceDN w:val="0"/>
        <w:spacing w:line="240" w:lineRule="auto"/>
        <w:rPr>
          <w:u w:val="single"/>
        </w:rPr>
      </w:pPr>
      <w:r w:rsidRPr="005261E3">
        <w:rPr>
          <w:u w:val="single"/>
        </w:rPr>
        <w:t>Vartojimas vaikams ir paaugliams</w:t>
      </w:r>
    </w:p>
    <w:p w14:paraId="0EF27378" w14:textId="77777777" w:rsidR="00890384" w:rsidRDefault="00B26795">
      <w:pPr>
        <w:widowControl w:val="0"/>
        <w:tabs>
          <w:tab w:val="clear" w:pos="567"/>
        </w:tabs>
        <w:autoSpaceDE w:val="0"/>
        <w:autoSpaceDN w:val="0"/>
        <w:spacing w:line="240" w:lineRule="auto"/>
      </w:pPr>
      <w:r>
        <w:t>Kraujo krešuliams gydyti ir užkirsti kelią pakartotiniam kraujo krešulių susidarymui venose arba plaučių kraujagyslėse.</w:t>
      </w:r>
    </w:p>
    <w:p w14:paraId="064470E7" w14:textId="77777777" w:rsidR="00890384" w:rsidRDefault="00890384">
      <w:pPr>
        <w:widowControl w:val="0"/>
        <w:tabs>
          <w:tab w:val="clear" w:pos="567"/>
        </w:tabs>
        <w:autoSpaceDE w:val="0"/>
        <w:autoSpaceDN w:val="0"/>
        <w:spacing w:line="240" w:lineRule="auto"/>
      </w:pPr>
    </w:p>
    <w:p w14:paraId="0AAC0B23" w14:textId="77777777" w:rsidR="00890384" w:rsidRDefault="00B26795">
      <w:pPr>
        <w:widowControl w:val="0"/>
        <w:tabs>
          <w:tab w:val="clear" w:pos="567"/>
        </w:tabs>
        <w:autoSpaceDE w:val="0"/>
        <w:autoSpaceDN w:val="0"/>
        <w:spacing w:line="240" w:lineRule="auto"/>
      </w:pPr>
      <w:r>
        <w:t xml:space="preserve">Visada vartokite arba duokite šį vaistą tiksliai, kaip nurodė Jūsų arba vaiko gydytojas arba vaistininkas. Jeigu abejojate, kreipkitės į savo arba vaiko gydytoją, vaistininką arba slaugytoją. </w:t>
      </w:r>
    </w:p>
    <w:p w14:paraId="0534008E" w14:textId="77777777" w:rsidR="00890384" w:rsidRDefault="00890384">
      <w:pPr>
        <w:widowControl w:val="0"/>
        <w:tabs>
          <w:tab w:val="clear" w:pos="567"/>
        </w:tabs>
        <w:autoSpaceDE w:val="0"/>
        <w:autoSpaceDN w:val="0"/>
        <w:spacing w:line="240" w:lineRule="auto"/>
      </w:pPr>
    </w:p>
    <w:p w14:paraId="3705FBF6" w14:textId="77777777" w:rsidR="00890384" w:rsidRDefault="00B26795">
      <w:pPr>
        <w:widowControl w:val="0"/>
        <w:tabs>
          <w:tab w:val="clear" w:pos="567"/>
        </w:tabs>
        <w:autoSpaceDE w:val="0"/>
        <w:autoSpaceDN w:val="0"/>
        <w:spacing w:line="240" w:lineRule="auto"/>
      </w:pPr>
      <w:r>
        <w:t>Stenkitės dozę vartoti arba duoti kasdien tuo pačiu laiku, kad būtų pasiektas geriausias gydomasis poveikis.</w:t>
      </w:r>
    </w:p>
    <w:p w14:paraId="7B9FE4EE" w14:textId="77777777" w:rsidR="00890384" w:rsidRDefault="00890384">
      <w:pPr>
        <w:widowControl w:val="0"/>
        <w:tabs>
          <w:tab w:val="clear" w:pos="567"/>
        </w:tabs>
        <w:autoSpaceDE w:val="0"/>
        <w:autoSpaceDN w:val="0"/>
        <w:spacing w:line="240" w:lineRule="auto"/>
      </w:pPr>
    </w:p>
    <w:p w14:paraId="401E7320" w14:textId="77777777" w:rsidR="00890384" w:rsidRDefault="00B26795">
      <w:pPr>
        <w:widowControl w:val="0"/>
        <w:tabs>
          <w:tab w:val="clear" w:pos="567"/>
        </w:tabs>
        <w:autoSpaceDE w:val="0"/>
        <w:autoSpaceDN w:val="0"/>
        <w:spacing w:line="240" w:lineRule="auto"/>
      </w:pPr>
      <w:r>
        <w:t>Apiksabano dozė priklauso nuo kūno svorio, ją apskaičiuos gydytojas.</w:t>
      </w:r>
    </w:p>
    <w:p w14:paraId="6B33656B" w14:textId="77777777" w:rsidR="00890384" w:rsidRDefault="00890384">
      <w:pPr>
        <w:widowControl w:val="0"/>
        <w:tabs>
          <w:tab w:val="clear" w:pos="567"/>
        </w:tabs>
        <w:autoSpaceDE w:val="0"/>
        <w:autoSpaceDN w:val="0"/>
        <w:spacing w:line="240" w:lineRule="auto"/>
      </w:pPr>
    </w:p>
    <w:p w14:paraId="2DC6AF0F" w14:textId="77777777" w:rsidR="00890384" w:rsidRDefault="00B26795">
      <w:pPr>
        <w:widowControl w:val="0"/>
        <w:tabs>
          <w:tab w:val="clear" w:pos="567"/>
        </w:tabs>
        <w:autoSpaceDE w:val="0"/>
        <w:autoSpaceDN w:val="0"/>
        <w:spacing w:line="240" w:lineRule="auto"/>
      </w:pPr>
      <w:r>
        <w:t xml:space="preserve">Rekomenduojama dozė vaikams ir paaugliams, sveriantiems mažiausiai 35 kg, pirmąsias 7 dienas yra po </w:t>
      </w:r>
      <w:r w:rsidRPr="005261E3">
        <w:rPr>
          <w:b/>
          <w:bCs/>
        </w:rPr>
        <w:t>dvi</w:t>
      </w:r>
      <w:r>
        <w:t xml:space="preserve"> Aboxoma </w:t>
      </w:r>
      <w:r w:rsidRPr="005261E3">
        <w:rPr>
          <w:b/>
          <w:bCs/>
        </w:rPr>
        <w:t>5 mg</w:t>
      </w:r>
      <w:r>
        <w:t xml:space="preserve"> tabletes du kartus per parą, pavyzdžiui: dvi tabletes reikia vartoti ryte, o kitas dvi – vakare. Po 7 dienų rekomenduojama dozė yra </w:t>
      </w:r>
      <w:r w:rsidRPr="005261E3">
        <w:rPr>
          <w:b/>
          <w:bCs/>
        </w:rPr>
        <w:t>viena</w:t>
      </w:r>
      <w:r>
        <w:t xml:space="preserve"> Aboxoma 5 mg tabletė du kartus per parą, pavyzdžiui: vieną tabletę reikia vartoti ryte, vieną – vakare.</w:t>
      </w:r>
    </w:p>
    <w:p w14:paraId="3A36AF96" w14:textId="77777777" w:rsidR="00890384" w:rsidRDefault="00890384">
      <w:pPr>
        <w:widowControl w:val="0"/>
        <w:tabs>
          <w:tab w:val="clear" w:pos="567"/>
        </w:tabs>
        <w:autoSpaceDE w:val="0"/>
        <w:autoSpaceDN w:val="0"/>
        <w:spacing w:line="240" w:lineRule="auto"/>
      </w:pPr>
    </w:p>
    <w:p w14:paraId="5EFADEDD" w14:textId="77777777" w:rsidR="00890384" w:rsidRDefault="00B26795">
      <w:pPr>
        <w:widowControl w:val="0"/>
        <w:tabs>
          <w:tab w:val="clear" w:pos="567"/>
        </w:tabs>
        <w:autoSpaceDE w:val="0"/>
        <w:autoSpaceDN w:val="0"/>
        <w:spacing w:line="240" w:lineRule="auto"/>
      </w:pPr>
      <w:r>
        <w:t>Tėvai ar prižiūrintys asmenys turi stebėti vaiką, kad įsitikintų, jog suvartota visa dozė.</w:t>
      </w:r>
    </w:p>
    <w:p w14:paraId="16A2E724" w14:textId="77777777" w:rsidR="007446FB" w:rsidRDefault="007446FB">
      <w:pPr>
        <w:widowControl w:val="0"/>
        <w:tabs>
          <w:tab w:val="clear" w:pos="567"/>
        </w:tabs>
        <w:autoSpaceDE w:val="0"/>
        <w:autoSpaceDN w:val="0"/>
        <w:spacing w:line="240" w:lineRule="auto"/>
      </w:pPr>
    </w:p>
    <w:p w14:paraId="5944A82A" w14:textId="38B84795" w:rsidR="00890384" w:rsidRPr="005261E3" w:rsidRDefault="00B26795">
      <w:pPr>
        <w:widowControl w:val="0"/>
        <w:tabs>
          <w:tab w:val="clear" w:pos="567"/>
        </w:tabs>
        <w:autoSpaceDE w:val="0"/>
        <w:autoSpaceDN w:val="0"/>
        <w:spacing w:line="240" w:lineRule="auto"/>
      </w:pPr>
      <w:r>
        <w:t xml:space="preserve">Svarbu </w:t>
      </w:r>
      <w:r w:rsidR="007446FB">
        <w:t>regiliariai lankytis</w:t>
      </w:r>
      <w:r>
        <w:t xml:space="preserve"> pas gydytoją, nes keičiantis svoriui dozę gali tekti keisti.</w:t>
      </w:r>
    </w:p>
    <w:p w14:paraId="39F431F8" w14:textId="77777777" w:rsidR="00890384" w:rsidRDefault="00890384">
      <w:pPr>
        <w:widowControl w:val="0"/>
        <w:tabs>
          <w:tab w:val="clear" w:pos="567"/>
        </w:tabs>
        <w:autoSpaceDE w:val="0"/>
        <w:autoSpaceDN w:val="0"/>
        <w:spacing w:line="240" w:lineRule="auto"/>
        <w:rPr>
          <w:snapToGrid/>
          <w:szCs w:val="22"/>
          <w:lang w:val="lt-LT"/>
        </w:rPr>
      </w:pPr>
    </w:p>
    <w:p w14:paraId="682DC158" w14:textId="77777777" w:rsidR="00890384" w:rsidRDefault="00B26795">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3E5F4D65" w14:textId="77777777" w:rsidR="00890384" w:rsidRDefault="00890384">
      <w:pPr>
        <w:widowControl w:val="0"/>
        <w:tabs>
          <w:tab w:val="clear" w:pos="567"/>
        </w:tabs>
        <w:autoSpaceDE w:val="0"/>
        <w:autoSpaceDN w:val="0"/>
        <w:spacing w:line="240" w:lineRule="auto"/>
        <w:rPr>
          <w:b/>
          <w:snapToGrid/>
          <w:szCs w:val="22"/>
          <w:lang w:val="lt-LT"/>
        </w:rPr>
      </w:pPr>
    </w:p>
    <w:p w14:paraId="69290244" w14:textId="77777777" w:rsidR="00890384" w:rsidRDefault="00B26795">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w:t>
      </w:r>
      <w:r>
        <w:rPr>
          <w:i/>
          <w:snapToGrid/>
          <w:color w:val="000000"/>
          <w:szCs w:val="22"/>
          <w:lang w:val="lt-LT"/>
        </w:rPr>
        <w:t>Aboxoma</w:t>
      </w:r>
      <w:r>
        <w:rPr>
          <w:i/>
          <w:snapToGrid/>
          <w:szCs w:val="22"/>
          <w:lang w:val="lt-LT"/>
        </w:rPr>
        <w:t xml:space="preserve"> keičiant į gydymą antikoaguliantais</w:t>
      </w:r>
    </w:p>
    <w:p w14:paraId="6548DE17"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r>
        <w:rPr>
          <w:snapToGrid/>
          <w:color w:val="000000"/>
          <w:szCs w:val="22"/>
          <w:lang w:val="lt-LT"/>
        </w:rPr>
        <w:t>Aboxoma</w:t>
      </w:r>
      <w:r>
        <w:rPr>
          <w:snapToGrid/>
          <w:szCs w:val="22"/>
          <w:lang w:val="lt-LT"/>
        </w:rPr>
        <w:t xml:space="preserve"> vartojimą. Pradėkite gydymą antikoaguliantais (pvz., heparinu) tuo laiku, kada turėtumėte išgerti kitą tabletę.</w:t>
      </w:r>
    </w:p>
    <w:p w14:paraId="377D0E12" w14:textId="77777777" w:rsidR="00890384" w:rsidRDefault="00890384">
      <w:pPr>
        <w:widowControl w:val="0"/>
        <w:tabs>
          <w:tab w:val="clear" w:pos="567"/>
        </w:tabs>
        <w:autoSpaceDE w:val="0"/>
        <w:autoSpaceDN w:val="0"/>
        <w:spacing w:line="240" w:lineRule="auto"/>
        <w:rPr>
          <w:snapToGrid/>
          <w:szCs w:val="22"/>
          <w:lang w:val="lt-LT"/>
        </w:rPr>
      </w:pPr>
    </w:p>
    <w:p w14:paraId="539189BA" w14:textId="77777777" w:rsidR="00890384" w:rsidRDefault="00B26795">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antikoaguliantais keičiant į gydymą </w:t>
      </w:r>
      <w:r>
        <w:rPr>
          <w:i/>
          <w:snapToGrid/>
          <w:color w:val="000000"/>
          <w:szCs w:val="22"/>
          <w:lang w:val="lt-LT"/>
        </w:rPr>
        <w:t>Aboxoma</w:t>
      </w:r>
    </w:p>
    <w:p w14:paraId="115D7F76"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r>
        <w:rPr>
          <w:snapToGrid/>
          <w:color w:val="000000"/>
          <w:szCs w:val="22"/>
          <w:lang w:val="lt-LT"/>
        </w:rPr>
        <w:t>Aboxoma</w:t>
      </w:r>
      <w:r>
        <w:rPr>
          <w:snapToGrid/>
          <w:szCs w:val="22"/>
          <w:lang w:val="lt-LT"/>
        </w:rPr>
        <w:t xml:space="preserve"> tuo laiku, kada turėtumėte vartoti kitą antikoagulianto dozę, o toliau vartokite vaistą įprastai.</w:t>
      </w:r>
    </w:p>
    <w:p w14:paraId="4AEF9201" w14:textId="77777777" w:rsidR="00890384" w:rsidRDefault="00890384">
      <w:pPr>
        <w:widowControl w:val="0"/>
        <w:tabs>
          <w:tab w:val="clear" w:pos="567"/>
        </w:tabs>
        <w:autoSpaceDE w:val="0"/>
        <w:autoSpaceDN w:val="0"/>
        <w:spacing w:line="240" w:lineRule="auto"/>
        <w:rPr>
          <w:snapToGrid/>
          <w:szCs w:val="22"/>
          <w:lang w:val="lt-LT"/>
        </w:rPr>
      </w:pPr>
    </w:p>
    <w:p w14:paraId="63C11CC8" w14:textId="77777777" w:rsidR="00890384" w:rsidRDefault="00B26795">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r>
        <w:rPr>
          <w:i/>
          <w:snapToGrid/>
          <w:color w:val="000000"/>
          <w:szCs w:val="22"/>
          <w:lang w:val="lt-LT"/>
        </w:rPr>
        <w:t>Aboxoma</w:t>
      </w:r>
    </w:p>
    <w:p w14:paraId="027A1E7E"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r>
        <w:rPr>
          <w:snapToGrid/>
          <w:color w:val="000000"/>
          <w:szCs w:val="22"/>
          <w:lang w:val="lt-LT"/>
        </w:rPr>
        <w:t>Aboxoma</w:t>
      </w:r>
      <w:r>
        <w:rPr>
          <w:snapToGrid/>
          <w:szCs w:val="22"/>
          <w:lang w:val="lt-LT"/>
        </w:rPr>
        <w:t>.</w:t>
      </w:r>
    </w:p>
    <w:p w14:paraId="21F08897" w14:textId="77777777" w:rsidR="00890384" w:rsidRDefault="00890384">
      <w:pPr>
        <w:widowControl w:val="0"/>
        <w:tabs>
          <w:tab w:val="clear" w:pos="567"/>
        </w:tabs>
        <w:autoSpaceDE w:val="0"/>
        <w:autoSpaceDN w:val="0"/>
        <w:spacing w:line="240" w:lineRule="auto"/>
        <w:rPr>
          <w:snapToGrid/>
          <w:szCs w:val="22"/>
          <w:lang w:val="lt-LT"/>
        </w:rPr>
      </w:pPr>
    </w:p>
    <w:p w14:paraId="23B4C0E8" w14:textId="77777777" w:rsidR="00890384" w:rsidRDefault="00B26795">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w:t>
      </w:r>
      <w:r>
        <w:rPr>
          <w:i/>
          <w:snapToGrid/>
          <w:color w:val="000000"/>
          <w:szCs w:val="22"/>
          <w:lang w:val="lt-LT"/>
        </w:rPr>
        <w:t>Aboxoma</w:t>
      </w:r>
      <w:r>
        <w:rPr>
          <w:i/>
          <w:snapToGrid/>
          <w:szCs w:val="22"/>
          <w:lang w:val="lt-LT"/>
        </w:rPr>
        <w:t xml:space="preserve"> keičiant į gydymą antikoaguliantu, kurio sudėtyje yra vitamino K antagonisto (pvz., varfarino)</w:t>
      </w:r>
    </w:p>
    <w:p w14:paraId="685949AA" w14:textId="77777777" w:rsidR="00890384" w:rsidRDefault="00B26795">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r>
        <w:rPr>
          <w:snapToGrid/>
          <w:color w:val="000000"/>
          <w:szCs w:val="22"/>
          <w:lang w:val="lt-LT"/>
        </w:rPr>
        <w:t>Aboxoma</w:t>
      </w:r>
      <w:r>
        <w:rPr>
          <w:snapToGrid/>
          <w:szCs w:val="22"/>
          <w:lang w:val="lt-LT"/>
        </w:rPr>
        <w:t xml:space="preserve"> ne trumpiau kaip 2 dienas po to, kai išgersite pirmąją </w:t>
      </w:r>
      <w:r>
        <w:rPr>
          <w:snapToGrid/>
          <w:szCs w:val="22"/>
          <w:lang w:val="lt-LT"/>
        </w:rPr>
        <w:lastRenderedPageBreak/>
        <w:t xml:space="preserve">vaisto, kurio sudėtyje yra vitamino K antagonisto, dozę. Gydytojas turės matuoti kraujo rodmenis ir nurodys Jums, kada baigti vartoti </w:t>
      </w:r>
      <w:r>
        <w:rPr>
          <w:snapToGrid/>
          <w:color w:val="000000"/>
          <w:szCs w:val="22"/>
          <w:lang w:val="lt-LT"/>
        </w:rPr>
        <w:t>Aboxoma</w:t>
      </w:r>
      <w:r>
        <w:rPr>
          <w:snapToGrid/>
          <w:szCs w:val="22"/>
          <w:lang w:val="lt-LT"/>
        </w:rPr>
        <w:t>.</w:t>
      </w:r>
    </w:p>
    <w:p w14:paraId="446BE03D" w14:textId="77777777" w:rsidR="00890384" w:rsidRDefault="00890384">
      <w:pPr>
        <w:widowControl w:val="0"/>
        <w:tabs>
          <w:tab w:val="clear" w:pos="567"/>
        </w:tabs>
        <w:autoSpaceDE w:val="0"/>
        <w:autoSpaceDN w:val="0"/>
        <w:spacing w:line="240" w:lineRule="auto"/>
        <w:outlineLvl w:val="1"/>
        <w:rPr>
          <w:b/>
          <w:bCs/>
          <w:snapToGrid/>
          <w:szCs w:val="22"/>
          <w:lang w:val="lt-LT"/>
        </w:rPr>
      </w:pPr>
    </w:p>
    <w:p w14:paraId="79866A0F"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Pacientai, kuriems atliekama kardioversija</w:t>
      </w:r>
    </w:p>
    <w:p w14:paraId="349FC2DA"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7002F358" w14:textId="77777777" w:rsidR="00890384" w:rsidRDefault="00890384">
      <w:pPr>
        <w:widowControl w:val="0"/>
        <w:tabs>
          <w:tab w:val="clear" w:pos="567"/>
        </w:tabs>
        <w:autoSpaceDE w:val="0"/>
        <w:autoSpaceDN w:val="0"/>
        <w:spacing w:line="240" w:lineRule="auto"/>
        <w:rPr>
          <w:snapToGrid/>
          <w:szCs w:val="22"/>
          <w:lang w:val="lt-LT"/>
        </w:rPr>
      </w:pPr>
    </w:p>
    <w:p w14:paraId="3C3E621E"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r>
        <w:rPr>
          <w:b/>
          <w:snapToGrid/>
          <w:color w:val="000000"/>
          <w:szCs w:val="22"/>
          <w:lang w:val="lt-LT"/>
        </w:rPr>
        <w:t>Aboxoma</w:t>
      </w:r>
      <w:r>
        <w:rPr>
          <w:b/>
          <w:bCs/>
          <w:snapToGrid/>
          <w:szCs w:val="22"/>
          <w:lang w:val="lt-LT"/>
        </w:rPr>
        <w:t xml:space="preserve"> dozę</w:t>
      </w:r>
    </w:p>
    <w:p w14:paraId="4046E926"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r>
        <w:rPr>
          <w:snapToGrid/>
          <w:color w:val="000000"/>
          <w:szCs w:val="22"/>
          <w:lang w:val="lt-LT"/>
        </w:rPr>
        <w:t>Aboxoma</w:t>
      </w:r>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7B6B1EE2" w14:textId="77777777" w:rsidR="00890384" w:rsidRDefault="00890384">
      <w:pPr>
        <w:widowControl w:val="0"/>
        <w:tabs>
          <w:tab w:val="clear" w:pos="567"/>
        </w:tabs>
        <w:autoSpaceDE w:val="0"/>
        <w:autoSpaceDN w:val="0"/>
        <w:spacing w:line="240" w:lineRule="auto"/>
        <w:rPr>
          <w:snapToGrid/>
          <w:szCs w:val="22"/>
          <w:lang w:val="lt-LT"/>
        </w:rPr>
      </w:pPr>
    </w:p>
    <w:p w14:paraId="578CBA43"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r>
        <w:rPr>
          <w:snapToGrid/>
          <w:color w:val="000000"/>
          <w:szCs w:val="22"/>
          <w:lang w:val="lt-LT"/>
        </w:rPr>
        <w:t>Aboxoma</w:t>
      </w:r>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4CD28769" w14:textId="77777777" w:rsidR="00890384" w:rsidRDefault="00890384">
      <w:pPr>
        <w:widowControl w:val="0"/>
        <w:tabs>
          <w:tab w:val="clear" w:pos="567"/>
        </w:tabs>
        <w:autoSpaceDE w:val="0"/>
        <w:autoSpaceDN w:val="0"/>
        <w:spacing w:line="240" w:lineRule="auto"/>
        <w:rPr>
          <w:snapToGrid/>
          <w:szCs w:val="22"/>
          <w:lang w:val="lt-LT"/>
        </w:rPr>
      </w:pPr>
    </w:p>
    <w:p w14:paraId="43A1B6A3"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r>
        <w:rPr>
          <w:snapToGrid/>
          <w:color w:val="000000"/>
          <w:szCs w:val="22"/>
          <w:lang w:val="lt-LT"/>
        </w:rPr>
        <w:t>A</w:t>
      </w:r>
      <w:r>
        <w:rPr>
          <w:b/>
          <w:snapToGrid/>
          <w:color w:val="000000"/>
          <w:szCs w:val="22"/>
          <w:lang w:val="lt-LT"/>
        </w:rPr>
        <w:t>boxoma</w:t>
      </w:r>
    </w:p>
    <w:p w14:paraId="2DE86FD8" w14:textId="109F02A3" w:rsidR="00890384" w:rsidRDefault="00B26795">
      <w:pPr>
        <w:widowControl w:val="0"/>
        <w:numPr>
          <w:ilvl w:val="0"/>
          <w:numId w:val="30"/>
        </w:numPr>
        <w:autoSpaceDE w:val="0"/>
        <w:autoSpaceDN w:val="0"/>
        <w:spacing w:line="240" w:lineRule="auto"/>
        <w:ind w:left="567" w:hanging="567"/>
        <w:rPr>
          <w:snapToGrid/>
          <w:szCs w:val="22"/>
          <w:lang w:val="lt-LT"/>
        </w:rPr>
      </w:pPr>
      <w:r>
        <w:t>Jeigu praleidote rytinę dozę, suvartokite ją</w:t>
      </w:r>
      <w:r>
        <w:rPr>
          <w:snapToGrid/>
          <w:szCs w:val="22"/>
          <w:lang w:val="lt-LT"/>
        </w:rPr>
        <w:t xml:space="preserve"> iš karto prisiminę ir</w:t>
      </w:r>
      <w:r>
        <w:t xml:space="preserve"> ją galima vartoti kartu su vakarine doze</w:t>
      </w:r>
      <w:r>
        <w:rPr>
          <w:snapToGrid/>
          <w:szCs w:val="22"/>
          <w:lang w:val="lt-LT"/>
        </w:rPr>
        <w:t>.</w:t>
      </w:r>
    </w:p>
    <w:p w14:paraId="49178922" w14:textId="77777777" w:rsidR="00890384" w:rsidRDefault="00B26795">
      <w:pPr>
        <w:widowControl w:val="0"/>
        <w:numPr>
          <w:ilvl w:val="0"/>
          <w:numId w:val="30"/>
        </w:numPr>
        <w:autoSpaceDE w:val="0"/>
        <w:autoSpaceDN w:val="0"/>
        <w:spacing w:line="240" w:lineRule="auto"/>
        <w:ind w:left="567" w:hanging="567"/>
        <w:rPr>
          <w:snapToGrid/>
          <w:szCs w:val="22"/>
          <w:lang w:val="lt-LT"/>
        </w:rPr>
      </w:pPr>
      <w:r>
        <w:t>Praleistą vakarinę dozę galima vartoti tik tą patį vakarą. Nevartokite dviejų dozių kitą rytą. Kitą dieną tiesiog toliau vartokite įprastą dozę du kartus per parą, kaip rekomenduojama.</w:t>
      </w:r>
    </w:p>
    <w:p w14:paraId="7EC16D7D" w14:textId="77777777" w:rsidR="00890384" w:rsidRDefault="00890384">
      <w:pPr>
        <w:widowControl w:val="0"/>
        <w:tabs>
          <w:tab w:val="clear" w:pos="567"/>
        </w:tabs>
        <w:autoSpaceDE w:val="0"/>
        <w:autoSpaceDN w:val="0"/>
        <w:spacing w:line="240" w:lineRule="auto"/>
        <w:rPr>
          <w:snapToGrid/>
          <w:szCs w:val="22"/>
          <w:lang w:val="lt-LT"/>
        </w:rPr>
      </w:pPr>
    </w:p>
    <w:p w14:paraId="5D925CDA" w14:textId="77777777" w:rsidR="00890384" w:rsidRDefault="00B26795">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53010E8E" w14:textId="77777777" w:rsidR="00890384" w:rsidRDefault="00890384">
      <w:pPr>
        <w:widowControl w:val="0"/>
        <w:tabs>
          <w:tab w:val="clear" w:pos="567"/>
        </w:tabs>
        <w:autoSpaceDE w:val="0"/>
        <w:autoSpaceDN w:val="0"/>
        <w:spacing w:line="240" w:lineRule="auto"/>
        <w:rPr>
          <w:snapToGrid/>
          <w:szCs w:val="22"/>
          <w:lang w:val="lt-LT"/>
        </w:rPr>
      </w:pPr>
    </w:p>
    <w:p w14:paraId="6A9844F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Nustojus vartoti Apixob</w:t>
      </w:r>
    </w:p>
    <w:p w14:paraId="6E9B6ADC"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5B5F68AA" w14:textId="77777777" w:rsidR="00890384" w:rsidRDefault="00890384">
      <w:pPr>
        <w:widowControl w:val="0"/>
        <w:tabs>
          <w:tab w:val="clear" w:pos="567"/>
        </w:tabs>
        <w:autoSpaceDE w:val="0"/>
        <w:autoSpaceDN w:val="0"/>
        <w:spacing w:line="240" w:lineRule="auto"/>
        <w:rPr>
          <w:snapToGrid/>
          <w:szCs w:val="22"/>
          <w:lang w:val="lt-LT"/>
        </w:rPr>
      </w:pPr>
    </w:p>
    <w:p w14:paraId="763F2D94"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70C46F37" w14:textId="77777777" w:rsidR="00890384" w:rsidRDefault="00890384">
      <w:pPr>
        <w:widowControl w:val="0"/>
        <w:tabs>
          <w:tab w:val="clear" w:pos="567"/>
        </w:tabs>
        <w:autoSpaceDE w:val="0"/>
        <w:autoSpaceDN w:val="0"/>
        <w:spacing w:line="240" w:lineRule="auto"/>
        <w:rPr>
          <w:snapToGrid/>
          <w:szCs w:val="22"/>
          <w:lang w:val="lt-LT"/>
        </w:rPr>
      </w:pPr>
    </w:p>
    <w:p w14:paraId="3AEB72EA" w14:textId="77777777" w:rsidR="00890384" w:rsidRDefault="00890384">
      <w:pPr>
        <w:widowControl w:val="0"/>
        <w:tabs>
          <w:tab w:val="clear" w:pos="567"/>
        </w:tabs>
        <w:autoSpaceDE w:val="0"/>
        <w:autoSpaceDN w:val="0"/>
        <w:spacing w:line="240" w:lineRule="auto"/>
        <w:rPr>
          <w:snapToGrid/>
          <w:szCs w:val="22"/>
          <w:lang w:val="lt-LT"/>
        </w:rPr>
      </w:pPr>
    </w:p>
    <w:p w14:paraId="75A43E11" w14:textId="77777777" w:rsidR="00890384" w:rsidRDefault="00B26795">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38EE01D2" w14:textId="77777777" w:rsidR="00890384" w:rsidRDefault="00890384">
      <w:pPr>
        <w:widowControl w:val="0"/>
        <w:tabs>
          <w:tab w:val="clear" w:pos="567"/>
        </w:tabs>
        <w:autoSpaceDE w:val="0"/>
        <w:autoSpaceDN w:val="0"/>
        <w:spacing w:line="240" w:lineRule="auto"/>
        <w:rPr>
          <w:b/>
          <w:snapToGrid/>
          <w:szCs w:val="22"/>
          <w:lang w:val="lt-LT"/>
        </w:rPr>
      </w:pPr>
    </w:p>
    <w:p w14:paraId="1DC8A1A5"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
    <w:p w14:paraId="34EDEDF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26CDF677" w14:textId="77777777" w:rsidR="00890384" w:rsidRDefault="00890384">
      <w:pPr>
        <w:widowControl w:val="0"/>
        <w:tabs>
          <w:tab w:val="clear" w:pos="567"/>
        </w:tabs>
        <w:autoSpaceDE w:val="0"/>
        <w:autoSpaceDN w:val="0"/>
        <w:spacing w:line="240" w:lineRule="auto"/>
        <w:rPr>
          <w:snapToGrid/>
          <w:szCs w:val="22"/>
          <w:lang w:val="lt-LT"/>
        </w:rPr>
      </w:pPr>
    </w:p>
    <w:p w14:paraId="46750ABF"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Toliau išvardytas žinomas šalutinis poveikis, kuris gali pasireikšti vartojant</w:t>
      </w:r>
      <w:r>
        <w:rPr>
          <w:snapToGrid/>
          <w:szCs w:val="22"/>
          <w:lang w:val="lt-LT"/>
        </w:rPr>
        <w:t xml:space="preserve"> </w:t>
      </w:r>
      <w:r>
        <w:rPr>
          <w:snapToGrid/>
          <w:color w:val="000000"/>
          <w:szCs w:val="22"/>
          <w:lang w:val="lt-LT"/>
        </w:rPr>
        <w:t>Aboxoma</w:t>
      </w:r>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132A2139" w14:textId="77777777" w:rsidR="00890384" w:rsidRDefault="00890384">
      <w:pPr>
        <w:widowControl w:val="0"/>
        <w:tabs>
          <w:tab w:val="clear" w:pos="567"/>
        </w:tabs>
        <w:autoSpaceDE w:val="0"/>
        <w:autoSpaceDN w:val="0"/>
        <w:spacing w:line="240" w:lineRule="auto"/>
        <w:rPr>
          <w:snapToGrid/>
          <w:szCs w:val="22"/>
          <w:lang w:val="lt-LT"/>
        </w:rPr>
      </w:pPr>
    </w:p>
    <w:p w14:paraId="5249476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6044D6AA"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4BEC23F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3D2C2C9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62B6AA37"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14ACDD4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46B1590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1CB0A3B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3F85F60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113C541F"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5273DA1D"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418374DC"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6B26EC18"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4F3C3C3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gama gliutamiltransferazės (GGT) aktyvumą kraujyje.</w:t>
      </w:r>
    </w:p>
    <w:p w14:paraId="54DE1E28" w14:textId="77777777" w:rsidR="00890384" w:rsidRDefault="00890384">
      <w:pPr>
        <w:widowControl w:val="0"/>
        <w:tabs>
          <w:tab w:val="clear" w:pos="567"/>
        </w:tabs>
        <w:autoSpaceDE w:val="0"/>
        <w:autoSpaceDN w:val="0"/>
        <w:spacing w:line="240" w:lineRule="auto"/>
        <w:rPr>
          <w:snapToGrid/>
          <w:szCs w:val="22"/>
          <w:lang w:val="lt-LT"/>
        </w:rPr>
      </w:pPr>
    </w:p>
    <w:p w14:paraId="6837D61F"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411E4B3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23747CE"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5DCA7BB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3BF9A33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72F7D04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27FEC07D"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bet kokios operacijos, įskaitant mėlynes (kraujosruvos) ir patinimą, kraujo ar skysčio išskyras iš chirurginės žaizdos (pjūvio) vietos (žaizdos sekreciją) arba injekcijos vietų;</w:t>
      </w:r>
    </w:p>
    <w:p w14:paraId="732B3CF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w:t>
      </w:r>
    </w:p>
    <w:p w14:paraId="5CCEF3D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0A6CB7B4"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07D023E6"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56FDE82C"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65C0D3F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3190D83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14:paraId="1CC2966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70100B7C"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329584BD"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2D1227B2"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2C8993C2" w14:textId="77777777" w:rsidR="00890384" w:rsidRDefault="00890384">
      <w:pPr>
        <w:widowControl w:val="0"/>
        <w:tabs>
          <w:tab w:val="clear" w:pos="567"/>
        </w:tabs>
        <w:autoSpaceDE w:val="0"/>
        <w:autoSpaceDN w:val="0"/>
        <w:spacing w:line="240" w:lineRule="auto"/>
        <w:rPr>
          <w:snapToGrid/>
          <w:szCs w:val="22"/>
          <w:lang w:val="lt-LT"/>
        </w:rPr>
      </w:pPr>
    </w:p>
    <w:p w14:paraId="34F646E1"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6709F19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03851AA0"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245B2286"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5748439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0A553087" w14:textId="77777777" w:rsidR="00890384" w:rsidRDefault="00890384">
      <w:pPr>
        <w:widowControl w:val="0"/>
        <w:tabs>
          <w:tab w:val="clear" w:pos="567"/>
        </w:tabs>
        <w:autoSpaceDE w:val="0"/>
        <w:autoSpaceDN w:val="0"/>
        <w:spacing w:line="240" w:lineRule="auto"/>
        <w:rPr>
          <w:snapToGrid/>
          <w:szCs w:val="22"/>
          <w:lang w:val="lt-LT"/>
        </w:rPr>
      </w:pPr>
    </w:p>
    <w:p w14:paraId="0133618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2B30E0D1"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0D2D7FEE" w14:textId="77777777" w:rsidR="00890384" w:rsidRDefault="00890384">
      <w:pPr>
        <w:widowControl w:val="0"/>
        <w:tabs>
          <w:tab w:val="clear" w:pos="567"/>
        </w:tabs>
        <w:autoSpaceDE w:val="0"/>
        <w:autoSpaceDN w:val="0"/>
        <w:spacing w:line="240" w:lineRule="auto"/>
        <w:rPr>
          <w:snapToGrid/>
          <w:szCs w:val="22"/>
          <w:lang w:val="lt-LT"/>
        </w:rPr>
      </w:pPr>
    </w:p>
    <w:p w14:paraId="25918FD0"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5C46DF3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(vaskulitas), dėl kurio gali atsirasti odos išbėrimas arba ryškios, plokščios, raudonos, apvalios dėmės po odos paviršiumi arba mėlynės (kraujosruvos).</w:t>
      </w:r>
    </w:p>
    <w:p w14:paraId="25ED149C" w14:textId="77777777" w:rsidR="00890384" w:rsidRDefault="00890384">
      <w:pPr>
        <w:widowControl w:val="0"/>
        <w:tabs>
          <w:tab w:val="clear" w:pos="567"/>
        </w:tabs>
        <w:autoSpaceDE w:val="0"/>
        <w:autoSpaceDN w:val="0"/>
        <w:spacing w:line="240" w:lineRule="auto"/>
        <w:rPr>
          <w:snapToGrid/>
          <w:szCs w:val="22"/>
          <w:lang w:val="lt-LT"/>
        </w:rPr>
      </w:pPr>
    </w:p>
    <w:p w14:paraId="133C7081" w14:textId="77777777" w:rsidR="00890384" w:rsidRDefault="00B26795">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r>
        <w:rPr>
          <w:snapToGrid/>
          <w:color w:val="000000"/>
          <w:szCs w:val="22"/>
          <w:u w:val="single"/>
          <w:lang w:val="lt-LT"/>
        </w:rPr>
        <w:t>Aboxoma</w:t>
      </w:r>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10B4B173" w14:textId="77777777" w:rsidR="00890384" w:rsidRDefault="00890384">
      <w:pPr>
        <w:widowControl w:val="0"/>
        <w:tabs>
          <w:tab w:val="clear" w:pos="567"/>
        </w:tabs>
        <w:autoSpaceDE w:val="0"/>
        <w:autoSpaceDN w:val="0"/>
        <w:spacing w:line="240" w:lineRule="auto"/>
        <w:rPr>
          <w:snapToGrid/>
          <w:szCs w:val="22"/>
          <w:lang w:val="lt-LT"/>
        </w:rPr>
      </w:pPr>
    </w:p>
    <w:p w14:paraId="7F083F2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7A6C763D"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2E00FAB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769F48B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57B5BFEA"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7290649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28712831"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181FA02B"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1050463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72A2BFD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8A576DC"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2ECDD022"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28B665A5"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786634B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lastRenderedPageBreak/>
        <w:t>kraujo tyrimų pokyčiai, kurie gali rodyti:</w:t>
      </w:r>
    </w:p>
    <w:p w14:paraId="04025A02"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gama gliutamiltransferazės (GGT) arba alaninaminotransferazės (ALT) aktyvumą kraujyje.</w:t>
      </w:r>
    </w:p>
    <w:p w14:paraId="6943B14D" w14:textId="77777777" w:rsidR="00890384" w:rsidRDefault="00890384">
      <w:pPr>
        <w:widowControl w:val="0"/>
        <w:tabs>
          <w:tab w:val="clear" w:pos="567"/>
        </w:tabs>
        <w:autoSpaceDE w:val="0"/>
        <w:autoSpaceDN w:val="0"/>
        <w:spacing w:line="240" w:lineRule="auto"/>
        <w:rPr>
          <w:snapToGrid/>
          <w:szCs w:val="22"/>
          <w:lang w:val="lt-LT"/>
        </w:rPr>
      </w:pPr>
    </w:p>
    <w:p w14:paraId="64F5C81D"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440AE504"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7100942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3E419EB9"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7672FC57"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34478D5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380626A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5F05017F"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5E174D83"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hemoroidų;</w:t>
      </w:r>
    </w:p>
    <w:p w14:paraId="3F057567"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4F75CFF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75B78DD1"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1DC88463"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308B8E60"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74E1CC7E"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156EF2E4"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5C68C4B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padidėjusią bilirubino koncentraciją (tai raudonųjų kraujo ląstelių irimo produktas, kuris gali sukelti odos ir akių pageltimą).</w:t>
      </w:r>
    </w:p>
    <w:p w14:paraId="3A4F3037" w14:textId="77777777" w:rsidR="00890384" w:rsidRDefault="00890384">
      <w:pPr>
        <w:widowControl w:val="0"/>
        <w:tabs>
          <w:tab w:val="clear" w:pos="567"/>
        </w:tabs>
        <w:autoSpaceDE w:val="0"/>
        <w:autoSpaceDN w:val="0"/>
        <w:spacing w:line="240" w:lineRule="auto"/>
        <w:rPr>
          <w:snapToGrid/>
          <w:szCs w:val="22"/>
          <w:lang w:val="lt-LT"/>
        </w:rPr>
      </w:pPr>
    </w:p>
    <w:p w14:paraId="0AF98D5E"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22B10B65" w14:textId="77777777" w:rsidR="00890384" w:rsidRDefault="00B26795">
      <w:pPr>
        <w:widowControl w:val="0"/>
        <w:numPr>
          <w:ilvl w:val="0"/>
          <w:numId w:val="6"/>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7D0ED6AA"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3D4E21B5"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796FF098" w14:textId="77777777" w:rsidR="00890384" w:rsidRDefault="00890384">
      <w:pPr>
        <w:widowControl w:val="0"/>
        <w:tabs>
          <w:tab w:val="clear" w:pos="567"/>
        </w:tabs>
        <w:autoSpaceDE w:val="0"/>
        <w:autoSpaceDN w:val="0"/>
        <w:spacing w:line="240" w:lineRule="auto"/>
        <w:ind w:left="900" w:hanging="360"/>
        <w:rPr>
          <w:snapToGrid/>
          <w:szCs w:val="22"/>
          <w:lang w:val="lt-LT"/>
        </w:rPr>
      </w:pPr>
    </w:p>
    <w:p w14:paraId="566E013C"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55324B1D"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05787C18" w14:textId="77777777" w:rsidR="00890384" w:rsidRDefault="00B26795">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7A3D4F0D"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1D0E979E"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(vaskulitas), dėl kurio gali atsirasti odos išbėrimas arba ryškios, plokščios, raudonos, apvalios dėmės po odos paviršiumi arba mėlynės (kraujosruvos).</w:t>
      </w:r>
    </w:p>
    <w:p w14:paraId="53DB3F78" w14:textId="77777777" w:rsidR="00890384" w:rsidRDefault="00890384">
      <w:pPr>
        <w:widowControl w:val="0"/>
        <w:tabs>
          <w:tab w:val="clear" w:pos="567"/>
        </w:tabs>
        <w:autoSpaceDE w:val="0"/>
        <w:autoSpaceDN w:val="0"/>
        <w:spacing w:line="240" w:lineRule="auto"/>
      </w:pPr>
    </w:p>
    <w:p w14:paraId="1D1ECBD7" w14:textId="62361647" w:rsidR="00890384" w:rsidRDefault="007446FB">
      <w:pPr>
        <w:widowControl w:val="0"/>
        <w:tabs>
          <w:tab w:val="clear" w:pos="567"/>
        </w:tabs>
        <w:autoSpaceDE w:val="0"/>
        <w:autoSpaceDN w:val="0"/>
        <w:spacing w:line="240" w:lineRule="auto"/>
      </w:pPr>
      <w:r>
        <w:t>Kitas</w:t>
      </w:r>
      <w:r w:rsidR="00B26795">
        <w:t xml:space="preserve"> šalutinis poveikis</w:t>
      </w:r>
      <w:r>
        <w:t>, kuris gali pasireikšti</w:t>
      </w:r>
      <w:r w:rsidR="00B26795">
        <w:t xml:space="preserve"> vaikams ir paaugliams</w:t>
      </w:r>
    </w:p>
    <w:p w14:paraId="417ECA80" w14:textId="77777777" w:rsidR="00890384" w:rsidRDefault="00890384">
      <w:pPr>
        <w:widowControl w:val="0"/>
        <w:tabs>
          <w:tab w:val="clear" w:pos="567"/>
        </w:tabs>
        <w:autoSpaceDE w:val="0"/>
        <w:autoSpaceDN w:val="0"/>
        <w:spacing w:line="240" w:lineRule="auto"/>
      </w:pPr>
    </w:p>
    <w:p w14:paraId="382B70B5" w14:textId="77777777" w:rsidR="00890384" w:rsidRDefault="00B26795">
      <w:pPr>
        <w:widowControl w:val="0"/>
        <w:tabs>
          <w:tab w:val="clear" w:pos="567"/>
        </w:tabs>
        <w:autoSpaceDE w:val="0"/>
        <w:autoSpaceDN w:val="0"/>
        <w:spacing w:line="240" w:lineRule="auto"/>
      </w:pPr>
      <w:r>
        <w:t xml:space="preserve">Jeigu pastebėjote bet kurį iš šių simptomų, </w:t>
      </w:r>
      <w:r>
        <w:rPr>
          <w:b/>
          <w:bCs/>
        </w:rPr>
        <w:t>nedelsdami kreipkitės į vaiko gydytoją</w:t>
      </w:r>
      <w:r>
        <w:t>:</w:t>
      </w:r>
    </w:p>
    <w:p w14:paraId="758FB248" w14:textId="77777777" w:rsidR="00890384" w:rsidRPr="005261E3" w:rsidRDefault="00B26795">
      <w:pPr>
        <w:widowControl w:val="0"/>
        <w:numPr>
          <w:ilvl w:val="0"/>
          <w:numId w:val="31"/>
        </w:numPr>
        <w:autoSpaceDE w:val="0"/>
        <w:autoSpaceDN w:val="0"/>
        <w:spacing w:line="240" w:lineRule="auto"/>
        <w:ind w:left="567" w:hanging="567"/>
        <w:rPr>
          <w:snapToGrid/>
          <w:szCs w:val="22"/>
          <w:lang w:val="lt-LT"/>
        </w:rPr>
      </w:pPr>
      <w:r>
        <w:t>Alerginės (padidėjusio jautrumo) reakcijos, kurios gali sukelti: veido, lūpų, burnos, liežuvio ir (arba) gerklės patinimą bei kvėpavimo pasunkėjimą. Šis šalutinis poveikis yra dažnas (gali pasireikšti rečiau kaip 1 iš 10 asmenų).</w:t>
      </w:r>
    </w:p>
    <w:p w14:paraId="24B76EE4" w14:textId="77777777" w:rsidR="00890384" w:rsidRDefault="00890384" w:rsidP="005261E3">
      <w:pPr>
        <w:widowControl w:val="0"/>
        <w:autoSpaceDE w:val="0"/>
        <w:autoSpaceDN w:val="0"/>
        <w:spacing w:line="240" w:lineRule="auto"/>
        <w:rPr>
          <w:snapToGrid/>
          <w:szCs w:val="22"/>
          <w:lang w:val="lt-LT"/>
        </w:rPr>
      </w:pPr>
    </w:p>
    <w:p w14:paraId="2C25E8B0" w14:textId="77777777" w:rsidR="00890384" w:rsidRDefault="00B26795">
      <w:pPr>
        <w:widowControl w:val="0"/>
        <w:autoSpaceDE w:val="0"/>
        <w:autoSpaceDN w:val="0"/>
        <w:spacing w:line="240" w:lineRule="auto"/>
      </w:pPr>
      <w:r>
        <w:t>Apskritai vaikams ir paaugliams, gydytiemsAboxoma,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455C62D5" w14:textId="77777777" w:rsidR="00890384" w:rsidRDefault="00890384">
      <w:pPr>
        <w:widowControl w:val="0"/>
        <w:autoSpaceDE w:val="0"/>
        <w:autoSpaceDN w:val="0"/>
        <w:spacing w:line="240" w:lineRule="auto"/>
        <w:rPr>
          <w:snapToGrid/>
          <w:szCs w:val="22"/>
          <w:lang w:val="lt-LT"/>
        </w:rPr>
      </w:pPr>
    </w:p>
    <w:p w14:paraId="04485661" w14:textId="77777777" w:rsidR="00890384" w:rsidRDefault="00B26795">
      <w:pPr>
        <w:widowControl w:val="0"/>
        <w:autoSpaceDE w:val="0"/>
        <w:autoSpaceDN w:val="0"/>
        <w:spacing w:line="240" w:lineRule="auto"/>
        <w:rPr>
          <w:snapToGrid/>
          <w:szCs w:val="22"/>
          <w:lang w:val="lt-LT"/>
        </w:rPr>
      </w:pPr>
      <w:r>
        <w:rPr>
          <w:b/>
          <w:bCs/>
        </w:rPr>
        <w:t>Labai dažni šalutinio poveikio reiškiniai (gali pasireikšti ne rečiau kaip 1 iš 10 asmenų):</w:t>
      </w:r>
    </w:p>
    <w:p w14:paraId="66268846" w14:textId="50019508" w:rsidR="00890384" w:rsidRDefault="007446FB">
      <w:pPr>
        <w:widowControl w:val="0"/>
        <w:numPr>
          <w:ilvl w:val="0"/>
          <w:numId w:val="31"/>
        </w:numPr>
        <w:autoSpaceDE w:val="0"/>
        <w:autoSpaceDN w:val="0"/>
        <w:spacing w:line="240" w:lineRule="auto"/>
        <w:ind w:left="567" w:hanging="567"/>
        <w:rPr>
          <w:snapToGrid/>
          <w:szCs w:val="22"/>
          <w:lang w:val="lt-LT"/>
        </w:rPr>
      </w:pPr>
      <w:r>
        <w:t>k</w:t>
      </w:r>
      <w:r w:rsidR="00B26795">
        <w:t>raujavimas, įskaitant:</w:t>
      </w:r>
    </w:p>
    <w:p w14:paraId="6F46D8BE"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makšties;</w:t>
      </w:r>
    </w:p>
    <w:p w14:paraId="0BF5DFC5"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lastRenderedPageBreak/>
        <w:t>kraujavimą iš nosies.</w:t>
      </w:r>
    </w:p>
    <w:p w14:paraId="72964E06" w14:textId="77777777" w:rsidR="00890384" w:rsidRDefault="00890384">
      <w:pPr>
        <w:widowControl w:val="0"/>
        <w:autoSpaceDE w:val="0"/>
        <w:autoSpaceDN w:val="0"/>
        <w:spacing w:line="240" w:lineRule="auto"/>
        <w:rPr>
          <w:snapToGrid/>
          <w:szCs w:val="22"/>
          <w:lang w:val="lt-LT"/>
        </w:rPr>
      </w:pPr>
    </w:p>
    <w:p w14:paraId="0B3C24A2" w14:textId="77777777" w:rsidR="00890384" w:rsidRDefault="00B26795">
      <w:pPr>
        <w:widowControl w:val="0"/>
        <w:autoSpaceDE w:val="0"/>
        <w:autoSpaceDN w:val="0"/>
        <w:spacing w:line="240" w:lineRule="auto"/>
        <w:rPr>
          <w:b/>
          <w:bCs/>
          <w:snapToGrid/>
          <w:szCs w:val="22"/>
          <w:lang w:val="lt-LT"/>
        </w:rPr>
      </w:pPr>
      <w:r>
        <w:rPr>
          <w:b/>
          <w:bCs/>
        </w:rPr>
        <w:t>Dažni šalutinio poveikio reiškiniai (gali pasireikšti rečiau kaip 1 iš 10 asmenų):</w:t>
      </w:r>
    </w:p>
    <w:p w14:paraId="1D56166C" w14:textId="67BF3BAE" w:rsidR="00890384" w:rsidRDefault="007446FB">
      <w:pPr>
        <w:widowControl w:val="0"/>
        <w:numPr>
          <w:ilvl w:val="0"/>
          <w:numId w:val="31"/>
        </w:numPr>
        <w:autoSpaceDE w:val="0"/>
        <w:autoSpaceDN w:val="0"/>
        <w:spacing w:line="240" w:lineRule="auto"/>
        <w:ind w:left="567" w:hanging="567"/>
        <w:rPr>
          <w:snapToGrid/>
          <w:szCs w:val="22"/>
          <w:lang w:val="lt-LT"/>
        </w:rPr>
      </w:pPr>
      <w:r>
        <w:t>k</w:t>
      </w:r>
      <w:r w:rsidR="00B26795">
        <w:t>raujavimas, įskaitant:</w:t>
      </w:r>
    </w:p>
    <w:p w14:paraId="0AA6F039"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dantenų;</w:t>
      </w:r>
    </w:p>
    <w:p w14:paraId="415A7D05"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kraują šlapime;</w:t>
      </w:r>
    </w:p>
    <w:p w14:paraId="477AF924"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mėlynių (kraujosruvų) atsiradimą ir patinimą;</w:t>
      </w:r>
    </w:p>
    <w:p w14:paraId="53B4A920"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žarnyno arba tiesiosios žarnos;</w:t>
      </w:r>
    </w:p>
    <w:p w14:paraId="54C922AA"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ryškaus (raudono) kraujo atsiradimą išmatose;</w:t>
      </w:r>
    </w:p>
    <w:p w14:paraId="4343BF21"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po operacijos pasireiškiantį kraujavimą, įskaitant mėlynes (kraujosruvas) ir patinimą, kraujo sunkimąsi iš chirurginės žaizdos (pjūvio) vietos (žaizdos sekreciją) arba injekcijos vietų</w:t>
      </w:r>
    </w:p>
    <w:p w14:paraId="190839FF" w14:textId="2E617201" w:rsidR="00890384" w:rsidRDefault="007446FB">
      <w:pPr>
        <w:widowControl w:val="0"/>
        <w:numPr>
          <w:ilvl w:val="0"/>
          <w:numId w:val="31"/>
        </w:numPr>
        <w:autoSpaceDE w:val="0"/>
        <w:autoSpaceDN w:val="0"/>
        <w:spacing w:line="240" w:lineRule="auto"/>
        <w:ind w:left="567" w:hanging="567"/>
        <w:rPr>
          <w:snapToGrid/>
          <w:szCs w:val="22"/>
          <w:lang w:val="lt-LT"/>
        </w:rPr>
      </w:pPr>
      <w:r>
        <w:t>p</w:t>
      </w:r>
      <w:r w:rsidR="00B26795">
        <w:t>laukų slinkimas;</w:t>
      </w:r>
    </w:p>
    <w:p w14:paraId="6BA5996A" w14:textId="6B5F6A80" w:rsidR="00890384" w:rsidRDefault="007446FB">
      <w:pPr>
        <w:widowControl w:val="0"/>
        <w:numPr>
          <w:ilvl w:val="0"/>
          <w:numId w:val="31"/>
        </w:numPr>
        <w:autoSpaceDE w:val="0"/>
        <w:autoSpaceDN w:val="0"/>
        <w:spacing w:line="240" w:lineRule="auto"/>
        <w:ind w:left="567" w:hanging="567"/>
        <w:rPr>
          <w:snapToGrid/>
          <w:szCs w:val="22"/>
          <w:lang w:val="lt-LT"/>
        </w:rPr>
      </w:pPr>
      <w:r>
        <w:t>m</w:t>
      </w:r>
      <w:r w:rsidR="00B26795">
        <w:t>ažakraujystė, dėl kurios gali pasireikšti nuovargis ar blyškumas;</w:t>
      </w:r>
    </w:p>
    <w:p w14:paraId="4AFB7709" w14:textId="46859E0C" w:rsidR="00890384" w:rsidRDefault="007446FB">
      <w:pPr>
        <w:widowControl w:val="0"/>
        <w:numPr>
          <w:ilvl w:val="0"/>
          <w:numId w:val="31"/>
        </w:numPr>
        <w:autoSpaceDE w:val="0"/>
        <w:autoSpaceDN w:val="0"/>
        <w:spacing w:line="240" w:lineRule="auto"/>
        <w:ind w:left="567" w:hanging="567"/>
        <w:rPr>
          <w:snapToGrid/>
          <w:szCs w:val="22"/>
          <w:lang w:val="lt-LT"/>
        </w:rPr>
      </w:pPr>
      <w:r>
        <w:t>s</w:t>
      </w:r>
      <w:r w:rsidR="00B26795">
        <w:t>umažėjęs trombocitų (kraujo plokštelių) skaičius vaiko kraujyje (dėl ko gali sutrikti krešėjimas);</w:t>
      </w:r>
    </w:p>
    <w:p w14:paraId="2C12741B" w14:textId="0F0CFB6B" w:rsidR="00890384" w:rsidRDefault="007446FB">
      <w:pPr>
        <w:widowControl w:val="0"/>
        <w:numPr>
          <w:ilvl w:val="0"/>
          <w:numId w:val="31"/>
        </w:numPr>
        <w:autoSpaceDE w:val="0"/>
        <w:autoSpaceDN w:val="0"/>
        <w:spacing w:line="240" w:lineRule="auto"/>
        <w:ind w:left="567" w:hanging="567"/>
        <w:rPr>
          <w:snapToGrid/>
          <w:szCs w:val="22"/>
          <w:lang w:val="lt-LT"/>
        </w:rPr>
      </w:pPr>
      <w:r>
        <w:t>p</w:t>
      </w:r>
      <w:r w:rsidR="00B26795">
        <w:t>ykinimas (šleikštulys);</w:t>
      </w:r>
    </w:p>
    <w:p w14:paraId="5AFCEF7F" w14:textId="0015EF2C" w:rsidR="00890384" w:rsidRDefault="007446FB">
      <w:pPr>
        <w:widowControl w:val="0"/>
        <w:numPr>
          <w:ilvl w:val="0"/>
          <w:numId w:val="31"/>
        </w:numPr>
        <w:autoSpaceDE w:val="0"/>
        <w:autoSpaceDN w:val="0"/>
        <w:spacing w:line="240" w:lineRule="auto"/>
        <w:ind w:left="567" w:hanging="567"/>
        <w:rPr>
          <w:snapToGrid/>
          <w:szCs w:val="22"/>
          <w:lang w:val="lt-LT"/>
        </w:rPr>
      </w:pPr>
      <w:r>
        <w:t>o</w:t>
      </w:r>
      <w:r w:rsidR="00B26795">
        <w:t>dos išbėrimas;</w:t>
      </w:r>
    </w:p>
    <w:p w14:paraId="347CC41D" w14:textId="64852068" w:rsidR="00890384" w:rsidRDefault="007446FB">
      <w:pPr>
        <w:widowControl w:val="0"/>
        <w:numPr>
          <w:ilvl w:val="0"/>
          <w:numId w:val="31"/>
        </w:numPr>
        <w:autoSpaceDE w:val="0"/>
        <w:autoSpaceDN w:val="0"/>
        <w:spacing w:line="240" w:lineRule="auto"/>
        <w:ind w:left="567" w:hanging="567"/>
        <w:rPr>
          <w:snapToGrid/>
          <w:szCs w:val="22"/>
          <w:lang w:val="lt-LT"/>
        </w:rPr>
      </w:pPr>
      <w:r>
        <w:t>n</w:t>
      </w:r>
      <w:r w:rsidR="00B26795">
        <w:t>iežulys;</w:t>
      </w:r>
    </w:p>
    <w:p w14:paraId="317C525F" w14:textId="6239232D" w:rsidR="00890384" w:rsidRDefault="007446FB">
      <w:pPr>
        <w:widowControl w:val="0"/>
        <w:numPr>
          <w:ilvl w:val="0"/>
          <w:numId w:val="31"/>
        </w:numPr>
        <w:autoSpaceDE w:val="0"/>
        <w:autoSpaceDN w:val="0"/>
        <w:spacing w:line="240" w:lineRule="auto"/>
        <w:ind w:left="567" w:hanging="567"/>
        <w:rPr>
          <w:snapToGrid/>
          <w:szCs w:val="22"/>
          <w:lang w:val="lt-LT"/>
        </w:rPr>
      </w:pPr>
      <w:r>
        <w:t>s</w:t>
      </w:r>
      <w:r w:rsidR="00B26795">
        <w:t>umažėjęs kraujospūdis, dėl ko vaikas gali jausti silpnumą (alpti) ar gali padažnėti širdies susitraukimų ritmas (pulsas);</w:t>
      </w:r>
    </w:p>
    <w:p w14:paraId="0970C515" w14:textId="45076451" w:rsidR="00890384" w:rsidRDefault="007446FB">
      <w:pPr>
        <w:widowControl w:val="0"/>
        <w:numPr>
          <w:ilvl w:val="0"/>
          <w:numId w:val="31"/>
        </w:numPr>
        <w:autoSpaceDE w:val="0"/>
        <w:autoSpaceDN w:val="0"/>
        <w:spacing w:line="240" w:lineRule="auto"/>
        <w:ind w:left="567" w:hanging="567"/>
        <w:rPr>
          <w:snapToGrid/>
          <w:szCs w:val="22"/>
          <w:lang w:val="lt-LT"/>
        </w:rPr>
      </w:pPr>
      <w:r>
        <w:t>k</w:t>
      </w:r>
      <w:r w:rsidR="00B26795">
        <w:t>raujo tyrimų pokyčiai, kurie gali rodyti:</w:t>
      </w:r>
    </w:p>
    <w:p w14:paraId="46455D71" w14:textId="47A051A4"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sutrikusią kepenų </w:t>
      </w:r>
      <w:r w:rsidR="007446FB">
        <w:t>funkciją</w:t>
      </w:r>
      <w:r>
        <w:t>;</w:t>
      </w:r>
    </w:p>
    <w:p w14:paraId="6E1E9556"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kai kurių kepenų fermentų aktyvumą;</w:t>
      </w:r>
    </w:p>
    <w:p w14:paraId="2653E38E"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alaninaminotransferazės (ALT) aktyvumą.</w:t>
      </w:r>
    </w:p>
    <w:p w14:paraId="7B4D73DB" w14:textId="77777777" w:rsidR="00890384" w:rsidRDefault="00890384">
      <w:pPr>
        <w:widowControl w:val="0"/>
        <w:tabs>
          <w:tab w:val="clear" w:pos="567"/>
          <w:tab w:val="left" w:pos="1372"/>
        </w:tabs>
        <w:autoSpaceDE w:val="0"/>
        <w:autoSpaceDN w:val="0"/>
        <w:spacing w:line="240" w:lineRule="auto"/>
      </w:pPr>
    </w:p>
    <w:p w14:paraId="65629E61" w14:textId="77777777" w:rsidR="00890384" w:rsidRDefault="00B26795">
      <w:pPr>
        <w:widowControl w:val="0"/>
        <w:tabs>
          <w:tab w:val="clear" w:pos="567"/>
          <w:tab w:val="left" w:pos="1372"/>
        </w:tabs>
        <w:autoSpaceDE w:val="0"/>
        <w:autoSpaceDN w:val="0"/>
        <w:spacing w:line="240" w:lineRule="auto"/>
        <w:rPr>
          <w:b/>
          <w:bCs/>
          <w:snapToGrid/>
          <w:szCs w:val="22"/>
          <w:lang w:val="en-US"/>
        </w:rPr>
      </w:pPr>
      <w:r>
        <w:rPr>
          <w:b/>
          <w:bCs/>
        </w:rPr>
        <w:t>Dažnis nežinomas (negali būti apskaičiuotas pagal turimus duomenis):</w:t>
      </w:r>
    </w:p>
    <w:p w14:paraId="1362D8F7" w14:textId="6C68CEBA" w:rsidR="00890384" w:rsidRDefault="007446FB">
      <w:pPr>
        <w:widowControl w:val="0"/>
        <w:numPr>
          <w:ilvl w:val="0"/>
          <w:numId w:val="31"/>
        </w:numPr>
        <w:autoSpaceDE w:val="0"/>
        <w:autoSpaceDN w:val="0"/>
        <w:spacing w:line="240" w:lineRule="auto"/>
        <w:ind w:left="567" w:hanging="567"/>
        <w:rPr>
          <w:snapToGrid/>
          <w:szCs w:val="22"/>
          <w:lang w:val="lt-LT"/>
        </w:rPr>
      </w:pPr>
      <w:r>
        <w:t>k</w:t>
      </w:r>
      <w:r w:rsidR="00B26795">
        <w:t>raujavimas:</w:t>
      </w:r>
    </w:p>
    <w:p w14:paraId="522A3A85" w14:textId="0BCFA0B9"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į pilvo ertmę arba </w:t>
      </w:r>
      <w:r w:rsidR="007446FB">
        <w:t>už jos</w:t>
      </w:r>
      <w:r>
        <w:t xml:space="preserve"> esančią ertmę;</w:t>
      </w:r>
    </w:p>
    <w:p w14:paraId="3913E266"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skrandyje;</w:t>
      </w:r>
    </w:p>
    <w:p w14:paraId="4AE133FA"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akis;</w:t>
      </w:r>
    </w:p>
    <w:p w14:paraId="3C93DE41" w14:textId="6692F7CC"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burno</w:t>
      </w:r>
      <w:r w:rsidR="007446FB">
        <w:t>je</w:t>
      </w:r>
      <w:r>
        <w:t>;</w:t>
      </w:r>
    </w:p>
    <w:p w14:paraId="0FC234B0"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iš hemoroidų (tiesiosios žarnos venų mazginių išsiplėtimų);</w:t>
      </w:r>
    </w:p>
    <w:p w14:paraId="286C0BF2"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iš burnos arba kraujas atkosėtuose skrepliuose;</w:t>
      </w:r>
    </w:p>
    <w:p w14:paraId="54130BBE"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galvos arba nugaros smegenis;</w:t>
      </w:r>
    </w:p>
    <w:p w14:paraId="79B66724"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plaučiuose;</w:t>
      </w:r>
    </w:p>
    <w:p w14:paraId="659FB83A"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raumenis;</w:t>
      </w:r>
    </w:p>
    <w:p w14:paraId="3B6B757E" w14:textId="42D69910" w:rsidR="00890384" w:rsidRDefault="007446FB">
      <w:pPr>
        <w:widowControl w:val="0"/>
        <w:numPr>
          <w:ilvl w:val="0"/>
          <w:numId w:val="31"/>
        </w:numPr>
        <w:autoSpaceDE w:val="0"/>
        <w:autoSpaceDN w:val="0"/>
        <w:spacing w:line="240" w:lineRule="auto"/>
        <w:ind w:left="567" w:hanging="567"/>
        <w:rPr>
          <w:snapToGrid/>
          <w:szCs w:val="22"/>
          <w:lang w:val="lt-LT"/>
        </w:rPr>
      </w:pPr>
      <w:r>
        <w:t>o</w:t>
      </w:r>
      <w:r w:rsidR="00B26795">
        <w:t>dos bėrimas, dėl kurio gali susidaryti pūslės arba dėmės, atrodančios kaip maži taikiniai (tamsus taškas viduryje, apjuostas šviesesniu apskritimu su tamsiu išoriniu žiedu; toks išbėrimas vadinamas daugiaforme raudone);</w:t>
      </w:r>
    </w:p>
    <w:p w14:paraId="2487363F" w14:textId="1606E191" w:rsidR="00890384" w:rsidRDefault="007446FB">
      <w:pPr>
        <w:widowControl w:val="0"/>
        <w:numPr>
          <w:ilvl w:val="0"/>
          <w:numId w:val="31"/>
        </w:numPr>
        <w:autoSpaceDE w:val="0"/>
        <w:autoSpaceDN w:val="0"/>
        <w:spacing w:line="240" w:lineRule="auto"/>
        <w:ind w:left="567" w:hanging="567"/>
        <w:rPr>
          <w:snapToGrid/>
          <w:szCs w:val="22"/>
          <w:lang w:val="lt-LT"/>
        </w:rPr>
      </w:pPr>
      <w:r>
        <w:t>k</w:t>
      </w:r>
      <w:r w:rsidR="00B26795">
        <w:t>raujagyslių uždegimas (vaskulitas), dėl kurio gali atsirasti odos bėrimas arba ryškios, plokščios, raudonos, apvalios dėmės po od</w:t>
      </w:r>
      <w:r>
        <w:t>a</w:t>
      </w:r>
      <w:r w:rsidR="00B26795">
        <w:t xml:space="preserve"> arba mėlynės (kraujosruvos);</w:t>
      </w:r>
    </w:p>
    <w:p w14:paraId="7238CFB2" w14:textId="77777777" w:rsidR="00890384" w:rsidRDefault="00B26795">
      <w:pPr>
        <w:widowControl w:val="0"/>
        <w:numPr>
          <w:ilvl w:val="0"/>
          <w:numId w:val="31"/>
        </w:numPr>
        <w:autoSpaceDE w:val="0"/>
        <w:autoSpaceDN w:val="0"/>
        <w:spacing w:line="240" w:lineRule="auto"/>
        <w:ind w:left="567" w:hanging="567"/>
        <w:rPr>
          <w:snapToGrid/>
          <w:szCs w:val="22"/>
          <w:lang w:val="lt-LT"/>
        </w:rPr>
      </w:pPr>
      <w:r>
        <w:t>Kraujo tyrimų pokyčiai, kurie gali rodyti:</w:t>
      </w:r>
    </w:p>
    <w:p w14:paraId="0884E471"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gama gliutamiltransferazės (GGT) aktyvumą kraujyje;</w:t>
      </w:r>
    </w:p>
    <w:p w14:paraId="6D3C716E" w14:textId="77777777" w:rsidR="00890384" w:rsidRDefault="00B26795">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laboratoriniais tyrimais nustatomas kraujas išmatose arba šlapime.</w:t>
      </w:r>
    </w:p>
    <w:p w14:paraId="04D42775" w14:textId="777777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59FA7630" w14:textId="2108429B" w:rsidR="00890384" w:rsidRDefault="00B26795">
      <w:pPr>
        <w:ind w:right="-1"/>
        <w:rPr>
          <w:snapToGrid/>
          <w:lang w:val="lt-LT"/>
        </w:rPr>
      </w:pPr>
      <w:r>
        <w:rPr>
          <w:snapToGrid/>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w:t>
      </w:r>
      <w:r w:rsidR="007446FB">
        <w:rPr>
          <w:snapToGrid/>
          <w:szCs w:val="22"/>
          <w:lang w:val="lt-LT" w:eastAsia="lt-LT"/>
        </w:rPr>
        <w:t>+370</w:t>
      </w:r>
      <w:r>
        <w:rPr>
          <w:snapToGrid/>
          <w:szCs w:val="22"/>
          <w:lang w:val="lt-LT" w:eastAsia="lt-LT"/>
        </w:rPr>
        <w:t xml:space="preserve"> 800 73 568. Pranešdami apie šalutinį poveikį galite mums padėti gauti daugiau informacijos apie šio vaisto saugumą</w:t>
      </w:r>
      <w:r>
        <w:rPr>
          <w:snapToGrid/>
          <w:lang w:val="lt-LT"/>
        </w:rPr>
        <w:t>.</w:t>
      </w:r>
    </w:p>
    <w:p w14:paraId="0791AEC2" w14:textId="77777777" w:rsidR="00890384" w:rsidRDefault="00890384">
      <w:pPr>
        <w:ind w:right="-1"/>
        <w:rPr>
          <w:snapToGrid/>
          <w:szCs w:val="22"/>
          <w:lang w:val="lt-LT"/>
        </w:rPr>
      </w:pPr>
    </w:p>
    <w:p w14:paraId="7AE9EFA9" w14:textId="77777777" w:rsidR="00890384" w:rsidRDefault="00890384">
      <w:pPr>
        <w:widowControl w:val="0"/>
        <w:tabs>
          <w:tab w:val="clear" w:pos="567"/>
        </w:tabs>
        <w:autoSpaceDE w:val="0"/>
        <w:autoSpaceDN w:val="0"/>
        <w:spacing w:line="240" w:lineRule="auto"/>
        <w:rPr>
          <w:snapToGrid/>
          <w:szCs w:val="22"/>
          <w:lang w:val="lt-LT"/>
        </w:rPr>
      </w:pPr>
    </w:p>
    <w:p w14:paraId="7B9C2685" w14:textId="77777777" w:rsidR="00890384" w:rsidRDefault="00B26795">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r>
        <w:rPr>
          <w:b/>
          <w:snapToGrid/>
          <w:color w:val="000000"/>
          <w:szCs w:val="22"/>
          <w:lang w:val="lt-LT"/>
        </w:rPr>
        <w:t>Aboxoma</w:t>
      </w:r>
    </w:p>
    <w:p w14:paraId="307EAD89" w14:textId="77777777" w:rsidR="00890384" w:rsidRDefault="00890384">
      <w:pPr>
        <w:widowControl w:val="0"/>
        <w:tabs>
          <w:tab w:val="clear" w:pos="567"/>
        </w:tabs>
        <w:autoSpaceDE w:val="0"/>
        <w:autoSpaceDN w:val="0"/>
        <w:spacing w:line="240" w:lineRule="auto"/>
        <w:rPr>
          <w:b/>
          <w:snapToGrid/>
          <w:szCs w:val="22"/>
          <w:lang w:val="lt-LT"/>
        </w:rPr>
      </w:pPr>
    </w:p>
    <w:p w14:paraId="06D425EF"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13BFE80A" w14:textId="77777777" w:rsidR="00890384" w:rsidRDefault="00890384">
      <w:pPr>
        <w:widowControl w:val="0"/>
        <w:tabs>
          <w:tab w:val="clear" w:pos="567"/>
        </w:tabs>
        <w:autoSpaceDE w:val="0"/>
        <w:autoSpaceDN w:val="0"/>
        <w:spacing w:line="240" w:lineRule="auto"/>
        <w:rPr>
          <w:snapToGrid/>
          <w:szCs w:val="22"/>
          <w:lang w:val="lt-LT"/>
        </w:rPr>
      </w:pPr>
    </w:p>
    <w:p w14:paraId="4435938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5669C8AF" w14:textId="77777777" w:rsidR="00890384" w:rsidRDefault="00890384">
      <w:pPr>
        <w:widowControl w:val="0"/>
        <w:tabs>
          <w:tab w:val="clear" w:pos="567"/>
        </w:tabs>
        <w:autoSpaceDE w:val="0"/>
        <w:autoSpaceDN w:val="0"/>
        <w:spacing w:line="240" w:lineRule="auto"/>
        <w:rPr>
          <w:snapToGrid/>
          <w:szCs w:val="22"/>
          <w:lang w:val="lt-LT"/>
        </w:rPr>
      </w:pPr>
    </w:p>
    <w:p w14:paraId="3344BA37"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6EA8A53F" w14:textId="77777777" w:rsidR="00890384" w:rsidRDefault="00890384">
      <w:pPr>
        <w:widowControl w:val="0"/>
        <w:tabs>
          <w:tab w:val="clear" w:pos="567"/>
        </w:tabs>
        <w:autoSpaceDE w:val="0"/>
        <w:autoSpaceDN w:val="0"/>
        <w:spacing w:line="240" w:lineRule="auto"/>
        <w:rPr>
          <w:snapToGrid/>
          <w:szCs w:val="22"/>
          <w:lang w:val="lt-LT"/>
        </w:rPr>
      </w:pPr>
    </w:p>
    <w:p w14:paraId="56D856D9"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4488B180" w14:textId="77777777" w:rsidR="00890384" w:rsidRDefault="00890384">
      <w:pPr>
        <w:widowControl w:val="0"/>
        <w:tabs>
          <w:tab w:val="clear" w:pos="567"/>
        </w:tabs>
        <w:autoSpaceDE w:val="0"/>
        <w:autoSpaceDN w:val="0"/>
        <w:spacing w:line="240" w:lineRule="auto"/>
        <w:rPr>
          <w:snapToGrid/>
          <w:szCs w:val="22"/>
          <w:lang w:val="lt-LT"/>
        </w:rPr>
      </w:pPr>
    </w:p>
    <w:p w14:paraId="4B0E6034" w14:textId="77777777" w:rsidR="00890384" w:rsidRDefault="00890384">
      <w:pPr>
        <w:widowControl w:val="0"/>
        <w:tabs>
          <w:tab w:val="clear" w:pos="567"/>
        </w:tabs>
        <w:autoSpaceDE w:val="0"/>
        <w:autoSpaceDN w:val="0"/>
        <w:spacing w:line="240" w:lineRule="auto"/>
        <w:rPr>
          <w:snapToGrid/>
          <w:szCs w:val="22"/>
          <w:lang w:val="lt-LT"/>
        </w:rPr>
      </w:pPr>
    </w:p>
    <w:p w14:paraId="018D8987" w14:textId="77777777" w:rsidR="00890384" w:rsidRDefault="00B26795">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2DE1C354" w14:textId="77777777" w:rsidR="00890384" w:rsidRDefault="00890384">
      <w:pPr>
        <w:widowControl w:val="0"/>
        <w:tabs>
          <w:tab w:val="clear" w:pos="567"/>
          <w:tab w:val="left" w:pos="802"/>
          <w:tab w:val="left" w:pos="803"/>
        </w:tabs>
        <w:autoSpaceDE w:val="0"/>
        <w:autoSpaceDN w:val="0"/>
        <w:spacing w:line="240" w:lineRule="auto"/>
        <w:outlineLvl w:val="1"/>
        <w:rPr>
          <w:b/>
          <w:bCs/>
          <w:snapToGrid/>
          <w:szCs w:val="22"/>
          <w:lang w:val="lt-LT"/>
        </w:rPr>
      </w:pPr>
    </w:p>
    <w:p w14:paraId="490F4BB4" w14:textId="77777777" w:rsidR="00890384" w:rsidRDefault="00B26795">
      <w:pPr>
        <w:widowControl w:val="0"/>
        <w:tabs>
          <w:tab w:val="clear" w:pos="567"/>
          <w:tab w:val="left" w:pos="802"/>
          <w:tab w:val="left" w:pos="803"/>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sudėtis</w:t>
      </w:r>
    </w:p>
    <w:p w14:paraId="6AD803BB"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Veiklioji medžiaga yra apiksabanas. Kiekvienoje plėvele dengtoje tabletėje yra 5 mg apiksabano.</w:t>
      </w:r>
    </w:p>
    <w:p w14:paraId="7C13FC17" w14:textId="77777777" w:rsidR="00890384" w:rsidRDefault="00B26795">
      <w:pPr>
        <w:widowControl w:val="0"/>
        <w:numPr>
          <w:ilvl w:val="0"/>
          <w:numId w:val="31"/>
        </w:numPr>
        <w:autoSpaceDE w:val="0"/>
        <w:autoSpaceDN w:val="0"/>
        <w:spacing w:line="240" w:lineRule="auto"/>
        <w:ind w:left="567" w:hanging="567"/>
        <w:rPr>
          <w:snapToGrid/>
          <w:szCs w:val="22"/>
          <w:lang w:val="lt-LT"/>
        </w:rPr>
      </w:pPr>
      <w:r>
        <w:rPr>
          <w:snapToGrid/>
          <w:szCs w:val="22"/>
          <w:lang w:val="lt-LT"/>
        </w:rPr>
        <w:t>Pagalbinės medžiagos yra: mikrokristalinė celiuliozė (E460), laktozė monohidratas, kroskarmeliozės natrio druska (E468), natrio laurilsulfatas, hidroksietilceliuliozė ir magnio stearatas (E470b) (tabletės šerdis), hipromeliozė (E464), propilenglikolis (E1520), titano dioksidas (E171), talkas (E553b) ir geltonasis geležies oksidas (E172) (tabletės plėvelė). Žr. 2 skyrių „</w:t>
      </w:r>
      <w:r>
        <w:rPr>
          <w:snapToGrid/>
          <w:color w:val="000000"/>
          <w:szCs w:val="22"/>
          <w:lang w:val="lt-LT"/>
        </w:rPr>
        <w:t>Aboxoma</w:t>
      </w:r>
      <w:r>
        <w:rPr>
          <w:snapToGrid/>
          <w:szCs w:val="22"/>
          <w:lang w:val="lt-LT"/>
        </w:rPr>
        <w:t xml:space="preserve"> sudėtyje yra laktozės ir natrio“.</w:t>
      </w:r>
    </w:p>
    <w:p w14:paraId="25BAF292" w14:textId="77777777" w:rsidR="00890384" w:rsidRDefault="00890384">
      <w:pPr>
        <w:widowControl w:val="0"/>
        <w:tabs>
          <w:tab w:val="clear" w:pos="567"/>
        </w:tabs>
        <w:autoSpaceDE w:val="0"/>
        <w:autoSpaceDN w:val="0"/>
        <w:spacing w:line="240" w:lineRule="auto"/>
        <w:rPr>
          <w:snapToGrid/>
          <w:szCs w:val="22"/>
          <w:lang w:val="lt-LT"/>
        </w:rPr>
      </w:pPr>
    </w:p>
    <w:p w14:paraId="0FF89A64" w14:textId="77777777" w:rsidR="00890384" w:rsidRDefault="00B26795">
      <w:pPr>
        <w:widowControl w:val="0"/>
        <w:tabs>
          <w:tab w:val="clear" w:pos="567"/>
        </w:tabs>
        <w:autoSpaceDE w:val="0"/>
        <w:autoSpaceDN w:val="0"/>
        <w:spacing w:line="240" w:lineRule="auto"/>
        <w:outlineLvl w:val="1"/>
        <w:rPr>
          <w:b/>
          <w:bCs/>
          <w:snapToGrid/>
          <w:szCs w:val="22"/>
          <w:lang w:val="lt-LT"/>
        </w:rPr>
      </w:pPr>
      <w:r>
        <w:rPr>
          <w:b/>
          <w:snapToGrid/>
          <w:color w:val="000000"/>
          <w:szCs w:val="22"/>
          <w:lang w:val="lt-LT"/>
        </w:rPr>
        <w:t>Aboxoma</w:t>
      </w:r>
      <w:r>
        <w:rPr>
          <w:b/>
          <w:bCs/>
          <w:snapToGrid/>
          <w:szCs w:val="22"/>
          <w:lang w:val="lt-LT"/>
        </w:rPr>
        <w:t xml:space="preserve"> išvaizda ir kiekis pakuotėje</w:t>
      </w:r>
    </w:p>
    <w:p w14:paraId="4F47AF84" w14:textId="77777777" w:rsidR="00890384" w:rsidRDefault="00B26795">
      <w:pPr>
        <w:widowControl w:val="0"/>
        <w:tabs>
          <w:tab w:val="clear" w:pos="567"/>
        </w:tabs>
        <w:spacing w:line="240" w:lineRule="auto"/>
        <w:rPr>
          <w:snapToGrid/>
          <w:szCs w:val="22"/>
          <w:lang w:val="lt-LT"/>
        </w:rPr>
      </w:pPr>
      <w:r>
        <w:rPr>
          <w:snapToGrid/>
          <w:szCs w:val="22"/>
          <w:lang w:val="lt-LT"/>
        </w:rPr>
        <w:t>Rusvai geltonos, ovalios abipus išgaubtos plėvele dengtos tabletės (tabletės), vienoje pusėje yra žyma „5“.</w:t>
      </w:r>
    </w:p>
    <w:p w14:paraId="0C2535D8" w14:textId="77777777" w:rsidR="00890384" w:rsidRDefault="00B26795">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0A8F5F9C" w14:textId="77777777" w:rsidR="00890384" w:rsidRDefault="00890384">
      <w:pPr>
        <w:widowControl w:val="0"/>
        <w:tabs>
          <w:tab w:val="clear" w:pos="567"/>
        </w:tabs>
        <w:autoSpaceDE w:val="0"/>
        <w:autoSpaceDN w:val="0"/>
        <w:spacing w:line="240" w:lineRule="auto"/>
        <w:rPr>
          <w:snapToGrid/>
          <w:szCs w:val="22"/>
          <w:lang w:val="lt-LT"/>
        </w:rPr>
      </w:pPr>
    </w:p>
    <w:p w14:paraId="3953A9BB" w14:textId="77777777"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tiekiamas dėžutėse, kuriose yra:</w:t>
      </w:r>
    </w:p>
    <w:p w14:paraId="59A33E67" w14:textId="77777777" w:rsidR="00890384" w:rsidRDefault="00B26795">
      <w:pPr>
        <w:widowControl w:val="0"/>
        <w:numPr>
          <w:ilvl w:val="0"/>
          <w:numId w:val="33"/>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669DDC98" w14:textId="77777777" w:rsidR="00890384" w:rsidRDefault="00890384">
      <w:pPr>
        <w:widowControl w:val="0"/>
        <w:tabs>
          <w:tab w:val="clear" w:pos="567"/>
        </w:tabs>
        <w:autoSpaceDE w:val="0"/>
        <w:autoSpaceDN w:val="0"/>
        <w:spacing w:line="240" w:lineRule="auto"/>
        <w:rPr>
          <w:snapToGrid/>
          <w:szCs w:val="22"/>
          <w:lang w:val="lt-LT"/>
        </w:rPr>
      </w:pPr>
    </w:p>
    <w:p w14:paraId="512491A1" w14:textId="77777777" w:rsidR="00890384" w:rsidRDefault="00B26795">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02F3A23C" w14:textId="77777777" w:rsidR="00890384" w:rsidRDefault="00890384">
      <w:pPr>
        <w:widowControl w:val="0"/>
        <w:tabs>
          <w:tab w:val="clear" w:pos="567"/>
        </w:tabs>
        <w:autoSpaceDE w:val="0"/>
        <w:autoSpaceDN w:val="0"/>
        <w:spacing w:line="240" w:lineRule="auto"/>
        <w:rPr>
          <w:snapToGrid/>
          <w:szCs w:val="22"/>
          <w:lang w:val="lt-LT"/>
        </w:rPr>
      </w:pPr>
    </w:p>
    <w:p w14:paraId="57A39BFB" w14:textId="17E2D5C2"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3AA3D144" w14:textId="77777777" w:rsidR="00890384" w:rsidRDefault="00890384">
      <w:pPr>
        <w:widowControl w:val="0"/>
        <w:tabs>
          <w:tab w:val="clear" w:pos="567"/>
        </w:tabs>
        <w:autoSpaceDE w:val="0"/>
        <w:autoSpaceDN w:val="0"/>
        <w:spacing w:line="240" w:lineRule="auto"/>
        <w:rPr>
          <w:snapToGrid/>
          <w:szCs w:val="22"/>
          <w:lang w:val="lt-LT"/>
        </w:rPr>
      </w:pPr>
    </w:p>
    <w:p w14:paraId="399FE975" w14:textId="742F314A" w:rsidR="00890384" w:rsidRDefault="00B26795">
      <w:pPr>
        <w:widowControl w:val="0"/>
        <w:tabs>
          <w:tab w:val="clear" w:pos="567"/>
        </w:tabs>
        <w:autoSpaceDE w:val="0"/>
        <w:autoSpaceDN w:val="0"/>
        <w:spacing w:line="240" w:lineRule="auto"/>
        <w:rPr>
          <w:snapToGrid/>
          <w:szCs w:val="22"/>
          <w:lang w:val="lt-LT"/>
        </w:rPr>
      </w:pPr>
      <w:r>
        <w:rPr>
          <w:snapToGrid/>
          <w:color w:val="000000"/>
          <w:szCs w:val="22"/>
          <w:lang w:val="lt-LT"/>
        </w:rPr>
        <w:t>Aboxoma</w:t>
      </w:r>
      <w:r>
        <w:rPr>
          <w:snapToGrid/>
          <w:szCs w:val="22"/>
          <w:lang w:val="lt-LT"/>
        </w:rPr>
        <w:t xml:space="preserve"> pakuotėje kartu su pakuotės lapeliu yra paciento kortelė arba gydytojas Jums gali duoti panašią kortelę.</w:t>
      </w:r>
    </w:p>
    <w:p w14:paraId="46CBF97B" w14:textId="77777777" w:rsidR="00890384" w:rsidRDefault="00890384">
      <w:pPr>
        <w:widowControl w:val="0"/>
        <w:tabs>
          <w:tab w:val="clear" w:pos="567"/>
        </w:tabs>
        <w:autoSpaceDE w:val="0"/>
        <w:autoSpaceDN w:val="0"/>
        <w:spacing w:line="240" w:lineRule="auto"/>
        <w:rPr>
          <w:snapToGrid/>
          <w:szCs w:val="22"/>
          <w:lang w:val="lt-LT"/>
        </w:rPr>
      </w:pPr>
    </w:p>
    <w:p w14:paraId="1A2EC492" w14:textId="77777777" w:rsidR="00890384" w:rsidRDefault="00B26795">
      <w:pPr>
        <w:widowControl w:val="0"/>
        <w:tabs>
          <w:tab w:val="clear" w:pos="567"/>
        </w:tabs>
        <w:autoSpaceDE w:val="0"/>
        <w:autoSpaceDN w:val="0"/>
        <w:spacing w:line="240" w:lineRule="auto"/>
        <w:rPr>
          <w:b/>
          <w:snapToGrid/>
          <w:szCs w:val="22"/>
          <w:lang w:val="lt-LT"/>
        </w:rPr>
      </w:pPr>
      <w:r>
        <w:rPr>
          <w:snapToGrid/>
          <w:szCs w:val="22"/>
          <w:lang w:val="lt-LT"/>
        </w:rPr>
        <w:t xml:space="preserve">Paciento įspėjamojoje kortelėje pateikiama informacijos, kuri bus naudinga Jums ir kitus gydytojus įspės, kad vartojate </w:t>
      </w:r>
      <w:r>
        <w:rPr>
          <w:snapToGrid/>
          <w:color w:val="000000"/>
          <w:szCs w:val="22"/>
          <w:lang w:val="lt-LT"/>
        </w:rPr>
        <w:t>Aboxoma</w:t>
      </w:r>
      <w:r>
        <w:rPr>
          <w:snapToGrid/>
          <w:szCs w:val="22"/>
          <w:lang w:val="lt-LT"/>
        </w:rPr>
        <w:t xml:space="preserve">. </w:t>
      </w:r>
      <w:r>
        <w:rPr>
          <w:b/>
          <w:snapToGrid/>
          <w:szCs w:val="22"/>
          <w:lang w:val="lt-LT"/>
        </w:rPr>
        <w:t>Šią kortelę turite visada nešiotis su savimi.</w:t>
      </w:r>
    </w:p>
    <w:p w14:paraId="0F37C333" w14:textId="77777777" w:rsidR="00890384" w:rsidRDefault="00890384">
      <w:pPr>
        <w:widowControl w:val="0"/>
        <w:tabs>
          <w:tab w:val="clear" w:pos="567"/>
        </w:tabs>
        <w:autoSpaceDE w:val="0"/>
        <w:autoSpaceDN w:val="0"/>
        <w:spacing w:line="240" w:lineRule="auto"/>
        <w:rPr>
          <w:b/>
          <w:snapToGrid/>
          <w:szCs w:val="22"/>
          <w:lang w:val="lt-LT"/>
        </w:rPr>
      </w:pPr>
    </w:p>
    <w:p w14:paraId="69482ACE" w14:textId="77777777" w:rsidR="00890384" w:rsidRDefault="00B26795">
      <w:pPr>
        <w:widowControl w:val="0"/>
        <w:numPr>
          <w:ilvl w:val="0"/>
          <w:numId w:val="36"/>
        </w:numPr>
        <w:tabs>
          <w:tab w:val="clear" w:pos="567"/>
        </w:tabs>
        <w:spacing w:line="240" w:lineRule="auto"/>
        <w:ind w:left="567" w:right="-2" w:hanging="567"/>
        <w:rPr>
          <w:snapToGrid/>
          <w:szCs w:val="22"/>
          <w:lang w:val="lt-LT"/>
        </w:rPr>
      </w:pPr>
      <w:r>
        <w:rPr>
          <w:snapToGrid/>
          <w:szCs w:val="22"/>
          <w:lang w:val="lt-LT"/>
        </w:rPr>
        <w:t>Paimkite kortelę</w:t>
      </w:r>
    </w:p>
    <w:p w14:paraId="109F1248" w14:textId="77777777" w:rsidR="00890384" w:rsidRDefault="00890384">
      <w:pPr>
        <w:widowControl w:val="0"/>
        <w:numPr>
          <w:ilvl w:val="12"/>
          <w:numId w:val="0"/>
        </w:numPr>
        <w:tabs>
          <w:tab w:val="clear" w:pos="567"/>
        </w:tabs>
        <w:spacing w:line="240" w:lineRule="auto"/>
        <w:ind w:left="567" w:right="-2" w:hanging="567"/>
        <w:rPr>
          <w:snapToGrid/>
          <w:szCs w:val="22"/>
          <w:lang w:val="lt-LT"/>
        </w:rPr>
      </w:pPr>
    </w:p>
    <w:p w14:paraId="418D07C8" w14:textId="77777777" w:rsidR="00890384" w:rsidRDefault="00B26795">
      <w:pPr>
        <w:widowControl w:val="0"/>
        <w:numPr>
          <w:ilvl w:val="0"/>
          <w:numId w:val="36"/>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5A706343" w14:textId="77777777" w:rsidR="00890384" w:rsidRDefault="00890384">
      <w:pPr>
        <w:widowControl w:val="0"/>
        <w:numPr>
          <w:ilvl w:val="12"/>
          <w:numId w:val="0"/>
        </w:numPr>
        <w:tabs>
          <w:tab w:val="clear" w:pos="567"/>
        </w:tabs>
        <w:spacing w:line="240" w:lineRule="auto"/>
        <w:ind w:right="-2"/>
        <w:rPr>
          <w:snapToGrid/>
          <w:szCs w:val="22"/>
          <w:lang w:val="lt-LT"/>
        </w:rPr>
      </w:pPr>
    </w:p>
    <w:p w14:paraId="249CF8DA" w14:textId="77777777" w:rsidR="00890384" w:rsidRDefault="00B26795">
      <w:pPr>
        <w:widowControl w:val="0"/>
        <w:numPr>
          <w:ilvl w:val="0"/>
          <w:numId w:val="36"/>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3503922C" w14:textId="77777777" w:rsidR="00890384" w:rsidRDefault="00890384">
      <w:pPr>
        <w:widowControl w:val="0"/>
        <w:numPr>
          <w:ilvl w:val="12"/>
          <w:numId w:val="0"/>
        </w:numPr>
        <w:tabs>
          <w:tab w:val="clear" w:pos="567"/>
        </w:tabs>
        <w:spacing w:line="240" w:lineRule="auto"/>
        <w:ind w:right="-2"/>
        <w:rPr>
          <w:snapToGrid/>
          <w:szCs w:val="22"/>
          <w:lang w:val="lt-LT"/>
        </w:rPr>
      </w:pPr>
    </w:p>
    <w:p w14:paraId="650B66B1"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Vardas ir pavardė:</w:t>
      </w:r>
    </w:p>
    <w:p w14:paraId="016F83CC"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Gimimo data:</w:t>
      </w:r>
    </w:p>
    <w:p w14:paraId="2E1FE760"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Indikacija:</w:t>
      </w:r>
    </w:p>
    <w:p w14:paraId="18FC258C"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Svoris (vaikų populiacijai):</w:t>
      </w:r>
    </w:p>
    <w:p w14:paraId="1C391868"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Dozė:....mg du kartus per parą</w:t>
      </w:r>
    </w:p>
    <w:p w14:paraId="556A13E0"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vardas ir pavardė:</w:t>
      </w:r>
    </w:p>
    <w:p w14:paraId="61896282" w14:textId="77777777" w:rsidR="00890384" w:rsidRDefault="00B26795">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telefono numeris:</w:t>
      </w:r>
    </w:p>
    <w:p w14:paraId="6E950D8F" w14:textId="77777777" w:rsidR="00890384" w:rsidRDefault="00890384">
      <w:pPr>
        <w:widowControl w:val="0"/>
        <w:numPr>
          <w:ilvl w:val="12"/>
          <w:numId w:val="0"/>
        </w:numPr>
        <w:tabs>
          <w:tab w:val="clear" w:pos="567"/>
        </w:tabs>
        <w:spacing w:line="240" w:lineRule="auto"/>
        <w:ind w:left="567" w:right="-2" w:hanging="567"/>
        <w:rPr>
          <w:snapToGrid/>
          <w:szCs w:val="22"/>
          <w:highlight w:val="yellow"/>
          <w:lang w:val="lt-LT"/>
        </w:rPr>
      </w:pPr>
    </w:p>
    <w:p w14:paraId="67361C36" w14:textId="77777777" w:rsidR="00890384" w:rsidRDefault="00B26795">
      <w:pPr>
        <w:widowControl w:val="0"/>
        <w:numPr>
          <w:ilvl w:val="0"/>
          <w:numId w:val="36"/>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21E527CC" w14:textId="77777777" w:rsidR="00890384" w:rsidRDefault="00890384">
      <w:pPr>
        <w:widowControl w:val="0"/>
        <w:tabs>
          <w:tab w:val="clear" w:pos="567"/>
        </w:tabs>
        <w:autoSpaceDE w:val="0"/>
        <w:autoSpaceDN w:val="0"/>
        <w:spacing w:line="240" w:lineRule="auto"/>
        <w:rPr>
          <w:snapToGrid/>
          <w:szCs w:val="22"/>
          <w:lang w:val="lt-LT"/>
        </w:rPr>
      </w:pPr>
    </w:p>
    <w:p w14:paraId="6F349154" w14:textId="77777777" w:rsidR="00890384" w:rsidRDefault="00B26795">
      <w:pPr>
        <w:keepNext/>
        <w:jc w:val="both"/>
        <w:outlineLvl w:val="3"/>
        <w:rPr>
          <w:b/>
          <w:bCs/>
          <w:szCs w:val="28"/>
          <w:lang w:val="lt-LT" w:eastAsia="x-none"/>
        </w:rPr>
      </w:pPr>
      <w:r>
        <w:rPr>
          <w:b/>
          <w:bCs/>
          <w:szCs w:val="28"/>
          <w:lang w:val="lt-LT" w:eastAsia="x-none"/>
        </w:rPr>
        <w:t>Registruotojas ir gamintojas</w:t>
      </w:r>
    </w:p>
    <w:p w14:paraId="4EB823A6" w14:textId="77777777" w:rsidR="00890384" w:rsidRDefault="00890384">
      <w:pPr>
        <w:rPr>
          <w:bCs/>
          <w:snapToGrid/>
          <w:szCs w:val="22"/>
          <w:lang w:val="lt-LT"/>
        </w:rPr>
      </w:pPr>
    </w:p>
    <w:p w14:paraId="093C72F2" w14:textId="77777777" w:rsidR="00890384" w:rsidRDefault="00B26795">
      <w:pPr>
        <w:rPr>
          <w:bCs/>
          <w:snapToGrid/>
          <w:szCs w:val="22"/>
          <w:lang w:val="lt-LT"/>
        </w:rPr>
      </w:pPr>
      <w:r>
        <w:rPr>
          <w:bCs/>
          <w:snapToGrid/>
          <w:szCs w:val="22"/>
          <w:lang w:val="lt-LT"/>
        </w:rPr>
        <w:lastRenderedPageBreak/>
        <w:t>KRKA, d.d., Novo mesto, Šmarješka cesta 6, 8501 Novo mesto, Slovėnija</w:t>
      </w:r>
    </w:p>
    <w:p w14:paraId="6F126702" w14:textId="77777777" w:rsidR="00890384" w:rsidRDefault="00890384">
      <w:pPr>
        <w:widowControl w:val="0"/>
        <w:numPr>
          <w:ilvl w:val="12"/>
          <w:numId w:val="0"/>
        </w:numPr>
        <w:tabs>
          <w:tab w:val="clear" w:pos="567"/>
        </w:tabs>
        <w:autoSpaceDE w:val="0"/>
        <w:autoSpaceDN w:val="0"/>
        <w:spacing w:line="240" w:lineRule="auto"/>
        <w:rPr>
          <w:bCs/>
          <w:snapToGrid/>
          <w:szCs w:val="22"/>
          <w:lang w:val="lt-LT"/>
        </w:rPr>
      </w:pPr>
    </w:p>
    <w:p w14:paraId="3006A14D" w14:textId="77777777" w:rsidR="00890384" w:rsidRDefault="00B26795">
      <w:pPr>
        <w:widowControl w:val="0"/>
        <w:numPr>
          <w:ilvl w:val="12"/>
          <w:numId w:val="0"/>
        </w:numPr>
        <w:rPr>
          <w:lang w:val="lt-LT"/>
        </w:rPr>
      </w:pPr>
      <w:r>
        <w:rPr>
          <w:b/>
          <w:lang w:val="lt-LT"/>
        </w:rPr>
        <w:t>Šis vaistas Europos ekonominės erdvės valstybėse narėse registruotas tokiais pavadinimais:</w:t>
      </w:r>
    </w:p>
    <w:p w14:paraId="0966DE45" w14:textId="77777777" w:rsidR="00890384" w:rsidRDefault="00890384">
      <w:pPr>
        <w:widowControl w:val="0"/>
        <w:tabs>
          <w:tab w:val="clear" w:pos="567"/>
        </w:tabs>
        <w:spacing w:line="240" w:lineRule="auto"/>
        <w:rPr>
          <w:snapToGrid/>
          <w:szCs w:val="24"/>
          <w:lang w:val="lt-LT" w:eastAsia="x-none"/>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3402"/>
      </w:tblGrid>
      <w:tr w:rsidR="00890384" w14:paraId="001F78C6" w14:textId="77777777">
        <w:tc>
          <w:tcPr>
            <w:tcW w:w="4849" w:type="dxa"/>
          </w:tcPr>
          <w:p w14:paraId="4A69A1A2" w14:textId="77777777" w:rsidR="00890384" w:rsidRDefault="00B26795">
            <w:pPr>
              <w:widowControl w:val="0"/>
              <w:numPr>
                <w:ilvl w:val="12"/>
                <w:numId w:val="0"/>
              </w:numPr>
              <w:ind w:right="-2"/>
              <w:rPr>
                <w:szCs w:val="22"/>
              </w:rPr>
            </w:pPr>
            <w:r>
              <w:rPr>
                <w:lang w:eastAsia="sl-SI"/>
              </w:rPr>
              <w:t>Valstybės narės pavadinimas</w:t>
            </w:r>
          </w:p>
        </w:tc>
        <w:tc>
          <w:tcPr>
            <w:tcW w:w="3402" w:type="dxa"/>
          </w:tcPr>
          <w:p w14:paraId="516A8FE7" w14:textId="77777777" w:rsidR="00890384" w:rsidRDefault="00B26795">
            <w:pPr>
              <w:widowControl w:val="0"/>
              <w:numPr>
                <w:ilvl w:val="12"/>
                <w:numId w:val="0"/>
              </w:numPr>
              <w:ind w:right="-2"/>
              <w:rPr>
                <w:szCs w:val="22"/>
              </w:rPr>
            </w:pPr>
            <w:r>
              <w:rPr>
                <w:szCs w:val="22"/>
              </w:rPr>
              <w:t>Vaisto pavadinimas</w:t>
            </w:r>
          </w:p>
        </w:tc>
      </w:tr>
      <w:tr w:rsidR="00890384" w14:paraId="60D685B1" w14:textId="77777777">
        <w:tc>
          <w:tcPr>
            <w:tcW w:w="4849" w:type="dxa"/>
          </w:tcPr>
          <w:p w14:paraId="5268EDF7" w14:textId="77777777" w:rsidR="00890384" w:rsidRDefault="00B26795">
            <w:pPr>
              <w:widowControl w:val="0"/>
              <w:numPr>
                <w:ilvl w:val="12"/>
                <w:numId w:val="0"/>
              </w:numPr>
              <w:ind w:right="-2"/>
              <w:rPr>
                <w:szCs w:val="22"/>
              </w:rPr>
            </w:pPr>
            <w:r>
              <w:rPr>
                <w:szCs w:val="22"/>
              </w:rPr>
              <w:t>Kroatija, Čekija, Estija, Graikija, Vengrija, Lietuva, Latvija, Lenkija, Rumunija, Slovakija, Slovėnija</w:t>
            </w:r>
          </w:p>
        </w:tc>
        <w:tc>
          <w:tcPr>
            <w:tcW w:w="3402" w:type="dxa"/>
          </w:tcPr>
          <w:p w14:paraId="1E7DF2C1" w14:textId="77777777" w:rsidR="00890384" w:rsidRDefault="00B26795">
            <w:pPr>
              <w:widowControl w:val="0"/>
              <w:numPr>
                <w:ilvl w:val="12"/>
                <w:numId w:val="0"/>
              </w:numPr>
              <w:ind w:right="-2"/>
              <w:rPr>
                <w:szCs w:val="22"/>
              </w:rPr>
            </w:pPr>
            <w:r>
              <w:rPr>
                <w:szCs w:val="22"/>
              </w:rPr>
              <w:t>Aboxoma</w:t>
            </w:r>
          </w:p>
        </w:tc>
      </w:tr>
      <w:tr w:rsidR="00890384" w14:paraId="25D09902" w14:textId="77777777">
        <w:tc>
          <w:tcPr>
            <w:tcW w:w="4849" w:type="dxa"/>
          </w:tcPr>
          <w:p w14:paraId="20D3BE41" w14:textId="77777777" w:rsidR="00890384" w:rsidRDefault="00B26795">
            <w:pPr>
              <w:widowControl w:val="0"/>
              <w:numPr>
                <w:ilvl w:val="12"/>
                <w:numId w:val="0"/>
              </w:numPr>
              <w:ind w:right="-2"/>
              <w:rPr>
                <w:szCs w:val="22"/>
              </w:rPr>
            </w:pPr>
            <w:r>
              <w:rPr>
                <w:szCs w:val="22"/>
              </w:rPr>
              <w:t>Bulgarija</w:t>
            </w:r>
          </w:p>
        </w:tc>
        <w:tc>
          <w:tcPr>
            <w:tcW w:w="3402" w:type="dxa"/>
          </w:tcPr>
          <w:p w14:paraId="76368D1D" w14:textId="77777777" w:rsidR="00890384" w:rsidRDefault="00B26795">
            <w:pPr>
              <w:widowControl w:val="0"/>
              <w:numPr>
                <w:ilvl w:val="12"/>
                <w:numId w:val="0"/>
              </w:numPr>
              <w:ind w:right="-2"/>
              <w:rPr>
                <w:szCs w:val="22"/>
              </w:rPr>
            </w:pPr>
            <w:r>
              <w:rPr>
                <w:rFonts w:eastAsia="Calibri"/>
                <w:snapToGrid/>
                <w:szCs w:val="22"/>
                <w:lang w:val="lt-LT" w:eastAsia="lt-LT"/>
              </w:rPr>
              <w:t>Абоксома</w:t>
            </w:r>
          </w:p>
        </w:tc>
      </w:tr>
    </w:tbl>
    <w:p w14:paraId="4E8AA4C9" w14:textId="77777777" w:rsidR="00890384" w:rsidRDefault="00890384">
      <w:pPr>
        <w:widowControl w:val="0"/>
        <w:tabs>
          <w:tab w:val="clear" w:pos="567"/>
        </w:tabs>
        <w:spacing w:line="240" w:lineRule="auto"/>
        <w:rPr>
          <w:snapToGrid/>
          <w:szCs w:val="24"/>
          <w:lang w:val="lt-LT" w:eastAsia="x-none"/>
        </w:rPr>
      </w:pPr>
    </w:p>
    <w:p w14:paraId="37E0A2AA" w14:textId="5182DE77" w:rsidR="00890384" w:rsidRDefault="00B26795">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2025-04-03</w:t>
      </w:r>
      <w:r>
        <w:rPr>
          <w:b/>
          <w:lang w:val="lt-LT"/>
        </w:rPr>
        <w:t>.</w:t>
      </w:r>
    </w:p>
    <w:p w14:paraId="3FCD1FF6" w14:textId="77777777" w:rsidR="00890384" w:rsidRDefault="00890384">
      <w:pPr>
        <w:widowControl w:val="0"/>
        <w:tabs>
          <w:tab w:val="clear" w:pos="567"/>
        </w:tabs>
        <w:autoSpaceDE w:val="0"/>
        <w:autoSpaceDN w:val="0"/>
        <w:spacing w:line="240" w:lineRule="auto"/>
        <w:rPr>
          <w:b/>
          <w:snapToGrid/>
          <w:szCs w:val="22"/>
          <w:lang w:val="lt-LT"/>
        </w:rPr>
      </w:pPr>
    </w:p>
    <w:p w14:paraId="3B4FEFCB" w14:textId="249D5B5E" w:rsidR="00890384" w:rsidRDefault="00B26795">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r>
        <w:rPr>
          <w:snapToGrid/>
          <w:color w:val="0000EE"/>
          <w:szCs w:val="22"/>
          <w:u w:val="single"/>
          <w:lang w:val="lt-LT" w:eastAsia="lt-LT"/>
        </w:rPr>
        <w:t>https://vvkt.lrv.lt/lt/</w:t>
      </w:r>
      <w:r>
        <w:rPr>
          <w:snapToGrid/>
          <w:szCs w:val="22"/>
          <w:lang w:val="lt-LT"/>
        </w:rPr>
        <w:t>.</w:t>
      </w:r>
    </w:p>
    <w:p w14:paraId="04AF06E8" w14:textId="77777777" w:rsidR="00890384" w:rsidRDefault="00890384">
      <w:pPr>
        <w:widowControl w:val="0"/>
        <w:tabs>
          <w:tab w:val="clear" w:pos="567"/>
        </w:tabs>
        <w:autoSpaceDE w:val="0"/>
        <w:autoSpaceDN w:val="0"/>
        <w:spacing w:line="240" w:lineRule="auto"/>
        <w:jc w:val="center"/>
        <w:outlineLvl w:val="1"/>
        <w:rPr>
          <w:lang w:val="lt-LT"/>
        </w:rPr>
      </w:pPr>
    </w:p>
    <w:p w14:paraId="49A8A2AF" w14:textId="77777777" w:rsidR="00890384" w:rsidRDefault="00890384"/>
    <w:sectPr w:rsidR="00890384">
      <w:footerReference w:type="even" r:id="rId14"/>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8F99A7" w14:textId="77777777" w:rsidR="00E6538D" w:rsidRDefault="00E6538D">
      <w:pPr>
        <w:spacing w:line="240" w:lineRule="auto"/>
      </w:pPr>
      <w:r>
        <w:separator/>
      </w:r>
    </w:p>
  </w:endnote>
  <w:endnote w:type="continuationSeparator" w:id="0">
    <w:p w14:paraId="3B99EE16" w14:textId="77777777" w:rsidR="00E6538D" w:rsidRDefault="00E6538D">
      <w:pPr>
        <w:spacing w:line="240" w:lineRule="auto"/>
      </w:pPr>
      <w:r>
        <w:continuationSeparator/>
      </w:r>
    </w:p>
  </w:endnote>
  <w:endnote w:type="continuationNotice" w:id="1">
    <w:p w14:paraId="55962905" w14:textId="77777777" w:rsidR="00E6538D" w:rsidRDefault="00E6538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4D"/>
    <w:family w:val="roman"/>
    <w:notTrueType/>
    <w:pitch w:val="default"/>
    <w:sig w:usb0="00000001"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C8A0B7" w14:textId="77777777" w:rsidR="00890384" w:rsidRDefault="0089038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46062B" w14:textId="77777777" w:rsidR="00890384" w:rsidRDefault="00B26795">
    <w:pPr>
      <w:pStyle w:val="Pagrindinistekstas"/>
      <w:spacing w:line="14" w:lineRule="auto"/>
      <w:rPr>
        <w:sz w:val="12"/>
      </w:rPr>
    </w:pPr>
    <w:r>
      <w:rPr>
        <w:noProof/>
        <w:lang w:val="lt-LT" w:eastAsia="lt-LT"/>
      </w:rPr>
      <mc:AlternateContent>
        <mc:Choice Requires="wps">
          <w:drawing>
            <wp:anchor distT="0" distB="0" distL="114300" distR="114300" simplePos="0" relativeHeight="251659264" behindDoc="1" locked="0" layoutInCell="1" allowOverlap="1" wp14:anchorId="3254BA0A" wp14:editId="7771DE35">
              <wp:simplePos x="0" y="0"/>
              <wp:positionH relativeFrom="page">
                <wp:posOffset>3684905</wp:posOffset>
              </wp:positionH>
              <wp:positionV relativeFrom="page">
                <wp:posOffset>10099040</wp:posOffset>
              </wp:positionV>
              <wp:extent cx="201930" cy="139700"/>
              <wp:effectExtent l="0" t="0" r="0" b="0"/>
              <wp:wrapNone/>
              <wp:docPr id="3" name="docshape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201930" cy="139700"/>
                      </a:xfrm>
                      <a:prstGeom prst="rect">
                        <a:avLst/>
                      </a:prstGeom>
                      <a:noFill/>
                      <a:ln>
                        <a:noFill/>
                      </a:ln>
                    </wps:spPr>
                    <wps:txbx>
                      <w:txbxContent>
                        <w:p w14:paraId="66668984" w14:textId="1DE208E7" w:rsidR="00890384" w:rsidRDefault="00B26795">
                          <w:pPr>
                            <w:spacing w:before="15"/>
                            <w:ind w:left="60"/>
                            <w:rPr>
                              <w:rFonts w:ascii="Arial"/>
                              <w:sz w:val="16"/>
                            </w:rPr>
                          </w:pPr>
                          <w:r>
                            <w:fldChar w:fldCharType="begin"/>
                          </w:r>
                          <w:r>
                            <w:rPr>
                              <w:rFonts w:ascii="Arial"/>
                              <w:sz w:val="16"/>
                            </w:rPr>
                            <w:instrText xml:space="preserve"> PAGE </w:instrText>
                          </w:r>
                          <w:r>
                            <w:fldChar w:fldCharType="separate"/>
                          </w:r>
                          <w:r w:rsidR="00672C17">
                            <w:rPr>
                              <w:rFonts w:ascii="Arial"/>
                              <w:noProof/>
                              <w:sz w:val="16"/>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54BA0A"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" filled="f" stroked="f">
              <o:lock v:ext="edit" aspectratio="t" verticies="t" text="t" shapetype="t"/>
              <v:textbox inset="0,0,0,0">
                <w:txbxContent>
                  <w:p w14:paraId="66668984" w14:textId="1DE208E7" w:rsidR="00890384" w:rsidRDefault="00B26795">
                    <w:pPr>
                      <w:spacing w:before="15"/>
                      <w:ind w:left="60"/>
                      <w:rPr>
                        <w:rFonts w:ascii="Arial"/>
                        <w:sz w:val="16"/>
                      </w:rPr>
                    </w:pPr>
                    <w:r>
                      <w:fldChar w:fldCharType="begin"/>
                    </w:r>
                    <w:r>
                      <w:rPr>
                        <w:rFonts w:ascii="Arial"/>
                        <w:sz w:val="16"/>
                      </w:rPr>
                      <w:instrText xml:space="preserve"> PAGE </w:instrText>
                    </w:r>
                    <w:r>
                      <w:fldChar w:fldCharType="separate"/>
                    </w:r>
                    <w:r w:rsidR="00672C17">
                      <w:rPr>
                        <w:rFonts w:ascii="Arial"/>
                        <w:noProof/>
                        <w:sz w:val="16"/>
                      </w:rPr>
                      <w:t>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4A16E" w14:textId="77777777" w:rsidR="00890384" w:rsidRDefault="00890384">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E8B9C" w14:textId="77777777" w:rsidR="00890384" w:rsidRDefault="00B26795">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0FDEB59E" w14:textId="77777777" w:rsidR="00890384" w:rsidRDefault="00890384">
    <w:pPr>
      <w:pStyle w:val="Porat"/>
      <w:ind w:right="360"/>
      <w:rPr>
        <w:lang w:val="lt-LT"/>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19696A" w14:textId="6C62AC22" w:rsidR="00890384" w:rsidRDefault="00B26795">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672C17">
      <w:rPr>
        <w:rStyle w:val="Puslapionumeris"/>
        <w:rFonts w:ascii="Arial" w:hAnsi="Arial" w:cs="Arial"/>
        <w:noProof/>
        <w:lang w:val="lt-LT"/>
      </w:rPr>
      <w:t>94</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5BF665" w14:textId="77777777" w:rsidR="00E6538D" w:rsidRDefault="00E6538D">
      <w:pPr>
        <w:spacing w:line="240" w:lineRule="auto"/>
      </w:pPr>
      <w:r>
        <w:separator/>
      </w:r>
    </w:p>
  </w:footnote>
  <w:footnote w:type="continuationSeparator" w:id="0">
    <w:p w14:paraId="72727405" w14:textId="77777777" w:rsidR="00E6538D" w:rsidRDefault="00E6538D">
      <w:pPr>
        <w:spacing w:line="240" w:lineRule="auto"/>
      </w:pPr>
      <w:r>
        <w:continuationSeparator/>
      </w:r>
    </w:p>
  </w:footnote>
  <w:footnote w:type="continuationNotice" w:id="1">
    <w:p w14:paraId="60F386CD" w14:textId="77777777" w:rsidR="00E6538D" w:rsidRDefault="00E6538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4196DB" w14:textId="77777777" w:rsidR="00890384" w:rsidRDefault="0089038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21047" w14:textId="77777777" w:rsidR="00890384" w:rsidRDefault="0089038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79BE31" w14:textId="77777777" w:rsidR="00890384" w:rsidRDefault="008903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11"/>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 w15:restartNumberingAfterBreak="0">
    <w:nsid w:val="092C0914"/>
    <w:multiLevelType w:val="multilevel"/>
    <w:tmpl w:val="B106DCA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C07230B"/>
    <w:multiLevelType w:val="hybridMultilevel"/>
    <w:tmpl w:val="20BC47DA"/>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5"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27726850"/>
    <w:multiLevelType w:val="multilevel"/>
    <w:tmpl w:val="23A4B698"/>
    <w:lvl w:ilvl="0">
      <w:start w:val="4"/>
      <w:numFmt w:val="decimal"/>
      <w:lvlText w:val="%1"/>
      <w:lvlJc w:val="left"/>
      <w:pPr>
        <w:ind w:left="360" w:hanging="360"/>
      </w:pPr>
      <w:rPr>
        <w:rFonts w:hint="default"/>
      </w:rPr>
    </w:lvl>
    <w:lvl w:ilvl="1">
      <w:start w:val="5"/>
      <w:numFmt w:val="decimal"/>
      <w:lvlText w:val="%1.%2"/>
      <w:lvlJc w:val="left"/>
      <w:pPr>
        <w:ind w:left="595" w:hanging="360"/>
      </w:pPr>
      <w:rPr>
        <w:rFonts w:hint="default"/>
      </w:rPr>
    </w:lvl>
    <w:lvl w:ilvl="2">
      <w:start w:val="1"/>
      <w:numFmt w:val="decimal"/>
      <w:lvlText w:val="%1.%2.%3"/>
      <w:lvlJc w:val="left"/>
      <w:pPr>
        <w:ind w:left="1190" w:hanging="720"/>
      </w:pPr>
      <w:rPr>
        <w:rFonts w:hint="default"/>
      </w:rPr>
    </w:lvl>
    <w:lvl w:ilvl="3">
      <w:start w:val="1"/>
      <w:numFmt w:val="decimal"/>
      <w:lvlText w:val="%1.%2.%3.%4"/>
      <w:lvlJc w:val="left"/>
      <w:pPr>
        <w:ind w:left="1425" w:hanging="72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255" w:hanging="108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085" w:hanging="1440"/>
      </w:pPr>
      <w:rPr>
        <w:rFonts w:hint="default"/>
      </w:rPr>
    </w:lvl>
    <w:lvl w:ilvl="8">
      <w:start w:val="1"/>
      <w:numFmt w:val="decimal"/>
      <w:lvlText w:val="%1.%2.%3.%4.%5.%6.%7.%8.%9"/>
      <w:lvlJc w:val="left"/>
      <w:pPr>
        <w:ind w:left="3320" w:hanging="1440"/>
      </w:pPr>
      <w:rPr>
        <w:rFonts w:hint="default"/>
      </w:rPr>
    </w:lvl>
  </w:abstractNum>
  <w:abstractNum w:abstractNumId="10"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2" w15:restartNumberingAfterBreak="0">
    <w:nsid w:val="36476E38"/>
    <w:multiLevelType w:val="hybridMultilevel"/>
    <w:tmpl w:val="5F4ECADC"/>
    <w:lvl w:ilvl="0" w:tplc="7F8A453C">
      <w:start w:val="10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5"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4D6022E6"/>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abstractNum w:abstractNumId="1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9" w15:restartNumberingAfterBreak="0">
    <w:nsid w:val="515D2BF0"/>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20"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22" w15:restartNumberingAfterBreak="0">
    <w:nsid w:val="58CB3E84"/>
    <w:multiLevelType w:val="hybridMultilevel"/>
    <w:tmpl w:val="214CAB50"/>
    <w:lvl w:ilvl="0" w:tplc="7814F380">
      <w:numFmt w:val="bullet"/>
      <w:lvlText w:val="-"/>
      <w:lvlJc w:val="left"/>
      <w:pPr>
        <w:ind w:left="802" w:hanging="56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3"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24" w15:restartNumberingAfterBreak="0">
    <w:nsid w:val="5D8F6EE8"/>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2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6" w15:restartNumberingAfterBreak="0">
    <w:nsid w:val="632C4EC1"/>
    <w:multiLevelType w:val="hybridMultilevel"/>
    <w:tmpl w:val="FD3A3036"/>
    <w:lvl w:ilvl="0" w:tplc="7814F380">
      <w:numFmt w:val="bullet"/>
      <w:lvlText w:val="-"/>
      <w:lvlJc w:val="left"/>
      <w:pPr>
        <w:ind w:left="802" w:hanging="56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7"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28"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EB27806"/>
    <w:multiLevelType w:val="multilevel"/>
    <w:tmpl w:val="B106DCA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2" w15:restartNumberingAfterBreak="0">
    <w:nsid w:val="6F0E3739"/>
    <w:multiLevelType w:val="multilevel"/>
    <w:tmpl w:val="89B8BC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5"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3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7"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38"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9"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36"/>
  </w:num>
  <w:num w:numId="2">
    <w:abstractNumId w:val="39"/>
  </w:num>
  <w:num w:numId="3">
    <w:abstractNumId w:val="18"/>
  </w:num>
  <w:num w:numId="4">
    <w:abstractNumId w:val="27"/>
  </w:num>
  <w:num w:numId="5">
    <w:abstractNumId w:val="11"/>
  </w:num>
  <w:num w:numId="6">
    <w:abstractNumId w:val="16"/>
  </w:num>
  <w:num w:numId="7">
    <w:abstractNumId w:val="37"/>
  </w:num>
  <w:num w:numId="8">
    <w:abstractNumId w:val="25"/>
  </w:num>
  <w:num w:numId="9">
    <w:abstractNumId w:val="30"/>
  </w:num>
  <w:num w:numId="10">
    <w:abstractNumId w:val="15"/>
  </w:num>
  <w:num w:numId="11">
    <w:abstractNumId w:val="21"/>
  </w:num>
  <w:num w:numId="12">
    <w:abstractNumId w:val="33"/>
  </w:num>
  <w:num w:numId="13">
    <w:abstractNumId w:val="4"/>
  </w:num>
  <w:num w:numId="14">
    <w:abstractNumId w:val="26"/>
  </w:num>
  <w:num w:numId="15">
    <w:abstractNumId w:val="12"/>
  </w:num>
  <w:num w:numId="16">
    <w:abstractNumId w:val="22"/>
  </w:num>
  <w:num w:numId="17">
    <w:abstractNumId w:val="9"/>
  </w:num>
  <w:num w:numId="18">
    <w:abstractNumId w:val="29"/>
  </w:num>
  <w:num w:numId="19">
    <w:abstractNumId w:val="32"/>
  </w:num>
  <w:num w:numId="20">
    <w:abstractNumId w:val="6"/>
  </w:num>
  <w:num w:numId="21">
    <w:abstractNumId w:val="14"/>
  </w:num>
  <w:num w:numId="22">
    <w:abstractNumId w:val="10"/>
  </w:num>
  <w:num w:numId="23">
    <w:abstractNumId w:val="23"/>
  </w:num>
  <w:num w:numId="24">
    <w:abstractNumId w:val="13"/>
  </w:num>
  <w:num w:numId="25">
    <w:abstractNumId w:val="38"/>
  </w:num>
  <w:num w:numId="26">
    <w:abstractNumId w:val="31"/>
  </w:num>
  <w:num w:numId="27">
    <w:abstractNumId w:val="34"/>
  </w:num>
  <w:num w:numId="28">
    <w:abstractNumId w:val="8"/>
  </w:num>
  <w:num w:numId="29">
    <w:abstractNumId w:val="1"/>
  </w:num>
  <w:num w:numId="30">
    <w:abstractNumId w:val="28"/>
  </w:num>
  <w:num w:numId="31">
    <w:abstractNumId w:val="5"/>
  </w:num>
  <w:num w:numId="32">
    <w:abstractNumId w:val="3"/>
  </w:num>
  <w:num w:numId="33">
    <w:abstractNumId w:val="20"/>
  </w:num>
  <w:num w:numId="34">
    <w:abstractNumId w:val="0"/>
  </w:num>
  <w:num w:numId="35">
    <w:abstractNumId w:val="7"/>
  </w:num>
  <w:num w:numId="36">
    <w:abstractNumId w:val="24"/>
  </w:num>
  <w:num w:numId="37">
    <w:abstractNumId w:val="19"/>
  </w:num>
  <w:num w:numId="38">
    <w:abstractNumId w:val="17"/>
  </w:num>
  <w:num w:numId="39">
    <w:abstractNumId w:val="35"/>
  </w:num>
  <w:num w:numId="40">
    <w:abstractNumId w:val="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384"/>
    <w:rsid w:val="00045A7B"/>
    <w:rsid w:val="000815A9"/>
    <w:rsid w:val="00082614"/>
    <w:rsid w:val="0009007C"/>
    <w:rsid w:val="000931A5"/>
    <w:rsid w:val="000A30A1"/>
    <w:rsid w:val="000B201E"/>
    <w:rsid w:val="000B4B2A"/>
    <w:rsid w:val="000C1CBA"/>
    <w:rsid w:val="0011059E"/>
    <w:rsid w:val="001412D8"/>
    <w:rsid w:val="00161063"/>
    <w:rsid w:val="00177302"/>
    <w:rsid w:val="001A5294"/>
    <w:rsid w:val="001B592C"/>
    <w:rsid w:val="001D3AE3"/>
    <w:rsid w:val="001D5574"/>
    <w:rsid w:val="001E4940"/>
    <w:rsid w:val="00223274"/>
    <w:rsid w:val="0022458F"/>
    <w:rsid w:val="00245F1C"/>
    <w:rsid w:val="00276039"/>
    <w:rsid w:val="002978FB"/>
    <w:rsid w:val="002A5B0B"/>
    <w:rsid w:val="002A7958"/>
    <w:rsid w:val="002E44AD"/>
    <w:rsid w:val="00304ABC"/>
    <w:rsid w:val="00310D21"/>
    <w:rsid w:val="00321A4F"/>
    <w:rsid w:val="00332D39"/>
    <w:rsid w:val="00341D88"/>
    <w:rsid w:val="003453F5"/>
    <w:rsid w:val="00386523"/>
    <w:rsid w:val="00390C36"/>
    <w:rsid w:val="003A059E"/>
    <w:rsid w:val="003B35C1"/>
    <w:rsid w:val="003C59F8"/>
    <w:rsid w:val="003D31B6"/>
    <w:rsid w:val="003F2ED0"/>
    <w:rsid w:val="00407C96"/>
    <w:rsid w:val="0041367D"/>
    <w:rsid w:val="004316A3"/>
    <w:rsid w:val="00475C8B"/>
    <w:rsid w:val="0048185C"/>
    <w:rsid w:val="00491865"/>
    <w:rsid w:val="004B3F24"/>
    <w:rsid w:val="00502654"/>
    <w:rsid w:val="00516297"/>
    <w:rsid w:val="00525C64"/>
    <w:rsid w:val="005261E3"/>
    <w:rsid w:val="005274C6"/>
    <w:rsid w:val="00533B25"/>
    <w:rsid w:val="00562CD7"/>
    <w:rsid w:val="00587B02"/>
    <w:rsid w:val="0061303D"/>
    <w:rsid w:val="0062616E"/>
    <w:rsid w:val="00632CA0"/>
    <w:rsid w:val="006543BC"/>
    <w:rsid w:val="00672C17"/>
    <w:rsid w:val="006C1E5F"/>
    <w:rsid w:val="00714610"/>
    <w:rsid w:val="00724895"/>
    <w:rsid w:val="00734850"/>
    <w:rsid w:val="007446FB"/>
    <w:rsid w:val="00747C62"/>
    <w:rsid w:val="007710C5"/>
    <w:rsid w:val="007833FC"/>
    <w:rsid w:val="0079291C"/>
    <w:rsid w:val="007A4F90"/>
    <w:rsid w:val="007E2283"/>
    <w:rsid w:val="007F7CCA"/>
    <w:rsid w:val="00820B9E"/>
    <w:rsid w:val="00820C14"/>
    <w:rsid w:val="008729A7"/>
    <w:rsid w:val="0087339F"/>
    <w:rsid w:val="008807B9"/>
    <w:rsid w:val="00890384"/>
    <w:rsid w:val="008C3DF6"/>
    <w:rsid w:val="008D0226"/>
    <w:rsid w:val="008F0618"/>
    <w:rsid w:val="00913D3B"/>
    <w:rsid w:val="009621F2"/>
    <w:rsid w:val="0098026D"/>
    <w:rsid w:val="00982864"/>
    <w:rsid w:val="009A6B6B"/>
    <w:rsid w:val="00A1784B"/>
    <w:rsid w:val="00A33953"/>
    <w:rsid w:val="00A67F4B"/>
    <w:rsid w:val="00A75ECA"/>
    <w:rsid w:val="00AA592C"/>
    <w:rsid w:val="00AD71B0"/>
    <w:rsid w:val="00B26795"/>
    <w:rsid w:val="00B70563"/>
    <w:rsid w:val="00BC5E23"/>
    <w:rsid w:val="00BD2F86"/>
    <w:rsid w:val="00BE463B"/>
    <w:rsid w:val="00BE5E4D"/>
    <w:rsid w:val="00BF5AB7"/>
    <w:rsid w:val="00C165BF"/>
    <w:rsid w:val="00C23872"/>
    <w:rsid w:val="00C25B9A"/>
    <w:rsid w:val="00C811DB"/>
    <w:rsid w:val="00C84D2F"/>
    <w:rsid w:val="00CE7BBF"/>
    <w:rsid w:val="00D00CE4"/>
    <w:rsid w:val="00D855B9"/>
    <w:rsid w:val="00DC34B9"/>
    <w:rsid w:val="00E04A3A"/>
    <w:rsid w:val="00E10510"/>
    <w:rsid w:val="00E1598B"/>
    <w:rsid w:val="00E536AE"/>
    <w:rsid w:val="00E63C8C"/>
    <w:rsid w:val="00E64AFA"/>
    <w:rsid w:val="00E6538D"/>
    <w:rsid w:val="00E86117"/>
    <w:rsid w:val="00ED6823"/>
    <w:rsid w:val="00EF19EF"/>
    <w:rsid w:val="00F17C29"/>
    <w:rsid w:val="00F30379"/>
    <w:rsid w:val="00F4126F"/>
    <w:rsid w:val="00F57BB2"/>
    <w:rsid w:val="00FB0E50"/>
    <w:rsid w:val="00FC489A"/>
    <w:rsid w:val="00FD3144"/>
    <w:rsid w:val="00FD38E3"/>
    <w:rsid w:val="00FD4FA3"/>
    <w:rsid w:val="00FF797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95DDC9"/>
  <w15:docId w15:val="{8F0E769C-7EE3-4F73-93E5-67805889A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1"/>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1"/>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z w:val="20"/>
    </w:rPr>
  </w:style>
  <w:style w:type="character" w:customStyle="1" w:styleId="KomentarotekstasDiagrama">
    <w:name w:val="Komentaro tekstas Diagrama"/>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1"/>
    <w:qFormat/>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uiPriority w:val="3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1"/>
    <w:qFormat/>
    <w:pPr>
      <w:ind w:left="720"/>
      <w:contextualSpacing/>
    </w:pPr>
    <w:rPr>
      <w:snapToGrid/>
      <w:lang w:val="lt-LT"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paragraph" w:customStyle="1" w:styleId="Betarp1">
    <w:name w:val="Be tarpų1"/>
    <w:qFormat/>
    <w:rPr>
      <w:sz w:val="22"/>
      <w:szCs w:val="22"/>
      <w:lang w:val="en-US" w:eastAsia="en-US"/>
    </w:rPr>
  </w:style>
  <w:style w:type="numbering" w:customStyle="1" w:styleId="NoList2">
    <w:name w:val="No List2"/>
    <w:next w:val="Sraonra"/>
    <w:uiPriority w:val="99"/>
    <w:semiHidden/>
    <w:unhideWhenUsed/>
  </w:style>
  <w:style w:type="paragraph" w:customStyle="1" w:styleId="TableParagraph">
    <w:name w:val="Table Paragraph"/>
    <w:basedOn w:val="prastasis"/>
    <w:uiPriority w:val="1"/>
    <w:qFormat/>
    <w:pPr>
      <w:widowControl w:val="0"/>
      <w:tabs>
        <w:tab w:val="clear" w:pos="567"/>
      </w:tabs>
      <w:autoSpaceDE w:val="0"/>
      <w:autoSpaceDN w:val="0"/>
      <w:spacing w:line="240" w:lineRule="auto"/>
      <w:jc w:val="center"/>
    </w:pPr>
    <w:rPr>
      <w:snapToGrid/>
      <w:szCs w:val="22"/>
      <w:lang w:val="en-US"/>
    </w:rPr>
  </w:style>
  <w:style w:type="table" w:customStyle="1" w:styleId="TableGrid1">
    <w:name w:val="Table Grid1"/>
    <w:basedOn w:val="prastojilentel"/>
    <w:next w:val="Lentelstinklelis"/>
    <w:uiPriority w:val="59"/>
    <w:pPr>
      <w:widowControl w:val="0"/>
      <w:autoSpaceDE w:val="0"/>
      <w:autoSpaceDN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99972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CEDB1-80A3-473E-82CD-7DD861CF8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172017</Words>
  <Characters>98051</Characters>
  <Application>Microsoft Office Word</Application>
  <DocSecurity>4</DocSecurity>
  <Lines>817</Lines>
  <Paragraphs>539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269529</CharactersWithSpaces>
  <SharedDoc>false</SharedDoc>
  <HLinks>
    <vt:vector size="84" baseType="variant">
      <vt:variant>
        <vt:i4>1245197</vt:i4>
      </vt:variant>
      <vt:variant>
        <vt:i4>39</vt:i4>
      </vt:variant>
      <vt:variant>
        <vt:i4>0</vt:i4>
      </vt:variant>
      <vt:variant>
        <vt:i4>5</vt:i4>
      </vt:variant>
      <vt:variant>
        <vt:lpwstr>http://www.ema.europa.eu/</vt:lpwstr>
      </vt:variant>
      <vt:variant>
        <vt:lpwstr/>
      </vt:variant>
      <vt:variant>
        <vt:i4>2162708</vt:i4>
      </vt:variant>
      <vt:variant>
        <vt:i4>36</vt:i4>
      </vt:variant>
      <vt:variant>
        <vt:i4>0</vt:i4>
      </vt:variant>
      <vt:variant>
        <vt:i4>5</vt:i4>
      </vt:variant>
      <vt:variant>
        <vt:lpwstr>mailto:NepageidaujamaR@vvkt.lt</vt:lpwstr>
      </vt:variant>
      <vt:variant>
        <vt:lpwstr/>
      </vt:variant>
      <vt:variant>
        <vt:i4>4522058</vt:i4>
      </vt:variant>
      <vt:variant>
        <vt:i4>33</vt:i4>
      </vt:variant>
      <vt:variant>
        <vt:i4>0</vt:i4>
      </vt:variant>
      <vt:variant>
        <vt:i4>5</vt:i4>
      </vt:variant>
      <vt:variant>
        <vt:lpwstr>https://www.vvkt.lt/index.php?4004286486</vt:lpwstr>
      </vt:variant>
      <vt:variant>
        <vt:lpwstr/>
      </vt:variant>
      <vt:variant>
        <vt:i4>3014769</vt:i4>
      </vt:variant>
      <vt:variant>
        <vt:i4>30</vt:i4>
      </vt:variant>
      <vt:variant>
        <vt:i4>0</vt:i4>
      </vt:variant>
      <vt:variant>
        <vt:i4>5</vt:i4>
      </vt:variant>
      <vt:variant>
        <vt:lpwstr>https://vapris.vvkt.lt/vvkt-web/public/nrv</vt:lpwstr>
      </vt:variant>
      <vt:variant>
        <vt:lpwstr/>
      </vt:variant>
      <vt:variant>
        <vt:i4>1245197</vt:i4>
      </vt:variant>
      <vt:variant>
        <vt:i4>27</vt:i4>
      </vt:variant>
      <vt:variant>
        <vt:i4>0</vt:i4>
      </vt:variant>
      <vt:variant>
        <vt:i4>5</vt:i4>
      </vt:variant>
      <vt:variant>
        <vt:lpwstr>http://www.ema.europa.eu/</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4522058</vt:i4>
      </vt:variant>
      <vt:variant>
        <vt:i4>21</vt:i4>
      </vt:variant>
      <vt:variant>
        <vt:i4>0</vt:i4>
      </vt:variant>
      <vt:variant>
        <vt:i4>5</vt:i4>
      </vt:variant>
      <vt:variant>
        <vt:lpwstr>https://www.vvkt.lt/index.php?4004286486</vt:lpwstr>
      </vt:variant>
      <vt:variant>
        <vt:lpwstr/>
      </vt:variant>
      <vt:variant>
        <vt:i4>3014769</vt:i4>
      </vt:variant>
      <vt:variant>
        <vt:i4>18</vt:i4>
      </vt:variant>
      <vt:variant>
        <vt:i4>0</vt:i4>
      </vt:variant>
      <vt:variant>
        <vt:i4>5</vt:i4>
      </vt:variant>
      <vt:variant>
        <vt:lpwstr>https://vapris.vvkt.lt/vvkt-web/public/nrv</vt:lpwstr>
      </vt:variant>
      <vt:variant>
        <vt:lpwstr/>
      </vt:variant>
      <vt:variant>
        <vt:i4>1245197</vt:i4>
      </vt:variant>
      <vt:variant>
        <vt:i4>15</vt:i4>
      </vt:variant>
      <vt:variant>
        <vt:i4>0</vt:i4>
      </vt:variant>
      <vt:variant>
        <vt:i4>5</vt:i4>
      </vt:variant>
      <vt:variant>
        <vt:lpwstr>http://www.ema.europa.eu/</vt:lpwstr>
      </vt:variant>
      <vt:variant>
        <vt:lpwstr/>
      </vt:variant>
      <vt:variant>
        <vt:i4>4653122</vt:i4>
      </vt:variant>
      <vt:variant>
        <vt:i4>12</vt:i4>
      </vt:variant>
      <vt:variant>
        <vt:i4>0</vt:i4>
      </vt:variant>
      <vt:variant>
        <vt:i4>5</vt:i4>
      </vt:variant>
      <vt:variant>
        <vt:lpwstr>https://www.vvkt.lt/index.php?1399030386</vt:lpwstr>
      </vt:variant>
      <vt:variant>
        <vt:lpwstr/>
      </vt:variant>
      <vt:variant>
        <vt:i4>4259857</vt:i4>
      </vt:variant>
      <vt:variant>
        <vt:i4>9</vt:i4>
      </vt:variant>
      <vt:variant>
        <vt:i4>0</vt:i4>
      </vt:variant>
      <vt:variant>
        <vt:i4>5</vt:i4>
      </vt:variant>
      <vt:variant>
        <vt:lpwstr>https://vapris.vvkt.lt/vvkt-web/public/nrvSpecialist</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2</cp:revision>
  <dcterms:created xsi:type="dcterms:W3CDTF">2025-06-30T05:23:00Z</dcterms:created>
  <dcterms:modified xsi:type="dcterms:W3CDTF">2025-06-30T05:23:00Z</dcterms:modified>
</cp:coreProperties>
</file>