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41803" w14:textId="77777777" w:rsidR="008B21E8" w:rsidRPr="003F6BC7" w:rsidRDefault="008B21E8" w:rsidP="008B21E8">
      <w:pPr>
        <w:pStyle w:val="Pagrindinistekstas"/>
        <w:rPr>
          <w:sz w:val="20"/>
          <w:lang w:val="lt-LT"/>
        </w:rPr>
      </w:pPr>
    </w:p>
    <w:p w14:paraId="726A048D" w14:textId="77777777" w:rsidR="008B21E8" w:rsidRPr="003F6BC7" w:rsidRDefault="008B21E8" w:rsidP="008B21E8">
      <w:pPr>
        <w:pStyle w:val="Pagrindinistekstas"/>
        <w:rPr>
          <w:sz w:val="20"/>
          <w:lang w:val="lt-LT"/>
        </w:rPr>
      </w:pPr>
    </w:p>
    <w:p w14:paraId="683D90C7" w14:textId="77777777" w:rsidR="008B21E8" w:rsidRPr="003F6BC7" w:rsidRDefault="008B21E8" w:rsidP="008B21E8">
      <w:pPr>
        <w:pStyle w:val="Pagrindinistekstas"/>
        <w:rPr>
          <w:sz w:val="20"/>
          <w:lang w:val="lt-LT"/>
        </w:rPr>
      </w:pPr>
    </w:p>
    <w:p w14:paraId="1CE8105D" w14:textId="77777777" w:rsidR="008B21E8" w:rsidRPr="003F6BC7" w:rsidRDefault="008B21E8" w:rsidP="008B21E8">
      <w:pPr>
        <w:pStyle w:val="Pagrindinistekstas"/>
        <w:rPr>
          <w:sz w:val="20"/>
          <w:lang w:val="lt-LT"/>
        </w:rPr>
      </w:pPr>
    </w:p>
    <w:p w14:paraId="0DC8931C" w14:textId="77777777" w:rsidR="008B21E8" w:rsidRPr="003F6BC7" w:rsidRDefault="008B21E8" w:rsidP="008B21E8">
      <w:pPr>
        <w:pStyle w:val="Pagrindinistekstas"/>
        <w:rPr>
          <w:sz w:val="20"/>
          <w:lang w:val="lt-LT"/>
        </w:rPr>
      </w:pPr>
    </w:p>
    <w:p w14:paraId="62C04C0C" w14:textId="77777777" w:rsidR="008B21E8" w:rsidRPr="003F6BC7" w:rsidRDefault="008B21E8" w:rsidP="008B21E8">
      <w:pPr>
        <w:pStyle w:val="Pagrindinistekstas"/>
        <w:rPr>
          <w:sz w:val="20"/>
          <w:lang w:val="lt-LT"/>
        </w:rPr>
      </w:pPr>
    </w:p>
    <w:p w14:paraId="06324F04" w14:textId="77777777" w:rsidR="008B21E8" w:rsidRPr="003F6BC7" w:rsidRDefault="008B21E8" w:rsidP="008B21E8">
      <w:pPr>
        <w:pStyle w:val="Pagrindinistekstas"/>
        <w:rPr>
          <w:sz w:val="20"/>
          <w:lang w:val="lt-LT"/>
        </w:rPr>
      </w:pPr>
    </w:p>
    <w:p w14:paraId="530DFA15" w14:textId="77777777" w:rsidR="008B21E8" w:rsidRPr="003F6BC7" w:rsidRDefault="008B21E8" w:rsidP="008B21E8">
      <w:pPr>
        <w:pStyle w:val="Pagrindinistekstas"/>
        <w:rPr>
          <w:sz w:val="20"/>
          <w:lang w:val="lt-LT"/>
        </w:rPr>
      </w:pPr>
    </w:p>
    <w:p w14:paraId="5A3FE938" w14:textId="77777777" w:rsidR="008B21E8" w:rsidRPr="003F6BC7" w:rsidRDefault="008B21E8" w:rsidP="008B21E8">
      <w:pPr>
        <w:pStyle w:val="Pagrindinistekstas"/>
        <w:rPr>
          <w:sz w:val="20"/>
          <w:lang w:val="lt-LT"/>
        </w:rPr>
      </w:pPr>
    </w:p>
    <w:p w14:paraId="60E2F145" w14:textId="77777777" w:rsidR="008B21E8" w:rsidRPr="003F6BC7" w:rsidRDefault="008B21E8" w:rsidP="008B21E8">
      <w:pPr>
        <w:pStyle w:val="Pagrindinistekstas"/>
        <w:rPr>
          <w:sz w:val="20"/>
          <w:lang w:val="lt-LT"/>
        </w:rPr>
      </w:pPr>
    </w:p>
    <w:p w14:paraId="7D4EBB6E" w14:textId="77777777" w:rsidR="008B21E8" w:rsidRPr="003F6BC7" w:rsidRDefault="008B21E8" w:rsidP="008B21E8">
      <w:pPr>
        <w:pStyle w:val="Pagrindinistekstas"/>
        <w:rPr>
          <w:sz w:val="20"/>
          <w:lang w:val="lt-LT"/>
        </w:rPr>
      </w:pPr>
    </w:p>
    <w:p w14:paraId="50796338" w14:textId="77777777" w:rsidR="008B21E8" w:rsidRPr="003F6BC7" w:rsidRDefault="008B21E8" w:rsidP="008B21E8">
      <w:pPr>
        <w:pStyle w:val="Pagrindinistekstas"/>
        <w:rPr>
          <w:sz w:val="20"/>
          <w:lang w:val="lt-LT"/>
        </w:rPr>
      </w:pPr>
    </w:p>
    <w:p w14:paraId="5BE049B6" w14:textId="77777777" w:rsidR="008B21E8" w:rsidRPr="003F6BC7" w:rsidRDefault="008B21E8" w:rsidP="008B21E8">
      <w:pPr>
        <w:pStyle w:val="Pagrindinistekstas"/>
        <w:rPr>
          <w:sz w:val="20"/>
          <w:lang w:val="lt-LT"/>
        </w:rPr>
      </w:pPr>
    </w:p>
    <w:p w14:paraId="4678BA50" w14:textId="77777777" w:rsidR="008B21E8" w:rsidRPr="003F6BC7" w:rsidRDefault="008B21E8" w:rsidP="008B21E8">
      <w:pPr>
        <w:pStyle w:val="Pagrindinistekstas"/>
        <w:rPr>
          <w:sz w:val="20"/>
          <w:lang w:val="lt-LT"/>
        </w:rPr>
      </w:pPr>
    </w:p>
    <w:p w14:paraId="209057D2" w14:textId="77777777" w:rsidR="008B21E8" w:rsidRPr="003F6BC7" w:rsidRDefault="008B21E8" w:rsidP="008B21E8">
      <w:pPr>
        <w:pStyle w:val="Pagrindinistekstas"/>
        <w:rPr>
          <w:sz w:val="20"/>
          <w:lang w:val="lt-LT"/>
        </w:rPr>
      </w:pPr>
    </w:p>
    <w:p w14:paraId="5C85D513" w14:textId="77777777" w:rsidR="008B21E8" w:rsidRPr="003F6BC7" w:rsidRDefault="008B21E8" w:rsidP="008B21E8">
      <w:pPr>
        <w:pStyle w:val="Pagrindinistekstas"/>
        <w:rPr>
          <w:sz w:val="20"/>
          <w:lang w:val="lt-LT"/>
        </w:rPr>
      </w:pPr>
    </w:p>
    <w:p w14:paraId="154C262D" w14:textId="77777777" w:rsidR="008B21E8" w:rsidRPr="003F6BC7" w:rsidRDefault="008B21E8" w:rsidP="008B21E8">
      <w:pPr>
        <w:pStyle w:val="Pagrindinistekstas"/>
        <w:rPr>
          <w:sz w:val="20"/>
          <w:lang w:val="lt-LT"/>
        </w:rPr>
      </w:pPr>
    </w:p>
    <w:p w14:paraId="256151E2" w14:textId="77777777" w:rsidR="008B21E8" w:rsidRPr="003F6BC7" w:rsidRDefault="008B21E8" w:rsidP="008B21E8">
      <w:pPr>
        <w:pStyle w:val="Pagrindinistekstas"/>
        <w:rPr>
          <w:sz w:val="20"/>
          <w:lang w:val="lt-LT"/>
        </w:rPr>
      </w:pPr>
    </w:p>
    <w:p w14:paraId="218F1429" w14:textId="77777777" w:rsidR="008B21E8" w:rsidRPr="003F6BC7" w:rsidRDefault="008B21E8" w:rsidP="008B21E8">
      <w:pPr>
        <w:pStyle w:val="Pagrindinistekstas"/>
        <w:rPr>
          <w:sz w:val="20"/>
          <w:lang w:val="lt-LT"/>
        </w:rPr>
      </w:pPr>
    </w:p>
    <w:p w14:paraId="09052032" w14:textId="77777777" w:rsidR="008B21E8" w:rsidRPr="003F6BC7" w:rsidRDefault="008B21E8" w:rsidP="008B21E8">
      <w:pPr>
        <w:pStyle w:val="Pagrindinistekstas"/>
        <w:rPr>
          <w:sz w:val="20"/>
          <w:lang w:val="lt-LT"/>
        </w:rPr>
      </w:pPr>
    </w:p>
    <w:p w14:paraId="24B0D397" w14:textId="77777777" w:rsidR="008B21E8" w:rsidRPr="003F6BC7" w:rsidRDefault="008B21E8" w:rsidP="008B21E8">
      <w:pPr>
        <w:pStyle w:val="Pagrindinistekstas"/>
        <w:rPr>
          <w:sz w:val="20"/>
          <w:lang w:val="lt-LT"/>
        </w:rPr>
      </w:pPr>
    </w:p>
    <w:p w14:paraId="2EB20EE4" w14:textId="77777777" w:rsidR="008B21E8" w:rsidRPr="003F6BC7" w:rsidRDefault="008B21E8" w:rsidP="008B21E8">
      <w:pPr>
        <w:pStyle w:val="Pagrindinistekstas"/>
        <w:rPr>
          <w:sz w:val="20"/>
          <w:lang w:val="lt-LT"/>
        </w:rPr>
      </w:pPr>
    </w:p>
    <w:p w14:paraId="7FF1FBCB" w14:textId="77777777" w:rsidR="008B21E8" w:rsidRPr="003F6BC7" w:rsidRDefault="008B21E8" w:rsidP="008B21E8">
      <w:pPr>
        <w:pStyle w:val="Pagrindinistekstas"/>
        <w:spacing w:before="8"/>
        <w:rPr>
          <w:sz w:val="23"/>
          <w:lang w:val="lt-LT"/>
        </w:rPr>
      </w:pPr>
    </w:p>
    <w:p w14:paraId="01559914" w14:textId="77777777" w:rsidR="008B21E8" w:rsidRPr="003F6BC7" w:rsidRDefault="008B21E8" w:rsidP="008B21E8">
      <w:pPr>
        <w:pStyle w:val="Antrat2"/>
        <w:spacing w:before="91"/>
        <w:ind w:left="2296" w:right="2194"/>
        <w:jc w:val="center"/>
        <w:rPr>
          <w:lang w:val="lt-LT"/>
        </w:rPr>
      </w:pPr>
      <w:bookmarkStart w:id="0" w:name="PREPARATO_CHARAKTERISTIKŲ_SANTRAUKA"/>
      <w:bookmarkEnd w:id="0"/>
      <w:r w:rsidRPr="003F6BC7">
        <w:rPr>
          <w:lang w:val="lt-LT"/>
        </w:rPr>
        <w:t>I PRIEDAS</w:t>
      </w:r>
    </w:p>
    <w:p w14:paraId="4BDE5155" w14:textId="77777777" w:rsidR="008B21E8" w:rsidRPr="003F6BC7" w:rsidRDefault="008B21E8" w:rsidP="008B21E8">
      <w:pPr>
        <w:pStyle w:val="Pagrindinistekstas"/>
        <w:spacing w:before="3"/>
        <w:rPr>
          <w:b/>
          <w:lang w:val="lt-LT"/>
        </w:rPr>
      </w:pPr>
    </w:p>
    <w:p w14:paraId="2AE30525" w14:textId="77777777" w:rsidR="008B21E8" w:rsidRPr="003F6BC7" w:rsidRDefault="008B21E8" w:rsidP="00590ABF">
      <w:pPr>
        <w:ind w:right="2"/>
        <w:jc w:val="center"/>
        <w:rPr>
          <w:b/>
          <w:lang w:val="lt-LT"/>
        </w:rPr>
      </w:pPr>
      <w:r w:rsidRPr="003F6BC7">
        <w:rPr>
          <w:b/>
          <w:lang w:val="lt-LT"/>
        </w:rPr>
        <w:t>PREPARATO CHARAKTERISTIKŲ SANTRAUKA</w:t>
      </w:r>
    </w:p>
    <w:p w14:paraId="62492485" w14:textId="77777777" w:rsidR="00260171" w:rsidRDefault="00260171">
      <w:pPr>
        <w:widowControl/>
        <w:autoSpaceDE/>
        <w:autoSpaceDN/>
        <w:spacing w:after="160" w:line="259" w:lineRule="auto"/>
        <w:rPr>
          <w:lang w:val="lt-LT"/>
        </w:rPr>
      </w:pPr>
      <w:r>
        <w:rPr>
          <w:lang w:val="lt-LT"/>
        </w:rPr>
        <w:br w:type="page"/>
      </w:r>
    </w:p>
    <w:p w14:paraId="5EEB4B51" w14:textId="77777777" w:rsidR="008B21E8" w:rsidRPr="003F6BC7" w:rsidRDefault="008B21E8" w:rsidP="008B21E8">
      <w:pPr>
        <w:pStyle w:val="Antrat2"/>
        <w:numPr>
          <w:ilvl w:val="0"/>
          <w:numId w:val="1"/>
        </w:numPr>
        <w:spacing w:before="67"/>
        <w:ind w:left="567" w:hanging="568"/>
        <w:rPr>
          <w:lang w:val="lt-LT"/>
        </w:rPr>
      </w:pPr>
      <w:r w:rsidRPr="003F6BC7">
        <w:rPr>
          <w:lang w:val="lt-LT"/>
        </w:rPr>
        <w:lastRenderedPageBreak/>
        <w:t>VAISTINIO PREPARATO</w:t>
      </w:r>
      <w:r w:rsidRPr="003F6BC7">
        <w:rPr>
          <w:spacing w:val="6"/>
          <w:lang w:val="lt-LT"/>
        </w:rPr>
        <w:t xml:space="preserve"> </w:t>
      </w:r>
      <w:r w:rsidRPr="003F6BC7">
        <w:rPr>
          <w:spacing w:val="-3"/>
          <w:lang w:val="lt-LT"/>
        </w:rPr>
        <w:t>PAVADINIMAS</w:t>
      </w:r>
    </w:p>
    <w:p w14:paraId="03B54AF4" w14:textId="77777777" w:rsidR="001778F4" w:rsidRPr="003F6BC7" w:rsidRDefault="001778F4">
      <w:pPr>
        <w:rPr>
          <w:lang w:val="lt-LT"/>
        </w:rPr>
      </w:pPr>
    </w:p>
    <w:p w14:paraId="5D093507" w14:textId="5AF5533D" w:rsidR="008B21E8" w:rsidRPr="003F6BC7" w:rsidRDefault="008B21E8">
      <w:pPr>
        <w:rPr>
          <w:lang w:val="lt-LT"/>
        </w:rPr>
      </w:pPr>
      <w:proofErr w:type="spellStart"/>
      <w:r w:rsidRPr="003F6BC7">
        <w:rPr>
          <w:lang w:val="lt-LT"/>
        </w:rPr>
        <w:t>Zilbea</w:t>
      </w:r>
      <w:proofErr w:type="spellEnd"/>
      <w:r w:rsidRPr="003F6BC7">
        <w:rPr>
          <w:lang w:val="lt-LT"/>
        </w:rPr>
        <w:t xml:space="preserve"> 25</w:t>
      </w:r>
      <w:r w:rsidR="00522ED5">
        <w:rPr>
          <w:lang w:val="lt-LT"/>
        </w:rPr>
        <w:t> </w:t>
      </w:r>
      <w:r w:rsidRPr="003F6BC7">
        <w:rPr>
          <w:lang w:val="lt-LT"/>
        </w:rPr>
        <w:t>mg plėvele dengtos tabletės</w:t>
      </w:r>
    </w:p>
    <w:p w14:paraId="454424D6" w14:textId="77777777" w:rsidR="008B21E8" w:rsidRPr="003F6BC7" w:rsidRDefault="008B21E8">
      <w:pPr>
        <w:rPr>
          <w:lang w:val="lt-LT"/>
        </w:rPr>
      </w:pPr>
    </w:p>
    <w:p w14:paraId="6245F0AB" w14:textId="77777777" w:rsidR="008B21E8" w:rsidRPr="003F6BC7" w:rsidRDefault="008B21E8">
      <w:pPr>
        <w:rPr>
          <w:lang w:val="lt-LT"/>
        </w:rPr>
      </w:pPr>
    </w:p>
    <w:p w14:paraId="302EC28A" w14:textId="77777777" w:rsidR="008B21E8" w:rsidRPr="003F6BC7" w:rsidRDefault="008B21E8" w:rsidP="008B21E8">
      <w:pPr>
        <w:pStyle w:val="Sraopastraipa"/>
        <w:numPr>
          <w:ilvl w:val="0"/>
          <w:numId w:val="1"/>
        </w:numPr>
        <w:ind w:left="567"/>
        <w:rPr>
          <w:lang w:val="lt-LT"/>
        </w:rPr>
      </w:pPr>
      <w:r w:rsidRPr="003F6BC7">
        <w:rPr>
          <w:b/>
          <w:bCs/>
          <w:lang w:val="lt-LT"/>
        </w:rPr>
        <w:t>KOKYBINĖ IR KIEKYBINĖ SUDĖTIS</w:t>
      </w:r>
    </w:p>
    <w:p w14:paraId="0CE9E9A0" w14:textId="77777777" w:rsidR="008B21E8" w:rsidRPr="003F6BC7" w:rsidRDefault="008B21E8" w:rsidP="008B21E8">
      <w:pPr>
        <w:rPr>
          <w:lang w:val="lt-LT"/>
        </w:rPr>
      </w:pPr>
    </w:p>
    <w:p w14:paraId="04B4492A" w14:textId="2B4EB378" w:rsidR="008B21E8" w:rsidRPr="003F6BC7" w:rsidRDefault="008B21E8" w:rsidP="008B21E8">
      <w:pPr>
        <w:rPr>
          <w:lang w:val="lt-LT"/>
        </w:rPr>
      </w:pPr>
      <w:r w:rsidRPr="003F6BC7">
        <w:rPr>
          <w:lang w:val="lt-LT"/>
        </w:rPr>
        <w:t>Kiekvienoje plėvele dengtoje tabletėje yra 44,74</w:t>
      </w:r>
      <w:r w:rsidR="009003C8">
        <w:rPr>
          <w:lang w:val="lt-LT"/>
        </w:rPr>
        <w:t> </w:t>
      </w:r>
      <w:r w:rsidRPr="003F6BC7">
        <w:rPr>
          <w:lang w:val="lt-LT"/>
        </w:rPr>
        <w:t xml:space="preserve">mg </w:t>
      </w:r>
      <w:proofErr w:type="spellStart"/>
      <w:r w:rsidRPr="003F6BC7">
        <w:rPr>
          <w:lang w:val="lt-LT"/>
        </w:rPr>
        <w:t>agomelatino</w:t>
      </w:r>
      <w:proofErr w:type="spellEnd"/>
      <w:r w:rsidRPr="003F6BC7">
        <w:rPr>
          <w:lang w:val="lt-LT"/>
        </w:rPr>
        <w:t xml:space="preserve"> citrinų rūgšties </w:t>
      </w:r>
      <w:proofErr w:type="spellStart"/>
      <w:r w:rsidR="00E060E0">
        <w:rPr>
          <w:lang w:val="lt-LT"/>
        </w:rPr>
        <w:t>ko</w:t>
      </w:r>
      <w:r w:rsidRPr="003F6BC7">
        <w:rPr>
          <w:lang w:val="lt-LT"/>
        </w:rPr>
        <w:t>kristalų</w:t>
      </w:r>
      <w:proofErr w:type="spellEnd"/>
      <w:r w:rsidRPr="003F6BC7">
        <w:rPr>
          <w:lang w:val="lt-LT"/>
        </w:rPr>
        <w:t>, atitinkančių 25</w:t>
      </w:r>
      <w:r w:rsidR="009003C8">
        <w:rPr>
          <w:lang w:val="lt-LT"/>
        </w:rPr>
        <w:t> </w:t>
      </w:r>
      <w:r w:rsidRPr="003F6BC7">
        <w:rPr>
          <w:lang w:val="lt-LT"/>
        </w:rPr>
        <w:t xml:space="preserve">mg </w:t>
      </w:r>
      <w:proofErr w:type="spellStart"/>
      <w:r w:rsidRPr="003F6BC7">
        <w:rPr>
          <w:lang w:val="lt-LT"/>
        </w:rPr>
        <w:t>agomelatino</w:t>
      </w:r>
      <w:proofErr w:type="spellEnd"/>
      <w:r w:rsidRPr="003F6BC7">
        <w:rPr>
          <w:lang w:val="lt-LT"/>
        </w:rPr>
        <w:t>.</w:t>
      </w:r>
    </w:p>
    <w:p w14:paraId="13677FEA" w14:textId="77777777" w:rsidR="008B21E8" w:rsidRPr="003F6BC7" w:rsidRDefault="008B21E8" w:rsidP="008B21E8">
      <w:pPr>
        <w:rPr>
          <w:lang w:val="lt-LT"/>
        </w:rPr>
      </w:pPr>
    </w:p>
    <w:p w14:paraId="04A2FB91" w14:textId="77777777" w:rsidR="008B21E8" w:rsidRPr="003F6BC7" w:rsidRDefault="008B21E8" w:rsidP="008B21E8">
      <w:pPr>
        <w:rPr>
          <w:lang w:val="lt-LT"/>
        </w:rPr>
      </w:pPr>
      <w:r w:rsidRPr="003F6BC7">
        <w:rPr>
          <w:lang w:val="lt-LT"/>
        </w:rPr>
        <w:t>Visos pagalbinės medžiagos išvardytos 6.1 skyriuje.</w:t>
      </w:r>
    </w:p>
    <w:p w14:paraId="7B99AF0E" w14:textId="77777777" w:rsidR="008B21E8" w:rsidRDefault="008B21E8" w:rsidP="008B21E8">
      <w:pPr>
        <w:rPr>
          <w:lang w:val="lt-LT"/>
        </w:rPr>
      </w:pPr>
    </w:p>
    <w:p w14:paraId="51DDB3EE" w14:textId="77777777" w:rsidR="00027E14" w:rsidRPr="003F6BC7" w:rsidRDefault="00027E14" w:rsidP="008B21E8">
      <w:pPr>
        <w:rPr>
          <w:lang w:val="lt-LT"/>
        </w:rPr>
      </w:pPr>
    </w:p>
    <w:p w14:paraId="414C9770" w14:textId="77777777" w:rsidR="008B21E8" w:rsidRPr="003F6BC7" w:rsidRDefault="008B21E8" w:rsidP="008B21E8">
      <w:pPr>
        <w:pStyle w:val="Sraopastraipa"/>
        <w:numPr>
          <w:ilvl w:val="0"/>
          <w:numId w:val="1"/>
        </w:numPr>
        <w:ind w:left="567"/>
        <w:rPr>
          <w:b/>
          <w:bCs/>
          <w:lang w:val="lt-LT"/>
        </w:rPr>
      </w:pPr>
      <w:r w:rsidRPr="003F6BC7">
        <w:rPr>
          <w:b/>
          <w:bCs/>
          <w:lang w:val="lt-LT"/>
        </w:rPr>
        <w:t>FARMACINĖ FORMA</w:t>
      </w:r>
    </w:p>
    <w:p w14:paraId="325A85B2" w14:textId="77777777" w:rsidR="008B21E8" w:rsidRPr="003F6BC7" w:rsidRDefault="008B21E8" w:rsidP="008B21E8">
      <w:pPr>
        <w:rPr>
          <w:b/>
          <w:bCs/>
          <w:lang w:val="lt-LT"/>
        </w:rPr>
      </w:pPr>
    </w:p>
    <w:p w14:paraId="55C7C79E" w14:textId="0547D911" w:rsidR="008B21E8" w:rsidRPr="003F6BC7" w:rsidRDefault="008B21E8" w:rsidP="008B21E8">
      <w:pPr>
        <w:rPr>
          <w:lang w:val="lt-LT"/>
        </w:rPr>
      </w:pPr>
      <w:r w:rsidRPr="003F6BC7">
        <w:rPr>
          <w:lang w:val="lt-LT"/>
        </w:rPr>
        <w:t>Plėvele dengta tabletė.</w:t>
      </w:r>
    </w:p>
    <w:p w14:paraId="6C41DCF3" w14:textId="63DE28A4" w:rsidR="008C0D00" w:rsidRPr="003F6BC7" w:rsidRDefault="008C0D00" w:rsidP="008C0D00">
      <w:pPr>
        <w:rPr>
          <w:lang w:val="lt-LT"/>
        </w:rPr>
      </w:pPr>
      <w:r w:rsidRPr="003F6BC7">
        <w:rPr>
          <w:lang w:val="lt-LT"/>
        </w:rPr>
        <w:t>Geltonos, pailgos, abipus išgaubtos, 9</w:t>
      </w:r>
      <w:r w:rsidR="009003C8" w:rsidRPr="00590ABF">
        <w:rPr>
          <w:lang w:val="lt-LT"/>
        </w:rPr>
        <w:t> </w:t>
      </w:r>
      <w:r w:rsidRPr="003F6BC7">
        <w:rPr>
          <w:lang w:val="lt-LT"/>
        </w:rPr>
        <w:t>mm ilgio ir 4,5</w:t>
      </w:r>
      <w:r w:rsidR="009003C8">
        <w:rPr>
          <w:lang w:val="lt-LT"/>
        </w:rPr>
        <w:t> </w:t>
      </w:r>
      <w:r w:rsidRPr="003F6BC7">
        <w:rPr>
          <w:lang w:val="lt-LT"/>
        </w:rPr>
        <w:t>mm pločio plėvele dengtos tabletės.</w:t>
      </w:r>
    </w:p>
    <w:p w14:paraId="35C64D57" w14:textId="77777777" w:rsidR="008C0D00" w:rsidRPr="003F6BC7" w:rsidRDefault="008C0D00" w:rsidP="008C0D00">
      <w:pPr>
        <w:rPr>
          <w:lang w:val="lt-LT"/>
        </w:rPr>
      </w:pPr>
    </w:p>
    <w:p w14:paraId="1391CE36" w14:textId="77777777" w:rsidR="008C0D00" w:rsidRPr="003F6BC7" w:rsidRDefault="008C0D00" w:rsidP="008C0D00">
      <w:pPr>
        <w:rPr>
          <w:lang w:val="lt-LT"/>
        </w:rPr>
      </w:pPr>
    </w:p>
    <w:p w14:paraId="5BA0ABA8" w14:textId="77777777" w:rsidR="008C0D00" w:rsidRPr="003F6BC7" w:rsidRDefault="008C0D00" w:rsidP="0090581D">
      <w:pPr>
        <w:ind w:left="567" w:hanging="567"/>
        <w:rPr>
          <w:b/>
          <w:bCs/>
          <w:lang w:val="lt-LT"/>
        </w:rPr>
      </w:pPr>
      <w:r w:rsidRPr="003F6BC7">
        <w:rPr>
          <w:b/>
          <w:bCs/>
          <w:lang w:val="lt-LT"/>
        </w:rPr>
        <w:t>4.</w:t>
      </w:r>
      <w:r w:rsidRPr="003F6BC7">
        <w:rPr>
          <w:b/>
          <w:bCs/>
          <w:lang w:val="lt-LT"/>
        </w:rPr>
        <w:tab/>
        <w:t>KLINIKINĖ INFORMACIJA</w:t>
      </w:r>
    </w:p>
    <w:p w14:paraId="3DE63528" w14:textId="77777777" w:rsidR="008C0D00" w:rsidRPr="003F6BC7" w:rsidRDefault="008C0D00" w:rsidP="008C0D00">
      <w:pPr>
        <w:rPr>
          <w:b/>
          <w:bCs/>
          <w:lang w:val="lt-LT"/>
        </w:rPr>
      </w:pPr>
    </w:p>
    <w:p w14:paraId="4392134D" w14:textId="77777777" w:rsidR="008B21E8" w:rsidRPr="003F6BC7" w:rsidRDefault="008C0D00" w:rsidP="0090581D">
      <w:pPr>
        <w:ind w:left="567" w:hanging="567"/>
        <w:rPr>
          <w:lang w:val="lt-LT"/>
        </w:rPr>
      </w:pPr>
      <w:r w:rsidRPr="003F6BC7">
        <w:rPr>
          <w:b/>
          <w:bCs/>
          <w:lang w:val="lt-LT"/>
        </w:rPr>
        <w:t>4.1</w:t>
      </w:r>
      <w:r w:rsidRPr="003F6BC7">
        <w:rPr>
          <w:b/>
          <w:bCs/>
          <w:lang w:val="lt-LT"/>
        </w:rPr>
        <w:tab/>
        <w:t>Terapinės indikacijos</w:t>
      </w:r>
    </w:p>
    <w:p w14:paraId="55FB4DA8" w14:textId="77777777" w:rsidR="008C0D00" w:rsidRPr="003F6BC7" w:rsidRDefault="008C0D00" w:rsidP="008C0D00">
      <w:pPr>
        <w:rPr>
          <w:lang w:val="lt-LT"/>
        </w:rPr>
      </w:pPr>
    </w:p>
    <w:p w14:paraId="24DF1A52" w14:textId="77777777" w:rsidR="008C0D00" w:rsidRPr="003F6BC7" w:rsidRDefault="008C0D00" w:rsidP="008C0D00">
      <w:pPr>
        <w:rPr>
          <w:lang w:val="lt-LT"/>
        </w:rPr>
      </w:pPr>
      <w:r w:rsidRPr="003F6BC7">
        <w:rPr>
          <w:lang w:val="lt-LT"/>
        </w:rPr>
        <w:t>Didžiosios depresijos epizodų gydymas.</w:t>
      </w:r>
    </w:p>
    <w:p w14:paraId="1E019209" w14:textId="3AE73C99" w:rsidR="008C0D00" w:rsidRPr="003F6BC7" w:rsidRDefault="008C0D00" w:rsidP="008C0D00">
      <w:pPr>
        <w:rPr>
          <w:lang w:val="lt-LT"/>
        </w:rPr>
      </w:pPr>
      <w:proofErr w:type="spellStart"/>
      <w:r w:rsidRPr="003F6BC7">
        <w:rPr>
          <w:lang w:val="lt-LT"/>
        </w:rPr>
        <w:t>Zilbea</w:t>
      </w:r>
      <w:proofErr w:type="spellEnd"/>
      <w:r w:rsidRPr="003F6BC7">
        <w:rPr>
          <w:lang w:val="lt-LT"/>
        </w:rPr>
        <w:t xml:space="preserve"> skirtas suaugusie</w:t>
      </w:r>
      <w:r w:rsidR="00166143">
        <w:rPr>
          <w:lang w:val="lt-LT"/>
        </w:rPr>
        <w:t>sie</w:t>
      </w:r>
      <w:r w:rsidRPr="003F6BC7">
        <w:rPr>
          <w:lang w:val="lt-LT"/>
        </w:rPr>
        <w:t>ms.</w:t>
      </w:r>
    </w:p>
    <w:p w14:paraId="3D4C195E" w14:textId="77777777" w:rsidR="008C0D00" w:rsidRPr="003F6BC7" w:rsidRDefault="008C0D00" w:rsidP="008C0D00">
      <w:pPr>
        <w:rPr>
          <w:lang w:val="lt-LT"/>
        </w:rPr>
      </w:pPr>
    </w:p>
    <w:p w14:paraId="2B760A89" w14:textId="77777777" w:rsidR="008C0D00" w:rsidRPr="003F6BC7" w:rsidRDefault="008C0D00" w:rsidP="0090581D">
      <w:pPr>
        <w:ind w:left="567" w:hanging="567"/>
        <w:rPr>
          <w:lang w:val="lt-LT"/>
        </w:rPr>
      </w:pPr>
      <w:r w:rsidRPr="003F6BC7">
        <w:rPr>
          <w:b/>
          <w:bCs/>
          <w:lang w:val="lt-LT"/>
        </w:rPr>
        <w:t>4.2</w:t>
      </w:r>
      <w:r w:rsidRPr="003F6BC7">
        <w:rPr>
          <w:b/>
          <w:bCs/>
          <w:lang w:val="lt-LT"/>
        </w:rPr>
        <w:tab/>
        <w:t>Dozavimas ir vartojimo metodas</w:t>
      </w:r>
    </w:p>
    <w:p w14:paraId="6A7EE602" w14:textId="77777777" w:rsidR="008C0D00" w:rsidRPr="003F6BC7" w:rsidRDefault="008C0D00" w:rsidP="008C0D00">
      <w:pPr>
        <w:rPr>
          <w:lang w:val="lt-LT"/>
        </w:rPr>
      </w:pPr>
    </w:p>
    <w:p w14:paraId="214ADC6E" w14:textId="77777777" w:rsidR="008C0D00" w:rsidRPr="003F6BC7" w:rsidRDefault="008C0D00" w:rsidP="008C0D00">
      <w:pPr>
        <w:rPr>
          <w:lang w:val="lt-LT"/>
        </w:rPr>
      </w:pPr>
      <w:r w:rsidRPr="003F6BC7">
        <w:rPr>
          <w:u w:val="single"/>
          <w:lang w:val="lt-LT"/>
        </w:rPr>
        <w:t>Dozavimas</w:t>
      </w:r>
    </w:p>
    <w:p w14:paraId="4FF72B8C" w14:textId="5CCA12B6" w:rsidR="008C0D00" w:rsidRPr="003F6BC7" w:rsidRDefault="008C0D00" w:rsidP="008C0D00">
      <w:pPr>
        <w:rPr>
          <w:lang w:val="lt-LT"/>
        </w:rPr>
      </w:pPr>
      <w:r w:rsidRPr="003F6BC7">
        <w:rPr>
          <w:lang w:val="lt-LT"/>
        </w:rPr>
        <w:t>Rekomenduojama dozė yra 25</w:t>
      </w:r>
      <w:r w:rsidR="007D2854">
        <w:rPr>
          <w:lang w:val="lt-LT"/>
        </w:rPr>
        <w:t> </w:t>
      </w:r>
      <w:r w:rsidRPr="003F6BC7">
        <w:rPr>
          <w:lang w:val="lt-LT"/>
        </w:rPr>
        <w:t>mg vieną kartą per parą einant miegoti.</w:t>
      </w:r>
    </w:p>
    <w:p w14:paraId="584E6D8E" w14:textId="69F6F822" w:rsidR="008C0D00" w:rsidRPr="003F6BC7" w:rsidRDefault="008C0D00" w:rsidP="008C0D00">
      <w:pPr>
        <w:rPr>
          <w:lang w:val="lt-LT"/>
        </w:rPr>
      </w:pPr>
      <w:r w:rsidRPr="003F6BC7">
        <w:rPr>
          <w:lang w:val="lt-LT"/>
        </w:rPr>
        <w:t>Jeigu po dviejų gydymo savaičių simptomai nepalengvėja, dozę galima padidinti iki 50</w:t>
      </w:r>
      <w:r w:rsidR="007D2854">
        <w:rPr>
          <w:lang w:val="lt-LT"/>
        </w:rPr>
        <w:t> </w:t>
      </w:r>
      <w:r w:rsidRPr="003F6BC7">
        <w:rPr>
          <w:lang w:val="lt-LT"/>
        </w:rPr>
        <w:t>mg kartą per parą, t. y. einant miegoti išgerti dvi tabletes po 25</w:t>
      </w:r>
      <w:r w:rsidR="007D2854">
        <w:rPr>
          <w:lang w:val="lt-LT"/>
        </w:rPr>
        <w:t> </w:t>
      </w:r>
      <w:r w:rsidRPr="003F6BC7">
        <w:rPr>
          <w:lang w:val="lt-LT"/>
        </w:rPr>
        <w:t>mg.</w:t>
      </w:r>
    </w:p>
    <w:p w14:paraId="53CDB64E" w14:textId="77777777" w:rsidR="008C0D00" w:rsidRPr="003F6BC7" w:rsidRDefault="008C0D00" w:rsidP="008C0D00">
      <w:pPr>
        <w:rPr>
          <w:lang w:val="lt-LT"/>
        </w:rPr>
      </w:pPr>
    </w:p>
    <w:p w14:paraId="15D7A063" w14:textId="429A1DF9" w:rsidR="008C0D00" w:rsidRPr="003F6BC7" w:rsidRDefault="008C0D00" w:rsidP="008C0D00">
      <w:pPr>
        <w:rPr>
          <w:lang w:val="lt-LT"/>
        </w:rPr>
      </w:pPr>
      <w:r w:rsidRPr="003F6BC7">
        <w:rPr>
          <w:lang w:val="lt-LT"/>
        </w:rPr>
        <w:t xml:space="preserve">Priimant sprendimą padidinti dozę reikia atsižvelgti į didesnę </w:t>
      </w:r>
      <w:proofErr w:type="spellStart"/>
      <w:r w:rsidRPr="003F6BC7">
        <w:rPr>
          <w:lang w:val="lt-LT"/>
        </w:rPr>
        <w:t>transaminazių</w:t>
      </w:r>
      <w:proofErr w:type="spellEnd"/>
      <w:r w:rsidRPr="003F6BC7">
        <w:rPr>
          <w:lang w:val="lt-LT"/>
        </w:rPr>
        <w:t xml:space="preserve"> aktyvumo padidėjimo riziką. Bet koks dozės padidinimas iki 50</w:t>
      </w:r>
      <w:r w:rsidR="007D2854">
        <w:rPr>
          <w:lang w:val="lt-LT"/>
        </w:rPr>
        <w:t> </w:t>
      </w:r>
      <w:r w:rsidRPr="003F6BC7">
        <w:rPr>
          <w:lang w:val="lt-LT"/>
        </w:rPr>
        <w:t>mg turi būti atliekamas remiantis konkretaus paciento naudos ir rizikos santykio įvertinimu ir atidžiai stebint kepenų funkcijos tyrimų (KFT) rodmenis.</w:t>
      </w:r>
    </w:p>
    <w:p w14:paraId="0C30A579" w14:textId="77777777" w:rsidR="008C0D00" w:rsidRPr="003F6BC7" w:rsidRDefault="008C0D00" w:rsidP="008C0D00">
      <w:pPr>
        <w:rPr>
          <w:lang w:val="lt-LT"/>
        </w:rPr>
      </w:pPr>
    </w:p>
    <w:p w14:paraId="4148CC94" w14:textId="2278ED7C" w:rsidR="00844417" w:rsidRPr="003F6BC7" w:rsidRDefault="00844417" w:rsidP="00844417">
      <w:pPr>
        <w:rPr>
          <w:lang w:val="lt-LT"/>
        </w:rPr>
      </w:pPr>
      <w:r w:rsidRPr="003F6BC7">
        <w:rPr>
          <w:lang w:val="lt-LT"/>
        </w:rPr>
        <w:t xml:space="preserve">Visiems pacientams prieš pradedant gydymą turi būti atlikti kepenų funkcijos tyrimai. Negalima pradėti gydymo, jeigu </w:t>
      </w:r>
      <w:proofErr w:type="spellStart"/>
      <w:r w:rsidRPr="003F6BC7">
        <w:rPr>
          <w:lang w:val="lt-LT"/>
        </w:rPr>
        <w:t>transaminazių</w:t>
      </w:r>
      <w:proofErr w:type="spellEnd"/>
      <w:r w:rsidRPr="003F6BC7">
        <w:rPr>
          <w:lang w:val="lt-LT"/>
        </w:rPr>
        <w:t xml:space="preserve"> aktyvumas 3</w:t>
      </w:r>
      <w:r w:rsidR="00227E03" w:rsidRPr="00590ABF">
        <w:rPr>
          <w:lang w:val="lt-LT"/>
        </w:rPr>
        <w:t> </w:t>
      </w:r>
      <w:r w:rsidRPr="003F6BC7">
        <w:rPr>
          <w:lang w:val="lt-LT"/>
        </w:rPr>
        <w:t xml:space="preserve">kartus viršija viršutinę normos ribą (žr. 4.3 ir 4.4 skyrius). Gydymo metu </w:t>
      </w:r>
      <w:proofErr w:type="spellStart"/>
      <w:r w:rsidRPr="003F6BC7">
        <w:rPr>
          <w:lang w:val="lt-LT"/>
        </w:rPr>
        <w:t>transaminazių</w:t>
      </w:r>
      <w:proofErr w:type="spellEnd"/>
      <w:r w:rsidRPr="003F6BC7">
        <w:rPr>
          <w:lang w:val="lt-LT"/>
        </w:rPr>
        <w:t xml:space="preserve"> aktyvumas turi būti periodiškai tiriamas maždaug po trijų savaičių, šešių savaičių (ūminės fazės pabaigoje), dvylikos savaičių ir dvidešimt keturių savaičių (palaikomosios fazės pabaigoje)</w:t>
      </w:r>
      <w:r w:rsidR="00BD5344">
        <w:rPr>
          <w:lang w:val="lt-LT"/>
        </w:rPr>
        <w:t>,</w:t>
      </w:r>
      <w:r w:rsidRPr="003F6BC7">
        <w:rPr>
          <w:lang w:val="lt-LT"/>
        </w:rPr>
        <w:t xml:space="preserve"> bei po to, jeigu yra klinikinių indikacijų (taip pat žr. 4.4 skyrių). Gydymas turi būti nutrauktas, jeigu </w:t>
      </w:r>
      <w:proofErr w:type="spellStart"/>
      <w:r w:rsidRPr="003F6BC7">
        <w:rPr>
          <w:lang w:val="lt-LT"/>
        </w:rPr>
        <w:t>transaminazių</w:t>
      </w:r>
      <w:proofErr w:type="spellEnd"/>
      <w:r w:rsidRPr="003F6BC7">
        <w:rPr>
          <w:lang w:val="lt-LT"/>
        </w:rPr>
        <w:t xml:space="preserve"> aktyvumas 3</w:t>
      </w:r>
      <w:r w:rsidR="00BD5344">
        <w:rPr>
          <w:lang w:val="lt-LT"/>
        </w:rPr>
        <w:t xml:space="preserve"> </w:t>
      </w:r>
      <w:r w:rsidRPr="003F6BC7">
        <w:rPr>
          <w:lang w:val="lt-LT"/>
        </w:rPr>
        <w:t>kartus viršija viršutinę normos ribą (žr. 4.3 ir 4.4 skyrius).</w:t>
      </w:r>
    </w:p>
    <w:p w14:paraId="20DD1765" w14:textId="77777777" w:rsidR="00844417" w:rsidRPr="003F6BC7" w:rsidRDefault="00844417" w:rsidP="00844417">
      <w:pPr>
        <w:rPr>
          <w:lang w:val="lt-LT"/>
        </w:rPr>
      </w:pPr>
      <w:r w:rsidRPr="003F6BC7">
        <w:rPr>
          <w:lang w:val="lt-LT"/>
        </w:rPr>
        <w:t>Didinant dozę, kepenų funkcijos tyrimai vėl turi būti atliekami tokiu pat dažniu, kaip ir pradedant gydymą.</w:t>
      </w:r>
    </w:p>
    <w:p w14:paraId="5CD7380F" w14:textId="77777777" w:rsidR="00844417" w:rsidRPr="003F6BC7" w:rsidRDefault="00844417" w:rsidP="00844417">
      <w:pPr>
        <w:rPr>
          <w:lang w:val="lt-LT"/>
        </w:rPr>
      </w:pPr>
    </w:p>
    <w:p w14:paraId="478E8465" w14:textId="77777777" w:rsidR="00844417" w:rsidRPr="003F6BC7" w:rsidRDefault="00844417" w:rsidP="00844417">
      <w:pPr>
        <w:rPr>
          <w:i/>
          <w:lang w:val="lt-LT"/>
        </w:rPr>
      </w:pPr>
      <w:r w:rsidRPr="003F6BC7">
        <w:rPr>
          <w:i/>
          <w:lang w:val="lt-LT"/>
        </w:rPr>
        <w:t>Gydymo trukmė</w:t>
      </w:r>
    </w:p>
    <w:p w14:paraId="4179F494" w14:textId="143B6C17" w:rsidR="00844417" w:rsidRPr="003F6BC7" w:rsidRDefault="00844417" w:rsidP="00844417">
      <w:pPr>
        <w:rPr>
          <w:lang w:val="lt-LT"/>
        </w:rPr>
      </w:pPr>
      <w:r w:rsidRPr="003F6BC7">
        <w:rPr>
          <w:lang w:val="lt-LT"/>
        </w:rPr>
        <w:t xml:space="preserve">Depresija sergantys pacientai turi būti gydomi pakankamą laikotarpį (mažiausiai 6 mėnesius), </w:t>
      </w:r>
      <w:r w:rsidR="006F4823">
        <w:rPr>
          <w:lang w:val="lt-LT"/>
        </w:rPr>
        <w:t>siekiant užtikrinti</w:t>
      </w:r>
      <w:r w:rsidRPr="003F6BC7">
        <w:rPr>
          <w:lang w:val="lt-LT"/>
        </w:rPr>
        <w:t>, jog simptomai išnyko.</w:t>
      </w:r>
    </w:p>
    <w:p w14:paraId="7EA89C17" w14:textId="77777777" w:rsidR="00844417" w:rsidRPr="003F6BC7" w:rsidRDefault="00844417" w:rsidP="00844417">
      <w:pPr>
        <w:rPr>
          <w:lang w:val="lt-LT"/>
        </w:rPr>
      </w:pPr>
    </w:p>
    <w:p w14:paraId="257925C1" w14:textId="46AE711E" w:rsidR="00844417" w:rsidRPr="003F6BC7" w:rsidRDefault="00844417" w:rsidP="00844417">
      <w:pPr>
        <w:rPr>
          <w:i/>
          <w:lang w:val="lt-LT"/>
        </w:rPr>
      </w:pPr>
      <w:r w:rsidRPr="003F6BC7">
        <w:rPr>
          <w:i/>
          <w:lang w:val="lt-LT"/>
        </w:rPr>
        <w:t>Gydymo SSRI ar SNRI grupės antidepresant</w:t>
      </w:r>
      <w:r w:rsidR="001F7EF3">
        <w:rPr>
          <w:i/>
          <w:lang w:val="lt-LT"/>
        </w:rPr>
        <w:t>u</w:t>
      </w:r>
      <w:r w:rsidRPr="003F6BC7">
        <w:rPr>
          <w:i/>
          <w:lang w:val="lt-LT"/>
        </w:rPr>
        <w:t xml:space="preserve"> keitimas į gydymą </w:t>
      </w:r>
      <w:proofErr w:type="spellStart"/>
      <w:r w:rsidRPr="003F6BC7">
        <w:rPr>
          <w:i/>
          <w:lang w:val="lt-LT"/>
        </w:rPr>
        <w:t>agomelatinu</w:t>
      </w:r>
      <w:proofErr w:type="spellEnd"/>
    </w:p>
    <w:p w14:paraId="33AA1948" w14:textId="77777777" w:rsidR="00844417" w:rsidRPr="003F6BC7" w:rsidRDefault="00844417" w:rsidP="00844417">
      <w:pPr>
        <w:rPr>
          <w:lang w:val="lt-LT"/>
        </w:rPr>
      </w:pPr>
      <w:r w:rsidRPr="003F6BC7">
        <w:rPr>
          <w:lang w:val="lt-LT"/>
        </w:rPr>
        <w:t>Nutraukus gydymą SSRI ar SNRI grupės antidepresantu, pacientams gali pasireikšti nutraukimo simptomų.</w:t>
      </w:r>
    </w:p>
    <w:p w14:paraId="1F98B387" w14:textId="2D365FAB" w:rsidR="00844417" w:rsidRPr="003F6BC7" w:rsidRDefault="00844417" w:rsidP="00844417">
      <w:pPr>
        <w:rPr>
          <w:lang w:val="lt-LT"/>
        </w:rPr>
      </w:pPr>
      <w:r w:rsidRPr="003F6BC7">
        <w:rPr>
          <w:lang w:val="lt-LT"/>
        </w:rPr>
        <w:t xml:space="preserve">Reikia vadovautis vartojamo </w:t>
      </w:r>
      <w:r w:rsidRPr="003F6BC7">
        <w:rPr>
          <w:color w:val="000000"/>
          <w:lang w:val="lt-LT" w:eastAsia="sl-SI"/>
        </w:rPr>
        <w:t xml:space="preserve">selektyviųjų </w:t>
      </w:r>
      <w:proofErr w:type="spellStart"/>
      <w:r w:rsidRPr="003F6BC7">
        <w:rPr>
          <w:color w:val="000000"/>
          <w:lang w:val="lt-LT" w:eastAsia="sl-SI"/>
        </w:rPr>
        <w:t>serotonino</w:t>
      </w:r>
      <w:proofErr w:type="spellEnd"/>
      <w:r w:rsidRPr="003F6BC7">
        <w:rPr>
          <w:color w:val="000000"/>
          <w:lang w:val="lt-LT" w:eastAsia="sl-SI"/>
        </w:rPr>
        <w:t xml:space="preserve"> reabsorbcijos inhibitorių (</w:t>
      </w:r>
      <w:r w:rsidRPr="003F6BC7">
        <w:rPr>
          <w:lang w:val="lt-LT"/>
        </w:rPr>
        <w:t xml:space="preserve">SSRI) ar </w:t>
      </w:r>
      <w:proofErr w:type="spellStart"/>
      <w:r w:rsidRPr="003F6BC7">
        <w:rPr>
          <w:color w:val="000000"/>
          <w:lang w:val="lt-LT" w:eastAsia="sl-SI"/>
        </w:rPr>
        <w:t>serotonino</w:t>
      </w:r>
      <w:proofErr w:type="spellEnd"/>
      <w:r w:rsidRPr="003F6BC7">
        <w:rPr>
          <w:color w:val="000000"/>
          <w:lang w:val="lt-LT" w:eastAsia="sl-SI"/>
        </w:rPr>
        <w:t xml:space="preserve"> </w:t>
      </w:r>
      <w:proofErr w:type="spellStart"/>
      <w:r w:rsidR="006F4823" w:rsidRPr="003F6BC7">
        <w:rPr>
          <w:color w:val="000000"/>
          <w:lang w:val="lt-LT" w:eastAsia="sl-SI"/>
        </w:rPr>
        <w:t>nor</w:t>
      </w:r>
      <w:r w:rsidR="006F4823">
        <w:rPr>
          <w:color w:val="000000"/>
          <w:lang w:val="lt-LT" w:eastAsia="sl-SI"/>
        </w:rPr>
        <w:t>epinefrino</w:t>
      </w:r>
      <w:proofErr w:type="spellEnd"/>
      <w:r w:rsidR="006F4823" w:rsidRPr="003F6BC7">
        <w:rPr>
          <w:color w:val="000000"/>
          <w:lang w:val="lt-LT" w:eastAsia="sl-SI"/>
        </w:rPr>
        <w:t xml:space="preserve"> </w:t>
      </w:r>
      <w:r w:rsidRPr="003F6BC7">
        <w:rPr>
          <w:color w:val="000000"/>
          <w:lang w:val="lt-LT" w:eastAsia="sl-SI"/>
        </w:rPr>
        <w:t>reabsorbcijos inhibitorių (</w:t>
      </w:r>
      <w:r w:rsidRPr="003F6BC7">
        <w:rPr>
          <w:lang w:val="lt-LT"/>
        </w:rPr>
        <w:t xml:space="preserve">SNRI) grupės antidepresanto galiojančia preparato charakteristikų santrauka (PCS), kaip nutraukti gydymą, kad būtų išvengta nutraukimo simptomų. </w:t>
      </w:r>
      <w:r w:rsidRPr="003F6BC7">
        <w:rPr>
          <w:lang w:val="lt-LT"/>
        </w:rPr>
        <w:lastRenderedPageBreak/>
        <w:t xml:space="preserve">Vartoti </w:t>
      </w:r>
      <w:proofErr w:type="spellStart"/>
      <w:r w:rsidRPr="003F6BC7">
        <w:rPr>
          <w:lang w:val="lt-LT"/>
        </w:rPr>
        <w:t>agomelatino</w:t>
      </w:r>
      <w:proofErr w:type="spellEnd"/>
      <w:r w:rsidRPr="003F6BC7">
        <w:rPr>
          <w:lang w:val="lt-LT"/>
        </w:rPr>
        <w:t xml:space="preserve"> galima pradėti iš karto, kai tik pradedama mažinti SSRI ar SNRI grupės antidepresanto dozė (žr. 5.1 skyrių).</w:t>
      </w:r>
    </w:p>
    <w:p w14:paraId="402C09C0" w14:textId="77777777" w:rsidR="00844417" w:rsidRPr="003F6BC7" w:rsidRDefault="00844417" w:rsidP="00844417">
      <w:pPr>
        <w:rPr>
          <w:lang w:val="lt-LT"/>
        </w:rPr>
      </w:pPr>
    </w:p>
    <w:p w14:paraId="747EDE11" w14:textId="77777777" w:rsidR="00844417" w:rsidRPr="003F6BC7" w:rsidRDefault="00844417" w:rsidP="00844417">
      <w:pPr>
        <w:rPr>
          <w:i/>
          <w:lang w:val="lt-LT"/>
        </w:rPr>
      </w:pPr>
      <w:r w:rsidRPr="003F6BC7">
        <w:rPr>
          <w:i/>
          <w:lang w:val="lt-LT"/>
        </w:rPr>
        <w:t>Gydymo nutraukimas</w:t>
      </w:r>
    </w:p>
    <w:p w14:paraId="421A31C7" w14:textId="77777777" w:rsidR="00844417" w:rsidRPr="003F6BC7" w:rsidRDefault="00844417" w:rsidP="00844417">
      <w:pPr>
        <w:rPr>
          <w:lang w:val="lt-LT"/>
        </w:rPr>
      </w:pPr>
      <w:r w:rsidRPr="003F6BC7">
        <w:rPr>
          <w:lang w:val="lt-LT"/>
        </w:rPr>
        <w:t>Nutraukiant gydymą dozės mažinti nereikia.</w:t>
      </w:r>
    </w:p>
    <w:p w14:paraId="01F48606" w14:textId="77777777" w:rsidR="00844417" w:rsidRPr="003F6BC7" w:rsidRDefault="00844417" w:rsidP="00844417">
      <w:pPr>
        <w:rPr>
          <w:lang w:val="lt-LT"/>
        </w:rPr>
      </w:pPr>
    </w:p>
    <w:p w14:paraId="1CC648C8" w14:textId="77777777" w:rsidR="00844417" w:rsidRPr="003F6BC7" w:rsidRDefault="00844417" w:rsidP="00844417">
      <w:pPr>
        <w:rPr>
          <w:u w:val="single"/>
          <w:lang w:val="lt-LT"/>
        </w:rPr>
      </w:pPr>
      <w:r w:rsidRPr="003F6BC7">
        <w:rPr>
          <w:u w:val="single"/>
          <w:lang w:val="lt-LT"/>
        </w:rPr>
        <w:t>Ypatingos populiacijos</w:t>
      </w:r>
    </w:p>
    <w:p w14:paraId="7DE2E7C3" w14:textId="77777777" w:rsidR="00844417" w:rsidRPr="003F6BC7" w:rsidRDefault="00844417" w:rsidP="00844417">
      <w:pPr>
        <w:rPr>
          <w:lang w:val="lt-LT"/>
        </w:rPr>
      </w:pPr>
    </w:p>
    <w:p w14:paraId="04E22326" w14:textId="77777777" w:rsidR="00844417" w:rsidRPr="003F6BC7" w:rsidRDefault="00844417" w:rsidP="00844417">
      <w:pPr>
        <w:rPr>
          <w:i/>
          <w:lang w:val="lt-LT"/>
        </w:rPr>
      </w:pPr>
      <w:r w:rsidRPr="003F6BC7">
        <w:rPr>
          <w:i/>
          <w:lang w:val="lt-LT"/>
        </w:rPr>
        <w:t>Senyviems pacientams</w:t>
      </w:r>
    </w:p>
    <w:p w14:paraId="726B0D4B" w14:textId="4F6882AA" w:rsidR="00844417" w:rsidRPr="003F6BC7" w:rsidRDefault="00844417" w:rsidP="00844417">
      <w:pPr>
        <w:rPr>
          <w:lang w:val="lt-LT"/>
        </w:rPr>
      </w:pPr>
      <w:proofErr w:type="spellStart"/>
      <w:r w:rsidRPr="003F6BC7">
        <w:rPr>
          <w:lang w:val="lt-LT"/>
        </w:rPr>
        <w:t>Agomelatino</w:t>
      </w:r>
      <w:proofErr w:type="spellEnd"/>
      <w:r w:rsidRPr="003F6BC7">
        <w:rPr>
          <w:lang w:val="lt-LT"/>
        </w:rPr>
        <w:t xml:space="preserve"> </w:t>
      </w:r>
      <w:r w:rsidR="001F7EF3">
        <w:rPr>
          <w:lang w:val="lt-LT"/>
        </w:rPr>
        <w:t xml:space="preserve">saugumas ir </w:t>
      </w:r>
      <w:r w:rsidRPr="003F6BC7">
        <w:rPr>
          <w:lang w:val="lt-LT"/>
        </w:rPr>
        <w:t>veiksmingumas</w:t>
      </w:r>
      <w:r w:rsidR="00966197">
        <w:rPr>
          <w:lang w:val="lt-LT"/>
        </w:rPr>
        <w:t xml:space="preserve"> yra nustatyti vaistinio preparato</w:t>
      </w:r>
      <w:r w:rsidRPr="003F6BC7">
        <w:rPr>
          <w:lang w:val="lt-LT"/>
        </w:rPr>
        <w:t xml:space="preserve"> skiriant senyviems (&lt; 75</w:t>
      </w:r>
      <w:r w:rsidR="00FF4109">
        <w:rPr>
          <w:lang w:val="lt-LT"/>
        </w:rPr>
        <w:t xml:space="preserve"> </w:t>
      </w:r>
      <w:r w:rsidRPr="003F6BC7">
        <w:rPr>
          <w:lang w:val="lt-LT"/>
        </w:rPr>
        <w:t>metų) depresija sergantiems pacientams 25</w:t>
      </w:r>
      <w:r w:rsidRPr="003F6BC7">
        <w:rPr>
          <w:lang w:val="lt-LT"/>
        </w:rPr>
        <w:noBreakHyphen/>
        <w:t>50</w:t>
      </w:r>
      <w:r w:rsidR="00227E03">
        <w:rPr>
          <w:lang w:val="lt-LT"/>
        </w:rPr>
        <w:t> </w:t>
      </w:r>
      <w:r w:rsidRPr="003F6BC7">
        <w:rPr>
          <w:lang w:val="lt-LT"/>
        </w:rPr>
        <w:t>mg paros dozėmis. Poveikis ≥ 75</w:t>
      </w:r>
      <w:r w:rsidR="00227E03">
        <w:rPr>
          <w:lang w:val="lt-LT"/>
        </w:rPr>
        <w:t> </w:t>
      </w:r>
      <w:r w:rsidRPr="003F6BC7">
        <w:rPr>
          <w:lang w:val="lt-LT"/>
        </w:rPr>
        <w:t xml:space="preserve">metų pacientams nėra </w:t>
      </w:r>
      <w:r w:rsidR="005643FB">
        <w:rPr>
          <w:lang w:val="lt-LT"/>
        </w:rPr>
        <w:t>aprašytas</w:t>
      </w:r>
      <w:r w:rsidRPr="003F6BC7">
        <w:rPr>
          <w:lang w:val="lt-LT"/>
        </w:rPr>
        <w:t xml:space="preserve">. Todėl </w:t>
      </w:r>
      <w:proofErr w:type="spellStart"/>
      <w:r w:rsidRPr="003F6BC7">
        <w:rPr>
          <w:lang w:val="lt-LT"/>
        </w:rPr>
        <w:t>agomelatinas</w:t>
      </w:r>
      <w:proofErr w:type="spellEnd"/>
      <w:r w:rsidRPr="003F6BC7">
        <w:rPr>
          <w:lang w:val="lt-LT"/>
        </w:rPr>
        <w:t xml:space="preserve"> neturi būti vartojamas </w:t>
      </w:r>
      <w:r w:rsidR="005643FB" w:rsidRPr="003F6BC7">
        <w:rPr>
          <w:lang w:val="lt-LT"/>
        </w:rPr>
        <w:t>šios amžiaus grupės pacient</w:t>
      </w:r>
      <w:r w:rsidR="005643FB">
        <w:rPr>
          <w:lang w:val="lt-LT"/>
        </w:rPr>
        <w:t>ų</w:t>
      </w:r>
      <w:r w:rsidR="005643FB" w:rsidRPr="003F6BC7">
        <w:rPr>
          <w:lang w:val="lt-LT"/>
        </w:rPr>
        <w:t xml:space="preserve"> </w:t>
      </w:r>
      <w:r w:rsidRPr="003F6BC7">
        <w:rPr>
          <w:lang w:val="lt-LT"/>
        </w:rPr>
        <w:t>(žr. 4.4 ir 5.1 skyrius). Atsižvelgiant į amžių dozės koreguoti nereikia (žr. 5.2 skyrių).</w:t>
      </w:r>
    </w:p>
    <w:p w14:paraId="0FE9E1B2" w14:textId="77777777" w:rsidR="00844417" w:rsidRPr="003F6BC7" w:rsidRDefault="00844417" w:rsidP="00844417">
      <w:pPr>
        <w:rPr>
          <w:lang w:val="lt-LT"/>
        </w:rPr>
      </w:pPr>
    </w:p>
    <w:p w14:paraId="1A842F6D" w14:textId="77777777" w:rsidR="00844417" w:rsidRPr="003F6BC7" w:rsidRDefault="00844417" w:rsidP="00844417">
      <w:pPr>
        <w:rPr>
          <w:i/>
          <w:lang w:val="lt-LT"/>
        </w:rPr>
      </w:pPr>
      <w:r w:rsidRPr="003F6BC7">
        <w:rPr>
          <w:i/>
          <w:lang w:val="lt-LT"/>
        </w:rPr>
        <w:t>Pacientams, kurių inkstų funkcija sutrikusi</w:t>
      </w:r>
    </w:p>
    <w:p w14:paraId="5C1C2031" w14:textId="54D7C3F8" w:rsidR="00874CD7" w:rsidRPr="003F6BC7" w:rsidRDefault="00874CD7" w:rsidP="00874CD7">
      <w:pPr>
        <w:rPr>
          <w:lang w:val="lt-LT"/>
        </w:rPr>
      </w:pPr>
      <w:r w:rsidRPr="003F6BC7">
        <w:rPr>
          <w:lang w:val="lt-LT"/>
        </w:rPr>
        <w:t xml:space="preserve">Pacientams, kuriems yra sunkus inkstų funkcijos sutrikimas, jokių svarbių </w:t>
      </w:r>
      <w:proofErr w:type="spellStart"/>
      <w:r w:rsidRPr="003F6BC7">
        <w:rPr>
          <w:lang w:val="lt-LT"/>
        </w:rPr>
        <w:t>agomelatino</w:t>
      </w:r>
      <w:proofErr w:type="spellEnd"/>
      <w:r w:rsidRPr="003F6BC7">
        <w:rPr>
          <w:lang w:val="lt-LT"/>
        </w:rPr>
        <w:t xml:space="preserve"> </w:t>
      </w:r>
      <w:proofErr w:type="spellStart"/>
      <w:r w:rsidRPr="003F6BC7">
        <w:rPr>
          <w:lang w:val="lt-LT"/>
        </w:rPr>
        <w:t>farmakokinetikos</w:t>
      </w:r>
      <w:proofErr w:type="spellEnd"/>
      <w:r w:rsidRPr="003F6BC7">
        <w:rPr>
          <w:lang w:val="lt-LT"/>
        </w:rPr>
        <w:t xml:space="preserve"> parametrų pokyčių nepastebėta. Vis dėlto klinikinių duomenų apie </w:t>
      </w:r>
      <w:proofErr w:type="spellStart"/>
      <w:r w:rsidRPr="003F6BC7">
        <w:rPr>
          <w:lang w:val="lt-LT"/>
        </w:rPr>
        <w:t>agomelatino</w:t>
      </w:r>
      <w:proofErr w:type="spellEnd"/>
      <w:r w:rsidRPr="003F6BC7">
        <w:rPr>
          <w:lang w:val="lt-LT"/>
        </w:rPr>
        <w:t xml:space="preserve"> vartojimą depresija sergantiems pacientams, kuriems yra sunkus ar vidutinio sunkumo inkstų funkcijos sutrikimas, yra nedaug. Todėl </w:t>
      </w:r>
      <w:proofErr w:type="spellStart"/>
      <w:r w:rsidR="00227489" w:rsidRPr="003F6BC7">
        <w:rPr>
          <w:lang w:val="lt-LT"/>
        </w:rPr>
        <w:t>Zilbea</w:t>
      </w:r>
      <w:proofErr w:type="spellEnd"/>
      <w:r w:rsidR="00227489" w:rsidRPr="003F6BC7">
        <w:rPr>
          <w:lang w:val="lt-LT"/>
        </w:rPr>
        <w:t xml:space="preserve"> būtina atsargiai skirti vartoti </w:t>
      </w:r>
      <w:r w:rsidRPr="003F6BC7">
        <w:rPr>
          <w:lang w:val="lt-LT"/>
        </w:rPr>
        <w:t>tokiems pacientams.</w:t>
      </w:r>
    </w:p>
    <w:p w14:paraId="3E0BEF76" w14:textId="77777777" w:rsidR="00874CD7" w:rsidRPr="003F6BC7" w:rsidRDefault="00874CD7" w:rsidP="00874CD7">
      <w:pPr>
        <w:rPr>
          <w:lang w:val="lt-LT"/>
        </w:rPr>
      </w:pPr>
    </w:p>
    <w:p w14:paraId="6AEE5EC7" w14:textId="77777777" w:rsidR="00874CD7" w:rsidRPr="003F6BC7" w:rsidRDefault="00874CD7" w:rsidP="00874CD7">
      <w:pPr>
        <w:rPr>
          <w:i/>
          <w:lang w:val="lt-LT"/>
        </w:rPr>
      </w:pPr>
      <w:r w:rsidRPr="003F6BC7">
        <w:rPr>
          <w:i/>
          <w:lang w:val="lt-LT"/>
        </w:rPr>
        <w:t>Pacientams, kurių kepenų funkcija sutrikusi</w:t>
      </w:r>
    </w:p>
    <w:p w14:paraId="55B6DB1F" w14:textId="77777777" w:rsidR="00874CD7" w:rsidRPr="003F6BC7" w:rsidRDefault="00874CD7" w:rsidP="00874CD7">
      <w:pPr>
        <w:rPr>
          <w:lang w:val="lt-LT"/>
        </w:rPr>
      </w:pPr>
      <w:r w:rsidRPr="003F6BC7">
        <w:rPr>
          <w:lang w:val="lt-LT"/>
        </w:rPr>
        <w:t xml:space="preserve">Pacientams, kurių kepenų funkcija sutrikusi, </w:t>
      </w:r>
      <w:proofErr w:type="spellStart"/>
      <w:r w:rsidR="00BE2209" w:rsidRPr="003F6BC7">
        <w:rPr>
          <w:lang w:val="lt-LT"/>
        </w:rPr>
        <w:t>Zilbea</w:t>
      </w:r>
      <w:proofErr w:type="spellEnd"/>
      <w:r w:rsidRPr="003F6BC7">
        <w:rPr>
          <w:lang w:val="lt-LT"/>
        </w:rPr>
        <w:t xml:space="preserve"> vartoti negalima (žr. 4.3, 4.4 ir 5.2 skyrius).</w:t>
      </w:r>
    </w:p>
    <w:p w14:paraId="63012494" w14:textId="77777777" w:rsidR="00874CD7" w:rsidRPr="003F6BC7" w:rsidRDefault="00874CD7" w:rsidP="00874CD7">
      <w:pPr>
        <w:rPr>
          <w:lang w:val="lt-LT"/>
        </w:rPr>
      </w:pPr>
    </w:p>
    <w:p w14:paraId="3DE52652" w14:textId="0253503A" w:rsidR="00874CD7" w:rsidRDefault="00874CD7" w:rsidP="00874CD7">
      <w:pPr>
        <w:rPr>
          <w:i/>
          <w:lang w:val="lt-LT"/>
        </w:rPr>
      </w:pPr>
      <w:r w:rsidRPr="003F6BC7">
        <w:rPr>
          <w:i/>
          <w:lang w:val="lt-LT"/>
        </w:rPr>
        <w:t>Vaikų populiacija</w:t>
      </w:r>
    </w:p>
    <w:p w14:paraId="513978D1" w14:textId="1AB4BE79" w:rsidR="009B4DB4" w:rsidRPr="003F6BC7" w:rsidRDefault="009B4DB4" w:rsidP="00874CD7">
      <w:pPr>
        <w:rPr>
          <w:i/>
          <w:lang w:val="lt-LT"/>
        </w:rPr>
      </w:pPr>
      <w:r w:rsidRPr="009B4DB4">
        <w:rPr>
          <w:i/>
          <w:lang w:val="lt-LT"/>
        </w:rPr>
        <w:t>Vaikai nuo gimimo iki 7 metų</w:t>
      </w:r>
    </w:p>
    <w:p w14:paraId="261AD6FB" w14:textId="59F730DC" w:rsidR="009B4DB4" w:rsidRDefault="009B4DB4" w:rsidP="009B4DB4">
      <w:pPr>
        <w:rPr>
          <w:lang w:val="lt-LT"/>
        </w:rPr>
      </w:pPr>
      <w:proofErr w:type="spellStart"/>
      <w:r w:rsidRPr="003F6BC7">
        <w:rPr>
          <w:lang w:val="lt-LT"/>
        </w:rPr>
        <w:t>Agomelatinas</w:t>
      </w:r>
      <w:proofErr w:type="spellEnd"/>
      <w:r w:rsidRPr="003F6BC7">
        <w:rPr>
          <w:lang w:val="lt-LT"/>
        </w:rPr>
        <w:t xml:space="preserve"> nėra skirtas vaikams nuo gimimo iki </w:t>
      </w:r>
      <w:r>
        <w:rPr>
          <w:lang w:val="lt-LT"/>
        </w:rPr>
        <w:t xml:space="preserve">7 </w:t>
      </w:r>
      <w:r w:rsidRPr="003F6BC7">
        <w:rPr>
          <w:lang w:val="lt-LT"/>
        </w:rPr>
        <w:t>metų didžiosios depresijos epizodams gydyti.</w:t>
      </w:r>
      <w:r w:rsidRPr="009B4DB4">
        <w:rPr>
          <w:lang w:val="lt-LT"/>
        </w:rPr>
        <w:t xml:space="preserve"> </w:t>
      </w:r>
      <w:r w:rsidRPr="003F6BC7">
        <w:rPr>
          <w:lang w:val="lt-LT"/>
        </w:rPr>
        <w:t>Duomenų nėra</w:t>
      </w:r>
      <w:r>
        <w:rPr>
          <w:lang w:val="lt-LT"/>
        </w:rPr>
        <w:t>.</w:t>
      </w:r>
    </w:p>
    <w:p w14:paraId="444EDE5A" w14:textId="265EF534" w:rsidR="009B4DB4" w:rsidRPr="00151B1E" w:rsidRDefault="009B4DB4" w:rsidP="009B4DB4">
      <w:pPr>
        <w:rPr>
          <w:i/>
          <w:iCs/>
          <w:lang w:val="lt-LT"/>
        </w:rPr>
      </w:pPr>
      <w:r>
        <w:rPr>
          <w:i/>
          <w:iCs/>
          <w:lang w:val="lt-LT"/>
        </w:rPr>
        <w:t>Vaikai ir paaugliai nuo 7 iki 17 metų</w:t>
      </w:r>
    </w:p>
    <w:p w14:paraId="1AFBE87D" w14:textId="44C20611" w:rsidR="00874CD7" w:rsidRPr="003F6BC7" w:rsidRDefault="00874CD7" w:rsidP="00874CD7">
      <w:pPr>
        <w:rPr>
          <w:lang w:val="lt-LT"/>
        </w:rPr>
      </w:pPr>
      <w:proofErr w:type="spellStart"/>
      <w:r w:rsidRPr="003F6BC7">
        <w:rPr>
          <w:lang w:val="lt-LT"/>
        </w:rPr>
        <w:t>Agomelatino</w:t>
      </w:r>
      <w:proofErr w:type="spellEnd"/>
      <w:r w:rsidRPr="003F6BC7">
        <w:rPr>
          <w:lang w:val="lt-LT"/>
        </w:rPr>
        <w:t xml:space="preserve"> saugumas ir veiksmingumas </w:t>
      </w:r>
      <w:r w:rsidR="00CA02FE">
        <w:rPr>
          <w:lang w:val="lt-LT"/>
        </w:rPr>
        <w:t xml:space="preserve">vaikams ir paaugliams nuo 7 iki 17 metų </w:t>
      </w:r>
      <w:r w:rsidRPr="003F6BC7">
        <w:rPr>
          <w:lang w:val="lt-LT"/>
        </w:rPr>
        <w:t xml:space="preserve">didžiosios depresijos epizodams gydyti </w:t>
      </w:r>
      <w:proofErr w:type="spellStart"/>
      <w:r w:rsidRPr="003F6BC7">
        <w:rPr>
          <w:lang w:val="lt-LT"/>
        </w:rPr>
        <w:t>neištirti.</w:t>
      </w:r>
      <w:r w:rsidR="00CA02FE">
        <w:rPr>
          <w:lang w:val="lt-LT"/>
        </w:rPr>
        <w:t>Turimi</w:t>
      </w:r>
      <w:proofErr w:type="spellEnd"/>
      <w:r w:rsidR="00CA02FE">
        <w:rPr>
          <w:lang w:val="lt-LT"/>
        </w:rPr>
        <w:t xml:space="preserve"> duomenys pateikiami </w:t>
      </w:r>
      <w:r w:rsidR="00CA02FE" w:rsidRPr="00151B1E">
        <w:rPr>
          <w:lang w:val="lt-LT"/>
        </w:rPr>
        <w:t xml:space="preserve">4.4, 4.8, 5.1 ir 5.2 </w:t>
      </w:r>
      <w:r w:rsidR="00CA02FE">
        <w:rPr>
          <w:lang w:val="lt-LT"/>
        </w:rPr>
        <w:t>skyriuose, tačiau dozavimo rekomendacijų pateikti negalima.</w:t>
      </w:r>
      <w:r w:rsidRPr="003F6BC7">
        <w:rPr>
          <w:lang w:val="lt-LT"/>
        </w:rPr>
        <w:t xml:space="preserve"> </w:t>
      </w:r>
    </w:p>
    <w:p w14:paraId="6599AA9F" w14:textId="77777777" w:rsidR="00874CD7" w:rsidRPr="003F6BC7" w:rsidRDefault="00874CD7" w:rsidP="00874CD7">
      <w:pPr>
        <w:rPr>
          <w:lang w:val="lt-LT"/>
        </w:rPr>
      </w:pPr>
    </w:p>
    <w:p w14:paraId="53338302" w14:textId="77777777" w:rsidR="00874CD7" w:rsidRPr="003F6BC7" w:rsidRDefault="00874CD7" w:rsidP="00874CD7">
      <w:pPr>
        <w:rPr>
          <w:u w:val="single"/>
          <w:lang w:val="lt-LT"/>
        </w:rPr>
      </w:pPr>
      <w:r w:rsidRPr="003F6BC7">
        <w:rPr>
          <w:u w:val="single"/>
          <w:lang w:val="lt-LT"/>
        </w:rPr>
        <w:t>Vartojimo metodas</w:t>
      </w:r>
    </w:p>
    <w:p w14:paraId="7A35B71E" w14:textId="77777777" w:rsidR="00874CD7" w:rsidRPr="003F6BC7" w:rsidRDefault="00874CD7" w:rsidP="00874CD7">
      <w:pPr>
        <w:rPr>
          <w:lang w:val="lt-LT"/>
        </w:rPr>
      </w:pPr>
      <w:r w:rsidRPr="003F6BC7">
        <w:rPr>
          <w:lang w:val="lt-LT"/>
        </w:rPr>
        <w:t>Vartoti per burną.</w:t>
      </w:r>
    </w:p>
    <w:p w14:paraId="79BF0077" w14:textId="77777777" w:rsidR="00874CD7" w:rsidRPr="003F6BC7" w:rsidRDefault="00BE2209" w:rsidP="00874CD7">
      <w:pPr>
        <w:rPr>
          <w:lang w:val="lt-LT"/>
        </w:rPr>
      </w:pPr>
      <w:proofErr w:type="spellStart"/>
      <w:r w:rsidRPr="003F6BC7">
        <w:rPr>
          <w:lang w:val="lt-LT"/>
        </w:rPr>
        <w:t>Zilbea</w:t>
      </w:r>
      <w:proofErr w:type="spellEnd"/>
      <w:r w:rsidR="00874CD7" w:rsidRPr="003F6BC7">
        <w:rPr>
          <w:lang w:val="lt-LT"/>
        </w:rPr>
        <w:t xml:space="preserve"> plėvele dengtos tabletės gali būti geriamos valgant arba nevalgant.</w:t>
      </w:r>
    </w:p>
    <w:p w14:paraId="2F81DE20" w14:textId="77777777" w:rsidR="00874CD7" w:rsidRPr="003F6BC7" w:rsidRDefault="00874CD7" w:rsidP="00874CD7">
      <w:pPr>
        <w:rPr>
          <w:lang w:val="lt-LT"/>
        </w:rPr>
      </w:pPr>
    </w:p>
    <w:p w14:paraId="24334612" w14:textId="77777777" w:rsidR="00874CD7" w:rsidRPr="003F6BC7" w:rsidRDefault="00874CD7" w:rsidP="0090581D">
      <w:pPr>
        <w:ind w:left="567" w:hanging="567"/>
        <w:jc w:val="both"/>
        <w:outlineLvl w:val="3"/>
        <w:rPr>
          <w:b/>
          <w:bCs/>
          <w:lang w:val="lt-LT" w:eastAsia="lt-LT"/>
        </w:rPr>
      </w:pPr>
      <w:r w:rsidRPr="003F6BC7">
        <w:rPr>
          <w:b/>
          <w:bCs/>
          <w:lang w:val="lt-LT" w:eastAsia="lt-LT"/>
        </w:rPr>
        <w:t>4.3</w:t>
      </w:r>
      <w:r w:rsidRPr="003F6BC7">
        <w:rPr>
          <w:b/>
          <w:bCs/>
          <w:lang w:val="lt-LT" w:eastAsia="lt-LT"/>
        </w:rPr>
        <w:tab/>
        <w:t>Kontraindikacijos</w:t>
      </w:r>
    </w:p>
    <w:p w14:paraId="5E13EF36" w14:textId="77777777" w:rsidR="008C0D00" w:rsidRPr="003F6BC7" w:rsidRDefault="008C0D00" w:rsidP="008C0D00">
      <w:pPr>
        <w:rPr>
          <w:lang w:val="lt-LT"/>
        </w:rPr>
      </w:pPr>
    </w:p>
    <w:p w14:paraId="3DCCE02E" w14:textId="77777777" w:rsidR="00BE2209" w:rsidRPr="003F6BC7" w:rsidRDefault="00BE2209" w:rsidP="00BE2209">
      <w:pPr>
        <w:rPr>
          <w:lang w:val="lt-LT"/>
        </w:rPr>
      </w:pPr>
      <w:r w:rsidRPr="003F6BC7">
        <w:rPr>
          <w:lang w:val="lt-LT"/>
        </w:rPr>
        <w:t>Padidėjęs jautrumas veikliajai arba bet kuriai 6.1 skyriuje nurodytai pagalbinei medžiagai.</w:t>
      </w:r>
    </w:p>
    <w:p w14:paraId="77C11E52" w14:textId="544CF965" w:rsidR="00BE2209" w:rsidRPr="003F6BC7" w:rsidRDefault="00BE2209" w:rsidP="00BE2209">
      <w:pPr>
        <w:rPr>
          <w:lang w:val="lt-LT"/>
        </w:rPr>
      </w:pPr>
      <w:r w:rsidRPr="003F6BC7">
        <w:rPr>
          <w:lang w:val="lt-LT"/>
        </w:rPr>
        <w:t xml:space="preserve">Kepenų funkcijos sutrikimas (t. y. kepenų cirozė ar aktyvi kepenų liga) arba </w:t>
      </w:r>
      <w:proofErr w:type="spellStart"/>
      <w:r w:rsidRPr="003F6BC7">
        <w:rPr>
          <w:lang w:val="lt-LT"/>
        </w:rPr>
        <w:t>transaminazių</w:t>
      </w:r>
      <w:proofErr w:type="spellEnd"/>
      <w:r w:rsidRPr="003F6BC7">
        <w:rPr>
          <w:lang w:val="lt-LT"/>
        </w:rPr>
        <w:t xml:space="preserve"> aktyvumas 3</w:t>
      </w:r>
      <w:r w:rsidR="00227E03">
        <w:rPr>
          <w:lang w:val="lt-LT"/>
        </w:rPr>
        <w:t> </w:t>
      </w:r>
      <w:r w:rsidRPr="003F6BC7">
        <w:rPr>
          <w:lang w:val="lt-LT"/>
        </w:rPr>
        <w:t>kartus viršija viršutinę normos ribą (žr. 4.2 ir 4.4 skyrių).</w:t>
      </w:r>
    </w:p>
    <w:p w14:paraId="46B53948" w14:textId="77777777" w:rsidR="00BE2209" w:rsidRPr="003F6BC7" w:rsidRDefault="00BE2209" w:rsidP="00BE2209">
      <w:pPr>
        <w:rPr>
          <w:lang w:val="lt-LT"/>
        </w:rPr>
      </w:pPr>
      <w:r w:rsidRPr="003F6BC7">
        <w:rPr>
          <w:lang w:val="lt-LT"/>
        </w:rPr>
        <w:t xml:space="preserve">Kartu vartojama stiprių CYP1A2 inhibitorių (pvz., </w:t>
      </w:r>
      <w:proofErr w:type="spellStart"/>
      <w:r w:rsidRPr="003F6BC7">
        <w:rPr>
          <w:lang w:val="lt-LT"/>
        </w:rPr>
        <w:t>fluvoksamino</w:t>
      </w:r>
      <w:proofErr w:type="spellEnd"/>
      <w:r w:rsidRPr="003F6BC7">
        <w:rPr>
          <w:lang w:val="lt-LT"/>
        </w:rPr>
        <w:t xml:space="preserve">, </w:t>
      </w:r>
      <w:proofErr w:type="spellStart"/>
      <w:r w:rsidRPr="003F6BC7">
        <w:rPr>
          <w:lang w:val="lt-LT"/>
        </w:rPr>
        <w:t>ciprofloksacino</w:t>
      </w:r>
      <w:proofErr w:type="spellEnd"/>
      <w:r w:rsidRPr="003F6BC7">
        <w:rPr>
          <w:lang w:val="lt-LT"/>
        </w:rPr>
        <w:t>) (žr. 4.5 skyrių).</w:t>
      </w:r>
    </w:p>
    <w:p w14:paraId="316364FC" w14:textId="77777777" w:rsidR="00BE2209" w:rsidRPr="003F6BC7" w:rsidRDefault="00BE2209" w:rsidP="00BE2209">
      <w:pPr>
        <w:rPr>
          <w:lang w:val="lt-LT"/>
        </w:rPr>
      </w:pPr>
    </w:p>
    <w:p w14:paraId="4D25EB9E" w14:textId="77777777" w:rsidR="00BE2209" w:rsidRPr="003F6BC7" w:rsidRDefault="00BE2209" w:rsidP="0090581D">
      <w:pPr>
        <w:ind w:left="567" w:hanging="567"/>
        <w:jc w:val="both"/>
        <w:outlineLvl w:val="3"/>
        <w:rPr>
          <w:b/>
          <w:bCs/>
          <w:lang w:val="lt-LT" w:eastAsia="lt-LT"/>
        </w:rPr>
      </w:pPr>
      <w:r w:rsidRPr="003F6BC7">
        <w:rPr>
          <w:b/>
          <w:bCs/>
          <w:lang w:val="lt-LT" w:eastAsia="lt-LT"/>
        </w:rPr>
        <w:t>4.4</w:t>
      </w:r>
      <w:r w:rsidRPr="003F6BC7">
        <w:rPr>
          <w:b/>
          <w:bCs/>
          <w:lang w:val="lt-LT" w:eastAsia="lt-LT"/>
        </w:rPr>
        <w:tab/>
        <w:t>Specialūs įspėjimai ir atsargumo priemonės</w:t>
      </w:r>
    </w:p>
    <w:p w14:paraId="42CCDE98" w14:textId="77777777" w:rsidR="00BE2209" w:rsidRPr="003F6BC7" w:rsidRDefault="00BE2209" w:rsidP="00BE2209">
      <w:pPr>
        <w:rPr>
          <w:lang w:val="lt-LT"/>
        </w:rPr>
      </w:pPr>
    </w:p>
    <w:p w14:paraId="48845106" w14:textId="77777777" w:rsidR="00BE2209" w:rsidRPr="003F6BC7" w:rsidRDefault="00BE2209" w:rsidP="00BE2209">
      <w:pPr>
        <w:tabs>
          <w:tab w:val="left" w:pos="0"/>
        </w:tabs>
        <w:rPr>
          <w:u w:val="single"/>
          <w:lang w:val="lt-LT"/>
        </w:rPr>
      </w:pPr>
      <w:r w:rsidRPr="003F6BC7">
        <w:rPr>
          <w:u w:val="single"/>
          <w:lang w:val="lt-LT"/>
        </w:rPr>
        <w:t>Kepenų funkcijos stebėjimas</w:t>
      </w:r>
    </w:p>
    <w:p w14:paraId="17252AEC" w14:textId="690C0827" w:rsidR="005D450D" w:rsidRPr="003F6BC7" w:rsidRDefault="005D450D" w:rsidP="005D450D">
      <w:pPr>
        <w:tabs>
          <w:tab w:val="left" w:pos="0"/>
        </w:tabs>
        <w:rPr>
          <w:lang w:val="lt-LT"/>
        </w:rPr>
      </w:pPr>
      <w:r w:rsidRPr="003F6BC7">
        <w:rPr>
          <w:lang w:val="lt-LT"/>
        </w:rPr>
        <w:t xml:space="preserve">Po vaistinio preparato pateikimo į rinką buvo gauta pranešimų apie </w:t>
      </w:r>
      <w:proofErr w:type="spellStart"/>
      <w:r w:rsidRPr="003F6BC7">
        <w:rPr>
          <w:lang w:val="lt-LT"/>
        </w:rPr>
        <w:t>agomelatinu</w:t>
      </w:r>
      <w:proofErr w:type="spellEnd"/>
      <w:r w:rsidRPr="003F6BC7">
        <w:rPr>
          <w:lang w:val="lt-LT"/>
        </w:rPr>
        <w:t xml:space="preserve"> gydomiems pacientams pasireiškusią kepenų pažaidą, įskaitant kepenų nepakankamumą (pranešta apie kelis išimtinius mirties atvejus ar kepenų persodinimą pacientams, kuriems buvo kepenų pažaidos rizikos veiksnių), kepenų fermentų aktyvumo padidėjimą daugiau kaip 10 kartų virš viršutinės normos ribos, hepatitą ir geltą (žr. 4.8 skyrių). Dažniausiai toks poveikis pasireiškė pirmaisiais gydymo mėnesiais. Kepenų pažeidimas dažniausiai pasireiškia kepenų ląstelių lygmenyje, kartu padidėja </w:t>
      </w:r>
      <w:proofErr w:type="spellStart"/>
      <w:r w:rsidRPr="003F6BC7">
        <w:rPr>
          <w:lang w:val="lt-LT"/>
        </w:rPr>
        <w:t>transaminazių</w:t>
      </w:r>
      <w:proofErr w:type="spellEnd"/>
      <w:r w:rsidRPr="003F6BC7">
        <w:rPr>
          <w:lang w:val="lt-LT"/>
        </w:rPr>
        <w:t xml:space="preserve"> aktyvumas kraujo serume, kuris paprastai vėl tampa normalus nutraukus </w:t>
      </w:r>
      <w:proofErr w:type="spellStart"/>
      <w:r w:rsidRPr="003F6BC7">
        <w:rPr>
          <w:lang w:val="lt-LT"/>
        </w:rPr>
        <w:t>agomelatin</w:t>
      </w:r>
      <w:r w:rsidR="00227489">
        <w:rPr>
          <w:lang w:val="lt-LT"/>
        </w:rPr>
        <w:t>o</w:t>
      </w:r>
      <w:proofErr w:type="spellEnd"/>
      <w:r w:rsidR="00227489">
        <w:rPr>
          <w:lang w:val="lt-LT"/>
        </w:rPr>
        <w:t xml:space="preserve"> vartojimą</w:t>
      </w:r>
      <w:r w:rsidRPr="003F6BC7">
        <w:rPr>
          <w:lang w:val="lt-LT"/>
        </w:rPr>
        <w:t>.</w:t>
      </w:r>
    </w:p>
    <w:p w14:paraId="07EC6E1D" w14:textId="77777777" w:rsidR="005D450D" w:rsidRPr="003F6BC7" w:rsidRDefault="005D450D" w:rsidP="005D450D">
      <w:pPr>
        <w:tabs>
          <w:tab w:val="left" w:pos="0"/>
        </w:tabs>
        <w:rPr>
          <w:lang w:val="lt-LT"/>
        </w:rPr>
      </w:pPr>
    </w:p>
    <w:p w14:paraId="144901DD" w14:textId="77777777" w:rsidR="005D450D" w:rsidRPr="003F6BC7" w:rsidRDefault="005D450D" w:rsidP="005D450D">
      <w:pPr>
        <w:tabs>
          <w:tab w:val="left" w:pos="0"/>
        </w:tabs>
        <w:rPr>
          <w:b/>
          <w:lang w:val="lt-LT"/>
        </w:rPr>
      </w:pPr>
      <w:r w:rsidRPr="003F6BC7">
        <w:rPr>
          <w:b/>
          <w:lang w:val="lt-LT"/>
        </w:rPr>
        <w:t>Prieš pradedant gydymą būtina laikytis atsargumo priemonių bei visus pacientus gydymo laikotarpiu atidžiai stebėti, ypač jeigu yra kepenų pažaidos rizikos veiksnių arba kartu vartojama vaistinių preparatų, susijusių su kepenų pažaidos rizika.</w:t>
      </w:r>
    </w:p>
    <w:p w14:paraId="4FD93F05" w14:textId="77777777" w:rsidR="005D450D" w:rsidRPr="003F6BC7" w:rsidRDefault="005D450D" w:rsidP="005D450D">
      <w:pPr>
        <w:tabs>
          <w:tab w:val="left" w:pos="0"/>
        </w:tabs>
        <w:rPr>
          <w:lang w:val="lt-LT"/>
        </w:rPr>
      </w:pPr>
    </w:p>
    <w:p w14:paraId="5C538472" w14:textId="77777777" w:rsidR="005D450D" w:rsidRPr="003F6BC7" w:rsidRDefault="005D450D" w:rsidP="005D450D">
      <w:pPr>
        <w:pStyle w:val="Sraopastraipa"/>
        <w:numPr>
          <w:ilvl w:val="0"/>
          <w:numId w:val="2"/>
        </w:numPr>
        <w:tabs>
          <w:tab w:val="left" w:pos="0"/>
        </w:tabs>
        <w:ind w:left="426"/>
        <w:rPr>
          <w:i/>
          <w:lang w:val="lt-LT"/>
        </w:rPr>
      </w:pPr>
      <w:r w:rsidRPr="003F6BC7">
        <w:rPr>
          <w:i/>
          <w:lang w:val="lt-LT"/>
        </w:rPr>
        <w:t>Prieš pradedant gydymą</w:t>
      </w:r>
    </w:p>
    <w:p w14:paraId="0B0CFD42" w14:textId="0DA19E6E" w:rsidR="005D450D" w:rsidRPr="003F6BC7" w:rsidRDefault="005D450D" w:rsidP="005D450D">
      <w:pPr>
        <w:rPr>
          <w:lang w:val="lt-LT"/>
        </w:rPr>
      </w:pPr>
      <w:r w:rsidRPr="003F6BC7">
        <w:rPr>
          <w:lang w:val="lt-LT"/>
        </w:rPr>
        <w:t>Pacientams, kuriems yra kepenų pažaidos rizikos veiksnių, pvz.</w:t>
      </w:r>
      <w:r w:rsidR="00227489">
        <w:rPr>
          <w:lang w:val="lt-LT"/>
        </w:rPr>
        <w:t>:</w:t>
      </w:r>
    </w:p>
    <w:p w14:paraId="0C5C796A" w14:textId="0C47A8C6" w:rsidR="005D450D" w:rsidRPr="003F6BC7" w:rsidRDefault="005D450D" w:rsidP="00260171">
      <w:pPr>
        <w:pStyle w:val="Sraopastraipa"/>
        <w:numPr>
          <w:ilvl w:val="0"/>
          <w:numId w:val="3"/>
        </w:numPr>
        <w:ind w:left="567" w:hanging="567"/>
        <w:rPr>
          <w:lang w:val="lt-LT"/>
        </w:rPr>
      </w:pPr>
      <w:r w:rsidRPr="003F6BC7">
        <w:rPr>
          <w:lang w:val="lt-LT"/>
        </w:rPr>
        <w:t xml:space="preserve">nutukimas, antsvoris, nealkoholinė </w:t>
      </w:r>
      <w:r w:rsidR="00966197">
        <w:rPr>
          <w:lang w:val="lt-LT"/>
        </w:rPr>
        <w:t xml:space="preserve">suriebėjusių </w:t>
      </w:r>
      <w:r w:rsidRPr="003F6BC7">
        <w:rPr>
          <w:lang w:val="lt-LT"/>
        </w:rPr>
        <w:t>kepenų liga</w:t>
      </w:r>
      <w:r w:rsidR="0075197F" w:rsidRPr="003F6BC7">
        <w:rPr>
          <w:lang w:val="lt-LT"/>
        </w:rPr>
        <w:t>,</w:t>
      </w:r>
    </w:p>
    <w:p w14:paraId="52AA7FF8" w14:textId="77777777" w:rsidR="005D450D" w:rsidRPr="003F6BC7" w:rsidRDefault="005D450D" w:rsidP="00260171">
      <w:pPr>
        <w:pStyle w:val="Sraopastraipa"/>
        <w:numPr>
          <w:ilvl w:val="0"/>
          <w:numId w:val="3"/>
        </w:numPr>
        <w:ind w:left="567" w:hanging="567"/>
        <w:rPr>
          <w:lang w:val="lt-LT"/>
        </w:rPr>
      </w:pPr>
      <w:r w:rsidRPr="003F6BC7">
        <w:rPr>
          <w:lang w:val="lt-LT"/>
        </w:rPr>
        <w:t>cukrinis diabetas</w:t>
      </w:r>
      <w:r w:rsidR="0075197F" w:rsidRPr="003F6BC7">
        <w:rPr>
          <w:lang w:val="lt-LT"/>
        </w:rPr>
        <w:t>,</w:t>
      </w:r>
    </w:p>
    <w:p w14:paraId="71FC2A3A" w14:textId="77777777" w:rsidR="005D450D" w:rsidRPr="003F6BC7" w:rsidRDefault="005D450D" w:rsidP="00260171">
      <w:pPr>
        <w:pStyle w:val="Sraopastraipa"/>
        <w:numPr>
          <w:ilvl w:val="0"/>
          <w:numId w:val="3"/>
        </w:numPr>
        <w:ind w:left="567" w:hanging="567"/>
        <w:rPr>
          <w:lang w:val="lt-LT"/>
        </w:rPr>
      </w:pPr>
      <w:r w:rsidRPr="003F6BC7">
        <w:rPr>
          <w:lang w:val="lt-LT"/>
        </w:rPr>
        <w:t>alkoholio vartojimo sutrikimas ir (arba) gausus alkoholio suvartojimas</w:t>
      </w:r>
      <w:r w:rsidR="0075197F" w:rsidRPr="003F6BC7">
        <w:rPr>
          <w:lang w:val="lt-LT"/>
        </w:rPr>
        <w:t>,</w:t>
      </w:r>
    </w:p>
    <w:p w14:paraId="71ECEACE" w14:textId="342259FF" w:rsidR="0075197F" w:rsidRPr="003F6BC7" w:rsidRDefault="005D450D" w:rsidP="00260171">
      <w:pPr>
        <w:pStyle w:val="Sraopastraipa"/>
        <w:numPr>
          <w:ilvl w:val="0"/>
          <w:numId w:val="3"/>
        </w:numPr>
        <w:ind w:left="567" w:hanging="567"/>
        <w:rPr>
          <w:lang w:val="lt-LT"/>
        </w:rPr>
      </w:pPr>
      <w:r w:rsidRPr="003F6BC7">
        <w:rPr>
          <w:lang w:val="lt-LT"/>
        </w:rPr>
        <w:t>bei pacientams, tuo pat metu vartojantiems vaistinių preparatų, susijusių su kepenų pažaidos rizika,</w:t>
      </w:r>
    </w:p>
    <w:p w14:paraId="28F8C4DE" w14:textId="77777777" w:rsidR="005D450D" w:rsidRPr="003F6BC7" w:rsidRDefault="005D450D" w:rsidP="0075197F">
      <w:pPr>
        <w:rPr>
          <w:lang w:val="lt-LT"/>
        </w:rPr>
      </w:pPr>
      <w:r w:rsidRPr="003F6BC7">
        <w:rPr>
          <w:lang w:val="lt-LT"/>
        </w:rPr>
        <w:t xml:space="preserve">gydymas </w:t>
      </w:r>
      <w:proofErr w:type="spellStart"/>
      <w:r w:rsidR="0075197F" w:rsidRPr="003F6BC7">
        <w:rPr>
          <w:lang w:val="lt-LT"/>
        </w:rPr>
        <w:t>Zilbea</w:t>
      </w:r>
      <w:proofErr w:type="spellEnd"/>
      <w:r w:rsidRPr="003F6BC7">
        <w:rPr>
          <w:lang w:val="lt-LT"/>
        </w:rPr>
        <w:t xml:space="preserve"> turi būti skiriamas tik atidžiai įvertinus gydymo naudą ir riziką.</w:t>
      </w:r>
    </w:p>
    <w:p w14:paraId="6AA53F01" w14:textId="3E8B7B1A" w:rsidR="00BE2209" w:rsidRPr="003F6BC7" w:rsidRDefault="005D450D" w:rsidP="005D450D">
      <w:pPr>
        <w:rPr>
          <w:lang w:val="lt-LT"/>
        </w:rPr>
      </w:pPr>
      <w:r w:rsidRPr="003F6BC7">
        <w:rPr>
          <w:lang w:val="lt-LT"/>
        </w:rPr>
        <w:t>Prieš pradedant gydymą visiems pacientams turi būti atlikti kepenų funkcijos tyrimai. Gydymo negalima pradėti, jeigu pradinis ALT ir (arba) AST aktyvumas daugiau kaip 3</w:t>
      </w:r>
      <w:r w:rsidR="00227E03">
        <w:rPr>
          <w:lang w:val="lt-LT"/>
        </w:rPr>
        <w:t> </w:t>
      </w:r>
      <w:r w:rsidRPr="003F6BC7">
        <w:rPr>
          <w:lang w:val="lt-LT"/>
        </w:rPr>
        <w:t xml:space="preserve">kartus viršija viršutinę normos ribą (žr. 4.3 skyrių). </w:t>
      </w:r>
      <w:proofErr w:type="spellStart"/>
      <w:r w:rsidR="0075197F" w:rsidRPr="003F6BC7">
        <w:rPr>
          <w:lang w:val="lt-LT"/>
        </w:rPr>
        <w:t>Zilbea</w:t>
      </w:r>
      <w:proofErr w:type="spellEnd"/>
      <w:r w:rsidRPr="003F6BC7">
        <w:rPr>
          <w:lang w:val="lt-LT"/>
        </w:rPr>
        <w:t xml:space="preserve"> būtina atsargiai skirti pacientams, kurių </w:t>
      </w:r>
      <w:proofErr w:type="spellStart"/>
      <w:r w:rsidRPr="003F6BC7">
        <w:rPr>
          <w:lang w:val="lt-LT"/>
        </w:rPr>
        <w:t>transaminazių</w:t>
      </w:r>
      <w:proofErr w:type="spellEnd"/>
      <w:r w:rsidRPr="003F6BC7">
        <w:rPr>
          <w:lang w:val="lt-LT"/>
        </w:rPr>
        <w:t xml:space="preserve"> aktyvumas prieš pradedant gydymą buvo padidėjęs (</w:t>
      </w:r>
      <w:proofErr w:type="spellStart"/>
      <w:r w:rsidRPr="003F6BC7">
        <w:rPr>
          <w:lang w:val="lt-LT"/>
        </w:rPr>
        <w:t>transaminazių</w:t>
      </w:r>
      <w:proofErr w:type="spellEnd"/>
      <w:r w:rsidRPr="003F6BC7">
        <w:rPr>
          <w:lang w:val="lt-LT"/>
        </w:rPr>
        <w:t xml:space="preserve"> aktyvumas viršijo viršutinę normos ribą, tačiau ne daugiau kaip 3</w:t>
      </w:r>
      <w:r w:rsidR="00227E03">
        <w:rPr>
          <w:lang w:val="lt-LT"/>
        </w:rPr>
        <w:t> </w:t>
      </w:r>
      <w:r w:rsidRPr="003F6BC7">
        <w:rPr>
          <w:lang w:val="lt-LT"/>
        </w:rPr>
        <w:t>kartus).</w:t>
      </w:r>
    </w:p>
    <w:p w14:paraId="606EF8B4" w14:textId="77777777" w:rsidR="0075197F" w:rsidRPr="003F6BC7" w:rsidRDefault="0075197F" w:rsidP="005D450D">
      <w:pPr>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6"/>
      </w:tblGrid>
      <w:tr w:rsidR="000A42DB" w:rsidRPr="00151B1E" w14:paraId="0AB92FED" w14:textId="77777777" w:rsidTr="0090581D">
        <w:tc>
          <w:tcPr>
            <w:tcW w:w="9178" w:type="dxa"/>
            <w:shd w:val="clear" w:color="auto" w:fill="auto"/>
          </w:tcPr>
          <w:p w14:paraId="1C480E73" w14:textId="77777777" w:rsidR="000A42DB" w:rsidRPr="003F6BC7" w:rsidRDefault="000A42DB" w:rsidP="000A42DB">
            <w:pPr>
              <w:pStyle w:val="Sraopastraipa"/>
              <w:numPr>
                <w:ilvl w:val="0"/>
                <w:numId w:val="6"/>
              </w:numPr>
              <w:adjustRightInd w:val="0"/>
              <w:ind w:left="632" w:hanging="644"/>
              <w:rPr>
                <w:color w:val="000000"/>
                <w:u w:val="single"/>
                <w:lang w:val="lt-LT" w:eastAsia="sl-SI"/>
              </w:rPr>
            </w:pPr>
            <w:r w:rsidRPr="003F6BC7">
              <w:rPr>
                <w:i/>
                <w:iCs/>
                <w:color w:val="000000"/>
                <w:u w:val="single"/>
                <w:lang w:val="lt-LT" w:eastAsia="sl-SI"/>
              </w:rPr>
              <w:t>Kepenų funkcijos tyrimų dažnis</w:t>
            </w:r>
          </w:p>
          <w:p w14:paraId="135F0B53" w14:textId="77777777" w:rsidR="000A42DB" w:rsidRPr="003F6BC7" w:rsidRDefault="000A42DB" w:rsidP="000A42DB">
            <w:pPr>
              <w:widowControl/>
              <w:numPr>
                <w:ilvl w:val="0"/>
                <w:numId w:val="4"/>
              </w:numPr>
              <w:adjustRightInd w:val="0"/>
              <w:ind w:left="207" w:hanging="207"/>
              <w:rPr>
                <w:iCs/>
                <w:color w:val="000000"/>
                <w:lang w:val="lt-LT" w:eastAsia="sl-SI"/>
              </w:rPr>
            </w:pPr>
            <w:r w:rsidRPr="003F6BC7">
              <w:rPr>
                <w:color w:val="000000"/>
                <w:lang w:val="lt-LT" w:eastAsia="sl-SI"/>
              </w:rPr>
              <w:t>Prieš pradedant gydymą</w:t>
            </w:r>
          </w:p>
          <w:p w14:paraId="404235CF" w14:textId="77777777" w:rsidR="000A42DB" w:rsidRPr="003F6BC7" w:rsidRDefault="000A42DB" w:rsidP="000A42DB">
            <w:pPr>
              <w:widowControl/>
              <w:numPr>
                <w:ilvl w:val="0"/>
                <w:numId w:val="4"/>
              </w:numPr>
              <w:adjustRightInd w:val="0"/>
              <w:ind w:left="207" w:hanging="207"/>
              <w:rPr>
                <w:iCs/>
                <w:color w:val="000000"/>
                <w:lang w:val="lt-LT" w:eastAsia="sl-SI"/>
              </w:rPr>
            </w:pPr>
            <w:r w:rsidRPr="003F6BC7">
              <w:rPr>
                <w:color w:val="000000"/>
                <w:lang w:val="lt-LT" w:eastAsia="sl-SI"/>
              </w:rPr>
              <w:t>ir po to:</w:t>
            </w:r>
          </w:p>
          <w:p w14:paraId="47172B0D" w14:textId="77777777" w:rsidR="000A42DB" w:rsidRPr="003F6BC7" w:rsidRDefault="000A42DB" w:rsidP="000A42DB">
            <w:pPr>
              <w:widowControl/>
              <w:numPr>
                <w:ilvl w:val="0"/>
                <w:numId w:val="5"/>
              </w:numPr>
              <w:adjustRightInd w:val="0"/>
              <w:ind w:left="1341" w:hanging="314"/>
              <w:rPr>
                <w:iCs/>
                <w:color w:val="000000"/>
                <w:lang w:val="lt-LT" w:eastAsia="sl-SI"/>
              </w:rPr>
            </w:pPr>
            <w:r w:rsidRPr="003F6BC7">
              <w:rPr>
                <w:iCs/>
                <w:color w:val="000000"/>
                <w:lang w:val="lt-LT" w:eastAsia="sl-SI"/>
              </w:rPr>
              <w:t>maždaug po 3 savaičių;</w:t>
            </w:r>
          </w:p>
          <w:p w14:paraId="5EDB7E4B" w14:textId="77777777" w:rsidR="000A42DB" w:rsidRPr="003F6BC7" w:rsidRDefault="000A42DB" w:rsidP="000A42DB">
            <w:pPr>
              <w:widowControl/>
              <w:numPr>
                <w:ilvl w:val="0"/>
                <w:numId w:val="5"/>
              </w:numPr>
              <w:adjustRightInd w:val="0"/>
              <w:ind w:left="1341" w:hanging="314"/>
              <w:rPr>
                <w:iCs/>
                <w:color w:val="000000"/>
                <w:lang w:val="lt-LT" w:eastAsia="sl-SI"/>
              </w:rPr>
            </w:pPr>
            <w:r w:rsidRPr="003F6BC7">
              <w:rPr>
                <w:iCs/>
                <w:color w:val="000000"/>
                <w:lang w:val="lt-LT" w:eastAsia="sl-SI"/>
              </w:rPr>
              <w:t>maždaug po 6 savaičių (ūminės fazės pabaigoje);</w:t>
            </w:r>
          </w:p>
          <w:p w14:paraId="2588E4A8" w14:textId="07FE6C57" w:rsidR="000A42DB" w:rsidRPr="003F6BC7" w:rsidRDefault="000A42DB" w:rsidP="000A42DB">
            <w:pPr>
              <w:widowControl/>
              <w:numPr>
                <w:ilvl w:val="0"/>
                <w:numId w:val="5"/>
              </w:numPr>
              <w:adjustRightInd w:val="0"/>
              <w:ind w:left="1341" w:hanging="314"/>
              <w:rPr>
                <w:iCs/>
                <w:color w:val="000000"/>
                <w:lang w:val="lt-LT" w:eastAsia="sl-SI"/>
              </w:rPr>
            </w:pPr>
            <w:r w:rsidRPr="003F6BC7">
              <w:rPr>
                <w:iCs/>
                <w:color w:val="000000"/>
                <w:lang w:val="lt-LT" w:eastAsia="sl-SI"/>
              </w:rPr>
              <w:t>maždaug po 12</w:t>
            </w:r>
            <w:r w:rsidR="003C7DD5">
              <w:rPr>
                <w:iCs/>
                <w:color w:val="000000"/>
                <w:lang w:val="lt-LT" w:eastAsia="sl-SI"/>
              </w:rPr>
              <w:t xml:space="preserve"> ir </w:t>
            </w:r>
            <w:r w:rsidRPr="003F6BC7">
              <w:rPr>
                <w:iCs/>
                <w:color w:val="000000"/>
                <w:lang w:val="lt-LT" w:eastAsia="sl-SI"/>
              </w:rPr>
              <w:t>24 savaičių (palaikomosios fazės pabaigoje);</w:t>
            </w:r>
          </w:p>
          <w:p w14:paraId="0FB8B99B" w14:textId="76554808" w:rsidR="000A42DB" w:rsidRPr="003F6BC7" w:rsidRDefault="000A42DB" w:rsidP="000A42DB">
            <w:pPr>
              <w:widowControl/>
              <w:numPr>
                <w:ilvl w:val="0"/>
                <w:numId w:val="5"/>
              </w:numPr>
              <w:adjustRightInd w:val="0"/>
              <w:ind w:left="1341" w:hanging="314"/>
              <w:rPr>
                <w:iCs/>
                <w:color w:val="000000"/>
                <w:lang w:val="lt-LT" w:eastAsia="sl-SI"/>
              </w:rPr>
            </w:pPr>
            <w:r w:rsidRPr="003F6BC7">
              <w:rPr>
                <w:iCs/>
                <w:color w:val="000000"/>
                <w:lang w:val="lt-LT" w:eastAsia="sl-SI"/>
              </w:rPr>
              <w:t xml:space="preserve">ir vėliau, kai bus klinikinių </w:t>
            </w:r>
            <w:r w:rsidR="00966197">
              <w:rPr>
                <w:iCs/>
                <w:color w:val="000000"/>
                <w:lang w:val="lt-LT" w:eastAsia="sl-SI"/>
              </w:rPr>
              <w:t>požymių</w:t>
            </w:r>
            <w:r w:rsidRPr="003F6BC7">
              <w:rPr>
                <w:iCs/>
                <w:color w:val="000000"/>
                <w:lang w:val="lt-LT" w:eastAsia="sl-SI"/>
              </w:rPr>
              <w:t>.</w:t>
            </w:r>
          </w:p>
          <w:p w14:paraId="3CB5281B" w14:textId="77777777" w:rsidR="000A42DB" w:rsidRPr="003F6BC7" w:rsidRDefault="000A42DB" w:rsidP="000A42DB">
            <w:pPr>
              <w:widowControl/>
              <w:numPr>
                <w:ilvl w:val="0"/>
                <w:numId w:val="5"/>
              </w:numPr>
              <w:adjustRightInd w:val="0"/>
              <w:ind w:left="207" w:hanging="207"/>
              <w:rPr>
                <w:iCs/>
                <w:color w:val="000000"/>
                <w:lang w:val="lt-LT" w:eastAsia="sl-SI"/>
              </w:rPr>
            </w:pPr>
            <w:r w:rsidRPr="003F6BC7">
              <w:rPr>
                <w:iCs/>
                <w:color w:val="000000"/>
                <w:lang w:val="lt-LT" w:eastAsia="sl-SI"/>
              </w:rPr>
              <w:t>Didinant dozę, kepenų funkcijos tyrimus vėl reikia atlikti tokiu pat dažnumu, kaip ir pradedant gydymą.</w:t>
            </w:r>
          </w:p>
          <w:p w14:paraId="0CD06183" w14:textId="77777777" w:rsidR="000A42DB" w:rsidRPr="003F6BC7" w:rsidRDefault="000A42DB" w:rsidP="0090581D">
            <w:pPr>
              <w:adjustRightInd w:val="0"/>
              <w:rPr>
                <w:color w:val="000000"/>
                <w:lang w:val="lt-LT" w:eastAsia="sl-SI"/>
              </w:rPr>
            </w:pPr>
          </w:p>
          <w:p w14:paraId="31399FEE" w14:textId="1EB5D7DB" w:rsidR="000A42DB" w:rsidRPr="003F6BC7" w:rsidRDefault="000A42DB" w:rsidP="0090581D">
            <w:pPr>
              <w:adjustRightInd w:val="0"/>
              <w:rPr>
                <w:color w:val="000000"/>
                <w:lang w:val="lt-LT" w:eastAsia="sl-SI"/>
              </w:rPr>
            </w:pPr>
            <w:r w:rsidRPr="003F6BC7">
              <w:rPr>
                <w:iCs/>
                <w:color w:val="000000"/>
                <w:lang w:val="lt-LT" w:eastAsia="sl-SI"/>
              </w:rPr>
              <w:t xml:space="preserve">Bet kuriam pacientui, kurio kraujo serumo </w:t>
            </w:r>
            <w:proofErr w:type="spellStart"/>
            <w:r w:rsidRPr="003F6BC7">
              <w:rPr>
                <w:iCs/>
                <w:color w:val="000000"/>
                <w:lang w:val="lt-LT" w:eastAsia="sl-SI"/>
              </w:rPr>
              <w:t>transaminazių</w:t>
            </w:r>
            <w:proofErr w:type="spellEnd"/>
            <w:r w:rsidRPr="003F6BC7">
              <w:rPr>
                <w:iCs/>
                <w:color w:val="000000"/>
                <w:lang w:val="lt-LT" w:eastAsia="sl-SI"/>
              </w:rPr>
              <w:t xml:space="preserve"> aktyvumas padidėja, kepenų funkcijos tyrimai turi būti pakartoti per 48</w:t>
            </w:r>
            <w:r w:rsidR="003C7DD5">
              <w:rPr>
                <w:iCs/>
                <w:color w:val="000000"/>
                <w:lang w:val="lt-LT" w:eastAsia="sl-SI"/>
              </w:rPr>
              <w:t xml:space="preserve"> </w:t>
            </w:r>
            <w:r w:rsidRPr="003F6BC7">
              <w:rPr>
                <w:iCs/>
                <w:color w:val="000000"/>
                <w:lang w:val="lt-LT" w:eastAsia="sl-SI"/>
              </w:rPr>
              <w:t>valandas.</w:t>
            </w:r>
          </w:p>
        </w:tc>
      </w:tr>
    </w:tbl>
    <w:p w14:paraId="7D704EFE" w14:textId="77777777" w:rsidR="0075197F" w:rsidRPr="003F6BC7" w:rsidRDefault="0075197F" w:rsidP="005D450D">
      <w:pPr>
        <w:rPr>
          <w:lang w:val="lt-LT"/>
        </w:rPr>
      </w:pPr>
    </w:p>
    <w:p w14:paraId="58935371" w14:textId="77777777" w:rsidR="000A42DB" w:rsidRPr="003F6BC7" w:rsidRDefault="000A42DB" w:rsidP="00260171">
      <w:pPr>
        <w:pStyle w:val="Sraopastraipa"/>
        <w:numPr>
          <w:ilvl w:val="0"/>
          <w:numId w:val="2"/>
        </w:numPr>
        <w:tabs>
          <w:tab w:val="left" w:pos="0"/>
        </w:tabs>
        <w:ind w:left="426"/>
        <w:rPr>
          <w:color w:val="000000"/>
          <w:lang w:val="lt-LT" w:eastAsia="sl-SI"/>
        </w:rPr>
      </w:pPr>
      <w:r w:rsidRPr="00260171">
        <w:rPr>
          <w:i/>
          <w:lang w:val="lt-LT"/>
        </w:rPr>
        <w:t>Gydymo laikotarpiu</w:t>
      </w:r>
    </w:p>
    <w:p w14:paraId="26F508EB" w14:textId="77777777" w:rsidR="000A42DB" w:rsidRPr="003F6BC7" w:rsidRDefault="000A42DB" w:rsidP="000A42DB">
      <w:pPr>
        <w:adjustRightInd w:val="0"/>
        <w:rPr>
          <w:color w:val="000000"/>
          <w:lang w:val="lt-LT" w:eastAsia="sl-SI"/>
        </w:rPr>
      </w:pPr>
      <w:r w:rsidRPr="003F6BC7">
        <w:rPr>
          <w:color w:val="000000"/>
          <w:lang w:val="lt-LT" w:eastAsia="sl-SI"/>
        </w:rPr>
        <w:t xml:space="preserve">Gydymą </w:t>
      </w:r>
      <w:proofErr w:type="spellStart"/>
      <w:r w:rsidRPr="003F6BC7">
        <w:rPr>
          <w:color w:val="000000"/>
          <w:lang w:val="lt-LT" w:eastAsia="sl-SI"/>
        </w:rPr>
        <w:t>Zilbea</w:t>
      </w:r>
      <w:proofErr w:type="spellEnd"/>
      <w:r w:rsidRPr="003F6BC7">
        <w:rPr>
          <w:color w:val="000000"/>
          <w:lang w:val="lt-LT" w:eastAsia="sl-SI"/>
        </w:rPr>
        <w:t xml:space="preserve"> būtina nedelsiant nutraukti, jeigu:</w:t>
      </w:r>
    </w:p>
    <w:p w14:paraId="2163E44F" w14:textId="77777777" w:rsidR="000A42DB" w:rsidRPr="003F6BC7" w:rsidRDefault="000A42DB" w:rsidP="000A42DB">
      <w:pPr>
        <w:widowControl/>
        <w:numPr>
          <w:ilvl w:val="0"/>
          <w:numId w:val="7"/>
        </w:numPr>
        <w:adjustRightInd w:val="0"/>
        <w:ind w:left="567" w:hanging="567"/>
        <w:rPr>
          <w:color w:val="000000"/>
          <w:lang w:val="lt-LT" w:eastAsia="sl-SI"/>
        </w:rPr>
      </w:pPr>
      <w:r w:rsidRPr="003F6BC7">
        <w:rPr>
          <w:color w:val="000000"/>
          <w:lang w:val="lt-LT" w:eastAsia="sl-SI"/>
        </w:rPr>
        <w:t>pacientui atsirado galimos kepenų pažaidos simptomų ar požymių (tokių kaip tamsus šlapimas, šviesios išmatos, geltona oda ar akys, skausmas viršutinėje dešinėje pilvo dalyje, ilgai išliekantis naujai pasireiškęs ir neaiškių priežasčių sukeltas nuovargis);</w:t>
      </w:r>
    </w:p>
    <w:p w14:paraId="103A6260" w14:textId="77777777" w:rsidR="000A42DB" w:rsidRPr="003F6BC7" w:rsidRDefault="000A42DB" w:rsidP="000A42DB">
      <w:pPr>
        <w:widowControl/>
        <w:numPr>
          <w:ilvl w:val="0"/>
          <w:numId w:val="7"/>
        </w:numPr>
        <w:adjustRightInd w:val="0"/>
        <w:ind w:left="567" w:hanging="567"/>
        <w:rPr>
          <w:color w:val="000000"/>
          <w:lang w:val="lt-LT" w:eastAsia="sl-SI"/>
        </w:rPr>
      </w:pPr>
      <w:r w:rsidRPr="003F6BC7">
        <w:rPr>
          <w:color w:val="000000"/>
          <w:lang w:val="lt-LT" w:eastAsia="sl-SI"/>
        </w:rPr>
        <w:t xml:space="preserve">serumo </w:t>
      </w:r>
      <w:proofErr w:type="spellStart"/>
      <w:r w:rsidRPr="003F6BC7">
        <w:rPr>
          <w:color w:val="000000"/>
          <w:lang w:val="lt-LT" w:eastAsia="sl-SI"/>
        </w:rPr>
        <w:t>transaminazių</w:t>
      </w:r>
      <w:proofErr w:type="spellEnd"/>
      <w:r w:rsidRPr="003F6BC7">
        <w:rPr>
          <w:color w:val="000000"/>
          <w:lang w:val="lt-LT" w:eastAsia="sl-SI"/>
        </w:rPr>
        <w:t xml:space="preserve"> aktyvumas daugiau kaip 3 kartus viršija viršutinę normos ribą.</w:t>
      </w:r>
    </w:p>
    <w:p w14:paraId="2ADCAEC7" w14:textId="77777777" w:rsidR="000A42DB" w:rsidRPr="003F6BC7" w:rsidRDefault="000A42DB" w:rsidP="000A42DB">
      <w:pPr>
        <w:adjustRightInd w:val="0"/>
        <w:rPr>
          <w:color w:val="000000"/>
          <w:lang w:val="lt-LT" w:eastAsia="sl-SI"/>
        </w:rPr>
      </w:pPr>
    </w:p>
    <w:p w14:paraId="6F29E115" w14:textId="77777777" w:rsidR="000A42DB" w:rsidRPr="003F6BC7" w:rsidRDefault="000A42DB" w:rsidP="000A42DB">
      <w:pPr>
        <w:adjustRightInd w:val="0"/>
        <w:rPr>
          <w:color w:val="000000"/>
          <w:lang w:val="lt-LT" w:eastAsia="sl-SI"/>
        </w:rPr>
      </w:pPr>
      <w:r w:rsidRPr="003F6BC7">
        <w:rPr>
          <w:color w:val="000000"/>
          <w:lang w:val="lt-LT" w:eastAsia="sl-SI"/>
        </w:rPr>
        <w:t xml:space="preserve">Po gydymo </w:t>
      </w:r>
      <w:proofErr w:type="spellStart"/>
      <w:r w:rsidRPr="003F6BC7">
        <w:rPr>
          <w:color w:val="000000"/>
          <w:lang w:val="lt-LT" w:eastAsia="sl-SI"/>
        </w:rPr>
        <w:t>Zilbea</w:t>
      </w:r>
      <w:proofErr w:type="spellEnd"/>
      <w:r w:rsidRPr="003F6BC7">
        <w:rPr>
          <w:color w:val="000000"/>
          <w:lang w:val="lt-LT" w:eastAsia="sl-SI"/>
        </w:rPr>
        <w:t xml:space="preserve"> nutraukimo kepenų funkcijos tyrimai turi būti kartojami tol, kol serumo </w:t>
      </w:r>
      <w:proofErr w:type="spellStart"/>
      <w:r w:rsidRPr="003F6BC7">
        <w:rPr>
          <w:color w:val="000000"/>
          <w:lang w:val="lt-LT" w:eastAsia="sl-SI"/>
        </w:rPr>
        <w:t>transaminazių</w:t>
      </w:r>
      <w:proofErr w:type="spellEnd"/>
      <w:r w:rsidRPr="003F6BC7">
        <w:rPr>
          <w:color w:val="000000"/>
          <w:lang w:val="lt-LT" w:eastAsia="sl-SI"/>
        </w:rPr>
        <w:t xml:space="preserve"> aktyvumas vėl taps normalus.</w:t>
      </w:r>
    </w:p>
    <w:p w14:paraId="34ACC5D6" w14:textId="77777777" w:rsidR="000A42DB" w:rsidRPr="003F6BC7" w:rsidRDefault="000A42DB" w:rsidP="000A42DB">
      <w:pPr>
        <w:adjustRightInd w:val="0"/>
        <w:rPr>
          <w:color w:val="000000"/>
          <w:lang w:val="lt-LT" w:eastAsia="sl-SI"/>
        </w:rPr>
      </w:pPr>
    </w:p>
    <w:p w14:paraId="632E6919" w14:textId="77777777" w:rsidR="000A42DB" w:rsidRPr="003F6BC7" w:rsidRDefault="000A42DB" w:rsidP="000A42DB">
      <w:pPr>
        <w:adjustRightInd w:val="0"/>
        <w:rPr>
          <w:color w:val="000000"/>
          <w:u w:val="single"/>
          <w:lang w:val="lt-LT" w:eastAsia="sl-SI"/>
        </w:rPr>
      </w:pPr>
      <w:r w:rsidRPr="003F6BC7">
        <w:rPr>
          <w:color w:val="000000"/>
          <w:u w:val="single"/>
          <w:lang w:val="lt-LT" w:eastAsia="sl-SI"/>
        </w:rPr>
        <w:t>Vaikų populiacija</w:t>
      </w:r>
    </w:p>
    <w:p w14:paraId="0682D36E" w14:textId="16A5F334" w:rsidR="000A42DB" w:rsidRPr="003F6BC7" w:rsidRDefault="000A42DB" w:rsidP="000A42DB">
      <w:pPr>
        <w:tabs>
          <w:tab w:val="left" w:pos="0"/>
        </w:tabs>
        <w:rPr>
          <w:lang w:val="lt-LT"/>
        </w:rPr>
      </w:pPr>
      <w:proofErr w:type="spellStart"/>
      <w:r w:rsidRPr="003F6BC7">
        <w:rPr>
          <w:lang w:val="lt-LT" w:eastAsia="lt-LT"/>
        </w:rPr>
        <w:t>Zilbea</w:t>
      </w:r>
      <w:proofErr w:type="spellEnd"/>
      <w:r w:rsidRPr="003F6BC7">
        <w:rPr>
          <w:lang w:val="lt-LT" w:eastAsia="lt-LT"/>
        </w:rPr>
        <w:t xml:space="preserve"> </w:t>
      </w:r>
      <w:r w:rsidR="005B4E23">
        <w:rPr>
          <w:lang w:val="lt-LT" w:eastAsia="lt-LT"/>
        </w:rPr>
        <w:t>negalima vartoti</w:t>
      </w:r>
      <w:r w:rsidR="005B4E23" w:rsidRPr="003F6BC7">
        <w:rPr>
          <w:lang w:val="lt-LT" w:eastAsia="lt-LT"/>
        </w:rPr>
        <w:t xml:space="preserve"> </w:t>
      </w:r>
      <w:r w:rsidRPr="003F6BC7">
        <w:rPr>
          <w:lang w:val="lt-LT" w:eastAsia="lt-LT"/>
        </w:rPr>
        <w:t>jaunesni</w:t>
      </w:r>
      <w:r w:rsidR="005B4E23">
        <w:rPr>
          <w:lang w:val="lt-LT" w:eastAsia="lt-LT"/>
        </w:rPr>
        <w:t>ems</w:t>
      </w:r>
      <w:r w:rsidRPr="003F6BC7">
        <w:rPr>
          <w:lang w:val="lt-LT" w:eastAsia="lt-LT"/>
        </w:rPr>
        <w:t xml:space="preserve"> kaip 18 metų pacient</w:t>
      </w:r>
      <w:r w:rsidR="005B4E23">
        <w:rPr>
          <w:lang w:val="lt-LT" w:eastAsia="lt-LT"/>
        </w:rPr>
        <w:t>ams</w:t>
      </w:r>
      <w:r w:rsidRPr="003F6BC7">
        <w:rPr>
          <w:lang w:val="lt-LT" w:eastAsia="lt-LT"/>
        </w:rPr>
        <w:t xml:space="preserve"> depresijos gydymui, kadangi </w:t>
      </w:r>
      <w:proofErr w:type="spellStart"/>
      <w:r w:rsidRPr="003F6BC7">
        <w:rPr>
          <w:lang w:val="lt-LT" w:eastAsia="lt-LT"/>
        </w:rPr>
        <w:t>agomelatino</w:t>
      </w:r>
      <w:proofErr w:type="spellEnd"/>
      <w:r w:rsidRPr="003F6BC7">
        <w:rPr>
          <w:lang w:val="lt-LT" w:eastAsia="lt-LT"/>
        </w:rPr>
        <w:t xml:space="preserve"> saugumas ir veiksmingumas neištirtas. Klinikinių tyrimų metu vaikams ir paaugliams, gydytiems kitais antidepresantais, dažniau negu placebo vartojusiųjų grupėje pastebėta su savižudybe susijusio elgesio (mėginimo nusižudyti ir minčių apie savižudybę) bei priešiškumo (daugiausia agresijos, priešiško elgesio ir pykčio) apraiškų.</w:t>
      </w:r>
    </w:p>
    <w:p w14:paraId="63F5D34A" w14:textId="15AA445B" w:rsidR="000A42DB" w:rsidRDefault="00BA1D0D" w:rsidP="00BA1D0D">
      <w:pPr>
        <w:rPr>
          <w:lang w:val="lt-LT"/>
        </w:rPr>
      </w:pPr>
      <w:r w:rsidRPr="00BA1D0D">
        <w:rPr>
          <w:lang w:val="lt-LT"/>
        </w:rPr>
        <w:t xml:space="preserve">Pranešimų apie savižudybės atvejus vartojant </w:t>
      </w:r>
      <w:proofErr w:type="spellStart"/>
      <w:r w:rsidRPr="00BA1D0D">
        <w:rPr>
          <w:lang w:val="lt-LT"/>
        </w:rPr>
        <w:t>agomelatin</w:t>
      </w:r>
      <w:r>
        <w:rPr>
          <w:lang w:val="lt-LT"/>
        </w:rPr>
        <w:t>o</w:t>
      </w:r>
      <w:proofErr w:type="spellEnd"/>
      <w:r w:rsidRPr="00BA1D0D">
        <w:rPr>
          <w:lang w:val="lt-LT"/>
        </w:rPr>
        <w:t xml:space="preserve"> gauta per mažai, kad būtų galima pagrįstai</w:t>
      </w:r>
      <w:r>
        <w:rPr>
          <w:lang w:val="lt-LT"/>
        </w:rPr>
        <w:t xml:space="preserve"> </w:t>
      </w:r>
      <w:r w:rsidRPr="00BA1D0D">
        <w:rPr>
          <w:lang w:val="lt-LT"/>
        </w:rPr>
        <w:t xml:space="preserve">palyginti </w:t>
      </w:r>
      <w:proofErr w:type="spellStart"/>
      <w:r w:rsidRPr="00BA1D0D">
        <w:rPr>
          <w:lang w:val="lt-LT"/>
        </w:rPr>
        <w:t>agomelatino</w:t>
      </w:r>
      <w:proofErr w:type="spellEnd"/>
      <w:r w:rsidRPr="00BA1D0D">
        <w:rPr>
          <w:lang w:val="lt-LT"/>
        </w:rPr>
        <w:t xml:space="preserve"> ir </w:t>
      </w:r>
      <w:proofErr w:type="spellStart"/>
      <w:r w:rsidRPr="00BA1D0D">
        <w:rPr>
          <w:lang w:val="lt-LT"/>
        </w:rPr>
        <w:t>placebo</w:t>
      </w:r>
      <w:proofErr w:type="spellEnd"/>
      <w:r w:rsidRPr="00BA1D0D">
        <w:rPr>
          <w:lang w:val="lt-LT"/>
        </w:rPr>
        <w:t xml:space="preserve"> poveikį. Apibendrinti klinikinių tyrimų, kurių metu vartota 25</w:t>
      </w:r>
      <w:r>
        <w:rPr>
          <w:lang w:val="lt-LT"/>
        </w:rPr>
        <w:t> </w:t>
      </w:r>
      <w:r w:rsidRPr="00BA1D0D">
        <w:rPr>
          <w:lang w:val="lt-LT"/>
        </w:rPr>
        <w:t>mg</w:t>
      </w:r>
      <w:r>
        <w:rPr>
          <w:lang w:val="lt-LT"/>
        </w:rPr>
        <w:t xml:space="preserve"> </w:t>
      </w:r>
      <w:proofErr w:type="spellStart"/>
      <w:r w:rsidRPr="00BA1D0D">
        <w:rPr>
          <w:lang w:val="lt-LT"/>
        </w:rPr>
        <w:t>agomelatino</w:t>
      </w:r>
      <w:proofErr w:type="spellEnd"/>
      <w:r w:rsidRPr="00BA1D0D">
        <w:rPr>
          <w:lang w:val="lt-LT"/>
        </w:rPr>
        <w:t xml:space="preserve"> dozė, duomenys parodė, kad su savižudybe susijusių reiškinių dažniau pasitaikė</w:t>
      </w:r>
      <w:r>
        <w:rPr>
          <w:lang w:val="lt-LT"/>
        </w:rPr>
        <w:t xml:space="preserve"> </w:t>
      </w:r>
      <w:r w:rsidRPr="00151B1E">
        <w:rPr>
          <w:lang w:val="lt-LT"/>
        </w:rPr>
        <w:t>paaugliams (3,1 %), palyginti su suaugusiaisiais (1,2 %), žr. toliau esantį skyrių „Savižudybė ir (arba) mintys apie savižudybę“ ir 4.8 skyrių. Apibendrintais klinikinių tyrimų duomenimis, apie kepenų nepageidaujamus reiškinius pranešta dažniau paaugliams (6,3 %) palyginus su suaugusiaisiais (1,7 %). Ilgalaikio saugumo duomenų yra nedaug. Jie apima ilgalaikę patirtį apie poveikį augimui, lytiniam brendimui (žr. 5.1 skyrių) ir pažinimo funkcijai.</w:t>
      </w:r>
    </w:p>
    <w:p w14:paraId="401D0AF6" w14:textId="77777777" w:rsidR="007A7E24" w:rsidRPr="003F6BC7" w:rsidRDefault="007A7E24" w:rsidP="005D450D">
      <w:pPr>
        <w:rPr>
          <w:lang w:val="lt-LT"/>
        </w:rPr>
      </w:pPr>
    </w:p>
    <w:p w14:paraId="68B79DCA" w14:textId="77777777" w:rsidR="000A42DB" w:rsidRPr="003F6BC7" w:rsidRDefault="000A42DB" w:rsidP="000A42DB">
      <w:pPr>
        <w:tabs>
          <w:tab w:val="left" w:pos="0"/>
        </w:tabs>
        <w:rPr>
          <w:u w:val="single"/>
          <w:lang w:val="lt-LT"/>
        </w:rPr>
      </w:pPr>
      <w:r w:rsidRPr="003F6BC7">
        <w:rPr>
          <w:u w:val="single"/>
          <w:lang w:val="lt-LT"/>
        </w:rPr>
        <w:t>Senyvi pacientai</w:t>
      </w:r>
    </w:p>
    <w:p w14:paraId="672D3B67" w14:textId="77017FC4" w:rsidR="000A42DB" w:rsidRPr="003F6BC7" w:rsidRDefault="000A42DB" w:rsidP="000A42DB">
      <w:pPr>
        <w:tabs>
          <w:tab w:val="left" w:pos="0"/>
        </w:tabs>
        <w:rPr>
          <w:lang w:val="lt-LT"/>
        </w:rPr>
      </w:pPr>
      <w:proofErr w:type="spellStart"/>
      <w:r w:rsidRPr="003F6BC7">
        <w:rPr>
          <w:lang w:val="lt-LT"/>
        </w:rPr>
        <w:t>Agomelatino</w:t>
      </w:r>
      <w:proofErr w:type="spellEnd"/>
      <w:r w:rsidRPr="003F6BC7">
        <w:rPr>
          <w:lang w:val="lt-LT"/>
        </w:rPr>
        <w:t xml:space="preserve"> poveikis ≥ 75</w:t>
      </w:r>
      <w:r w:rsidR="002917D2">
        <w:rPr>
          <w:lang w:val="lt-LT"/>
        </w:rPr>
        <w:t xml:space="preserve"> </w:t>
      </w:r>
      <w:r w:rsidRPr="003F6BC7">
        <w:rPr>
          <w:lang w:val="lt-LT"/>
        </w:rPr>
        <w:t xml:space="preserve">metų pacientams nėra </w:t>
      </w:r>
      <w:r w:rsidR="005B4E23">
        <w:rPr>
          <w:lang w:val="lt-LT"/>
        </w:rPr>
        <w:t>aprašytas</w:t>
      </w:r>
      <w:r w:rsidRPr="003F6BC7">
        <w:rPr>
          <w:lang w:val="lt-LT"/>
        </w:rPr>
        <w:t xml:space="preserve">, todėl </w:t>
      </w:r>
      <w:proofErr w:type="spellStart"/>
      <w:r w:rsidRPr="003F6BC7">
        <w:rPr>
          <w:lang w:val="lt-LT"/>
        </w:rPr>
        <w:t>agomelatinas</w:t>
      </w:r>
      <w:proofErr w:type="spellEnd"/>
      <w:r w:rsidRPr="003F6BC7">
        <w:rPr>
          <w:lang w:val="lt-LT"/>
        </w:rPr>
        <w:t xml:space="preserve"> neturi būti vartojamas </w:t>
      </w:r>
      <w:r w:rsidR="005B4E23" w:rsidRPr="003F6BC7">
        <w:rPr>
          <w:lang w:val="lt-LT"/>
        </w:rPr>
        <w:t>šios amžiaus grupės pacient</w:t>
      </w:r>
      <w:r w:rsidR="005B4E23">
        <w:rPr>
          <w:lang w:val="lt-LT"/>
        </w:rPr>
        <w:t>ų</w:t>
      </w:r>
      <w:r w:rsidR="005B4E23" w:rsidRPr="003F6BC7">
        <w:rPr>
          <w:lang w:val="lt-LT"/>
        </w:rPr>
        <w:t xml:space="preserve"> </w:t>
      </w:r>
      <w:r w:rsidRPr="003F6BC7">
        <w:rPr>
          <w:lang w:val="lt-LT"/>
        </w:rPr>
        <w:t>(taip pat žr. 4.2 ir 5.1 skyrius).</w:t>
      </w:r>
    </w:p>
    <w:p w14:paraId="4D4CC345" w14:textId="77777777" w:rsidR="000A42DB" w:rsidRPr="003F6BC7" w:rsidRDefault="000A42DB" w:rsidP="000A42DB">
      <w:pPr>
        <w:tabs>
          <w:tab w:val="left" w:pos="0"/>
        </w:tabs>
        <w:rPr>
          <w:lang w:val="lt-LT"/>
        </w:rPr>
      </w:pPr>
    </w:p>
    <w:p w14:paraId="14EC1AA4" w14:textId="77777777" w:rsidR="000A42DB" w:rsidRPr="003F6BC7" w:rsidRDefault="000A42DB" w:rsidP="000A42DB">
      <w:pPr>
        <w:tabs>
          <w:tab w:val="left" w:pos="0"/>
        </w:tabs>
        <w:rPr>
          <w:u w:val="single"/>
          <w:lang w:val="lt-LT"/>
        </w:rPr>
      </w:pPr>
      <w:r w:rsidRPr="003F6BC7">
        <w:rPr>
          <w:u w:val="single"/>
          <w:lang w:val="lt-LT"/>
        </w:rPr>
        <w:lastRenderedPageBreak/>
        <w:t>Senyvi pacientai, kuriems yra demencija</w:t>
      </w:r>
    </w:p>
    <w:p w14:paraId="40C6C09F" w14:textId="28B9680F" w:rsidR="000A42DB" w:rsidRPr="003F6BC7" w:rsidRDefault="000A42DB" w:rsidP="000A42DB">
      <w:pPr>
        <w:tabs>
          <w:tab w:val="left" w:pos="0"/>
        </w:tabs>
        <w:rPr>
          <w:lang w:val="lt-LT"/>
        </w:rPr>
      </w:pPr>
      <w:proofErr w:type="spellStart"/>
      <w:r w:rsidRPr="003F6BC7">
        <w:rPr>
          <w:lang w:val="lt-LT"/>
        </w:rPr>
        <w:t>Zilbea</w:t>
      </w:r>
      <w:proofErr w:type="spellEnd"/>
      <w:r w:rsidRPr="003F6BC7">
        <w:rPr>
          <w:lang w:val="lt-LT"/>
        </w:rPr>
        <w:t xml:space="preserve"> </w:t>
      </w:r>
      <w:r w:rsidR="005B4E23">
        <w:rPr>
          <w:lang w:val="lt-LT"/>
        </w:rPr>
        <w:t>negalima vartoti</w:t>
      </w:r>
      <w:r w:rsidRPr="003F6BC7">
        <w:rPr>
          <w:lang w:val="lt-LT"/>
        </w:rPr>
        <w:t xml:space="preserve"> senyv</w:t>
      </w:r>
      <w:r w:rsidR="005B4E23">
        <w:rPr>
          <w:lang w:val="lt-LT"/>
        </w:rPr>
        <w:t>iems</w:t>
      </w:r>
      <w:r w:rsidRPr="003F6BC7">
        <w:rPr>
          <w:lang w:val="lt-LT"/>
        </w:rPr>
        <w:t xml:space="preserve"> pacient</w:t>
      </w:r>
      <w:r w:rsidR="005B4E23">
        <w:rPr>
          <w:lang w:val="lt-LT"/>
        </w:rPr>
        <w:t>ams</w:t>
      </w:r>
      <w:r w:rsidRPr="003F6BC7">
        <w:rPr>
          <w:lang w:val="lt-LT"/>
        </w:rPr>
        <w:t xml:space="preserve">, kuriems yra demencija, didžiosios depresijos epizodams gydyti, nes </w:t>
      </w:r>
      <w:proofErr w:type="spellStart"/>
      <w:r w:rsidRPr="003F6BC7">
        <w:rPr>
          <w:lang w:val="lt-LT"/>
        </w:rPr>
        <w:t>agomelatino</w:t>
      </w:r>
      <w:proofErr w:type="spellEnd"/>
      <w:r w:rsidRPr="003F6BC7">
        <w:rPr>
          <w:lang w:val="lt-LT"/>
        </w:rPr>
        <w:t xml:space="preserve"> saugumas ir veiksmingumas tokiems pacientams neištirti.</w:t>
      </w:r>
    </w:p>
    <w:p w14:paraId="23D872B3" w14:textId="77777777" w:rsidR="000A42DB" w:rsidRPr="003F6BC7" w:rsidRDefault="000A42DB" w:rsidP="000A42DB">
      <w:pPr>
        <w:tabs>
          <w:tab w:val="left" w:pos="0"/>
        </w:tabs>
        <w:rPr>
          <w:lang w:val="lt-LT"/>
        </w:rPr>
      </w:pPr>
    </w:p>
    <w:p w14:paraId="41B4F5D3" w14:textId="438E3C0F" w:rsidR="000A42DB" w:rsidRPr="003F6BC7" w:rsidRDefault="000A42DB" w:rsidP="000A42DB">
      <w:pPr>
        <w:tabs>
          <w:tab w:val="left" w:pos="0"/>
        </w:tabs>
        <w:rPr>
          <w:u w:val="single"/>
          <w:lang w:val="lt-LT"/>
        </w:rPr>
      </w:pPr>
      <w:proofErr w:type="spellStart"/>
      <w:r w:rsidRPr="003F6BC7">
        <w:rPr>
          <w:u w:val="single"/>
          <w:lang w:val="lt-LT"/>
        </w:rPr>
        <w:t>Bipolinis</w:t>
      </w:r>
      <w:proofErr w:type="spellEnd"/>
      <w:r w:rsidR="00366A52">
        <w:rPr>
          <w:u w:val="single"/>
          <w:lang w:val="lt-LT"/>
        </w:rPr>
        <w:t xml:space="preserve"> </w:t>
      </w:r>
      <w:proofErr w:type="spellStart"/>
      <w:r w:rsidR="00366A52">
        <w:rPr>
          <w:u w:val="single"/>
          <w:lang w:val="lt-LT"/>
        </w:rPr>
        <w:t>afektinis</w:t>
      </w:r>
      <w:proofErr w:type="spellEnd"/>
      <w:r w:rsidRPr="003F6BC7">
        <w:rPr>
          <w:u w:val="single"/>
          <w:lang w:val="lt-LT"/>
        </w:rPr>
        <w:t xml:space="preserve"> sutrikimas/manija/</w:t>
      </w:r>
      <w:proofErr w:type="spellStart"/>
      <w:r w:rsidRPr="003F6BC7">
        <w:rPr>
          <w:u w:val="single"/>
          <w:lang w:val="lt-LT"/>
        </w:rPr>
        <w:t>hipomanija</w:t>
      </w:r>
      <w:proofErr w:type="spellEnd"/>
    </w:p>
    <w:p w14:paraId="56476D5A" w14:textId="6EBEAD88" w:rsidR="000A42DB" w:rsidRPr="003F6BC7" w:rsidRDefault="000A42DB" w:rsidP="000A42DB">
      <w:pPr>
        <w:tabs>
          <w:tab w:val="left" w:pos="0"/>
        </w:tabs>
        <w:rPr>
          <w:lang w:val="lt-LT"/>
        </w:rPr>
      </w:pPr>
      <w:proofErr w:type="spellStart"/>
      <w:r w:rsidRPr="003F6BC7">
        <w:rPr>
          <w:lang w:val="lt-LT"/>
        </w:rPr>
        <w:t>Zilbea</w:t>
      </w:r>
      <w:proofErr w:type="spellEnd"/>
      <w:r w:rsidRPr="003F6BC7">
        <w:rPr>
          <w:lang w:val="lt-LT"/>
        </w:rPr>
        <w:t xml:space="preserve"> būtina atsargiai vartoti pacientams, kuriems anksčiau buvo </w:t>
      </w:r>
      <w:proofErr w:type="spellStart"/>
      <w:r w:rsidRPr="003F6BC7">
        <w:rPr>
          <w:lang w:val="lt-LT"/>
        </w:rPr>
        <w:t>bipolinio</w:t>
      </w:r>
      <w:proofErr w:type="spellEnd"/>
      <w:r w:rsidR="00366A52">
        <w:rPr>
          <w:lang w:val="lt-LT"/>
        </w:rPr>
        <w:t xml:space="preserve"> </w:t>
      </w:r>
      <w:proofErr w:type="spellStart"/>
      <w:r w:rsidR="00366A52">
        <w:rPr>
          <w:lang w:val="lt-LT"/>
        </w:rPr>
        <w:t>afektinio</w:t>
      </w:r>
      <w:proofErr w:type="spellEnd"/>
      <w:r w:rsidRPr="003F6BC7">
        <w:rPr>
          <w:lang w:val="lt-LT"/>
        </w:rPr>
        <w:t xml:space="preserve"> sutrikimo, manijos ar </w:t>
      </w:r>
      <w:proofErr w:type="spellStart"/>
      <w:r w:rsidRPr="003F6BC7">
        <w:rPr>
          <w:lang w:val="lt-LT"/>
        </w:rPr>
        <w:t>hipomanijos</w:t>
      </w:r>
      <w:proofErr w:type="spellEnd"/>
      <w:r w:rsidRPr="003F6BC7">
        <w:rPr>
          <w:lang w:val="lt-LT"/>
        </w:rPr>
        <w:t xml:space="preserve"> epizodų, ir jo vartojimas turi būti nutrauktas, jeigu pacientui pasireiškia manijos simptomų (žr. 4.8 skyrių).</w:t>
      </w:r>
    </w:p>
    <w:p w14:paraId="0D3AFD66" w14:textId="77777777" w:rsidR="000A42DB" w:rsidRPr="003F6BC7" w:rsidRDefault="000A42DB" w:rsidP="000A42DB">
      <w:pPr>
        <w:tabs>
          <w:tab w:val="left" w:pos="0"/>
        </w:tabs>
        <w:rPr>
          <w:lang w:val="lt-LT"/>
        </w:rPr>
      </w:pPr>
    </w:p>
    <w:p w14:paraId="2B17F485" w14:textId="77777777" w:rsidR="000A42DB" w:rsidRPr="003F6BC7" w:rsidRDefault="000A42DB" w:rsidP="000A42DB">
      <w:pPr>
        <w:tabs>
          <w:tab w:val="left" w:pos="0"/>
        </w:tabs>
        <w:rPr>
          <w:u w:val="single"/>
          <w:lang w:val="lt-LT"/>
        </w:rPr>
      </w:pPr>
      <w:r w:rsidRPr="003F6BC7">
        <w:rPr>
          <w:u w:val="single"/>
          <w:lang w:val="lt-LT"/>
        </w:rPr>
        <w:t>Savižudybė/mintys apie savižudybę</w:t>
      </w:r>
    </w:p>
    <w:p w14:paraId="510C4A36" w14:textId="77777777" w:rsidR="000A42DB" w:rsidRPr="003F6BC7" w:rsidRDefault="000A42DB" w:rsidP="000A42DB">
      <w:pPr>
        <w:tabs>
          <w:tab w:val="left" w:pos="0"/>
        </w:tabs>
        <w:rPr>
          <w:lang w:val="lt-LT"/>
        </w:rPr>
      </w:pPr>
      <w:r w:rsidRPr="003F6BC7">
        <w:rPr>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savižudybės rizika gali padidėti ankstyvuoju sveikimo laikotarpiu.</w:t>
      </w:r>
    </w:p>
    <w:p w14:paraId="5F87E6C9" w14:textId="77777777" w:rsidR="000A42DB" w:rsidRPr="003F6BC7" w:rsidRDefault="000A42DB" w:rsidP="000A42DB">
      <w:pPr>
        <w:tabs>
          <w:tab w:val="left" w:pos="0"/>
        </w:tabs>
        <w:rPr>
          <w:lang w:val="lt-LT"/>
        </w:rPr>
      </w:pPr>
      <w:r w:rsidRPr="003F6BC7">
        <w:rPr>
          <w:lang w:val="lt-LT"/>
        </w:rPr>
        <w:t xml:space="preserve">Pacientams, kuriems yra buvę su savižudybe siejamų reiškinių ar kuriems prieš pradedant gydymą buvo reikšmingų minčių apie savižudybę, yra didesnė minčių apie savižudybę ar bandymo nusižudyti rizika, todėl tokius pacientus gydymo metu reikia atidžiai stebėti. Placebu kontroliuotų klinikinių tyrimų, kuriuose dalyvavo suaugę psichikos liga sergantys pacientai, </w:t>
      </w:r>
      <w:proofErr w:type="spellStart"/>
      <w:r w:rsidRPr="003F6BC7">
        <w:rPr>
          <w:lang w:val="lt-LT"/>
        </w:rPr>
        <w:t>metaanalizės</w:t>
      </w:r>
      <w:proofErr w:type="spellEnd"/>
      <w:r w:rsidRPr="003F6BC7">
        <w:rPr>
          <w:lang w:val="lt-LT"/>
        </w:rPr>
        <w:t xml:space="preserve"> duomenys parodė, kad jaunesniems kaip 25 metų pacientams vartojant antidepresantų, palyginti su placebu, su savižudybe siejamo elgesio rizika padidėja.</w:t>
      </w:r>
    </w:p>
    <w:p w14:paraId="7BAD9FCE" w14:textId="77777777" w:rsidR="000A42DB" w:rsidRPr="003F6BC7" w:rsidRDefault="000A42DB" w:rsidP="000A42DB">
      <w:pPr>
        <w:tabs>
          <w:tab w:val="left" w:pos="0"/>
        </w:tabs>
        <w:rPr>
          <w:lang w:val="lt-LT"/>
        </w:rPr>
      </w:pPr>
      <w:r w:rsidRPr="003F6BC7">
        <w:rPr>
          <w:lang w:val="lt-LT"/>
        </w:rPr>
        <w:t xml:space="preserve">Pacientus, ypač priklausančius didelės rizikos grupei, gydymo metu būtina atidžiai stebėti, ypač ankstyvuoju laikotarpiu ir keičiant dozę. Pacientus (ir jų globėjus) reikia įspėti, kad stebėtų, ar nepasireiškia jokio klinikinės būklės pasunkėjimo, su savižudybe siejamo elgesio ir minčių apie savižudybę apraiškų bei neįprastų elgesio pokyčių, ir, kad atsiradus tokių simptomų, nedelsdami kreiptųsi į </w:t>
      </w:r>
      <w:r w:rsidR="004335D5" w:rsidRPr="003F6BC7">
        <w:rPr>
          <w:lang w:val="lt-LT"/>
        </w:rPr>
        <w:t>gydytojus</w:t>
      </w:r>
      <w:r w:rsidRPr="003F6BC7">
        <w:rPr>
          <w:lang w:val="lt-LT"/>
        </w:rPr>
        <w:t>.</w:t>
      </w:r>
    </w:p>
    <w:p w14:paraId="4ED8AC87" w14:textId="77777777" w:rsidR="000A42DB" w:rsidRPr="003F6BC7" w:rsidRDefault="000A42DB" w:rsidP="000A42DB">
      <w:pPr>
        <w:tabs>
          <w:tab w:val="left" w:pos="0"/>
        </w:tabs>
        <w:rPr>
          <w:lang w:val="lt-LT"/>
        </w:rPr>
      </w:pPr>
    </w:p>
    <w:p w14:paraId="695F9946" w14:textId="77777777" w:rsidR="000A42DB" w:rsidRPr="003F6BC7" w:rsidRDefault="000A42DB" w:rsidP="000A42DB">
      <w:pPr>
        <w:tabs>
          <w:tab w:val="left" w:pos="0"/>
        </w:tabs>
        <w:rPr>
          <w:u w:val="single"/>
          <w:lang w:val="lt-LT"/>
        </w:rPr>
      </w:pPr>
      <w:r w:rsidRPr="003F6BC7">
        <w:rPr>
          <w:u w:val="single"/>
          <w:lang w:val="lt-LT"/>
        </w:rPr>
        <w:t>Derinys su CYP1A2 inhibitoriais (žr. 4.3 ir 4.5 skyrių)</w:t>
      </w:r>
    </w:p>
    <w:p w14:paraId="1387F14B" w14:textId="6BD9C27E" w:rsidR="000A42DB" w:rsidRPr="003F6BC7" w:rsidRDefault="004335D5" w:rsidP="000A42DB">
      <w:pPr>
        <w:tabs>
          <w:tab w:val="left" w:pos="0"/>
        </w:tabs>
        <w:rPr>
          <w:lang w:val="lt-LT"/>
        </w:rPr>
      </w:pPr>
      <w:proofErr w:type="spellStart"/>
      <w:r w:rsidRPr="003F6BC7">
        <w:rPr>
          <w:lang w:val="lt-LT"/>
        </w:rPr>
        <w:t>Zilbea</w:t>
      </w:r>
      <w:proofErr w:type="spellEnd"/>
      <w:r w:rsidR="000A42DB" w:rsidRPr="003F6BC7">
        <w:rPr>
          <w:lang w:val="lt-LT"/>
        </w:rPr>
        <w:t xml:space="preserve"> </w:t>
      </w:r>
      <w:r w:rsidR="00366A52" w:rsidRPr="003F6BC7">
        <w:rPr>
          <w:lang w:val="lt-LT"/>
        </w:rPr>
        <w:t xml:space="preserve">būtina atsargiai </w:t>
      </w:r>
      <w:r w:rsidR="000A42DB" w:rsidRPr="003F6BC7">
        <w:rPr>
          <w:lang w:val="lt-LT"/>
        </w:rPr>
        <w:t xml:space="preserve">skirti </w:t>
      </w:r>
      <w:r w:rsidR="002071E3" w:rsidRPr="003F6BC7">
        <w:rPr>
          <w:lang w:val="lt-LT"/>
        </w:rPr>
        <w:t>derinyje</w:t>
      </w:r>
      <w:r w:rsidR="000A42DB" w:rsidRPr="003F6BC7">
        <w:rPr>
          <w:lang w:val="lt-LT"/>
        </w:rPr>
        <w:t xml:space="preserve"> su vidutinio stiprumo CYP1A2 inhibitoriais (pvz., </w:t>
      </w:r>
      <w:proofErr w:type="spellStart"/>
      <w:r w:rsidR="000A42DB" w:rsidRPr="003F6BC7">
        <w:rPr>
          <w:lang w:val="lt-LT"/>
        </w:rPr>
        <w:t>propranololiu</w:t>
      </w:r>
      <w:proofErr w:type="spellEnd"/>
      <w:r w:rsidR="000A42DB" w:rsidRPr="003F6BC7">
        <w:rPr>
          <w:lang w:val="lt-LT"/>
        </w:rPr>
        <w:t xml:space="preserve">, </w:t>
      </w:r>
      <w:proofErr w:type="spellStart"/>
      <w:r w:rsidR="000A42DB" w:rsidRPr="003F6BC7">
        <w:rPr>
          <w:lang w:val="lt-LT"/>
        </w:rPr>
        <w:t>enoksacinu</w:t>
      </w:r>
      <w:proofErr w:type="spellEnd"/>
      <w:r w:rsidR="000A42DB" w:rsidRPr="003F6BC7">
        <w:rPr>
          <w:lang w:val="lt-LT"/>
        </w:rPr>
        <w:t xml:space="preserve">), kadangi gali padidėti </w:t>
      </w:r>
      <w:proofErr w:type="spellStart"/>
      <w:r w:rsidR="000A42DB" w:rsidRPr="003F6BC7">
        <w:rPr>
          <w:lang w:val="lt-LT"/>
        </w:rPr>
        <w:t>agomelatino</w:t>
      </w:r>
      <w:proofErr w:type="spellEnd"/>
      <w:r w:rsidR="000A42DB" w:rsidRPr="003F6BC7">
        <w:rPr>
          <w:lang w:val="lt-LT"/>
        </w:rPr>
        <w:t xml:space="preserve"> ekspozicija.</w:t>
      </w:r>
    </w:p>
    <w:p w14:paraId="61407C12" w14:textId="77777777" w:rsidR="000A42DB" w:rsidRPr="003F6BC7" w:rsidRDefault="000A42DB" w:rsidP="000A42DB">
      <w:pPr>
        <w:tabs>
          <w:tab w:val="left" w:pos="0"/>
        </w:tabs>
        <w:rPr>
          <w:lang w:val="lt-LT"/>
        </w:rPr>
      </w:pPr>
    </w:p>
    <w:p w14:paraId="01E4B6BA" w14:textId="1C073AB6" w:rsidR="000A42DB" w:rsidRPr="003F6BC7" w:rsidRDefault="000A42DB" w:rsidP="000A42DB">
      <w:pPr>
        <w:adjustRightInd w:val="0"/>
        <w:rPr>
          <w:color w:val="000000"/>
          <w:lang w:val="lt-LT" w:eastAsia="sl-SI"/>
        </w:rPr>
      </w:pPr>
      <w:r w:rsidRPr="003F6BC7">
        <w:rPr>
          <w:color w:val="000000"/>
          <w:lang w:val="lt-LT" w:eastAsia="sl-SI"/>
        </w:rPr>
        <w:t>Šio vaistinio preparato</w:t>
      </w:r>
      <w:r w:rsidR="00501B36" w:rsidRPr="003F6BC7">
        <w:rPr>
          <w:color w:val="000000"/>
          <w:lang w:val="lt-LT" w:eastAsia="sl-SI"/>
        </w:rPr>
        <w:t xml:space="preserve"> vienoje</w:t>
      </w:r>
      <w:r w:rsidRPr="003F6BC7">
        <w:rPr>
          <w:color w:val="000000"/>
          <w:lang w:val="lt-LT" w:eastAsia="sl-SI"/>
        </w:rPr>
        <w:t xml:space="preserve"> tabletėje yra mažiau kaip 1 </w:t>
      </w:r>
      <w:proofErr w:type="spellStart"/>
      <w:r w:rsidRPr="003F6BC7">
        <w:rPr>
          <w:color w:val="000000"/>
          <w:lang w:val="lt-LT" w:eastAsia="sl-SI"/>
        </w:rPr>
        <w:t>mmol</w:t>
      </w:r>
      <w:proofErr w:type="spellEnd"/>
      <w:r w:rsidRPr="003F6BC7">
        <w:rPr>
          <w:color w:val="000000"/>
          <w:lang w:val="lt-LT" w:eastAsia="sl-SI"/>
        </w:rPr>
        <w:t xml:space="preserve"> (23</w:t>
      </w:r>
      <w:r w:rsidR="00227E03">
        <w:rPr>
          <w:color w:val="000000"/>
          <w:lang w:val="lt-LT" w:eastAsia="sl-SI"/>
        </w:rPr>
        <w:t> </w:t>
      </w:r>
      <w:r w:rsidRPr="003F6BC7">
        <w:rPr>
          <w:color w:val="000000"/>
          <w:lang w:val="lt-LT" w:eastAsia="sl-SI"/>
        </w:rPr>
        <w:t>mg) natrio, t. y. jis beveik neturi reikšmės.</w:t>
      </w:r>
    </w:p>
    <w:p w14:paraId="3E42BE89" w14:textId="77777777" w:rsidR="000A42DB" w:rsidRPr="003F6BC7" w:rsidRDefault="000A42DB" w:rsidP="000A42DB">
      <w:pPr>
        <w:rPr>
          <w:color w:val="000000"/>
          <w:lang w:val="lt-LT" w:eastAsia="sl-SI"/>
        </w:rPr>
      </w:pPr>
    </w:p>
    <w:p w14:paraId="219453C2" w14:textId="77777777" w:rsidR="000A42DB" w:rsidRPr="003F6BC7" w:rsidRDefault="000A42DB" w:rsidP="0090581D">
      <w:pPr>
        <w:ind w:left="567" w:hanging="567"/>
        <w:jc w:val="both"/>
        <w:outlineLvl w:val="3"/>
        <w:rPr>
          <w:b/>
          <w:bCs/>
          <w:lang w:val="lt-LT" w:eastAsia="lt-LT"/>
        </w:rPr>
      </w:pPr>
      <w:r w:rsidRPr="003F6BC7">
        <w:rPr>
          <w:b/>
          <w:bCs/>
          <w:lang w:val="lt-LT" w:eastAsia="lt-LT"/>
        </w:rPr>
        <w:t>4.5</w:t>
      </w:r>
      <w:r w:rsidRPr="003F6BC7">
        <w:rPr>
          <w:b/>
          <w:bCs/>
          <w:lang w:val="lt-LT" w:eastAsia="lt-LT"/>
        </w:rPr>
        <w:tab/>
        <w:t>Sąveika su kitais vaistiniais preparatais ir kitokia sąveika</w:t>
      </w:r>
    </w:p>
    <w:p w14:paraId="525DF69E" w14:textId="77777777" w:rsidR="000A42DB" w:rsidRPr="003F6BC7" w:rsidRDefault="000A42DB" w:rsidP="005D450D">
      <w:pPr>
        <w:rPr>
          <w:lang w:val="lt-LT"/>
        </w:rPr>
      </w:pPr>
    </w:p>
    <w:p w14:paraId="79CAEDA0" w14:textId="77777777" w:rsidR="00501B36" w:rsidRPr="003F6BC7" w:rsidRDefault="00501B36" w:rsidP="00501B36">
      <w:pPr>
        <w:rPr>
          <w:u w:val="single"/>
          <w:lang w:val="lt-LT"/>
        </w:rPr>
      </w:pPr>
      <w:r w:rsidRPr="003F6BC7">
        <w:rPr>
          <w:u w:val="single"/>
          <w:lang w:val="lt-LT"/>
        </w:rPr>
        <w:t xml:space="preserve">Galima sąveika, sukelianti poveikį </w:t>
      </w:r>
      <w:proofErr w:type="spellStart"/>
      <w:r w:rsidRPr="003F6BC7">
        <w:rPr>
          <w:u w:val="single"/>
          <w:lang w:val="lt-LT"/>
        </w:rPr>
        <w:t>agomelatinui</w:t>
      </w:r>
      <w:proofErr w:type="spellEnd"/>
    </w:p>
    <w:p w14:paraId="790B1858" w14:textId="77777777" w:rsidR="00501B36" w:rsidRPr="003F6BC7" w:rsidRDefault="00501B36" w:rsidP="00501B36">
      <w:pPr>
        <w:rPr>
          <w:lang w:val="lt-LT"/>
        </w:rPr>
      </w:pPr>
      <w:proofErr w:type="spellStart"/>
      <w:r w:rsidRPr="003F6BC7">
        <w:rPr>
          <w:lang w:val="lt-LT"/>
        </w:rPr>
        <w:t>Agomelatiną</w:t>
      </w:r>
      <w:proofErr w:type="spellEnd"/>
      <w:r w:rsidRPr="003F6BC7">
        <w:rPr>
          <w:lang w:val="lt-LT"/>
        </w:rPr>
        <w:t xml:space="preserve"> daugiausia </w:t>
      </w:r>
      <w:proofErr w:type="spellStart"/>
      <w:r w:rsidRPr="003F6BC7">
        <w:rPr>
          <w:lang w:val="lt-LT"/>
        </w:rPr>
        <w:t>metabolizuoja</w:t>
      </w:r>
      <w:proofErr w:type="spellEnd"/>
      <w:r w:rsidRPr="003F6BC7">
        <w:rPr>
          <w:lang w:val="lt-LT"/>
        </w:rPr>
        <w:t xml:space="preserve"> </w:t>
      </w:r>
      <w:proofErr w:type="spellStart"/>
      <w:r w:rsidRPr="003F6BC7">
        <w:rPr>
          <w:lang w:val="lt-LT"/>
        </w:rPr>
        <w:t>citochromo</w:t>
      </w:r>
      <w:proofErr w:type="spellEnd"/>
      <w:r w:rsidRPr="003F6BC7">
        <w:rPr>
          <w:lang w:val="lt-LT"/>
        </w:rPr>
        <w:t xml:space="preserve"> P450 </w:t>
      </w:r>
      <w:proofErr w:type="spellStart"/>
      <w:r w:rsidRPr="003F6BC7">
        <w:rPr>
          <w:lang w:val="lt-LT"/>
        </w:rPr>
        <w:t>izofermentai</w:t>
      </w:r>
      <w:proofErr w:type="spellEnd"/>
      <w:r w:rsidRPr="003F6BC7">
        <w:rPr>
          <w:lang w:val="lt-LT"/>
        </w:rPr>
        <w:t xml:space="preserve"> 1A2 (CYP1A2) (90%) ir CYP2C9/19 (10%). Vaistiniai preparatai, kuriems būdinga sąveika su šiais </w:t>
      </w:r>
      <w:proofErr w:type="spellStart"/>
      <w:r w:rsidRPr="003F6BC7">
        <w:rPr>
          <w:lang w:val="lt-LT"/>
        </w:rPr>
        <w:t>izofermentais</w:t>
      </w:r>
      <w:proofErr w:type="spellEnd"/>
      <w:r w:rsidRPr="003F6BC7">
        <w:rPr>
          <w:lang w:val="lt-LT"/>
        </w:rPr>
        <w:t xml:space="preserve">, gali mažinti ar didinti </w:t>
      </w:r>
      <w:proofErr w:type="spellStart"/>
      <w:r w:rsidRPr="003F6BC7">
        <w:rPr>
          <w:lang w:val="lt-LT"/>
        </w:rPr>
        <w:t>agomelatino</w:t>
      </w:r>
      <w:proofErr w:type="spellEnd"/>
      <w:r w:rsidRPr="003F6BC7">
        <w:rPr>
          <w:lang w:val="lt-LT"/>
        </w:rPr>
        <w:t xml:space="preserve"> biologinį prieinamumą.</w:t>
      </w:r>
    </w:p>
    <w:p w14:paraId="39B1E6AC" w14:textId="77777777" w:rsidR="00501B36" w:rsidRPr="003F6BC7" w:rsidRDefault="00501B36" w:rsidP="00501B36">
      <w:pPr>
        <w:rPr>
          <w:lang w:val="lt-LT"/>
        </w:rPr>
      </w:pPr>
    </w:p>
    <w:p w14:paraId="78EB3451" w14:textId="77777777" w:rsidR="00501B36" w:rsidRPr="003F6BC7" w:rsidRDefault="00501B36" w:rsidP="00501B36">
      <w:pPr>
        <w:rPr>
          <w:lang w:val="lt-LT"/>
        </w:rPr>
      </w:pPr>
      <w:proofErr w:type="spellStart"/>
      <w:r w:rsidRPr="003F6BC7">
        <w:rPr>
          <w:lang w:val="lt-LT"/>
        </w:rPr>
        <w:t>Agomelatino</w:t>
      </w:r>
      <w:proofErr w:type="spellEnd"/>
      <w:r w:rsidRPr="003F6BC7">
        <w:rPr>
          <w:lang w:val="lt-LT"/>
        </w:rPr>
        <w:t xml:space="preserve"> metabolizmą reikšmingai slopina </w:t>
      </w:r>
      <w:proofErr w:type="spellStart"/>
      <w:r w:rsidRPr="003F6BC7">
        <w:rPr>
          <w:lang w:val="lt-LT"/>
        </w:rPr>
        <w:t>fluvoksaminas</w:t>
      </w:r>
      <w:proofErr w:type="spellEnd"/>
      <w:r w:rsidRPr="003F6BC7">
        <w:rPr>
          <w:lang w:val="lt-LT"/>
        </w:rPr>
        <w:t xml:space="preserve">, kuris yra stiprus CYP1A2 inhibitorius ir vidutinio stiprumo CYP2C9 inhibitorius, dėl to 60 kartų (ribos 12-412) padidėja </w:t>
      </w:r>
      <w:proofErr w:type="spellStart"/>
      <w:r w:rsidRPr="003F6BC7">
        <w:rPr>
          <w:lang w:val="lt-LT"/>
        </w:rPr>
        <w:t>agomelatino</w:t>
      </w:r>
      <w:proofErr w:type="spellEnd"/>
      <w:r w:rsidRPr="003F6BC7">
        <w:rPr>
          <w:lang w:val="lt-LT"/>
        </w:rPr>
        <w:t xml:space="preserve"> ekspozicija. Dėl šios priežasties </w:t>
      </w:r>
      <w:proofErr w:type="spellStart"/>
      <w:r w:rsidRPr="003F6BC7">
        <w:rPr>
          <w:lang w:val="lt-LT"/>
        </w:rPr>
        <w:t>agomelatino</w:t>
      </w:r>
      <w:proofErr w:type="spellEnd"/>
      <w:r w:rsidRPr="003F6BC7">
        <w:rPr>
          <w:lang w:val="lt-LT"/>
        </w:rPr>
        <w:t xml:space="preserve"> negalima vartoti </w:t>
      </w:r>
      <w:r w:rsidR="002071E3" w:rsidRPr="003F6BC7">
        <w:rPr>
          <w:lang w:val="lt-LT"/>
        </w:rPr>
        <w:t>derinyje su</w:t>
      </w:r>
      <w:r w:rsidRPr="003F6BC7">
        <w:rPr>
          <w:lang w:val="lt-LT"/>
        </w:rPr>
        <w:t xml:space="preserve"> stipriais CYP1A2 inhibitoriais (pvz., </w:t>
      </w:r>
      <w:proofErr w:type="spellStart"/>
      <w:r w:rsidRPr="003F6BC7">
        <w:rPr>
          <w:lang w:val="lt-LT"/>
        </w:rPr>
        <w:t>fluvoksaminu</w:t>
      </w:r>
      <w:proofErr w:type="spellEnd"/>
      <w:r w:rsidRPr="003F6BC7">
        <w:rPr>
          <w:lang w:val="lt-LT"/>
        </w:rPr>
        <w:t xml:space="preserve">, </w:t>
      </w:r>
      <w:proofErr w:type="spellStart"/>
      <w:r w:rsidRPr="003F6BC7">
        <w:rPr>
          <w:lang w:val="lt-LT"/>
        </w:rPr>
        <w:t>ciprofloksacinu</w:t>
      </w:r>
      <w:proofErr w:type="spellEnd"/>
      <w:r w:rsidRPr="003F6BC7">
        <w:rPr>
          <w:lang w:val="lt-LT"/>
        </w:rPr>
        <w:t>).</w:t>
      </w:r>
    </w:p>
    <w:p w14:paraId="7242ED7A" w14:textId="77777777" w:rsidR="00501B36" w:rsidRPr="003F6BC7" w:rsidRDefault="00501B36" w:rsidP="00501B36">
      <w:pPr>
        <w:rPr>
          <w:lang w:val="lt-LT"/>
        </w:rPr>
      </w:pPr>
    </w:p>
    <w:p w14:paraId="0C9D4A73" w14:textId="05EC8E95" w:rsidR="00501B36" w:rsidRPr="003F6BC7" w:rsidRDefault="00501B36" w:rsidP="00501B36">
      <w:pPr>
        <w:rPr>
          <w:lang w:val="lt-LT"/>
        </w:rPr>
      </w:pPr>
      <w:proofErr w:type="spellStart"/>
      <w:r w:rsidRPr="003F6BC7">
        <w:rPr>
          <w:lang w:val="lt-LT"/>
        </w:rPr>
        <w:t>Agomelatiną</w:t>
      </w:r>
      <w:proofErr w:type="spellEnd"/>
      <w:r w:rsidRPr="003F6BC7">
        <w:rPr>
          <w:lang w:val="lt-LT"/>
        </w:rPr>
        <w:t xml:space="preserve"> vartojant </w:t>
      </w:r>
      <w:r w:rsidR="002071E3" w:rsidRPr="003F6BC7">
        <w:rPr>
          <w:lang w:val="lt-LT"/>
        </w:rPr>
        <w:t>derinyje</w:t>
      </w:r>
      <w:r w:rsidRPr="003F6BC7">
        <w:rPr>
          <w:lang w:val="lt-LT"/>
        </w:rPr>
        <w:t xml:space="preserve"> su estrogenais (vidutinio stiprumo CYP1A2 inhibitoriais), </w:t>
      </w:r>
      <w:proofErr w:type="spellStart"/>
      <w:r w:rsidRPr="003F6BC7">
        <w:rPr>
          <w:lang w:val="lt-LT"/>
        </w:rPr>
        <w:t>agomelatino</w:t>
      </w:r>
      <w:proofErr w:type="spellEnd"/>
      <w:r w:rsidRPr="003F6BC7">
        <w:rPr>
          <w:lang w:val="lt-LT"/>
        </w:rPr>
        <w:t xml:space="preserve"> ekspozicija padidėja keletą kartų. </w:t>
      </w:r>
      <w:proofErr w:type="spellStart"/>
      <w:r w:rsidRPr="003F6BC7">
        <w:rPr>
          <w:lang w:val="lt-LT"/>
        </w:rPr>
        <w:t>Agomelatino</w:t>
      </w:r>
      <w:proofErr w:type="spellEnd"/>
      <w:r w:rsidRPr="003F6BC7">
        <w:rPr>
          <w:lang w:val="lt-LT"/>
        </w:rPr>
        <w:t xml:space="preserve"> ir estrogenų deriniu gydant 800 pacientų, specifinių saugumo signalų negauta, vis dėlto </w:t>
      </w:r>
      <w:r w:rsidR="00052845" w:rsidRPr="003F6BC7">
        <w:rPr>
          <w:lang w:val="lt-LT"/>
        </w:rPr>
        <w:t xml:space="preserve">būtina atsargiai </w:t>
      </w:r>
      <w:r w:rsidRPr="003F6BC7">
        <w:rPr>
          <w:lang w:val="lt-LT"/>
        </w:rPr>
        <w:t xml:space="preserve">skirti vartoti </w:t>
      </w:r>
      <w:proofErr w:type="spellStart"/>
      <w:r w:rsidR="00052845" w:rsidRPr="003F6BC7">
        <w:rPr>
          <w:lang w:val="lt-LT"/>
        </w:rPr>
        <w:t>agomelatin</w:t>
      </w:r>
      <w:r w:rsidR="00052845">
        <w:rPr>
          <w:lang w:val="lt-LT"/>
        </w:rPr>
        <w:t>ą</w:t>
      </w:r>
      <w:proofErr w:type="spellEnd"/>
      <w:r w:rsidR="00052845" w:rsidRPr="003F6BC7">
        <w:rPr>
          <w:lang w:val="lt-LT"/>
        </w:rPr>
        <w:t xml:space="preserve"> </w:t>
      </w:r>
      <w:r w:rsidR="002071E3" w:rsidRPr="003F6BC7">
        <w:rPr>
          <w:lang w:val="lt-LT"/>
        </w:rPr>
        <w:t>derinyje</w:t>
      </w:r>
      <w:r w:rsidRPr="003F6BC7">
        <w:rPr>
          <w:lang w:val="lt-LT"/>
        </w:rPr>
        <w:t xml:space="preserve"> su kitais vidutinio stiprumo CYP1A2 inhibitoriais (pvz., </w:t>
      </w:r>
      <w:proofErr w:type="spellStart"/>
      <w:r w:rsidRPr="003F6BC7">
        <w:rPr>
          <w:lang w:val="lt-LT"/>
        </w:rPr>
        <w:t>propranololiu</w:t>
      </w:r>
      <w:proofErr w:type="spellEnd"/>
      <w:r w:rsidRPr="003F6BC7">
        <w:rPr>
          <w:lang w:val="lt-LT"/>
        </w:rPr>
        <w:t xml:space="preserve">, </w:t>
      </w:r>
      <w:proofErr w:type="spellStart"/>
      <w:r w:rsidRPr="003F6BC7">
        <w:rPr>
          <w:lang w:val="lt-LT"/>
        </w:rPr>
        <w:t>enoksacinu</w:t>
      </w:r>
      <w:proofErr w:type="spellEnd"/>
      <w:r w:rsidRPr="003F6BC7">
        <w:rPr>
          <w:lang w:val="lt-LT"/>
        </w:rPr>
        <w:t>), kol nebus įgyta daugiau patirties (žr. 4.4 skyrių).</w:t>
      </w:r>
    </w:p>
    <w:p w14:paraId="093DCB43" w14:textId="77777777" w:rsidR="00501B36" w:rsidRPr="003F6BC7" w:rsidRDefault="00501B36" w:rsidP="00501B36">
      <w:pPr>
        <w:rPr>
          <w:lang w:val="lt-LT"/>
        </w:rPr>
      </w:pPr>
    </w:p>
    <w:p w14:paraId="22AB86A2" w14:textId="77777777" w:rsidR="00501B36" w:rsidRPr="003F6BC7" w:rsidRDefault="00501B36" w:rsidP="00501B36">
      <w:pPr>
        <w:rPr>
          <w:lang w:val="lt-LT"/>
        </w:rPr>
      </w:pPr>
      <w:proofErr w:type="spellStart"/>
      <w:r w:rsidRPr="003F6BC7">
        <w:rPr>
          <w:lang w:val="lt-LT"/>
        </w:rPr>
        <w:t>Rifampicinas</w:t>
      </w:r>
      <w:proofErr w:type="spellEnd"/>
      <w:r w:rsidRPr="003F6BC7">
        <w:rPr>
          <w:lang w:val="lt-LT"/>
        </w:rPr>
        <w:t xml:space="preserve"> (visų trijų </w:t>
      </w:r>
      <w:proofErr w:type="spellStart"/>
      <w:r w:rsidRPr="003F6BC7">
        <w:rPr>
          <w:lang w:val="lt-LT"/>
        </w:rPr>
        <w:t>citochromų</w:t>
      </w:r>
      <w:proofErr w:type="spellEnd"/>
      <w:r w:rsidRPr="003F6BC7">
        <w:rPr>
          <w:lang w:val="lt-LT"/>
        </w:rPr>
        <w:t xml:space="preserve">, kurie dalyvauja </w:t>
      </w:r>
      <w:proofErr w:type="spellStart"/>
      <w:r w:rsidRPr="003F6BC7">
        <w:rPr>
          <w:lang w:val="lt-LT"/>
        </w:rPr>
        <w:t>agomelatino</w:t>
      </w:r>
      <w:proofErr w:type="spellEnd"/>
      <w:r w:rsidRPr="003F6BC7">
        <w:rPr>
          <w:lang w:val="lt-LT"/>
        </w:rPr>
        <w:t xml:space="preserve"> metabolizme, </w:t>
      </w:r>
      <w:proofErr w:type="spellStart"/>
      <w:r w:rsidRPr="003F6BC7">
        <w:rPr>
          <w:lang w:val="lt-LT"/>
        </w:rPr>
        <w:t>induktorius</w:t>
      </w:r>
      <w:proofErr w:type="spellEnd"/>
      <w:r w:rsidRPr="003F6BC7">
        <w:rPr>
          <w:lang w:val="lt-LT"/>
        </w:rPr>
        <w:t xml:space="preserve">) gali sumažinti </w:t>
      </w:r>
      <w:proofErr w:type="spellStart"/>
      <w:r w:rsidRPr="003F6BC7">
        <w:rPr>
          <w:lang w:val="lt-LT"/>
        </w:rPr>
        <w:t>agomelatino</w:t>
      </w:r>
      <w:proofErr w:type="spellEnd"/>
      <w:r w:rsidRPr="003F6BC7">
        <w:rPr>
          <w:lang w:val="lt-LT"/>
        </w:rPr>
        <w:t xml:space="preserve"> biologinį prieinamumą.</w:t>
      </w:r>
    </w:p>
    <w:p w14:paraId="2958BEA8" w14:textId="77777777" w:rsidR="002071E3" w:rsidRPr="003F6BC7" w:rsidRDefault="002071E3" w:rsidP="00501B36">
      <w:pPr>
        <w:rPr>
          <w:lang w:val="lt-LT"/>
        </w:rPr>
      </w:pPr>
    </w:p>
    <w:p w14:paraId="4C9709A6" w14:textId="216B04FF" w:rsidR="00501B36" w:rsidRPr="003F6BC7" w:rsidRDefault="00501B36" w:rsidP="00501B36">
      <w:pPr>
        <w:rPr>
          <w:lang w:val="lt-LT"/>
        </w:rPr>
      </w:pPr>
      <w:r w:rsidRPr="003F6BC7">
        <w:rPr>
          <w:lang w:val="lt-LT"/>
        </w:rPr>
        <w:t xml:space="preserve">Rūkymas sužadina CYP1A2, be to, nustatyta, kad rūkymas mažina </w:t>
      </w:r>
      <w:proofErr w:type="spellStart"/>
      <w:r w:rsidRPr="003F6BC7">
        <w:rPr>
          <w:lang w:val="lt-LT"/>
        </w:rPr>
        <w:t>agomelatino</w:t>
      </w:r>
      <w:proofErr w:type="spellEnd"/>
      <w:r w:rsidRPr="003F6BC7">
        <w:rPr>
          <w:lang w:val="lt-LT"/>
        </w:rPr>
        <w:t xml:space="preserve"> biologinį prieinamumą, ypač daug (≥ 15 cigarečių per parą) rūkantiems žmonėms (žr. 5.2 skyrių).</w:t>
      </w:r>
    </w:p>
    <w:p w14:paraId="5959FE3E" w14:textId="77777777" w:rsidR="00501B36" w:rsidRPr="003F6BC7" w:rsidRDefault="00501B36" w:rsidP="00501B36">
      <w:pPr>
        <w:rPr>
          <w:lang w:val="lt-LT"/>
        </w:rPr>
      </w:pPr>
    </w:p>
    <w:p w14:paraId="6C7B81AA" w14:textId="77777777" w:rsidR="00501B36" w:rsidRPr="003F6BC7" w:rsidRDefault="00501B36" w:rsidP="00501B36">
      <w:pPr>
        <w:rPr>
          <w:u w:val="single"/>
          <w:lang w:val="lt-LT"/>
        </w:rPr>
      </w:pPr>
      <w:r w:rsidRPr="003F6BC7">
        <w:rPr>
          <w:u w:val="single"/>
          <w:lang w:val="lt-LT"/>
        </w:rPr>
        <w:t xml:space="preserve">Galimas </w:t>
      </w:r>
      <w:proofErr w:type="spellStart"/>
      <w:r w:rsidRPr="003F6BC7">
        <w:rPr>
          <w:u w:val="single"/>
          <w:lang w:val="lt-LT"/>
        </w:rPr>
        <w:t>agomelatino</w:t>
      </w:r>
      <w:proofErr w:type="spellEnd"/>
      <w:r w:rsidRPr="003F6BC7">
        <w:rPr>
          <w:u w:val="single"/>
          <w:lang w:val="lt-LT"/>
        </w:rPr>
        <w:t xml:space="preserve"> poveikis kitiems vaistiniams preparatams</w:t>
      </w:r>
    </w:p>
    <w:p w14:paraId="592A3B3C" w14:textId="77777777" w:rsidR="00501B36" w:rsidRPr="003F6BC7" w:rsidRDefault="00501B36" w:rsidP="00501B36">
      <w:pPr>
        <w:rPr>
          <w:lang w:val="lt-LT"/>
        </w:rPr>
      </w:pPr>
      <w:proofErr w:type="spellStart"/>
      <w:r w:rsidRPr="003F6BC7">
        <w:rPr>
          <w:lang w:val="lt-LT"/>
        </w:rPr>
        <w:t>Agomelatinas</w:t>
      </w:r>
      <w:proofErr w:type="spellEnd"/>
      <w:r w:rsidRPr="003F6BC7">
        <w:rPr>
          <w:lang w:val="lt-LT"/>
        </w:rPr>
        <w:t xml:space="preserve"> </w:t>
      </w:r>
      <w:proofErr w:type="spellStart"/>
      <w:r w:rsidRPr="003F6BC7">
        <w:rPr>
          <w:i/>
          <w:lang w:val="lt-LT"/>
        </w:rPr>
        <w:t>in</w:t>
      </w:r>
      <w:proofErr w:type="spellEnd"/>
      <w:r w:rsidRPr="003F6BC7">
        <w:rPr>
          <w:i/>
          <w:lang w:val="lt-LT"/>
        </w:rPr>
        <w:t xml:space="preserve"> </w:t>
      </w:r>
      <w:proofErr w:type="spellStart"/>
      <w:r w:rsidRPr="003F6BC7">
        <w:rPr>
          <w:i/>
          <w:lang w:val="lt-LT"/>
        </w:rPr>
        <w:t>vivo</w:t>
      </w:r>
      <w:proofErr w:type="spellEnd"/>
      <w:r w:rsidRPr="003F6BC7">
        <w:rPr>
          <w:lang w:val="lt-LT"/>
        </w:rPr>
        <w:t xml:space="preserve"> nesužadina CYP450 </w:t>
      </w:r>
      <w:proofErr w:type="spellStart"/>
      <w:r w:rsidRPr="003F6BC7">
        <w:rPr>
          <w:lang w:val="lt-LT"/>
        </w:rPr>
        <w:t>izofermentų</w:t>
      </w:r>
      <w:proofErr w:type="spellEnd"/>
      <w:r w:rsidRPr="003F6BC7">
        <w:rPr>
          <w:lang w:val="lt-LT"/>
        </w:rPr>
        <w:t xml:space="preserve">. </w:t>
      </w:r>
      <w:proofErr w:type="spellStart"/>
      <w:r w:rsidRPr="003F6BC7">
        <w:rPr>
          <w:lang w:val="lt-LT"/>
        </w:rPr>
        <w:t>Agomelatinas</w:t>
      </w:r>
      <w:proofErr w:type="spellEnd"/>
      <w:r w:rsidRPr="003F6BC7">
        <w:rPr>
          <w:lang w:val="lt-LT"/>
        </w:rPr>
        <w:t xml:space="preserve"> neslopina nei CYP1A2 </w:t>
      </w:r>
      <w:proofErr w:type="spellStart"/>
      <w:r w:rsidRPr="003F6BC7">
        <w:rPr>
          <w:i/>
          <w:lang w:val="lt-LT"/>
        </w:rPr>
        <w:t>in</w:t>
      </w:r>
      <w:proofErr w:type="spellEnd"/>
      <w:r w:rsidRPr="003F6BC7">
        <w:rPr>
          <w:i/>
          <w:lang w:val="lt-LT"/>
        </w:rPr>
        <w:t xml:space="preserve"> </w:t>
      </w:r>
      <w:proofErr w:type="spellStart"/>
      <w:r w:rsidRPr="003F6BC7">
        <w:rPr>
          <w:i/>
          <w:lang w:val="lt-LT"/>
        </w:rPr>
        <w:t>vivo</w:t>
      </w:r>
      <w:proofErr w:type="spellEnd"/>
      <w:r w:rsidRPr="003F6BC7">
        <w:rPr>
          <w:lang w:val="lt-LT"/>
        </w:rPr>
        <w:t xml:space="preserve">, nei kitų CYP450 </w:t>
      </w:r>
      <w:proofErr w:type="spellStart"/>
      <w:r w:rsidRPr="003F6BC7">
        <w:rPr>
          <w:i/>
          <w:lang w:val="lt-LT"/>
        </w:rPr>
        <w:t>in</w:t>
      </w:r>
      <w:proofErr w:type="spellEnd"/>
      <w:r w:rsidRPr="003F6BC7">
        <w:rPr>
          <w:i/>
          <w:lang w:val="lt-LT"/>
        </w:rPr>
        <w:t xml:space="preserve"> </w:t>
      </w:r>
      <w:proofErr w:type="spellStart"/>
      <w:r w:rsidRPr="003F6BC7">
        <w:rPr>
          <w:i/>
          <w:lang w:val="lt-LT"/>
        </w:rPr>
        <w:t>vitro</w:t>
      </w:r>
      <w:proofErr w:type="spellEnd"/>
      <w:r w:rsidRPr="003F6BC7">
        <w:rPr>
          <w:lang w:val="lt-LT"/>
        </w:rPr>
        <w:t xml:space="preserve">. Taigi, </w:t>
      </w:r>
      <w:proofErr w:type="spellStart"/>
      <w:r w:rsidRPr="003F6BC7">
        <w:rPr>
          <w:lang w:val="lt-LT"/>
        </w:rPr>
        <w:t>agomelatinas</w:t>
      </w:r>
      <w:proofErr w:type="spellEnd"/>
      <w:r w:rsidRPr="003F6BC7">
        <w:rPr>
          <w:lang w:val="lt-LT"/>
        </w:rPr>
        <w:t xml:space="preserve"> nekeičia vaistinių preparatų, </w:t>
      </w:r>
      <w:proofErr w:type="spellStart"/>
      <w:r w:rsidRPr="003F6BC7">
        <w:rPr>
          <w:lang w:val="lt-LT"/>
        </w:rPr>
        <w:t>metabolizuojamų</w:t>
      </w:r>
      <w:proofErr w:type="spellEnd"/>
      <w:r w:rsidRPr="003F6BC7">
        <w:rPr>
          <w:lang w:val="lt-LT"/>
        </w:rPr>
        <w:t xml:space="preserve"> CYP 450, ekspozicijos.</w:t>
      </w:r>
    </w:p>
    <w:p w14:paraId="442F5CF7" w14:textId="77777777" w:rsidR="00501B36" w:rsidRPr="003F6BC7" w:rsidRDefault="00501B36" w:rsidP="00501B36">
      <w:pPr>
        <w:rPr>
          <w:lang w:val="lt-LT"/>
        </w:rPr>
      </w:pPr>
    </w:p>
    <w:p w14:paraId="680E4658" w14:textId="77777777" w:rsidR="00501B36" w:rsidRPr="003F6BC7" w:rsidRDefault="00501B36" w:rsidP="00501B36">
      <w:pPr>
        <w:rPr>
          <w:u w:val="single"/>
          <w:lang w:val="lt-LT"/>
        </w:rPr>
      </w:pPr>
      <w:r w:rsidRPr="003F6BC7">
        <w:rPr>
          <w:u w:val="single"/>
          <w:lang w:val="lt-LT"/>
        </w:rPr>
        <w:t>Kiti vaistiniai preparatai</w:t>
      </w:r>
    </w:p>
    <w:p w14:paraId="06AD9D47" w14:textId="5F26A758" w:rsidR="00501B36" w:rsidRPr="003F6BC7" w:rsidRDefault="00501B36" w:rsidP="00501B36">
      <w:pPr>
        <w:rPr>
          <w:lang w:val="lt-LT"/>
        </w:rPr>
      </w:pPr>
      <w:r w:rsidRPr="003F6BC7">
        <w:rPr>
          <w:lang w:val="lt-LT"/>
        </w:rPr>
        <w:t xml:space="preserve">I fazės klinikinių tyrimų metu tikslinėje populiacijoje nebuvo pastebėta </w:t>
      </w:r>
      <w:proofErr w:type="spellStart"/>
      <w:r w:rsidRPr="003F6BC7">
        <w:rPr>
          <w:lang w:val="lt-LT"/>
        </w:rPr>
        <w:t>farmakokinetinės</w:t>
      </w:r>
      <w:proofErr w:type="spellEnd"/>
      <w:r w:rsidRPr="003F6BC7">
        <w:rPr>
          <w:lang w:val="lt-LT"/>
        </w:rPr>
        <w:t xml:space="preserve"> ar </w:t>
      </w:r>
      <w:proofErr w:type="spellStart"/>
      <w:r w:rsidRPr="003F6BC7">
        <w:rPr>
          <w:lang w:val="lt-LT"/>
        </w:rPr>
        <w:t>farmakodinaminės</w:t>
      </w:r>
      <w:proofErr w:type="spellEnd"/>
      <w:r w:rsidRPr="003F6BC7">
        <w:rPr>
          <w:lang w:val="lt-LT"/>
        </w:rPr>
        <w:t xml:space="preserve"> sąveikos su šiais vaistiniais preparatais, kurių gali būti </w:t>
      </w:r>
      <w:r w:rsidR="00166143">
        <w:rPr>
          <w:lang w:val="lt-LT"/>
        </w:rPr>
        <w:t>paskirta</w:t>
      </w:r>
      <w:r w:rsidR="00166143" w:rsidRPr="003F6BC7">
        <w:rPr>
          <w:lang w:val="lt-LT"/>
        </w:rPr>
        <w:t xml:space="preserve"> </w:t>
      </w:r>
      <w:r w:rsidR="002071E3" w:rsidRPr="003F6BC7">
        <w:rPr>
          <w:lang w:val="lt-LT"/>
        </w:rPr>
        <w:t>derinyje</w:t>
      </w:r>
      <w:r w:rsidRPr="003F6BC7">
        <w:rPr>
          <w:lang w:val="lt-LT"/>
        </w:rPr>
        <w:t xml:space="preserve"> su </w:t>
      </w:r>
      <w:proofErr w:type="spellStart"/>
      <w:r w:rsidRPr="003F6BC7">
        <w:rPr>
          <w:lang w:val="lt-LT"/>
        </w:rPr>
        <w:t>agomelatinu</w:t>
      </w:r>
      <w:proofErr w:type="spellEnd"/>
      <w:r w:rsidRPr="003F6BC7">
        <w:rPr>
          <w:lang w:val="lt-LT"/>
        </w:rPr>
        <w:t xml:space="preserve">: benzodiazepinais, ličiu, </w:t>
      </w:r>
      <w:proofErr w:type="spellStart"/>
      <w:r w:rsidRPr="003F6BC7">
        <w:rPr>
          <w:lang w:val="lt-LT"/>
        </w:rPr>
        <w:t>paroksetinu</w:t>
      </w:r>
      <w:proofErr w:type="spellEnd"/>
      <w:r w:rsidRPr="003F6BC7">
        <w:rPr>
          <w:lang w:val="lt-LT"/>
        </w:rPr>
        <w:t xml:space="preserve">, </w:t>
      </w:r>
      <w:proofErr w:type="spellStart"/>
      <w:r w:rsidRPr="003F6BC7">
        <w:rPr>
          <w:lang w:val="lt-LT"/>
        </w:rPr>
        <w:t>flukonazolu</w:t>
      </w:r>
      <w:proofErr w:type="spellEnd"/>
      <w:r w:rsidRPr="003F6BC7">
        <w:rPr>
          <w:lang w:val="lt-LT"/>
        </w:rPr>
        <w:t xml:space="preserve"> ir </w:t>
      </w:r>
      <w:proofErr w:type="spellStart"/>
      <w:r w:rsidRPr="003F6BC7">
        <w:rPr>
          <w:lang w:val="lt-LT"/>
        </w:rPr>
        <w:t>teofilinu</w:t>
      </w:r>
      <w:proofErr w:type="spellEnd"/>
      <w:r w:rsidRPr="003F6BC7">
        <w:rPr>
          <w:lang w:val="lt-LT"/>
        </w:rPr>
        <w:t>.</w:t>
      </w:r>
    </w:p>
    <w:p w14:paraId="4D775135" w14:textId="77777777" w:rsidR="00501B36" w:rsidRPr="003F6BC7" w:rsidRDefault="00501B36" w:rsidP="00501B36">
      <w:pPr>
        <w:rPr>
          <w:lang w:val="lt-LT"/>
        </w:rPr>
      </w:pPr>
    </w:p>
    <w:p w14:paraId="757342BB" w14:textId="77777777" w:rsidR="00501B36" w:rsidRPr="003F6BC7" w:rsidRDefault="00501B36" w:rsidP="00524CFE">
      <w:pPr>
        <w:keepNext/>
        <w:widowControl/>
        <w:rPr>
          <w:u w:val="single"/>
          <w:lang w:val="lt-LT"/>
        </w:rPr>
      </w:pPr>
      <w:r w:rsidRPr="003F6BC7">
        <w:rPr>
          <w:u w:val="single"/>
          <w:lang w:val="lt-LT"/>
        </w:rPr>
        <w:t>Alkoholis</w:t>
      </w:r>
    </w:p>
    <w:p w14:paraId="61D3F006" w14:textId="77777777" w:rsidR="00501B36" w:rsidRPr="003F6BC7" w:rsidRDefault="002071E3" w:rsidP="00501B36">
      <w:pPr>
        <w:rPr>
          <w:lang w:val="lt-LT"/>
        </w:rPr>
      </w:pPr>
      <w:proofErr w:type="spellStart"/>
      <w:r w:rsidRPr="003F6BC7">
        <w:rPr>
          <w:lang w:val="lt-LT"/>
        </w:rPr>
        <w:t>Zilbea</w:t>
      </w:r>
      <w:proofErr w:type="spellEnd"/>
      <w:r w:rsidR="00501B36" w:rsidRPr="003F6BC7">
        <w:rPr>
          <w:lang w:val="lt-LT"/>
        </w:rPr>
        <w:t xml:space="preserve"> ir alkoholio derinys yra nerekomenduojamas.</w:t>
      </w:r>
    </w:p>
    <w:p w14:paraId="1AAC0C32" w14:textId="77777777" w:rsidR="00501B36" w:rsidRPr="003F6BC7" w:rsidRDefault="00501B36" w:rsidP="00501B36">
      <w:pPr>
        <w:rPr>
          <w:lang w:val="lt-LT"/>
        </w:rPr>
      </w:pPr>
    </w:p>
    <w:p w14:paraId="555C90DC" w14:textId="77777777" w:rsidR="00501B36" w:rsidRPr="003F6BC7" w:rsidRDefault="00501B36" w:rsidP="00501B36">
      <w:pPr>
        <w:rPr>
          <w:u w:val="single"/>
          <w:lang w:val="lt-LT"/>
        </w:rPr>
      </w:pPr>
      <w:proofErr w:type="spellStart"/>
      <w:r w:rsidRPr="003F6BC7">
        <w:rPr>
          <w:u w:val="single"/>
          <w:lang w:val="lt-LT"/>
        </w:rPr>
        <w:t>Elektrokonvulsinė</w:t>
      </w:r>
      <w:proofErr w:type="spellEnd"/>
      <w:r w:rsidRPr="003F6BC7">
        <w:rPr>
          <w:u w:val="single"/>
          <w:lang w:val="lt-LT"/>
        </w:rPr>
        <w:t xml:space="preserve"> terapija (EKT)</w:t>
      </w:r>
    </w:p>
    <w:p w14:paraId="5B2E38B0" w14:textId="77777777" w:rsidR="00501B36" w:rsidRPr="003F6BC7" w:rsidRDefault="00501B36" w:rsidP="00501B36">
      <w:pPr>
        <w:rPr>
          <w:lang w:val="lt-LT"/>
        </w:rPr>
      </w:pPr>
      <w:proofErr w:type="spellStart"/>
      <w:r w:rsidRPr="003F6BC7">
        <w:rPr>
          <w:lang w:val="lt-LT"/>
        </w:rPr>
        <w:t>Agomelatino</w:t>
      </w:r>
      <w:proofErr w:type="spellEnd"/>
      <w:r w:rsidRPr="003F6BC7">
        <w:rPr>
          <w:lang w:val="lt-LT"/>
        </w:rPr>
        <w:t xml:space="preserve"> vartojimo kartu taikant EKT patirties nėra. Tyrimų su gyvūnais metu nenustatyta traukulius sukeliančių savybių (žr. 5.3 skyrių). Dėl to gydymo EKT </w:t>
      </w:r>
      <w:r w:rsidR="002071E3" w:rsidRPr="003F6BC7">
        <w:rPr>
          <w:lang w:val="lt-LT"/>
        </w:rPr>
        <w:t>derinyje</w:t>
      </w:r>
      <w:r w:rsidRPr="003F6BC7">
        <w:rPr>
          <w:lang w:val="lt-LT"/>
        </w:rPr>
        <w:t xml:space="preserve"> su </w:t>
      </w:r>
      <w:proofErr w:type="spellStart"/>
      <w:r w:rsidRPr="003F6BC7">
        <w:rPr>
          <w:lang w:val="lt-LT"/>
        </w:rPr>
        <w:t>agomelatinu</w:t>
      </w:r>
      <w:proofErr w:type="spellEnd"/>
      <w:r w:rsidRPr="003F6BC7">
        <w:rPr>
          <w:lang w:val="lt-LT"/>
        </w:rPr>
        <w:t xml:space="preserve"> klinikinės pasekmės nėra laikomis tikėtinomis.</w:t>
      </w:r>
    </w:p>
    <w:p w14:paraId="17419FF1" w14:textId="77777777" w:rsidR="00501B36" w:rsidRPr="003F6BC7" w:rsidRDefault="00501B36" w:rsidP="00501B36">
      <w:pPr>
        <w:rPr>
          <w:lang w:val="lt-LT"/>
        </w:rPr>
      </w:pPr>
    </w:p>
    <w:p w14:paraId="4BA19886" w14:textId="77777777" w:rsidR="00501B36" w:rsidRPr="003F6BC7" w:rsidRDefault="00501B36" w:rsidP="00501B36">
      <w:pPr>
        <w:rPr>
          <w:u w:val="single"/>
          <w:lang w:val="lt-LT"/>
        </w:rPr>
      </w:pPr>
      <w:r w:rsidRPr="003F6BC7">
        <w:rPr>
          <w:u w:val="single"/>
          <w:lang w:val="lt-LT"/>
        </w:rPr>
        <w:t>Vaikų populiacija</w:t>
      </w:r>
    </w:p>
    <w:p w14:paraId="11651A75" w14:textId="77777777" w:rsidR="00501B36" w:rsidRPr="003F6BC7" w:rsidRDefault="00501B36" w:rsidP="00501B36">
      <w:pPr>
        <w:rPr>
          <w:lang w:val="lt-LT"/>
        </w:rPr>
      </w:pPr>
      <w:r w:rsidRPr="003F6BC7">
        <w:rPr>
          <w:lang w:val="lt-LT"/>
        </w:rPr>
        <w:t>Sąveikos tyrimai atlikti tik suaugusiesiems.</w:t>
      </w:r>
    </w:p>
    <w:p w14:paraId="6EB4C2CF" w14:textId="77777777" w:rsidR="00501B36" w:rsidRPr="003F6BC7" w:rsidRDefault="00501B36" w:rsidP="00501B36">
      <w:pPr>
        <w:rPr>
          <w:lang w:val="lt-LT" w:eastAsia="sl-SI"/>
        </w:rPr>
      </w:pPr>
    </w:p>
    <w:p w14:paraId="27A263E8" w14:textId="77777777" w:rsidR="00501B36" w:rsidRPr="003F6BC7" w:rsidRDefault="00501B36" w:rsidP="0090581D">
      <w:pPr>
        <w:ind w:left="567" w:hanging="567"/>
        <w:rPr>
          <w:b/>
          <w:bCs/>
          <w:lang w:val="lt-LT" w:eastAsia="lt-LT"/>
        </w:rPr>
      </w:pPr>
      <w:r w:rsidRPr="003F6BC7">
        <w:rPr>
          <w:b/>
          <w:bCs/>
          <w:lang w:val="lt-LT" w:eastAsia="lt-LT"/>
        </w:rPr>
        <w:t>4.6</w:t>
      </w:r>
      <w:r w:rsidRPr="003F6BC7">
        <w:rPr>
          <w:b/>
          <w:bCs/>
          <w:lang w:val="lt-LT" w:eastAsia="lt-LT"/>
        </w:rPr>
        <w:tab/>
        <w:t>Vaisingumas, nėštumo ir žindymo laikotarpis</w:t>
      </w:r>
    </w:p>
    <w:p w14:paraId="1BDF738E" w14:textId="77777777" w:rsidR="002071E3" w:rsidRPr="003F6BC7" w:rsidRDefault="002071E3" w:rsidP="00501B36">
      <w:pPr>
        <w:rPr>
          <w:b/>
          <w:bCs/>
          <w:lang w:val="lt-LT" w:eastAsia="lt-LT"/>
        </w:rPr>
      </w:pPr>
    </w:p>
    <w:p w14:paraId="6660D1DF" w14:textId="77777777" w:rsidR="002071E3" w:rsidRPr="003F6BC7" w:rsidRDefault="002071E3" w:rsidP="002071E3">
      <w:pPr>
        <w:rPr>
          <w:color w:val="0D0D0D"/>
          <w:u w:val="single"/>
          <w:lang w:val="lt-LT"/>
        </w:rPr>
      </w:pPr>
      <w:r w:rsidRPr="003F6BC7">
        <w:rPr>
          <w:color w:val="0D0D0D"/>
          <w:u w:val="single"/>
          <w:lang w:val="lt-LT"/>
        </w:rPr>
        <w:t>Nėštumas</w:t>
      </w:r>
    </w:p>
    <w:p w14:paraId="2B603633" w14:textId="67835E54" w:rsidR="002071E3" w:rsidRPr="003F6BC7" w:rsidRDefault="002071E3" w:rsidP="002071E3">
      <w:pPr>
        <w:rPr>
          <w:color w:val="0D0D0D"/>
          <w:lang w:val="lt-LT"/>
        </w:rPr>
      </w:pPr>
      <w:r w:rsidRPr="003F6BC7">
        <w:rPr>
          <w:color w:val="0D0D0D"/>
          <w:lang w:val="lt-LT"/>
        </w:rPr>
        <w:t xml:space="preserve">Duomenų apie </w:t>
      </w:r>
      <w:proofErr w:type="spellStart"/>
      <w:r w:rsidRPr="003F6BC7">
        <w:rPr>
          <w:color w:val="0D0D0D"/>
          <w:lang w:val="lt-LT"/>
        </w:rPr>
        <w:t>agomelatino</w:t>
      </w:r>
      <w:proofErr w:type="spellEnd"/>
      <w:r w:rsidRPr="003F6BC7">
        <w:rPr>
          <w:color w:val="0D0D0D"/>
          <w:lang w:val="lt-LT"/>
        </w:rPr>
        <w:t xml:space="preserve"> vartojimą nėštumo metu nėra arba jų yra nedaug (duomenų yra mažiau kaip apie 300 nėštumų baigčių). Tyrimai su gyvūnais tiesioginio ar netiesioginio kenksmingo poveikio </w:t>
      </w:r>
      <w:r w:rsidR="00166143">
        <w:rPr>
          <w:color w:val="0D0D0D"/>
          <w:lang w:val="lt-LT"/>
        </w:rPr>
        <w:t>nėštumui (</w:t>
      </w:r>
      <w:r w:rsidRPr="003F6BC7">
        <w:rPr>
          <w:color w:val="0D0D0D"/>
          <w:lang w:val="lt-LT"/>
        </w:rPr>
        <w:t>vaikingumui</w:t>
      </w:r>
      <w:r w:rsidR="00166143">
        <w:rPr>
          <w:color w:val="0D0D0D"/>
          <w:lang w:val="lt-LT"/>
        </w:rPr>
        <w:t>)</w:t>
      </w:r>
      <w:r w:rsidRPr="003F6BC7">
        <w:rPr>
          <w:color w:val="0D0D0D"/>
          <w:lang w:val="lt-LT"/>
        </w:rPr>
        <w:t xml:space="preserve">, embriono ir vaisiaus vystymuisi, jauniklių atsivedimui ar jų vystymuisi neparodė (žr. 5.3 skyrių). Atsargumo dėlei nėštumo metu </w:t>
      </w:r>
      <w:proofErr w:type="spellStart"/>
      <w:r w:rsidRPr="003F6BC7">
        <w:rPr>
          <w:color w:val="0D0D0D"/>
          <w:lang w:val="lt-LT"/>
        </w:rPr>
        <w:t>Zilbea</w:t>
      </w:r>
      <w:proofErr w:type="spellEnd"/>
      <w:r w:rsidRPr="003F6BC7">
        <w:rPr>
          <w:color w:val="0D0D0D"/>
          <w:lang w:val="lt-LT"/>
        </w:rPr>
        <w:t xml:space="preserve"> geriau nevartoti.</w:t>
      </w:r>
    </w:p>
    <w:p w14:paraId="250C025E" w14:textId="77777777" w:rsidR="002071E3" w:rsidRPr="003F6BC7" w:rsidRDefault="002071E3" w:rsidP="002071E3">
      <w:pPr>
        <w:rPr>
          <w:color w:val="0D0D0D"/>
          <w:lang w:val="lt-LT"/>
        </w:rPr>
      </w:pPr>
    </w:p>
    <w:p w14:paraId="58C3A0B2" w14:textId="77777777" w:rsidR="002071E3" w:rsidRPr="003F6BC7" w:rsidRDefault="002071E3" w:rsidP="002071E3">
      <w:pPr>
        <w:rPr>
          <w:color w:val="0D0D0D"/>
          <w:u w:val="single"/>
          <w:lang w:val="lt-LT"/>
        </w:rPr>
      </w:pPr>
      <w:r w:rsidRPr="003F6BC7">
        <w:rPr>
          <w:color w:val="0D0D0D"/>
          <w:u w:val="single"/>
          <w:lang w:val="lt-LT"/>
        </w:rPr>
        <w:t>Žindymas</w:t>
      </w:r>
    </w:p>
    <w:p w14:paraId="63F8B09E" w14:textId="77777777" w:rsidR="002071E3" w:rsidRPr="003F6BC7" w:rsidRDefault="002071E3" w:rsidP="002071E3">
      <w:pPr>
        <w:rPr>
          <w:color w:val="0D0D0D"/>
          <w:lang w:val="lt-LT"/>
        </w:rPr>
      </w:pPr>
      <w:r w:rsidRPr="003F6BC7">
        <w:rPr>
          <w:color w:val="0D0D0D"/>
          <w:lang w:val="lt-LT"/>
        </w:rPr>
        <w:t xml:space="preserve">Nežinoma, ar </w:t>
      </w:r>
      <w:proofErr w:type="spellStart"/>
      <w:r w:rsidRPr="003F6BC7">
        <w:rPr>
          <w:color w:val="0D0D0D"/>
          <w:lang w:val="lt-LT"/>
        </w:rPr>
        <w:t>agomelatino</w:t>
      </w:r>
      <w:proofErr w:type="spellEnd"/>
      <w:r w:rsidRPr="003F6BC7">
        <w:rPr>
          <w:color w:val="0D0D0D"/>
          <w:lang w:val="lt-LT"/>
        </w:rPr>
        <w:t xml:space="preserve"> ir (arba) jo metabolitų </w:t>
      </w:r>
      <w:r w:rsidRPr="003F6BC7">
        <w:rPr>
          <w:rFonts w:eastAsia="SimSun"/>
          <w:color w:val="000000"/>
          <w:lang w:val="lt-LT" w:eastAsia="zh-CN"/>
        </w:rPr>
        <w:t xml:space="preserve">išsiskiria </w:t>
      </w:r>
      <w:r w:rsidRPr="003F6BC7">
        <w:rPr>
          <w:color w:val="0D0D0D"/>
          <w:lang w:val="lt-LT"/>
        </w:rPr>
        <w:t xml:space="preserve">į motinos pieną. Esami farmakodinamikos ir </w:t>
      </w:r>
      <w:proofErr w:type="spellStart"/>
      <w:r w:rsidRPr="003F6BC7">
        <w:rPr>
          <w:color w:val="0D0D0D"/>
          <w:lang w:val="lt-LT"/>
        </w:rPr>
        <w:t>toksikologinių</w:t>
      </w:r>
      <w:proofErr w:type="spellEnd"/>
      <w:r w:rsidRPr="003F6BC7">
        <w:rPr>
          <w:color w:val="0D0D0D"/>
          <w:lang w:val="lt-LT"/>
        </w:rPr>
        <w:t xml:space="preserve"> tyrimų su gyvūnais duomenys rodo, kad </w:t>
      </w:r>
      <w:proofErr w:type="spellStart"/>
      <w:r w:rsidRPr="003F6BC7">
        <w:rPr>
          <w:color w:val="0D0D0D"/>
          <w:lang w:val="lt-LT"/>
        </w:rPr>
        <w:t>agomelatinas</w:t>
      </w:r>
      <w:proofErr w:type="spellEnd"/>
      <w:r w:rsidRPr="003F6BC7">
        <w:rPr>
          <w:color w:val="0D0D0D"/>
          <w:lang w:val="lt-LT"/>
        </w:rPr>
        <w:t xml:space="preserve"> ir jo metabolitai išsiskiria į gyvūnų pieną (žr. 5.3 skyrių). Pavojaus žindomiems naujagimiams ar kūdikiams negalima atmesti. Atsižvelgiant į žindymo naudą kūdikiui ir gydymo naudą motinai, reikia nuspręsti, ar nutraukti žindymą ar nutraukti ar susilaikyti nuo gydymo </w:t>
      </w:r>
      <w:proofErr w:type="spellStart"/>
      <w:r w:rsidR="00EE7D35" w:rsidRPr="003F6BC7">
        <w:rPr>
          <w:color w:val="0D0D0D"/>
          <w:lang w:val="lt-LT"/>
        </w:rPr>
        <w:t>Zilbea</w:t>
      </w:r>
      <w:proofErr w:type="spellEnd"/>
      <w:r w:rsidRPr="003F6BC7">
        <w:rPr>
          <w:color w:val="0D0D0D"/>
          <w:lang w:val="lt-LT"/>
        </w:rPr>
        <w:t>.</w:t>
      </w:r>
    </w:p>
    <w:p w14:paraId="569C8313" w14:textId="77777777" w:rsidR="002071E3" w:rsidRPr="003F6BC7" w:rsidRDefault="002071E3" w:rsidP="002071E3">
      <w:pPr>
        <w:rPr>
          <w:color w:val="0D0D0D"/>
          <w:lang w:val="lt-LT"/>
        </w:rPr>
      </w:pPr>
    </w:p>
    <w:p w14:paraId="4D5D5C66" w14:textId="77777777" w:rsidR="002071E3" w:rsidRPr="003F6BC7" w:rsidRDefault="002071E3" w:rsidP="002071E3">
      <w:pPr>
        <w:rPr>
          <w:color w:val="0D0D0D"/>
          <w:u w:val="single"/>
          <w:lang w:val="lt-LT"/>
        </w:rPr>
      </w:pPr>
      <w:r w:rsidRPr="003F6BC7">
        <w:rPr>
          <w:color w:val="0D0D0D"/>
          <w:u w:val="single"/>
          <w:lang w:val="lt-LT"/>
        </w:rPr>
        <w:t>Vaisingumas</w:t>
      </w:r>
    </w:p>
    <w:p w14:paraId="11AE8F7F" w14:textId="77777777" w:rsidR="002071E3" w:rsidRPr="003F6BC7" w:rsidRDefault="002071E3" w:rsidP="002071E3">
      <w:pPr>
        <w:rPr>
          <w:lang w:val="lt-LT" w:eastAsia="sl-SI"/>
        </w:rPr>
      </w:pPr>
      <w:r w:rsidRPr="003F6BC7">
        <w:rPr>
          <w:color w:val="0D0D0D"/>
          <w:lang w:val="lt-LT"/>
        </w:rPr>
        <w:t>Poveikio reprodukcijai tyrim</w:t>
      </w:r>
      <w:r w:rsidR="00EE7D35" w:rsidRPr="003F6BC7">
        <w:rPr>
          <w:color w:val="0D0D0D"/>
          <w:lang w:val="lt-LT"/>
        </w:rPr>
        <w:t>ai</w:t>
      </w:r>
      <w:r w:rsidRPr="003F6BC7">
        <w:rPr>
          <w:color w:val="0D0D0D"/>
          <w:lang w:val="lt-LT"/>
        </w:rPr>
        <w:t xml:space="preserve"> su žiurkėmis ir triušiais </w:t>
      </w:r>
      <w:proofErr w:type="spellStart"/>
      <w:r w:rsidRPr="003F6BC7">
        <w:rPr>
          <w:color w:val="0D0D0D"/>
          <w:lang w:val="lt-LT"/>
        </w:rPr>
        <w:t>agomelatin</w:t>
      </w:r>
      <w:r w:rsidR="00EE7D35" w:rsidRPr="003F6BC7">
        <w:rPr>
          <w:color w:val="0D0D0D"/>
          <w:lang w:val="lt-LT"/>
        </w:rPr>
        <w:t>o</w:t>
      </w:r>
      <w:proofErr w:type="spellEnd"/>
      <w:r w:rsidRPr="003F6BC7">
        <w:rPr>
          <w:color w:val="0D0D0D"/>
          <w:lang w:val="lt-LT"/>
        </w:rPr>
        <w:t xml:space="preserve"> poveikio vaisingumui ne</w:t>
      </w:r>
      <w:r w:rsidR="00EE7D35" w:rsidRPr="003F6BC7">
        <w:rPr>
          <w:color w:val="0D0D0D"/>
          <w:lang w:val="lt-LT"/>
        </w:rPr>
        <w:t>parodė</w:t>
      </w:r>
      <w:r w:rsidRPr="003F6BC7">
        <w:rPr>
          <w:color w:val="0D0D0D"/>
          <w:lang w:val="lt-LT"/>
        </w:rPr>
        <w:t xml:space="preserve"> (žr. 5.3 skyrių).</w:t>
      </w:r>
    </w:p>
    <w:p w14:paraId="70C3B7D3" w14:textId="77777777" w:rsidR="002071E3" w:rsidRPr="003F6BC7" w:rsidRDefault="002071E3" w:rsidP="002071E3">
      <w:pPr>
        <w:rPr>
          <w:lang w:val="lt-LT"/>
        </w:rPr>
      </w:pPr>
    </w:p>
    <w:p w14:paraId="1F701ECD" w14:textId="77777777" w:rsidR="002071E3" w:rsidRPr="003F6BC7" w:rsidRDefault="002071E3" w:rsidP="0090581D">
      <w:pPr>
        <w:ind w:left="567" w:hanging="567"/>
        <w:jc w:val="both"/>
        <w:outlineLvl w:val="3"/>
        <w:rPr>
          <w:b/>
          <w:bCs/>
          <w:lang w:val="lt-LT" w:eastAsia="lt-LT"/>
        </w:rPr>
      </w:pPr>
      <w:r w:rsidRPr="003F6BC7">
        <w:rPr>
          <w:b/>
          <w:bCs/>
          <w:lang w:val="lt-LT" w:eastAsia="lt-LT"/>
        </w:rPr>
        <w:t>4.7</w:t>
      </w:r>
      <w:r w:rsidRPr="003F6BC7">
        <w:rPr>
          <w:b/>
          <w:bCs/>
          <w:lang w:val="lt-LT" w:eastAsia="lt-LT"/>
        </w:rPr>
        <w:tab/>
        <w:t>Poveikis gebėjimui vairuoti ir valdyti mechanizmus</w:t>
      </w:r>
    </w:p>
    <w:p w14:paraId="2B5A6FC5" w14:textId="77777777" w:rsidR="002071E3" w:rsidRPr="003F6BC7" w:rsidRDefault="002071E3" w:rsidP="002071E3">
      <w:pPr>
        <w:rPr>
          <w:lang w:val="lt-LT"/>
        </w:rPr>
      </w:pPr>
    </w:p>
    <w:p w14:paraId="477EB57A" w14:textId="77777777" w:rsidR="002071E3" w:rsidRPr="003F6BC7" w:rsidRDefault="00EE7D35" w:rsidP="002071E3">
      <w:pPr>
        <w:rPr>
          <w:lang w:val="lt-LT"/>
        </w:rPr>
      </w:pPr>
      <w:proofErr w:type="spellStart"/>
      <w:r w:rsidRPr="003F6BC7">
        <w:rPr>
          <w:lang w:val="lt-LT"/>
        </w:rPr>
        <w:t>Agomelatinas</w:t>
      </w:r>
      <w:proofErr w:type="spellEnd"/>
      <w:r w:rsidRPr="003F6BC7">
        <w:rPr>
          <w:lang w:val="lt-LT"/>
        </w:rPr>
        <w:t xml:space="preserve"> gebė</w:t>
      </w:r>
      <w:r w:rsidR="002071E3" w:rsidRPr="003F6BC7">
        <w:rPr>
          <w:lang w:val="lt-LT"/>
        </w:rPr>
        <w:t>jim</w:t>
      </w:r>
      <w:r w:rsidRPr="003F6BC7">
        <w:rPr>
          <w:lang w:val="lt-LT"/>
        </w:rPr>
        <w:t>ą</w:t>
      </w:r>
      <w:r w:rsidR="002071E3" w:rsidRPr="003F6BC7">
        <w:rPr>
          <w:lang w:val="lt-LT"/>
        </w:rPr>
        <w:t xml:space="preserve"> vairuoti ir valdyti mechanizmus </w:t>
      </w:r>
      <w:r w:rsidRPr="003F6BC7">
        <w:rPr>
          <w:lang w:val="lt-LT"/>
        </w:rPr>
        <w:t>veikia nereikšmingai</w:t>
      </w:r>
      <w:r w:rsidR="002071E3" w:rsidRPr="003F6BC7">
        <w:rPr>
          <w:lang w:val="lt-LT"/>
        </w:rPr>
        <w:t>.</w:t>
      </w:r>
    </w:p>
    <w:p w14:paraId="6304EC26" w14:textId="286B67A8" w:rsidR="002071E3" w:rsidRPr="003F6BC7" w:rsidRDefault="002071E3" w:rsidP="002071E3">
      <w:pPr>
        <w:rPr>
          <w:lang w:val="lt-LT"/>
        </w:rPr>
      </w:pPr>
      <w:r w:rsidRPr="003F6BC7">
        <w:rPr>
          <w:lang w:val="lt-LT"/>
        </w:rPr>
        <w:t xml:space="preserve">Atsižvelgiant į tai, kad svaigulys ir </w:t>
      </w:r>
      <w:proofErr w:type="spellStart"/>
      <w:r w:rsidRPr="003F6BC7">
        <w:rPr>
          <w:lang w:val="lt-LT"/>
        </w:rPr>
        <w:t>somnolencija</w:t>
      </w:r>
      <w:proofErr w:type="spellEnd"/>
      <w:r w:rsidRPr="003F6BC7">
        <w:rPr>
          <w:lang w:val="lt-LT"/>
        </w:rPr>
        <w:t xml:space="preserve"> yra dažnos nepageidaujamos reakcijos, pacientus būtina įspėti dėl jų gebėjimo vairuoti ar valdyti mechanizmus.</w:t>
      </w:r>
    </w:p>
    <w:p w14:paraId="4EE45E0C" w14:textId="77777777" w:rsidR="002071E3" w:rsidRPr="003F6BC7" w:rsidRDefault="002071E3" w:rsidP="002071E3">
      <w:pPr>
        <w:rPr>
          <w:lang w:val="lt-LT"/>
        </w:rPr>
      </w:pPr>
    </w:p>
    <w:p w14:paraId="29F8CFF2" w14:textId="77777777" w:rsidR="002071E3" w:rsidRPr="003F6BC7" w:rsidRDefault="002071E3" w:rsidP="0090581D">
      <w:pPr>
        <w:ind w:left="567" w:hanging="567"/>
        <w:outlineLvl w:val="0"/>
        <w:rPr>
          <w:lang w:val="lt-LT"/>
        </w:rPr>
      </w:pPr>
      <w:r w:rsidRPr="003F6BC7">
        <w:rPr>
          <w:b/>
          <w:lang w:val="lt-LT"/>
        </w:rPr>
        <w:t>4.8</w:t>
      </w:r>
      <w:r w:rsidRPr="003F6BC7">
        <w:rPr>
          <w:b/>
          <w:lang w:val="lt-LT"/>
        </w:rPr>
        <w:tab/>
        <w:t>Nepageidaujamas poveikis</w:t>
      </w:r>
    </w:p>
    <w:p w14:paraId="494E4BBC" w14:textId="77777777" w:rsidR="002071E3" w:rsidRPr="003F6BC7" w:rsidRDefault="002071E3" w:rsidP="00501B36">
      <w:pPr>
        <w:rPr>
          <w:lang w:val="lt-LT"/>
        </w:rPr>
      </w:pPr>
    </w:p>
    <w:p w14:paraId="5BBC3673" w14:textId="77777777" w:rsidR="00EE7D35" w:rsidRPr="003F6BC7" w:rsidRDefault="00EE7D35" w:rsidP="00EE7D35">
      <w:pPr>
        <w:rPr>
          <w:u w:val="single"/>
          <w:lang w:val="lt-LT"/>
        </w:rPr>
      </w:pPr>
      <w:r w:rsidRPr="003F6BC7">
        <w:rPr>
          <w:u w:val="single"/>
          <w:lang w:val="lt-LT"/>
        </w:rPr>
        <w:t>Saugumo duomenų santrauka</w:t>
      </w:r>
    </w:p>
    <w:p w14:paraId="5E81BABC" w14:textId="77777777" w:rsidR="00EE7D35" w:rsidRPr="003F6BC7" w:rsidRDefault="00EE7D35" w:rsidP="00EE7D35">
      <w:pPr>
        <w:rPr>
          <w:lang w:val="lt-LT"/>
        </w:rPr>
      </w:pPr>
      <w:r w:rsidRPr="003F6BC7">
        <w:rPr>
          <w:lang w:val="lt-LT"/>
        </w:rPr>
        <w:t>Nepageidaujamos reakcijos paprastai buvo lengvos ar vidutinio sunkumo ir pasireiškė per pirmąsias dvi gydymo savaites. Dažniausios nepageidaujamos reakcijos buvo galvos skausmas, pykinimas ir svaigulys.</w:t>
      </w:r>
    </w:p>
    <w:p w14:paraId="31E599C9" w14:textId="77777777" w:rsidR="00EE7D35" w:rsidRPr="003F6BC7" w:rsidRDefault="00EE7D35" w:rsidP="00EE7D35">
      <w:pPr>
        <w:rPr>
          <w:lang w:val="lt-LT"/>
        </w:rPr>
      </w:pPr>
      <w:r w:rsidRPr="003F6BC7">
        <w:rPr>
          <w:lang w:val="lt-LT"/>
        </w:rPr>
        <w:t>Nepageidaujamos reakcijos paprastai buvo laikinos, dėl jų gydymo nutraukti dažniausiai nereikėjo.</w:t>
      </w:r>
    </w:p>
    <w:p w14:paraId="5049858A" w14:textId="77777777" w:rsidR="00EE7D35" w:rsidRPr="003F6BC7" w:rsidRDefault="00EE7D35" w:rsidP="00EE7D35">
      <w:pPr>
        <w:rPr>
          <w:lang w:val="lt-LT"/>
        </w:rPr>
      </w:pPr>
    </w:p>
    <w:p w14:paraId="2F94F0F3" w14:textId="77777777" w:rsidR="00EE7D35" w:rsidRPr="003F6BC7" w:rsidRDefault="00EE7D35" w:rsidP="00EE7D35">
      <w:pPr>
        <w:rPr>
          <w:u w:val="single"/>
          <w:lang w:val="lt-LT"/>
        </w:rPr>
      </w:pPr>
      <w:r w:rsidRPr="003F6BC7">
        <w:rPr>
          <w:u w:val="single"/>
          <w:lang w:val="lt-LT"/>
        </w:rPr>
        <w:t>Nepageidaujamų reakcijų santrauka lentelėje</w:t>
      </w:r>
    </w:p>
    <w:p w14:paraId="7FEC70BE" w14:textId="0ACD9DBD" w:rsidR="00EE7D35" w:rsidRPr="003F6BC7" w:rsidRDefault="00EE7D35" w:rsidP="00EE7D35">
      <w:pPr>
        <w:rPr>
          <w:lang w:val="lt-LT"/>
        </w:rPr>
      </w:pPr>
      <w:r w:rsidRPr="003F6BC7">
        <w:rPr>
          <w:lang w:val="lt-LT"/>
        </w:rPr>
        <w:t xml:space="preserve">Toliau esančioje lentelėje išvardytos nepageidaujamos reakcijos, nustatytos placebu ir veiksmingu </w:t>
      </w:r>
      <w:r w:rsidRPr="003F6BC7">
        <w:rPr>
          <w:lang w:val="lt-LT"/>
        </w:rPr>
        <w:lastRenderedPageBreak/>
        <w:t xml:space="preserve">vaistiniu preparatu kontroliuotų klinikinių tyrimų </w:t>
      </w:r>
      <w:r w:rsidR="00BA1D0D">
        <w:rPr>
          <w:lang w:val="lt-LT"/>
        </w:rPr>
        <w:t xml:space="preserve">su suaugusiaisiais </w:t>
      </w:r>
      <w:r w:rsidRPr="003F6BC7">
        <w:rPr>
          <w:lang w:val="lt-LT"/>
        </w:rPr>
        <w:t>metu.</w:t>
      </w:r>
    </w:p>
    <w:p w14:paraId="2CAE1A64" w14:textId="77777777" w:rsidR="00EE7D35" w:rsidRPr="003F6BC7" w:rsidRDefault="00EE7D35" w:rsidP="00EE7D35">
      <w:pPr>
        <w:rPr>
          <w:lang w:val="lt-LT"/>
        </w:rPr>
      </w:pPr>
    </w:p>
    <w:p w14:paraId="18D5B6EF" w14:textId="264C4B42" w:rsidR="00EE7D35" w:rsidRPr="003F6BC7" w:rsidRDefault="00EE7D35" w:rsidP="00EE7D35">
      <w:pPr>
        <w:rPr>
          <w:lang w:val="lt-LT"/>
        </w:rPr>
      </w:pPr>
      <w:r w:rsidRPr="003F6BC7">
        <w:rPr>
          <w:lang w:val="lt-LT" w:eastAsia="lt-LT"/>
        </w:rPr>
        <w:t>Nepageidaujamų reakcijų dažnis apibūdinamas taip: labai dažnas (≥ 1/10), dažnas (nuo ≥ 1/100 iki &lt; 1/10), nedažnas (nuo ≥ 1/1</w:t>
      </w:r>
      <w:r w:rsidR="002D46E0">
        <w:rPr>
          <w:lang w:val="lt-LT" w:eastAsia="lt-LT"/>
        </w:rPr>
        <w:t> </w:t>
      </w:r>
      <w:r w:rsidRPr="003F6BC7">
        <w:rPr>
          <w:lang w:val="lt-LT" w:eastAsia="lt-LT"/>
        </w:rPr>
        <w:t>000 iki &lt; 1/100), retas (nuo ≥ 1/10 000 iki &lt; 1/1</w:t>
      </w:r>
      <w:r w:rsidR="002D46E0">
        <w:rPr>
          <w:lang w:val="lt-LT" w:eastAsia="lt-LT"/>
        </w:rPr>
        <w:t> </w:t>
      </w:r>
      <w:r w:rsidRPr="003F6BC7">
        <w:rPr>
          <w:lang w:val="lt-LT" w:eastAsia="lt-LT"/>
        </w:rPr>
        <w:t>000), labai retas (&lt; 1/10</w:t>
      </w:r>
      <w:r w:rsidR="002D46E0">
        <w:rPr>
          <w:lang w:val="lt-LT" w:eastAsia="lt-LT"/>
        </w:rPr>
        <w:t> </w:t>
      </w:r>
      <w:r w:rsidRPr="003F6BC7">
        <w:rPr>
          <w:lang w:val="lt-LT" w:eastAsia="lt-LT"/>
        </w:rPr>
        <w:t>000) ir nežinomas (negali būti apskaičiuotas pagal turimus duomenis</w:t>
      </w:r>
      <w:r w:rsidRPr="003F6BC7">
        <w:rPr>
          <w:lang w:val="lt-LT"/>
        </w:rPr>
        <w:t>). Dažnis nebuvo koreguotas pagal placebą.</w:t>
      </w:r>
    </w:p>
    <w:p w14:paraId="59D7BB7A" w14:textId="77777777" w:rsidR="00EE7D35" w:rsidRPr="003F6BC7" w:rsidRDefault="00EE7D35" w:rsidP="00EE7D35">
      <w:pPr>
        <w:rPr>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258"/>
        <w:gridCol w:w="3934"/>
      </w:tblGrid>
      <w:tr w:rsidR="00EE7D35" w:rsidRPr="003F6BC7" w14:paraId="16E7768C" w14:textId="77777777" w:rsidTr="00464860">
        <w:tc>
          <w:tcPr>
            <w:tcW w:w="3095" w:type="dxa"/>
            <w:shd w:val="clear" w:color="auto" w:fill="auto"/>
          </w:tcPr>
          <w:p w14:paraId="44400A31" w14:textId="77777777" w:rsidR="00EE7D35" w:rsidRPr="003F6BC7" w:rsidRDefault="00EE7D35" w:rsidP="0090581D">
            <w:pPr>
              <w:rPr>
                <w:b/>
                <w:bCs/>
                <w:lang w:val="lt-LT"/>
              </w:rPr>
            </w:pPr>
            <w:r w:rsidRPr="003F6BC7">
              <w:rPr>
                <w:b/>
                <w:bCs/>
                <w:lang w:val="lt-LT"/>
              </w:rPr>
              <w:t>Organų sistemų klasė</w:t>
            </w:r>
          </w:p>
        </w:tc>
        <w:tc>
          <w:tcPr>
            <w:tcW w:w="2258" w:type="dxa"/>
            <w:shd w:val="clear" w:color="auto" w:fill="auto"/>
          </w:tcPr>
          <w:p w14:paraId="67D3CF97" w14:textId="77777777" w:rsidR="00EE7D35" w:rsidRPr="003F6BC7" w:rsidRDefault="00EE7D35" w:rsidP="0090581D">
            <w:pPr>
              <w:rPr>
                <w:b/>
                <w:bCs/>
                <w:lang w:val="lt-LT"/>
              </w:rPr>
            </w:pPr>
            <w:r w:rsidRPr="003F6BC7">
              <w:rPr>
                <w:b/>
                <w:bCs/>
                <w:lang w:val="lt-LT"/>
              </w:rPr>
              <w:t>Dažnis</w:t>
            </w:r>
          </w:p>
        </w:tc>
        <w:tc>
          <w:tcPr>
            <w:tcW w:w="3934" w:type="dxa"/>
            <w:tcBorders>
              <w:bottom w:val="single" w:sz="4" w:space="0" w:color="auto"/>
            </w:tcBorders>
            <w:shd w:val="clear" w:color="auto" w:fill="auto"/>
          </w:tcPr>
          <w:p w14:paraId="43CFD33C" w14:textId="77777777" w:rsidR="00EE7D35" w:rsidRPr="003F6BC7" w:rsidRDefault="00EE7D35" w:rsidP="0090581D">
            <w:pPr>
              <w:rPr>
                <w:b/>
                <w:bCs/>
                <w:lang w:val="lt-LT"/>
              </w:rPr>
            </w:pPr>
            <w:r w:rsidRPr="003F6BC7">
              <w:rPr>
                <w:b/>
                <w:bCs/>
                <w:lang w:val="lt-LT"/>
              </w:rPr>
              <w:t>Tinkamiausias terminas</w:t>
            </w:r>
          </w:p>
        </w:tc>
      </w:tr>
      <w:tr w:rsidR="00EE7D35" w:rsidRPr="003F6BC7" w14:paraId="194B6AEC" w14:textId="77777777" w:rsidTr="00464860">
        <w:tc>
          <w:tcPr>
            <w:tcW w:w="3095" w:type="dxa"/>
            <w:vMerge w:val="restart"/>
            <w:shd w:val="clear" w:color="auto" w:fill="auto"/>
          </w:tcPr>
          <w:p w14:paraId="48BB92DB" w14:textId="77777777" w:rsidR="00EE7D35" w:rsidRPr="003F6BC7" w:rsidRDefault="00EE7D35" w:rsidP="0090581D">
            <w:pPr>
              <w:rPr>
                <w:lang w:val="lt-LT"/>
              </w:rPr>
            </w:pPr>
            <w:r w:rsidRPr="003F6BC7">
              <w:rPr>
                <w:lang w:val="lt-LT"/>
              </w:rPr>
              <w:t>Psichikos sutrikimai</w:t>
            </w:r>
          </w:p>
        </w:tc>
        <w:tc>
          <w:tcPr>
            <w:tcW w:w="2258" w:type="dxa"/>
            <w:vMerge w:val="restart"/>
            <w:shd w:val="clear" w:color="auto" w:fill="auto"/>
          </w:tcPr>
          <w:p w14:paraId="5EFDA5A9" w14:textId="77777777" w:rsidR="00EE7D35" w:rsidRPr="003F6BC7" w:rsidRDefault="00EE7D35" w:rsidP="0090581D">
            <w:pPr>
              <w:rPr>
                <w:lang w:val="lt-LT"/>
              </w:rPr>
            </w:pPr>
            <w:r w:rsidRPr="003F6BC7">
              <w:rPr>
                <w:lang w:val="lt-LT"/>
              </w:rPr>
              <w:t>Dažnas</w:t>
            </w:r>
          </w:p>
        </w:tc>
        <w:tc>
          <w:tcPr>
            <w:tcW w:w="3934" w:type="dxa"/>
            <w:tcBorders>
              <w:bottom w:val="nil"/>
            </w:tcBorders>
            <w:shd w:val="clear" w:color="auto" w:fill="auto"/>
          </w:tcPr>
          <w:p w14:paraId="43C936E3" w14:textId="77777777" w:rsidR="00EE7D35" w:rsidRPr="003F6BC7" w:rsidRDefault="00EE7D35" w:rsidP="0090581D">
            <w:pPr>
              <w:rPr>
                <w:lang w:val="lt-LT"/>
              </w:rPr>
            </w:pPr>
            <w:r w:rsidRPr="003F6BC7">
              <w:rPr>
                <w:lang w:val="lt-LT"/>
              </w:rPr>
              <w:t>Nerimas</w:t>
            </w:r>
          </w:p>
        </w:tc>
      </w:tr>
      <w:tr w:rsidR="00EE7D35" w:rsidRPr="003F6BC7" w14:paraId="24F7DEA5" w14:textId="77777777" w:rsidTr="00464860">
        <w:tc>
          <w:tcPr>
            <w:tcW w:w="3095" w:type="dxa"/>
            <w:vMerge/>
            <w:shd w:val="clear" w:color="auto" w:fill="auto"/>
          </w:tcPr>
          <w:p w14:paraId="7D51AC02" w14:textId="77777777" w:rsidR="00EE7D35" w:rsidRPr="003F6BC7" w:rsidRDefault="00EE7D35" w:rsidP="0090581D">
            <w:pPr>
              <w:rPr>
                <w:lang w:val="lt-LT"/>
              </w:rPr>
            </w:pPr>
          </w:p>
        </w:tc>
        <w:tc>
          <w:tcPr>
            <w:tcW w:w="2258" w:type="dxa"/>
            <w:vMerge/>
            <w:shd w:val="clear" w:color="auto" w:fill="auto"/>
          </w:tcPr>
          <w:p w14:paraId="4140C57B" w14:textId="77777777" w:rsidR="00EE7D35" w:rsidRPr="003F6BC7" w:rsidRDefault="00EE7D35" w:rsidP="0090581D">
            <w:pPr>
              <w:rPr>
                <w:lang w:val="lt-LT"/>
              </w:rPr>
            </w:pPr>
          </w:p>
        </w:tc>
        <w:tc>
          <w:tcPr>
            <w:tcW w:w="3934" w:type="dxa"/>
            <w:tcBorders>
              <w:top w:val="nil"/>
              <w:bottom w:val="single" w:sz="4" w:space="0" w:color="auto"/>
            </w:tcBorders>
            <w:shd w:val="clear" w:color="auto" w:fill="auto"/>
          </w:tcPr>
          <w:p w14:paraId="6CE4EA27" w14:textId="77777777" w:rsidR="00EE7D35" w:rsidRPr="003F6BC7" w:rsidRDefault="00EE7D35" w:rsidP="0090581D">
            <w:pPr>
              <w:rPr>
                <w:lang w:val="lt-LT"/>
              </w:rPr>
            </w:pPr>
            <w:r w:rsidRPr="003F6BC7">
              <w:rPr>
                <w:lang w:val="lt-LT"/>
              </w:rPr>
              <w:t>Nenormalūs sapnai*</w:t>
            </w:r>
          </w:p>
        </w:tc>
      </w:tr>
      <w:tr w:rsidR="00464860" w:rsidRPr="00151B1E" w14:paraId="64B9C34A" w14:textId="77777777" w:rsidTr="00464860">
        <w:tc>
          <w:tcPr>
            <w:tcW w:w="3095" w:type="dxa"/>
            <w:vMerge/>
            <w:shd w:val="clear" w:color="auto" w:fill="auto"/>
          </w:tcPr>
          <w:p w14:paraId="542518D0" w14:textId="77777777" w:rsidR="00464860" w:rsidRPr="003F6BC7" w:rsidRDefault="00464860" w:rsidP="0090581D">
            <w:pPr>
              <w:rPr>
                <w:lang w:val="lt-LT"/>
              </w:rPr>
            </w:pPr>
          </w:p>
        </w:tc>
        <w:tc>
          <w:tcPr>
            <w:tcW w:w="2258" w:type="dxa"/>
            <w:vMerge w:val="restart"/>
            <w:tcBorders>
              <w:right w:val="single" w:sz="4" w:space="0" w:color="auto"/>
            </w:tcBorders>
            <w:shd w:val="clear" w:color="auto" w:fill="auto"/>
          </w:tcPr>
          <w:p w14:paraId="2E35B83C" w14:textId="77777777" w:rsidR="00464860" w:rsidRPr="003F6BC7" w:rsidRDefault="00464860" w:rsidP="0090581D">
            <w:pPr>
              <w:rPr>
                <w:lang w:val="lt-LT"/>
              </w:rPr>
            </w:pPr>
            <w:r w:rsidRPr="003F6BC7">
              <w:rPr>
                <w:lang w:val="lt-LT"/>
              </w:rPr>
              <w:t>Nedažnas</w:t>
            </w:r>
          </w:p>
        </w:tc>
        <w:tc>
          <w:tcPr>
            <w:tcW w:w="3934" w:type="dxa"/>
            <w:tcBorders>
              <w:top w:val="single" w:sz="4" w:space="0" w:color="auto"/>
              <w:left w:val="single" w:sz="4" w:space="0" w:color="auto"/>
              <w:bottom w:val="nil"/>
              <w:right w:val="single" w:sz="4" w:space="0" w:color="auto"/>
            </w:tcBorders>
            <w:shd w:val="clear" w:color="auto" w:fill="auto"/>
          </w:tcPr>
          <w:p w14:paraId="5DE99303" w14:textId="77777777" w:rsidR="00464860" w:rsidRPr="003F6BC7" w:rsidRDefault="00464860" w:rsidP="0090581D">
            <w:pPr>
              <w:rPr>
                <w:lang w:val="lt-LT"/>
              </w:rPr>
            </w:pPr>
            <w:r w:rsidRPr="003F6BC7">
              <w:rPr>
                <w:lang w:val="lt-LT"/>
              </w:rPr>
              <w:t>Mintys apie savižudybę ar su savižudybe susijęs elgesys (žr. 4.4 skyrių)</w:t>
            </w:r>
          </w:p>
        </w:tc>
      </w:tr>
      <w:tr w:rsidR="00464860" w:rsidRPr="00151B1E" w14:paraId="26E16CA6" w14:textId="77777777" w:rsidTr="00464860">
        <w:tc>
          <w:tcPr>
            <w:tcW w:w="3095" w:type="dxa"/>
            <w:vMerge/>
            <w:shd w:val="clear" w:color="auto" w:fill="auto"/>
          </w:tcPr>
          <w:p w14:paraId="4585C89F" w14:textId="77777777" w:rsidR="00464860" w:rsidRPr="003F6BC7" w:rsidRDefault="00464860" w:rsidP="0090581D">
            <w:pPr>
              <w:rPr>
                <w:lang w:val="lt-LT"/>
              </w:rPr>
            </w:pPr>
          </w:p>
        </w:tc>
        <w:tc>
          <w:tcPr>
            <w:tcW w:w="2258" w:type="dxa"/>
            <w:vMerge/>
            <w:tcBorders>
              <w:right w:val="single" w:sz="4" w:space="0" w:color="auto"/>
            </w:tcBorders>
            <w:shd w:val="clear" w:color="auto" w:fill="auto"/>
          </w:tcPr>
          <w:p w14:paraId="386E5454" w14:textId="77777777" w:rsidR="00464860" w:rsidRPr="003F6BC7" w:rsidRDefault="00464860" w:rsidP="0090581D">
            <w:pPr>
              <w:rPr>
                <w:lang w:val="lt-LT"/>
              </w:rPr>
            </w:pPr>
          </w:p>
        </w:tc>
        <w:tc>
          <w:tcPr>
            <w:tcW w:w="3934" w:type="dxa"/>
            <w:tcBorders>
              <w:top w:val="nil"/>
              <w:left w:val="single" w:sz="4" w:space="0" w:color="auto"/>
              <w:bottom w:val="nil"/>
              <w:right w:val="single" w:sz="4" w:space="0" w:color="auto"/>
            </w:tcBorders>
            <w:shd w:val="clear" w:color="auto" w:fill="auto"/>
          </w:tcPr>
          <w:p w14:paraId="7BA5E8D0" w14:textId="77777777" w:rsidR="00464860" w:rsidRPr="003F6BC7" w:rsidRDefault="00464860" w:rsidP="0090581D">
            <w:pPr>
              <w:rPr>
                <w:lang w:val="lt-LT"/>
              </w:rPr>
            </w:pPr>
            <w:r w:rsidRPr="003F6BC7">
              <w:rPr>
                <w:lang w:val="lt-LT"/>
              </w:rPr>
              <w:t>Sujaudinimas ir susiję simptomai* (tokie kaip dirglumas ir neramumas)</w:t>
            </w:r>
          </w:p>
        </w:tc>
      </w:tr>
      <w:tr w:rsidR="00464860" w:rsidRPr="003F6BC7" w14:paraId="58C7C1A8" w14:textId="77777777" w:rsidTr="00464860">
        <w:tc>
          <w:tcPr>
            <w:tcW w:w="3095" w:type="dxa"/>
            <w:vMerge/>
            <w:shd w:val="clear" w:color="auto" w:fill="auto"/>
          </w:tcPr>
          <w:p w14:paraId="3111E42A" w14:textId="77777777" w:rsidR="00464860" w:rsidRPr="003F6BC7" w:rsidRDefault="00464860" w:rsidP="0090581D">
            <w:pPr>
              <w:rPr>
                <w:lang w:val="lt-LT"/>
              </w:rPr>
            </w:pPr>
          </w:p>
        </w:tc>
        <w:tc>
          <w:tcPr>
            <w:tcW w:w="2258" w:type="dxa"/>
            <w:vMerge/>
            <w:tcBorders>
              <w:right w:val="single" w:sz="4" w:space="0" w:color="auto"/>
            </w:tcBorders>
            <w:shd w:val="clear" w:color="auto" w:fill="auto"/>
          </w:tcPr>
          <w:p w14:paraId="166ADA28" w14:textId="77777777" w:rsidR="00464860" w:rsidRPr="003F6BC7" w:rsidRDefault="00464860" w:rsidP="0090581D">
            <w:pPr>
              <w:rPr>
                <w:lang w:val="lt-LT"/>
              </w:rPr>
            </w:pPr>
          </w:p>
        </w:tc>
        <w:tc>
          <w:tcPr>
            <w:tcW w:w="3934" w:type="dxa"/>
            <w:tcBorders>
              <w:top w:val="nil"/>
              <w:left w:val="single" w:sz="4" w:space="0" w:color="auto"/>
              <w:bottom w:val="nil"/>
              <w:right w:val="single" w:sz="4" w:space="0" w:color="auto"/>
            </w:tcBorders>
            <w:shd w:val="clear" w:color="auto" w:fill="auto"/>
          </w:tcPr>
          <w:p w14:paraId="1C3FDB2B" w14:textId="77777777" w:rsidR="00464860" w:rsidRPr="003F6BC7" w:rsidRDefault="00464860" w:rsidP="0090581D">
            <w:pPr>
              <w:rPr>
                <w:lang w:val="lt-LT"/>
              </w:rPr>
            </w:pPr>
            <w:r w:rsidRPr="003F6BC7">
              <w:rPr>
                <w:lang w:val="lt-LT"/>
              </w:rPr>
              <w:t>Agresija*</w:t>
            </w:r>
          </w:p>
        </w:tc>
      </w:tr>
      <w:tr w:rsidR="00464860" w:rsidRPr="003F6BC7" w14:paraId="0C2CC2E7" w14:textId="77777777" w:rsidTr="00464860">
        <w:tc>
          <w:tcPr>
            <w:tcW w:w="3095" w:type="dxa"/>
            <w:vMerge/>
            <w:shd w:val="clear" w:color="auto" w:fill="auto"/>
          </w:tcPr>
          <w:p w14:paraId="025D3D5A" w14:textId="77777777" w:rsidR="00464860" w:rsidRPr="003F6BC7" w:rsidRDefault="00464860" w:rsidP="0090581D">
            <w:pPr>
              <w:rPr>
                <w:lang w:val="lt-LT"/>
              </w:rPr>
            </w:pPr>
          </w:p>
        </w:tc>
        <w:tc>
          <w:tcPr>
            <w:tcW w:w="2258" w:type="dxa"/>
            <w:vMerge/>
            <w:tcBorders>
              <w:right w:val="single" w:sz="4" w:space="0" w:color="auto"/>
            </w:tcBorders>
            <w:shd w:val="clear" w:color="auto" w:fill="auto"/>
          </w:tcPr>
          <w:p w14:paraId="4E0747B6" w14:textId="77777777" w:rsidR="00464860" w:rsidRPr="003F6BC7" w:rsidRDefault="00464860" w:rsidP="0090581D">
            <w:pPr>
              <w:rPr>
                <w:lang w:val="lt-LT"/>
              </w:rPr>
            </w:pPr>
          </w:p>
        </w:tc>
        <w:tc>
          <w:tcPr>
            <w:tcW w:w="3934" w:type="dxa"/>
            <w:tcBorders>
              <w:top w:val="nil"/>
              <w:left w:val="single" w:sz="4" w:space="0" w:color="auto"/>
              <w:bottom w:val="nil"/>
              <w:right w:val="single" w:sz="4" w:space="0" w:color="auto"/>
            </w:tcBorders>
            <w:shd w:val="clear" w:color="auto" w:fill="auto"/>
          </w:tcPr>
          <w:p w14:paraId="0856FCCC" w14:textId="77777777" w:rsidR="00464860" w:rsidRPr="003F6BC7" w:rsidRDefault="00464860" w:rsidP="0090581D">
            <w:pPr>
              <w:rPr>
                <w:lang w:val="lt-LT"/>
              </w:rPr>
            </w:pPr>
            <w:r w:rsidRPr="003F6BC7">
              <w:rPr>
                <w:lang w:val="lt-LT"/>
              </w:rPr>
              <w:t>Košmariški sapnai*</w:t>
            </w:r>
          </w:p>
        </w:tc>
      </w:tr>
      <w:tr w:rsidR="00464860" w:rsidRPr="00151B1E" w14:paraId="286CEB36" w14:textId="77777777" w:rsidTr="00464860">
        <w:tc>
          <w:tcPr>
            <w:tcW w:w="3095" w:type="dxa"/>
            <w:vMerge/>
            <w:shd w:val="clear" w:color="auto" w:fill="auto"/>
          </w:tcPr>
          <w:p w14:paraId="2C3DD283" w14:textId="77777777" w:rsidR="00464860" w:rsidRPr="003F6BC7" w:rsidRDefault="00464860" w:rsidP="0090581D">
            <w:pPr>
              <w:rPr>
                <w:lang w:val="lt-LT"/>
              </w:rPr>
            </w:pPr>
          </w:p>
        </w:tc>
        <w:tc>
          <w:tcPr>
            <w:tcW w:w="2258" w:type="dxa"/>
            <w:vMerge/>
            <w:tcBorders>
              <w:right w:val="single" w:sz="4" w:space="0" w:color="auto"/>
            </w:tcBorders>
            <w:shd w:val="clear" w:color="auto" w:fill="auto"/>
          </w:tcPr>
          <w:p w14:paraId="5AC1C713" w14:textId="77777777" w:rsidR="00464860" w:rsidRPr="003F6BC7" w:rsidRDefault="00464860" w:rsidP="0090581D">
            <w:pPr>
              <w:rPr>
                <w:lang w:val="lt-LT"/>
              </w:rPr>
            </w:pPr>
          </w:p>
        </w:tc>
        <w:tc>
          <w:tcPr>
            <w:tcW w:w="3934" w:type="dxa"/>
            <w:tcBorders>
              <w:top w:val="nil"/>
              <w:left w:val="single" w:sz="4" w:space="0" w:color="auto"/>
              <w:bottom w:val="nil"/>
              <w:right w:val="single" w:sz="4" w:space="0" w:color="auto"/>
            </w:tcBorders>
            <w:shd w:val="clear" w:color="auto" w:fill="auto"/>
          </w:tcPr>
          <w:p w14:paraId="56FF1BC9" w14:textId="77777777" w:rsidR="00464860" w:rsidRPr="003F6BC7" w:rsidRDefault="00464860" w:rsidP="0090581D">
            <w:pPr>
              <w:rPr>
                <w:lang w:val="lt-LT"/>
              </w:rPr>
            </w:pPr>
            <w:r w:rsidRPr="003F6BC7">
              <w:rPr>
                <w:lang w:val="lt-LT"/>
              </w:rPr>
              <w:t xml:space="preserve">Manija ar </w:t>
            </w:r>
            <w:proofErr w:type="spellStart"/>
            <w:r w:rsidRPr="003F6BC7">
              <w:rPr>
                <w:lang w:val="lt-LT"/>
              </w:rPr>
              <w:t>hipomanija</w:t>
            </w:r>
            <w:proofErr w:type="spellEnd"/>
            <w:r w:rsidRPr="003F6BC7">
              <w:rPr>
                <w:lang w:val="lt-LT"/>
              </w:rPr>
              <w:t>*</w:t>
            </w:r>
          </w:p>
          <w:p w14:paraId="13D9DFD7" w14:textId="77777777" w:rsidR="00464860" w:rsidRPr="003F6BC7" w:rsidRDefault="00464860" w:rsidP="0090581D">
            <w:pPr>
              <w:rPr>
                <w:lang w:val="lt-LT"/>
              </w:rPr>
            </w:pPr>
            <w:r w:rsidRPr="003F6BC7">
              <w:rPr>
                <w:lang w:val="lt-LT"/>
              </w:rPr>
              <w:t xml:space="preserve">Tokius simptomus gali sukelti ir gretutinė liga (žr. 4.4 skyrių) </w:t>
            </w:r>
          </w:p>
        </w:tc>
      </w:tr>
      <w:tr w:rsidR="00464860" w:rsidRPr="003F6BC7" w14:paraId="601B2DBC" w14:textId="77777777" w:rsidTr="00464860">
        <w:tc>
          <w:tcPr>
            <w:tcW w:w="3095" w:type="dxa"/>
            <w:vMerge/>
            <w:shd w:val="clear" w:color="auto" w:fill="auto"/>
          </w:tcPr>
          <w:p w14:paraId="7588419E" w14:textId="77777777" w:rsidR="00464860" w:rsidRPr="003F6BC7" w:rsidRDefault="00464860" w:rsidP="0090581D">
            <w:pPr>
              <w:rPr>
                <w:lang w:val="lt-LT"/>
              </w:rPr>
            </w:pPr>
          </w:p>
        </w:tc>
        <w:tc>
          <w:tcPr>
            <w:tcW w:w="2258" w:type="dxa"/>
            <w:vMerge/>
            <w:tcBorders>
              <w:right w:val="single" w:sz="4" w:space="0" w:color="auto"/>
            </w:tcBorders>
            <w:shd w:val="clear" w:color="auto" w:fill="auto"/>
          </w:tcPr>
          <w:p w14:paraId="074A43C9" w14:textId="77777777" w:rsidR="00464860" w:rsidRPr="003F6BC7" w:rsidRDefault="00464860" w:rsidP="0090581D">
            <w:pPr>
              <w:rPr>
                <w:lang w:val="lt-LT"/>
              </w:rPr>
            </w:pPr>
          </w:p>
        </w:tc>
        <w:tc>
          <w:tcPr>
            <w:tcW w:w="3934" w:type="dxa"/>
            <w:tcBorders>
              <w:top w:val="nil"/>
              <w:left w:val="single" w:sz="4" w:space="0" w:color="auto"/>
              <w:bottom w:val="single" w:sz="4" w:space="0" w:color="auto"/>
              <w:right w:val="single" w:sz="4" w:space="0" w:color="auto"/>
            </w:tcBorders>
            <w:shd w:val="clear" w:color="auto" w:fill="auto"/>
          </w:tcPr>
          <w:p w14:paraId="47173363" w14:textId="77777777" w:rsidR="00464860" w:rsidRPr="003F6BC7" w:rsidRDefault="00464860" w:rsidP="0090581D">
            <w:pPr>
              <w:rPr>
                <w:lang w:val="lt-LT"/>
              </w:rPr>
            </w:pPr>
            <w:r w:rsidRPr="003F6BC7">
              <w:rPr>
                <w:lang w:val="lt-LT"/>
              </w:rPr>
              <w:t>Sumišimas*</w:t>
            </w:r>
          </w:p>
        </w:tc>
      </w:tr>
      <w:tr w:rsidR="00EE7D35" w:rsidRPr="003F6BC7" w14:paraId="7853233A" w14:textId="77777777" w:rsidTr="00464860">
        <w:tc>
          <w:tcPr>
            <w:tcW w:w="3095" w:type="dxa"/>
            <w:vMerge/>
            <w:shd w:val="clear" w:color="auto" w:fill="auto"/>
          </w:tcPr>
          <w:p w14:paraId="0DB67E29" w14:textId="77777777" w:rsidR="00EE7D35" w:rsidRPr="003F6BC7" w:rsidRDefault="00EE7D35" w:rsidP="0090581D">
            <w:pPr>
              <w:rPr>
                <w:lang w:val="lt-LT"/>
              </w:rPr>
            </w:pPr>
          </w:p>
        </w:tc>
        <w:tc>
          <w:tcPr>
            <w:tcW w:w="2258" w:type="dxa"/>
            <w:shd w:val="clear" w:color="auto" w:fill="auto"/>
          </w:tcPr>
          <w:p w14:paraId="2D129DD9" w14:textId="77777777" w:rsidR="00EE7D35" w:rsidRPr="003F6BC7" w:rsidRDefault="00EE7D35" w:rsidP="0090581D">
            <w:pPr>
              <w:rPr>
                <w:lang w:val="lt-LT"/>
              </w:rPr>
            </w:pPr>
            <w:r w:rsidRPr="003F6BC7">
              <w:rPr>
                <w:lang w:val="lt-LT"/>
              </w:rPr>
              <w:t>Retas</w:t>
            </w:r>
          </w:p>
        </w:tc>
        <w:tc>
          <w:tcPr>
            <w:tcW w:w="3934" w:type="dxa"/>
            <w:tcBorders>
              <w:top w:val="single" w:sz="4" w:space="0" w:color="auto"/>
            </w:tcBorders>
            <w:shd w:val="clear" w:color="auto" w:fill="auto"/>
          </w:tcPr>
          <w:p w14:paraId="3E3E5517" w14:textId="77777777" w:rsidR="00EE7D35" w:rsidRPr="003F6BC7" w:rsidRDefault="00EE7D35" w:rsidP="0090581D">
            <w:pPr>
              <w:rPr>
                <w:lang w:val="lt-LT"/>
              </w:rPr>
            </w:pPr>
            <w:r w:rsidRPr="003F6BC7">
              <w:rPr>
                <w:lang w:val="lt-LT"/>
              </w:rPr>
              <w:t>Haliucinacijos*</w:t>
            </w:r>
          </w:p>
        </w:tc>
      </w:tr>
      <w:tr w:rsidR="00EE7D35" w:rsidRPr="003F6BC7" w14:paraId="3F61D855" w14:textId="77777777" w:rsidTr="00464860">
        <w:tc>
          <w:tcPr>
            <w:tcW w:w="3095" w:type="dxa"/>
            <w:vMerge w:val="restart"/>
            <w:shd w:val="clear" w:color="auto" w:fill="auto"/>
          </w:tcPr>
          <w:p w14:paraId="287B5A0A" w14:textId="77777777" w:rsidR="00EE7D35" w:rsidRPr="003F6BC7" w:rsidRDefault="00EE7D35" w:rsidP="0090581D">
            <w:pPr>
              <w:rPr>
                <w:lang w:val="lt-LT"/>
              </w:rPr>
            </w:pPr>
            <w:r w:rsidRPr="003F6BC7">
              <w:rPr>
                <w:lang w:val="lt-LT"/>
              </w:rPr>
              <w:t>Nervų sistemos sutrikimai</w:t>
            </w:r>
          </w:p>
        </w:tc>
        <w:tc>
          <w:tcPr>
            <w:tcW w:w="2258" w:type="dxa"/>
            <w:shd w:val="clear" w:color="auto" w:fill="auto"/>
          </w:tcPr>
          <w:p w14:paraId="1F39EFC0" w14:textId="77777777" w:rsidR="00EE7D35" w:rsidRPr="003F6BC7" w:rsidRDefault="00EE7D35" w:rsidP="0090581D">
            <w:pPr>
              <w:rPr>
                <w:lang w:val="lt-LT"/>
              </w:rPr>
            </w:pPr>
            <w:r w:rsidRPr="003F6BC7">
              <w:rPr>
                <w:lang w:val="lt-LT"/>
              </w:rPr>
              <w:t>Labai dažnas</w:t>
            </w:r>
          </w:p>
        </w:tc>
        <w:tc>
          <w:tcPr>
            <w:tcW w:w="3934" w:type="dxa"/>
            <w:tcBorders>
              <w:bottom w:val="single" w:sz="4" w:space="0" w:color="auto"/>
            </w:tcBorders>
            <w:shd w:val="clear" w:color="auto" w:fill="auto"/>
          </w:tcPr>
          <w:p w14:paraId="0CAF627C" w14:textId="77777777" w:rsidR="00EE7D35" w:rsidRPr="003F6BC7" w:rsidRDefault="00EE7D35" w:rsidP="0090581D">
            <w:pPr>
              <w:rPr>
                <w:lang w:val="lt-LT"/>
              </w:rPr>
            </w:pPr>
            <w:r w:rsidRPr="003F6BC7">
              <w:rPr>
                <w:lang w:val="lt-LT"/>
              </w:rPr>
              <w:t>Galvos skausmas</w:t>
            </w:r>
          </w:p>
        </w:tc>
      </w:tr>
      <w:tr w:rsidR="00EE7D35" w:rsidRPr="003F6BC7" w14:paraId="5FAFBDE9" w14:textId="77777777" w:rsidTr="00464860">
        <w:tc>
          <w:tcPr>
            <w:tcW w:w="3095" w:type="dxa"/>
            <w:vMerge/>
            <w:shd w:val="clear" w:color="auto" w:fill="auto"/>
          </w:tcPr>
          <w:p w14:paraId="27B511F1" w14:textId="77777777" w:rsidR="00EE7D35" w:rsidRPr="003F6BC7" w:rsidRDefault="00EE7D35" w:rsidP="0090581D">
            <w:pPr>
              <w:rPr>
                <w:lang w:val="lt-LT"/>
              </w:rPr>
            </w:pPr>
          </w:p>
        </w:tc>
        <w:tc>
          <w:tcPr>
            <w:tcW w:w="2258" w:type="dxa"/>
            <w:vMerge w:val="restart"/>
            <w:shd w:val="clear" w:color="auto" w:fill="auto"/>
          </w:tcPr>
          <w:p w14:paraId="687E14F4" w14:textId="77777777" w:rsidR="00EE7D35" w:rsidRPr="003F6BC7" w:rsidRDefault="00EE7D35" w:rsidP="0090581D">
            <w:pPr>
              <w:rPr>
                <w:lang w:val="lt-LT"/>
              </w:rPr>
            </w:pPr>
            <w:r w:rsidRPr="003F6BC7">
              <w:rPr>
                <w:lang w:val="lt-LT"/>
              </w:rPr>
              <w:t>Dažnas</w:t>
            </w:r>
          </w:p>
        </w:tc>
        <w:tc>
          <w:tcPr>
            <w:tcW w:w="3934" w:type="dxa"/>
            <w:tcBorders>
              <w:bottom w:val="nil"/>
            </w:tcBorders>
            <w:shd w:val="clear" w:color="auto" w:fill="auto"/>
          </w:tcPr>
          <w:p w14:paraId="47F6BCA4" w14:textId="77777777" w:rsidR="00EE7D35" w:rsidRPr="003F6BC7" w:rsidRDefault="00EE7D35" w:rsidP="0090581D">
            <w:pPr>
              <w:rPr>
                <w:lang w:val="lt-LT"/>
              </w:rPr>
            </w:pPr>
            <w:r w:rsidRPr="003F6BC7">
              <w:rPr>
                <w:lang w:val="lt-LT"/>
              </w:rPr>
              <w:t>Svaigulys</w:t>
            </w:r>
          </w:p>
        </w:tc>
      </w:tr>
      <w:tr w:rsidR="00EE7D35" w:rsidRPr="003F6BC7" w14:paraId="6AFA1623" w14:textId="77777777" w:rsidTr="00464860">
        <w:tc>
          <w:tcPr>
            <w:tcW w:w="3095" w:type="dxa"/>
            <w:vMerge/>
            <w:shd w:val="clear" w:color="auto" w:fill="auto"/>
          </w:tcPr>
          <w:p w14:paraId="741587C8" w14:textId="77777777" w:rsidR="00EE7D35" w:rsidRPr="003F6BC7" w:rsidRDefault="00EE7D35" w:rsidP="0090581D">
            <w:pPr>
              <w:rPr>
                <w:lang w:val="lt-LT"/>
              </w:rPr>
            </w:pPr>
          </w:p>
        </w:tc>
        <w:tc>
          <w:tcPr>
            <w:tcW w:w="2258" w:type="dxa"/>
            <w:vMerge/>
            <w:shd w:val="clear" w:color="auto" w:fill="auto"/>
          </w:tcPr>
          <w:p w14:paraId="7906F252" w14:textId="77777777" w:rsidR="00EE7D35" w:rsidRPr="003F6BC7" w:rsidRDefault="00EE7D35" w:rsidP="0090581D">
            <w:pPr>
              <w:rPr>
                <w:lang w:val="lt-LT"/>
              </w:rPr>
            </w:pPr>
          </w:p>
        </w:tc>
        <w:tc>
          <w:tcPr>
            <w:tcW w:w="3934" w:type="dxa"/>
            <w:tcBorders>
              <w:top w:val="nil"/>
              <w:bottom w:val="nil"/>
            </w:tcBorders>
            <w:shd w:val="clear" w:color="auto" w:fill="auto"/>
          </w:tcPr>
          <w:p w14:paraId="1A8B3EEF" w14:textId="1D6F1A6C" w:rsidR="00EE7D35" w:rsidRPr="003F6BC7" w:rsidRDefault="00EE7D35" w:rsidP="0090581D">
            <w:pPr>
              <w:rPr>
                <w:lang w:val="lt-LT"/>
              </w:rPr>
            </w:pPr>
            <w:proofErr w:type="spellStart"/>
            <w:r w:rsidRPr="003F6BC7">
              <w:rPr>
                <w:lang w:val="lt-LT"/>
              </w:rPr>
              <w:t>Somnolencija</w:t>
            </w:r>
            <w:proofErr w:type="spellEnd"/>
          </w:p>
        </w:tc>
      </w:tr>
      <w:tr w:rsidR="00EE7D35" w:rsidRPr="003F6BC7" w14:paraId="50009EDD" w14:textId="77777777" w:rsidTr="00464860">
        <w:tc>
          <w:tcPr>
            <w:tcW w:w="3095" w:type="dxa"/>
            <w:vMerge/>
            <w:shd w:val="clear" w:color="auto" w:fill="auto"/>
          </w:tcPr>
          <w:p w14:paraId="17302937" w14:textId="77777777" w:rsidR="00EE7D35" w:rsidRPr="003F6BC7" w:rsidRDefault="00EE7D35" w:rsidP="0090581D">
            <w:pPr>
              <w:rPr>
                <w:lang w:val="lt-LT"/>
              </w:rPr>
            </w:pPr>
          </w:p>
        </w:tc>
        <w:tc>
          <w:tcPr>
            <w:tcW w:w="2258" w:type="dxa"/>
            <w:vMerge/>
            <w:shd w:val="clear" w:color="auto" w:fill="auto"/>
          </w:tcPr>
          <w:p w14:paraId="2DA9D70F" w14:textId="77777777" w:rsidR="00EE7D35" w:rsidRPr="003F6BC7" w:rsidRDefault="00EE7D35" w:rsidP="0090581D">
            <w:pPr>
              <w:rPr>
                <w:lang w:val="lt-LT"/>
              </w:rPr>
            </w:pPr>
          </w:p>
        </w:tc>
        <w:tc>
          <w:tcPr>
            <w:tcW w:w="3934" w:type="dxa"/>
            <w:tcBorders>
              <w:top w:val="nil"/>
              <w:bottom w:val="single" w:sz="4" w:space="0" w:color="auto"/>
            </w:tcBorders>
            <w:shd w:val="clear" w:color="auto" w:fill="auto"/>
          </w:tcPr>
          <w:p w14:paraId="67AC1724" w14:textId="77777777" w:rsidR="00EE7D35" w:rsidRPr="003F6BC7" w:rsidRDefault="00EE7D35" w:rsidP="0090581D">
            <w:pPr>
              <w:rPr>
                <w:lang w:val="lt-LT"/>
              </w:rPr>
            </w:pPr>
            <w:r w:rsidRPr="003F6BC7">
              <w:rPr>
                <w:lang w:val="lt-LT"/>
              </w:rPr>
              <w:t>Nemiga</w:t>
            </w:r>
          </w:p>
        </w:tc>
      </w:tr>
      <w:tr w:rsidR="00EE7D35" w:rsidRPr="003F6BC7" w14:paraId="1F170B0F" w14:textId="77777777" w:rsidTr="00464860">
        <w:tc>
          <w:tcPr>
            <w:tcW w:w="3095" w:type="dxa"/>
            <w:vMerge/>
            <w:shd w:val="clear" w:color="auto" w:fill="auto"/>
          </w:tcPr>
          <w:p w14:paraId="42DB5582" w14:textId="77777777" w:rsidR="00EE7D35" w:rsidRPr="003F6BC7" w:rsidRDefault="00EE7D35" w:rsidP="0090581D">
            <w:pPr>
              <w:rPr>
                <w:lang w:val="lt-LT"/>
              </w:rPr>
            </w:pPr>
          </w:p>
        </w:tc>
        <w:tc>
          <w:tcPr>
            <w:tcW w:w="2258" w:type="dxa"/>
            <w:vMerge w:val="restart"/>
            <w:shd w:val="clear" w:color="auto" w:fill="auto"/>
          </w:tcPr>
          <w:p w14:paraId="736C322B" w14:textId="77777777" w:rsidR="00EE7D35" w:rsidRPr="003F6BC7" w:rsidRDefault="00EE7D35" w:rsidP="0090581D">
            <w:pPr>
              <w:rPr>
                <w:lang w:val="lt-LT"/>
              </w:rPr>
            </w:pPr>
            <w:r w:rsidRPr="003F6BC7">
              <w:rPr>
                <w:lang w:val="lt-LT"/>
              </w:rPr>
              <w:t>Nedažnas</w:t>
            </w:r>
          </w:p>
        </w:tc>
        <w:tc>
          <w:tcPr>
            <w:tcW w:w="3934" w:type="dxa"/>
            <w:tcBorders>
              <w:bottom w:val="nil"/>
            </w:tcBorders>
            <w:shd w:val="clear" w:color="auto" w:fill="auto"/>
          </w:tcPr>
          <w:p w14:paraId="18CD8293" w14:textId="77777777" w:rsidR="00EE7D35" w:rsidRPr="003F6BC7" w:rsidRDefault="00464860" w:rsidP="0090581D">
            <w:pPr>
              <w:rPr>
                <w:lang w:val="lt-LT"/>
              </w:rPr>
            </w:pPr>
            <w:r w:rsidRPr="003F6BC7">
              <w:rPr>
                <w:lang w:val="lt-LT"/>
              </w:rPr>
              <w:t>Migrena</w:t>
            </w:r>
          </w:p>
        </w:tc>
      </w:tr>
      <w:tr w:rsidR="00EE7D35" w:rsidRPr="003F6BC7" w14:paraId="0D31C69E" w14:textId="77777777" w:rsidTr="00464860">
        <w:tc>
          <w:tcPr>
            <w:tcW w:w="3095" w:type="dxa"/>
            <w:vMerge/>
            <w:shd w:val="clear" w:color="auto" w:fill="auto"/>
          </w:tcPr>
          <w:p w14:paraId="52100721" w14:textId="77777777" w:rsidR="00EE7D35" w:rsidRPr="003F6BC7" w:rsidRDefault="00EE7D35" w:rsidP="0090581D">
            <w:pPr>
              <w:rPr>
                <w:lang w:val="lt-LT"/>
              </w:rPr>
            </w:pPr>
          </w:p>
        </w:tc>
        <w:tc>
          <w:tcPr>
            <w:tcW w:w="2258" w:type="dxa"/>
            <w:vMerge/>
            <w:shd w:val="clear" w:color="auto" w:fill="auto"/>
          </w:tcPr>
          <w:p w14:paraId="4BEE5E2B" w14:textId="77777777" w:rsidR="00EE7D35" w:rsidRPr="003F6BC7" w:rsidRDefault="00EE7D35" w:rsidP="0090581D">
            <w:pPr>
              <w:rPr>
                <w:lang w:val="lt-LT"/>
              </w:rPr>
            </w:pPr>
          </w:p>
        </w:tc>
        <w:tc>
          <w:tcPr>
            <w:tcW w:w="3934" w:type="dxa"/>
            <w:tcBorders>
              <w:top w:val="nil"/>
              <w:bottom w:val="nil"/>
            </w:tcBorders>
            <w:shd w:val="clear" w:color="auto" w:fill="auto"/>
          </w:tcPr>
          <w:p w14:paraId="129F8804" w14:textId="2AE8805C" w:rsidR="00EE7D35" w:rsidRPr="003F6BC7" w:rsidRDefault="00464860" w:rsidP="00396E79">
            <w:pPr>
              <w:rPr>
                <w:lang w:val="lt-LT"/>
              </w:rPr>
            </w:pPr>
            <w:proofErr w:type="spellStart"/>
            <w:r w:rsidRPr="003F6BC7">
              <w:rPr>
                <w:lang w:val="lt-LT"/>
              </w:rPr>
              <w:t>Par</w:t>
            </w:r>
            <w:r w:rsidR="00396E79">
              <w:rPr>
                <w:lang w:val="lt-LT"/>
              </w:rPr>
              <w:t>e</w:t>
            </w:r>
            <w:r w:rsidRPr="003F6BC7">
              <w:rPr>
                <w:lang w:val="lt-LT"/>
              </w:rPr>
              <w:t>stezija</w:t>
            </w:r>
            <w:proofErr w:type="spellEnd"/>
          </w:p>
        </w:tc>
      </w:tr>
      <w:tr w:rsidR="00EE7D35" w:rsidRPr="003F6BC7" w14:paraId="66BB5215" w14:textId="77777777" w:rsidTr="00464860">
        <w:tc>
          <w:tcPr>
            <w:tcW w:w="3095" w:type="dxa"/>
            <w:vMerge/>
            <w:shd w:val="clear" w:color="auto" w:fill="auto"/>
          </w:tcPr>
          <w:p w14:paraId="499D419D" w14:textId="77777777" w:rsidR="00EE7D35" w:rsidRPr="003F6BC7" w:rsidRDefault="00EE7D35" w:rsidP="0090581D">
            <w:pPr>
              <w:rPr>
                <w:lang w:val="lt-LT"/>
              </w:rPr>
            </w:pPr>
          </w:p>
        </w:tc>
        <w:tc>
          <w:tcPr>
            <w:tcW w:w="2258" w:type="dxa"/>
            <w:vMerge/>
            <w:shd w:val="clear" w:color="auto" w:fill="auto"/>
          </w:tcPr>
          <w:p w14:paraId="30EAEFF0" w14:textId="77777777" w:rsidR="00EE7D35" w:rsidRPr="003F6BC7" w:rsidRDefault="00EE7D35" w:rsidP="0090581D">
            <w:pPr>
              <w:rPr>
                <w:lang w:val="lt-LT"/>
              </w:rPr>
            </w:pPr>
          </w:p>
        </w:tc>
        <w:tc>
          <w:tcPr>
            <w:tcW w:w="3934" w:type="dxa"/>
            <w:tcBorders>
              <w:top w:val="nil"/>
            </w:tcBorders>
            <w:shd w:val="clear" w:color="auto" w:fill="auto"/>
          </w:tcPr>
          <w:p w14:paraId="4003A41A" w14:textId="77777777" w:rsidR="00EE7D35" w:rsidRPr="003F6BC7" w:rsidRDefault="00464860" w:rsidP="0090581D">
            <w:pPr>
              <w:rPr>
                <w:lang w:val="lt-LT"/>
              </w:rPr>
            </w:pPr>
            <w:r w:rsidRPr="003F6BC7">
              <w:rPr>
                <w:lang w:val="lt-LT"/>
              </w:rPr>
              <w:t>Neramių kojų sindromas*</w:t>
            </w:r>
          </w:p>
        </w:tc>
      </w:tr>
      <w:tr w:rsidR="00EE7D35" w:rsidRPr="003F6BC7" w14:paraId="59583664" w14:textId="77777777" w:rsidTr="00464860">
        <w:tc>
          <w:tcPr>
            <w:tcW w:w="3095" w:type="dxa"/>
            <w:vMerge/>
            <w:shd w:val="clear" w:color="auto" w:fill="auto"/>
          </w:tcPr>
          <w:p w14:paraId="3B48EB43" w14:textId="77777777" w:rsidR="00EE7D35" w:rsidRPr="003F6BC7" w:rsidRDefault="00EE7D35" w:rsidP="0090581D">
            <w:pPr>
              <w:rPr>
                <w:lang w:val="lt-LT"/>
              </w:rPr>
            </w:pPr>
          </w:p>
        </w:tc>
        <w:tc>
          <w:tcPr>
            <w:tcW w:w="2258" w:type="dxa"/>
            <w:shd w:val="clear" w:color="auto" w:fill="auto"/>
          </w:tcPr>
          <w:p w14:paraId="777637F0" w14:textId="77777777" w:rsidR="00EE7D35" w:rsidRPr="003F6BC7" w:rsidRDefault="00EE7D35" w:rsidP="0090581D">
            <w:pPr>
              <w:rPr>
                <w:lang w:val="lt-LT"/>
              </w:rPr>
            </w:pPr>
            <w:r w:rsidRPr="003F6BC7">
              <w:rPr>
                <w:lang w:val="lt-LT"/>
              </w:rPr>
              <w:t>Retas</w:t>
            </w:r>
          </w:p>
        </w:tc>
        <w:tc>
          <w:tcPr>
            <w:tcW w:w="3934" w:type="dxa"/>
            <w:shd w:val="clear" w:color="auto" w:fill="auto"/>
          </w:tcPr>
          <w:p w14:paraId="0D4CE0C9" w14:textId="77777777" w:rsidR="00EE7D35" w:rsidRPr="003F6BC7" w:rsidRDefault="00EE7D35" w:rsidP="0090581D">
            <w:pPr>
              <w:rPr>
                <w:lang w:val="lt-LT"/>
              </w:rPr>
            </w:pPr>
            <w:proofErr w:type="spellStart"/>
            <w:r w:rsidRPr="003F6BC7">
              <w:rPr>
                <w:lang w:val="lt-LT"/>
              </w:rPr>
              <w:t>Akatizija</w:t>
            </w:r>
            <w:proofErr w:type="spellEnd"/>
          </w:p>
        </w:tc>
      </w:tr>
      <w:tr w:rsidR="00EE7D35" w:rsidRPr="003F6BC7" w14:paraId="5DB26091" w14:textId="77777777" w:rsidTr="00464860">
        <w:tc>
          <w:tcPr>
            <w:tcW w:w="3095" w:type="dxa"/>
            <w:shd w:val="clear" w:color="auto" w:fill="auto"/>
          </w:tcPr>
          <w:p w14:paraId="282B7D16" w14:textId="77777777" w:rsidR="00EE7D35" w:rsidRPr="003F6BC7" w:rsidRDefault="00EE7D35" w:rsidP="0090581D">
            <w:pPr>
              <w:rPr>
                <w:lang w:val="lt-LT"/>
              </w:rPr>
            </w:pPr>
            <w:r w:rsidRPr="003F6BC7">
              <w:rPr>
                <w:lang w:val="lt-LT"/>
              </w:rPr>
              <w:t>Akių sutrikimai</w:t>
            </w:r>
          </w:p>
        </w:tc>
        <w:tc>
          <w:tcPr>
            <w:tcW w:w="2258" w:type="dxa"/>
            <w:shd w:val="clear" w:color="auto" w:fill="auto"/>
          </w:tcPr>
          <w:p w14:paraId="276A77E8" w14:textId="77777777" w:rsidR="00EE7D35" w:rsidRPr="003F6BC7" w:rsidRDefault="00EE7D35" w:rsidP="0090581D">
            <w:pPr>
              <w:rPr>
                <w:lang w:val="lt-LT"/>
              </w:rPr>
            </w:pPr>
            <w:r w:rsidRPr="003F6BC7">
              <w:rPr>
                <w:lang w:val="lt-LT"/>
              </w:rPr>
              <w:t>Nedažnas</w:t>
            </w:r>
          </w:p>
        </w:tc>
        <w:tc>
          <w:tcPr>
            <w:tcW w:w="3934" w:type="dxa"/>
            <w:shd w:val="clear" w:color="auto" w:fill="auto"/>
          </w:tcPr>
          <w:p w14:paraId="3A86BAA0" w14:textId="349121FD" w:rsidR="00EE7D35" w:rsidRPr="003F6BC7" w:rsidRDefault="0013139B" w:rsidP="0090581D">
            <w:pPr>
              <w:rPr>
                <w:lang w:val="lt-LT"/>
              </w:rPr>
            </w:pPr>
            <w:r>
              <w:rPr>
                <w:lang w:val="lt-LT"/>
              </w:rPr>
              <w:t>Neryškus matymas</w:t>
            </w:r>
          </w:p>
        </w:tc>
      </w:tr>
      <w:tr w:rsidR="00EE7D35" w:rsidRPr="003F6BC7" w14:paraId="6B235BC8" w14:textId="77777777" w:rsidTr="00464860">
        <w:tc>
          <w:tcPr>
            <w:tcW w:w="3095" w:type="dxa"/>
            <w:shd w:val="clear" w:color="auto" w:fill="auto"/>
          </w:tcPr>
          <w:p w14:paraId="1F2F8FB7" w14:textId="77777777" w:rsidR="00EE7D35" w:rsidRPr="003F6BC7" w:rsidRDefault="00EE7D35" w:rsidP="0090581D">
            <w:pPr>
              <w:rPr>
                <w:lang w:val="lt-LT"/>
              </w:rPr>
            </w:pPr>
            <w:r w:rsidRPr="003F6BC7">
              <w:rPr>
                <w:lang w:val="lt-LT"/>
              </w:rPr>
              <w:t>Ausų ir labirintų sutrikimai</w:t>
            </w:r>
          </w:p>
        </w:tc>
        <w:tc>
          <w:tcPr>
            <w:tcW w:w="2258" w:type="dxa"/>
            <w:shd w:val="clear" w:color="auto" w:fill="auto"/>
          </w:tcPr>
          <w:p w14:paraId="7EA92EAD" w14:textId="77777777" w:rsidR="00EE7D35" w:rsidRPr="003F6BC7" w:rsidRDefault="00EE7D35" w:rsidP="0090581D">
            <w:pPr>
              <w:rPr>
                <w:lang w:val="lt-LT"/>
              </w:rPr>
            </w:pPr>
            <w:r w:rsidRPr="003F6BC7">
              <w:rPr>
                <w:lang w:val="lt-LT"/>
              </w:rPr>
              <w:t>Nedažnas</w:t>
            </w:r>
          </w:p>
        </w:tc>
        <w:tc>
          <w:tcPr>
            <w:tcW w:w="3934" w:type="dxa"/>
            <w:tcBorders>
              <w:bottom w:val="single" w:sz="4" w:space="0" w:color="auto"/>
            </w:tcBorders>
            <w:shd w:val="clear" w:color="auto" w:fill="auto"/>
          </w:tcPr>
          <w:p w14:paraId="3B70A2D3" w14:textId="56731D1E" w:rsidR="00EE7D35" w:rsidRPr="003F6BC7" w:rsidRDefault="00EE7D35" w:rsidP="0013139B">
            <w:pPr>
              <w:rPr>
                <w:lang w:val="lt-LT"/>
              </w:rPr>
            </w:pPr>
            <w:r w:rsidRPr="003F6BC7">
              <w:rPr>
                <w:lang w:val="lt-LT"/>
              </w:rPr>
              <w:t>Ūžesys (</w:t>
            </w:r>
            <w:proofErr w:type="spellStart"/>
            <w:r w:rsidRPr="003F6BC7">
              <w:rPr>
                <w:i/>
                <w:lang w:val="lt-LT"/>
              </w:rPr>
              <w:t>tinnitus</w:t>
            </w:r>
            <w:proofErr w:type="spellEnd"/>
            <w:r w:rsidRPr="003F6BC7">
              <w:rPr>
                <w:lang w:val="lt-LT"/>
              </w:rPr>
              <w:t>)*</w:t>
            </w:r>
          </w:p>
        </w:tc>
      </w:tr>
      <w:tr w:rsidR="00EE7D35" w:rsidRPr="003F6BC7" w14:paraId="3F907F41" w14:textId="77777777" w:rsidTr="00464860">
        <w:tc>
          <w:tcPr>
            <w:tcW w:w="3095" w:type="dxa"/>
            <w:vMerge w:val="restart"/>
            <w:shd w:val="clear" w:color="auto" w:fill="auto"/>
          </w:tcPr>
          <w:p w14:paraId="4684ED69" w14:textId="77777777" w:rsidR="00EE7D35" w:rsidRPr="003F6BC7" w:rsidRDefault="00EE7D35" w:rsidP="0090581D">
            <w:pPr>
              <w:rPr>
                <w:lang w:val="lt-LT"/>
              </w:rPr>
            </w:pPr>
            <w:r w:rsidRPr="003F6BC7">
              <w:rPr>
                <w:lang w:val="lt-LT"/>
              </w:rPr>
              <w:t>Virškinimo trakto sutrikimai</w:t>
            </w:r>
          </w:p>
        </w:tc>
        <w:tc>
          <w:tcPr>
            <w:tcW w:w="2258" w:type="dxa"/>
            <w:vMerge w:val="restart"/>
            <w:shd w:val="clear" w:color="auto" w:fill="auto"/>
          </w:tcPr>
          <w:p w14:paraId="7494A265" w14:textId="77777777" w:rsidR="00EE7D35" w:rsidRPr="003F6BC7" w:rsidRDefault="00EE7D35" w:rsidP="0090581D">
            <w:pPr>
              <w:rPr>
                <w:lang w:val="lt-LT"/>
              </w:rPr>
            </w:pPr>
            <w:r w:rsidRPr="003F6BC7">
              <w:rPr>
                <w:lang w:val="lt-LT"/>
              </w:rPr>
              <w:t>Dažnas</w:t>
            </w:r>
          </w:p>
        </w:tc>
        <w:tc>
          <w:tcPr>
            <w:tcW w:w="3934" w:type="dxa"/>
            <w:tcBorders>
              <w:bottom w:val="nil"/>
            </w:tcBorders>
            <w:shd w:val="clear" w:color="auto" w:fill="auto"/>
          </w:tcPr>
          <w:p w14:paraId="0526E0F3" w14:textId="77777777" w:rsidR="00EE7D35" w:rsidRPr="003F6BC7" w:rsidRDefault="00EE7D35" w:rsidP="0090581D">
            <w:pPr>
              <w:rPr>
                <w:lang w:val="lt-LT"/>
              </w:rPr>
            </w:pPr>
            <w:r w:rsidRPr="003F6BC7">
              <w:rPr>
                <w:lang w:val="lt-LT"/>
              </w:rPr>
              <w:t>Pykinimas</w:t>
            </w:r>
          </w:p>
        </w:tc>
      </w:tr>
      <w:tr w:rsidR="00EE7D35" w:rsidRPr="003F6BC7" w14:paraId="5D1473A5" w14:textId="77777777" w:rsidTr="00464860">
        <w:tc>
          <w:tcPr>
            <w:tcW w:w="3095" w:type="dxa"/>
            <w:vMerge/>
            <w:shd w:val="clear" w:color="auto" w:fill="auto"/>
          </w:tcPr>
          <w:p w14:paraId="256EA433" w14:textId="77777777" w:rsidR="00EE7D35" w:rsidRPr="003F6BC7" w:rsidRDefault="00EE7D35" w:rsidP="0090581D">
            <w:pPr>
              <w:rPr>
                <w:lang w:val="lt-LT"/>
              </w:rPr>
            </w:pPr>
          </w:p>
        </w:tc>
        <w:tc>
          <w:tcPr>
            <w:tcW w:w="2258" w:type="dxa"/>
            <w:vMerge/>
            <w:shd w:val="clear" w:color="auto" w:fill="auto"/>
          </w:tcPr>
          <w:p w14:paraId="209E0C39" w14:textId="77777777" w:rsidR="00EE7D35" w:rsidRPr="003F6BC7" w:rsidRDefault="00EE7D35" w:rsidP="0090581D">
            <w:pPr>
              <w:rPr>
                <w:lang w:val="lt-LT"/>
              </w:rPr>
            </w:pPr>
          </w:p>
        </w:tc>
        <w:tc>
          <w:tcPr>
            <w:tcW w:w="3934" w:type="dxa"/>
            <w:tcBorders>
              <w:top w:val="nil"/>
              <w:bottom w:val="nil"/>
            </w:tcBorders>
            <w:shd w:val="clear" w:color="auto" w:fill="auto"/>
          </w:tcPr>
          <w:p w14:paraId="6A47BC6C" w14:textId="77777777" w:rsidR="00EE7D35" w:rsidRPr="003F6BC7" w:rsidRDefault="00EE7D35" w:rsidP="0090581D">
            <w:pPr>
              <w:rPr>
                <w:lang w:val="lt-LT"/>
              </w:rPr>
            </w:pPr>
            <w:r w:rsidRPr="003F6BC7">
              <w:rPr>
                <w:lang w:val="lt-LT"/>
              </w:rPr>
              <w:t>Viduriavimas</w:t>
            </w:r>
          </w:p>
        </w:tc>
      </w:tr>
      <w:tr w:rsidR="00EE7D35" w:rsidRPr="003F6BC7" w14:paraId="506286A1" w14:textId="77777777" w:rsidTr="00464860">
        <w:tc>
          <w:tcPr>
            <w:tcW w:w="3095" w:type="dxa"/>
            <w:vMerge/>
            <w:shd w:val="clear" w:color="auto" w:fill="auto"/>
          </w:tcPr>
          <w:p w14:paraId="74A556CE" w14:textId="77777777" w:rsidR="00EE7D35" w:rsidRPr="003F6BC7" w:rsidRDefault="00EE7D35" w:rsidP="0090581D">
            <w:pPr>
              <w:rPr>
                <w:lang w:val="lt-LT"/>
              </w:rPr>
            </w:pPr>
          </w:p>
        </w:tc>
        <w:tc>
          <w:tcPr>
            <w:tcW w:w="2258" w:type="dxa"/>
            <w:vMerge/>
            <w:shd w:val="clear" w:color="auto" w:fill="auto"/>
          </w:tcPr>
          <w:p w14:paraId="06002330" w14:textId="77777777" w:rsidR="00EE7D35" w:rsidRPr="003F6BC7" w:rsidRDefault="00EE7D35" w:rsidP="0090581D">
            <w:pPr>
              <w:rPr>
                <w:lang w:val="lt-LT"/>
              </w:rPr>
            </w:pPr>
          </w:p>
        </w:tc>
        <w:tc>
          <w:tcPr>
            <w:tcW w:w="3934" w:type="dxa"/>
            <w:tcBorders>
              <w:top w:val="nil"/>
              <w:bottom w:val="nil"/>
            </w:tcBorders>
            <w:shd w:val="clear" w:color="auto" w:fill="auto"/>
          </w:tcPr>
          <w:p w14:paraId="4E528FC6" w14:textId="77777777" w:rsidR="00EE7D35" w:rsidRPr="003F6BC7" w:rsidRDefault="00EE7D35" w:rsidP="0090581D">
            <w:pPr>
              <w:rPr>
                <w:lang w:val="lt-LT"/>
              </w:rPr>
            </w:pPr>
            <w:r w:rsidRPr="003F6BC7">
              <w:rPr>
                <w:lang w:val="lt-LT"/>
              </w:rPr>
              <w:t>Vidurių užkietėjimas</w:t>
            </w:r>
          </w:p>
        </w:tc>
      </w:tr>
      <w:tr w:rsidR="00EE7D35" w:rsidRPr="003F6BC7" w14:paraId="1CB18D8A" w14:textId="77777777" w:rsidTr="00464860">
        <w:tc>
          <w:tcPr>
            <w:tcW w:w="3095" w:type="dxa"/>
            <w:vMerge/>
            <w:shd w:val="clear" w:color="auto" w:fill="auto"/>
          </w:tcPr>
          <w:p w14:paraId="6ED3B74F" w14:textId="77777777" w:rsidR="00EE7D35" w:rsidRPr="003F6BC7" w:rsidRDefault="00EE7D35" w:rsidP="0090581D">
            <w:pPr>
              <w:rPr>
                <w:lang w:val="lt-LT"/>
              </w:rPr>
            </w:pPr>
          </w:p>
        </w:tc>
        <w:tc>
          <w:tcPr>
            <w:tcW w:w="2258" w:type="dxa"/>
            <w:vMerge/>
            <w:shd w:val="clear" w:color="auto" w:fill="auto"/>
          </w:tcPr>
          <w:p w14:paraId="4B2C5652" w14:textId="77777777" w:rsidR="00EE7D35" w:rsidRPr="003F6BC7" w:rsidRDefault="00EE7D35" w:rsidP="0090581D">
            <w:pPr>
              <w:rPr>
                <w:lang w:val="lt-LT"/>
              </w:rPr>
            </w:pPr>
          </w:p>
        </w:tc>
        <w:tc>
          <w:tcPr>
            <w:tcW w:w="3934" w:type="dxa"/>
            <w:tcBorders>
              <w:top w:val="nil"/>
              <w:bottom w:val="nil"/>
            </w:tcBorders>
            <w:shd w:val="clear" w:color="auto" w:fill="auto"/>
          </w:tcPr>
          <w:p w14:paraId="7EF8751B" w14:textId="77777777" w:rsidR="00EE7D35" w:rsidRPr="003F6BC7" w:rsidRDefault="00EE7D35" w:rsidP="0090581D">
            <w:pPr>
              <w:rPr>
                <w:lang w:val="lt-LT"/>
              </w:rPr>
            </w:pPr>
            <w:r w:rsidRPr="003F6BC7">
              <w:rPr>
                <w:lang w:val="lt-LT"/>
              </w:rPr>
              <w:t>Pilvo skausmas</w:t>
            </w:r>
          </w:p>
        </w:tc>
      </w:tr>
      <w:tr w:rsidR="00EE7D35" w:rsidRPr="003F6BC7" w14:paraId="1BE32723" w14:textId="77777777" w:rsidTr="00464860">
        <w:tc>
          <w:tcPr>
            <w:tcW w:w="3095" w:type="dxa"/>
            <w:vMerge/>
            <w:shd w:val="clear" w:color="auto" w:fill="auto"/>
          </w:tcPr>
          <w:p w14:paraId="628F9D01" w14:textId="77777777" w:rsidR="00EE7D35" w:rsidRPr="003F6BC7" w:rsidRDefault="00EE7D35" w:rsidP="0090581D">
            <w:pPr>
              <w:rPr>
                <w:lang w:val="lt-LT"/>
              </w:rPr>
            </w:pPr>
          </w:p>
        </w:tc>
        <w:tc>
          <w:tcPr>
            <w:tcW w:w="2258" w:type="dxa"/>
            <w:vMerge/>
            <w:shd w:val="clear" w:color="auto" w:fill="auto"/>
          </w:tcPr>
          <w:p w14:paraId="3A872035" w14:textId="77777777" w:rsidR="00EE7D35" w:rsidRPr="003F6BC7" w:rsidRDefault="00EE7D35" w:rsidP="0090581D">
            <w:pPr>
              <w:rPr>
                <w:lang w:val="lt-LT"/>
              </w:rPr>
            </w:pPr>
          </w:p>
        </w:tc>
        <w:tc>
          <w:tcPr>
            <w:tcW w:w="3934" w:type="dxa"/>
            <w:tcBorders>
              <w:top w:val="nil"/>
            </w:tcBorders>
            <w:shd w:val="clear" w:color="auto" w:fill="auto"/>
          </w:tcPr>
          <w:p w14:paraId="6CEB59DB" w14:textId="77777777" w:rsidR="00EE7D35" w:rsidRPr="003F6BC7" w:rsidRDefault="00EE7D35" w:rsidP="0090581D">
            <w:pPr>
              <w:rPr>
                <w:lang w:val="lt-LT"/>
              </w:rPr>
            </w:pPr>
            <w:r w:rsidRPr="003F6BC7">
              <w:rPr>
                <w:lang w:val="lt-LT"/>
              </w:rPr>
              <w:t>Vėmimas*</w:t>
            </w:r>
          </w:p>
        </w:tc>
      </w:tr>
      <w:tr w:rsidR="00EE7D35" w:rsidRPr="00151B1E" w14:paraId="6C695D7B" w14:textId="77777777" w:rsidTr="00464860">
        <w:trPr>
          <w:trHeight w:val="1134"/>
        </w:trPr>
        <w:tc>
          <w:tcPr>
            <w:tcW w:w="3095" w:type="dxa"/>
            <w:vMerge w:val="restart"/>
            <w:shd w:val="clear" w:color="auto" w:fill="auto"/>
          </w:tcPr>
          <w:p w14:paraId="746137DD" w14:textId="77777777" w:rsidR="00EE7D35" w:rsidRPr="003F6BC7" w:rsidRDefault="00EE7D35" w:rsidP="0090581D">
            <w:pPr>
              <w:rPr>
                <w:lang w:val="lt-LT"/>
              </w:rPr>
            </w:pPr>
            <w:r w:rsidRPr="003F6BC7">
              <w:rPr>
                <w:lang w:val="lt-LT"/>
              </w:rPr>
              <w:t>Kepenų, tulžies pūslės ir latakų sutrikimai</w:t>
            </w:r>
          </w:p>
        </w:tc>
        <w:tc>
          <w:tcPr>
            <w:tcW w:w="2258" w:type="dxa"/>
            <w:shd w:val="clear" w:color="auto" w:fill="auto"/>
          </w:tcPr>
          <w:p w14:paraId="50A9046F" w14:textId="77777777" w:rsidR="00EE7D35" w:rsidRPr="003F6BC7" w:rsidRDefault="00EE7D35" w:rsidP="0090581D">
            <w:pPr>
              <w:rPr>
                <w:lang w:val="lt-LT"/>
              </w:rPr>
            </w:pPr>
            <w:r w:rsidRPr="003F6BC7">
              <w:rPr>
                <w:lang w:val="lt-LT"/>
              </w:rPr>
              <w:t>Dažnas</w:t>
            </w:r>
          </w:p>
        </w:tc>
        <w:tc>
          <w:tcPr>
            <w:tcW w:w="3934" w:type="dxa"/>
            <w:shd w:val="clear" w:color="auto" w:fill="auto"/>
          </w:tcPr>
          <w:p w14:paraId="7F1BE692" w14:textId="495E5C9F" w:rsidR="00EE7D35" w:rsidRPr="003F6BC7" w:rsidRDefault="00EE7D35" w:rsidP="0013139B">
            <w:pPr>
              <w:rPr>
                <w:lang w:val="lt-LT"/>
              </w:rPr>
            </w:pPr>
            <w:r w:rsidRPr="003F6BC7">
              <w:rPr>
                <w:lang w:val="lt-LT"/>
              </w:rPr>
              <w:t xml:space="preserve">Padidėjęs ALT ir (ar) AST aktyvumas (klinikiniuose tyrimuose ALT ir (ar) AST aktyvumo padidėjimas, &gt; 3 kartus viršijantis viršutinę normos ribą, nustatytas 1,2% pacientų, gydytų 25 mg </w:t>
            </w:r>
            <w:proofErr w:type="spellStart"/>
            <w:r w:rsidRPr="003F6BC7">
              <w:rPr>
                <w:lang w:val="lt-LT"/>
              </w:rPr>
              <w:t>agomelatino</w:t>
            </w:r>
            <w:proofErr w:type="spellEnd"/>
            <w:r w:rsidRPr="003F6BC7">
              <w:rPr>
                <w:lang w:val="lt-LT"/>
              </w:rPr>
              <w:t xml:space="preserve"> paros doze, ir 2,6% pacientų, gydytų 50 mg </w:t>
            </w:r>
            <w:proofErr w:type="spellStart"/>
            <w:r w:rsidRPr="003F6BC7">
              <w:rPr>
                <w:lang w:val="lt-LT"/>
              </w:rPr>
              <w:t>agomelatino</w:t>
            </w:r>
            <w:proofErr w:type="spellEnd"/>
            <w:r w:rsidRPr="003F6BC7">
              <w:rPr>
                <w:lang w:val="lt-LT"/>
              </w:rPr>
              <w:t xml:space="preserve"> paros doze, palyginti su 0,5%</w:t>
            </w:r>
            <w:r w:rsidR="0013139B">
              <w:rPr>
                <w:lang w:val="lt-LT"/>
              </w:rPr>
              <w:t xml:space="preserve"> pacientų</w:t>
            </w:r>
            <w:r w:rsidRPr="003F6BC7">
              <w:rPr>
                <w:lang w:val="lt-LT"/>
              </w:rPr>
              <w:t xml:space="preserve"> vartoj</w:t>
            </w:r>
            <w:r w:rsidR="0013139B">
              <w:rPr>
                <w:lang w:val="lt-LT"/>
              </w:rPr>
              <w:t>usių</w:t>
            </w:r>
            <w:r w:rsidRPr="003F6BC7">
              <w:rPr>
                <w:lang w:val="lt-LT"/>
              </w:rPr>
              <w:t xml:space="preserve"> placebą). </w:t>
            </w:r>
          </w:p>
        </w:tc>
      </w:tr>
      <w:tr w:rsidR="00EE7D35" w:rsidRPr="00151B1E" w14:paraId="36E1BA29" w14:textId="77777777" w:rsidTr="00464860">
        <w:tc>
          <w:tcPr>
            <w:tcW w:w="3095" w:type="dxa"/>
            <w:vMerge/>
            <w:shd w:val="clear" w:color="auto" w:fill="auto"/>
          </w:tcPr>
          <w:p w14:paraId="21342DFF" w14:textId="77777777" w:rsidR="00EE7D35" w:rsidRPr="003F6BC7" w:rsidRDefault="00EE7D35" w:rsidP="0090581D">
            <w:pPr>
              <w:rPr>
                <w:lang w:val="lt-LT"/>
              </w:rPr>
            </w:pPr>
          </w:p>
        </w:tc>
        <w:tc>
          <w:tcPr>
            <w:tcW w:w="2258" w:type="dxa"/>
            <w:shd w:val="clear" w:color="auto" w:fill="auto"/>
          </w:tcPr>
          <w:p w14:paraId="69D56248" w14:textId="77777777" w:rsidR="00EE7D35" w:rsidRPr="003F6BC7" w:rsidRDefault="00EE7D35" w:rsidP="0090581D">
            <w:pPr>
              <w:rPr>
                <w:lang w:val="lt-LT"/>
              </w:rPr>
            </w:pPr>
            <w:r w:rsidRPr="003F6BC7">
              <w:rPr>
                <w:lang w:val="lt-LT"/>
              </w:rPr>
              <w:t>Nedažnas</w:t>
            </w:r>
          </w:p>
        </w:tc>
        <w:tc>
          <w:tcPr>
            <w:tcW w:w="3934" w:type="dxa"/>
            <w:tcBorders>
              <w:bottom w:val="single" w:sz="4" w:space="0" w:color="auto"/>
            </w:tcBorders>
            <w:shd w:val="clear" w:color="auto" w:fill="auto"/>
          </w:tcPr>
          <w:p w14:paraId="3A284B68" w14:textId="4414272A" w:rsidR="00EE7D35" w:rsidRPr="003F6BC7" w:rsidRDefault="00EE7D35" w:rsidP="0013139B">
            <w:pPr>
              <w:rPr>
                <w:lang w:val="lt-LT"/>
              </w:rPr>
            </w:pPr>
            <w:r w:rsidRPr="003F6BC7">
              <w:rPr>
                <w:lang w:val="lt-LT"/>
              </w:rPr>
              <w:t xml:space="preserve">Padidėjęs gama </w:t>
            </w:r>
            <w:proofErr w:type="spellStart"/>
            <w:r w:rsidRPr="003F6BC7">
              <w:rPr>
                <w:lang w:val="lt-LT"/>
              </w:rPr>
              <w:t>gliutamiltransfer</w:t>
            </w:r>
            <w:r w:rsidR="00166143">
              <w:rPr>
                <w:lang w:val="lt-LT"/>
              </w:rPr>
              <w:t>a</w:t>
            </w:r>
            <w:r w:rsidRPr="003F6BC7">
              <w:rPr>
                <w:lang w:val="lt-LT"/>
              </w:rPr>
              <w:t>zės</w:t>
            </w:r>
            <w:proofErr w:type="spellEnd"/>
            <w:r w:rsidRPr="003F6BC7">
              <w:rPr>
                <w:lang w:val="lt-LT"/>
              </w:rPr>
              <w:t xml:space="preserve"> * (GGT) aktyvumas (&gt; 3</w:t>
            </w:r>
            <w:r w:rsidR="0013139B">
              <w:rPr>
                <w:lang w:val="lt-LT"/>
              </w:rPr>
              <w:t xml:space="preserve"> </w:t>
            </w:r>
            <w:r w:rsidRPr="003F6BC7">
              <w:rPr>
                <w:lang w:val="lt-LT"/>
              </w:rPr>
              <w:t>kartus viršijantis viršutinę normos ribą)</w:t>
            </w:r>
          </w:p>
        </w:tc>
      </w:tr>
      <w:tr w:rsidR="00EE7D35" w:rsidRPr="003F6BC7" w14:paraId="43F76655" w14:textId="77777777" w:rsidTr="00464860">
        <w:tc>
          <w:tcPr>
            <w:tcW w:w="3095" w:type="dxa"/>
            <w:vMerge/>
            <w:shd w:val="clear" w:color="auto" w:fill="auto"/>
          </w:tcPr>
          <w:p w14:paraId="0CAF8785" w14:textId="77777777" w:rsidR="00EE7D35" w:rsidRPr="003F6BC7" w:rsidRDefault="00EE7D35" w:rsidP="0090581D">
            <w:pPr>
              <w:rPr>
                <w:lang w:val="lt-LT"/>
              </w:rPr>
            </w:pPr>
          </w:p>
        </w:tc>
        <w:tc>
          <w:tcPr>
            <w:tcW w:w="2258" w:type="dxa"/>
            <w:vMerge w:val="restart"/>
            <w:shd w:val="clear" w:color="auto" w:fill="auto"/>
          </w:tcPr>
          <w:p w14:paraId="44EEBDE0" w14:textId="77777777" w:rsidR="00EE7D35" w:rsidRPr="003F6BC7" w:rsidRDefault="00EE7D35" w:rsidP="0090581D">
            <w:pPr>
              <w:rPr>
                <w:lang w:val="lt-LT"/>
              </w:rPr>
            </w:pPr>
            <w:r w:rsidRPr="003F6BC7">
              <w:rPr>
                <w:lang w:val="lt-LT"/>
              </w:rPr>
              <w:t>Retas</w:t>
            </w:r>
          </w:p>
        </w:tc>
        <w:tc>
          <w:tcPr>
            <w:tcW w:w="3934" w:type="dxa"/>
            <w:tcBorders>
              <w:bottom w:val="nil"/>
            </w:tcBorders>
            <w:shd w:val="clear" w:color="auto" w:fill="auto"/>
          </w:tcPr>
          <w:p w14:paraId="15F71BEF" w14:textId="77777777" w:rsidR="00EE7D35" w:rsidRPr="003F6BC7" w:rsidRDefault="00EE7D35" w:rsidP="0090581D">
            <w:pPr>
              <w:rPr>
                <w:lang w:val="lt-LT"/>
              </w:rPr>
            </w:pPr>
            <w:r w:rsidRPr="003F6BC7">
              <w:rPr>
                <w:lang w:val="lt-LT"/>
              </w:rPr>
              <w:t>Hepatitas</w:t>
            </w:r>
          </w:p>
        </w:tc>
      </w:tr>
      <w:tr w:rsidR="00EE7D35" w:rsidRPr="00151B1E" w14:paraId="7B78FB48" w14:textId="77777777" w:rsidTr="00464860">
        <w:tc>
          <w:tcPr>
            <w:tcW w:w="3095" w:type="dxa"/>
            <w:vMerge/>
            <w:shd w:val="clear" w:color="auto" w:fill="auto"/>
          </w:tcPr>
          <w:p w14:paraId="051DA1CD" w14:textId="77777777" w:rsidR="00EE7D35" w:rsidRPr="003F6BC7" w:rsidRDefault="00EE7D35" w:rsidP="0090581D">
            <w:pPr>
              <w:rPr>
                <w:lang w:val="lt-LT"/>
              </w:rPr>
            </w:pPr>
          </w:p>
        </w:tc>
        <w:tc>
          <w:tcPr>
            <w:tcW w:w="2258" w:type="dxa"/>
            <w:vMerge/>
            <w:shd w:val="clear" w:color="auto" w:fill="auto"/>
          </w:tcPr>
          <w:p w14:paraId="5CD4DD8F" w14:textId="77777777" w:rsidR="00EE7D35" w:rsidRPr="003F6BC7" w:rsidRDefault="00EE7D35" w:rsidP="0090581D">
            <w:pPr>
              <w:rPr>
                <w:lang w:val="lt-LT"/>
              </w:rPr>
            </w:pPr>
          </w:p>
        </w:tc>
        <w:tc>
          <w:tcPr>
            <w:tcW w:w="3934" w:type="dxa"/>
            <w:tcBorders>
              <w:top w:val="nil"/>
              <w:bottom w:val="nil"/>
            </w:tcBorders>
            <w:shd w:val="clear" w:color="auto" w:fill="auto"/>
          </w:tcPr>
          <w:p w14:paraId="6D44979B" w14:textId="77777777" w:rsidR="00EE7D35" w:rsidRPr="003F6BC7" w:rsidRDefault="00EE7D35" w:rsidP="0090581D">
            <w:pPr>
              <w:rPr>
                <w:lang w:val="lt-LT"/>
              </w:rPr>
            </w:pPr>
            <w:r w:rsidRPr="003F6BC7">
              <w:rPr>
                <w:lang w:val="lt-LT"/>
              </w:rPr>
              <w:t>Padidėjęs šarminės fosfatazės aktyvumas* (&gt; 3 kartus viršijantis viršutinę normos ribą)</w:t>
            </w:r>
          </w:p>
        </w:tc>
      </w:tr>
      <w:tr w:rsidR="00EE7D35" w:rsidRPr="003F6BC7" w14:paraId="4165BA77" w14:textId="77777777" w:rsidTr="00464860">
        <w:tc>
          <w:tcPr>
            <w:tcW w:w="3095" w:type="dxa"/>
            <w:vMerge/>
            <w:shd w:val="clear" w:color="auto" w:fill="auto"/>
          </w:tcPr>
          <w:p w14:paraId="6B4D0199" w14:textId="77777777" w:rsidR="00EE7D35" w:rsidRPr="003F6BC7" w:rsidRDefault="00EE7D35" w:rsidP="0090581D">
            <w:pPr>
              <w:rPr>
                <w:lang w:val="lt-LT"/>
              </w:rPr>
            </w:pPr>
          </w:p>
        </w:tc>
        <w:tc>
          <w:tcPr>
            <w:tcW w:w="2258" w:type="dxa"/>
            <w:vMerge/>
            <w:shd w:val="clear" w:color="auto" w:fill="auto"/>
          </w:tcPr>
          <w:p w14:paraId="044341F2" w14:textId="77777777" w:rsidR="00EE7D35" w:rsidRPr="003F6BC7" w:rsidRDefault="00EE7D35" w:rsidP="0090581D">
            <w:pPr>
              <w:rPr>
                <w:lang w:val="lt-LT"/>
              </w:rPr>
            </w:pPr>
          </w:p>
        </w:tc>
        <w:tc>
          <w:tcPr>
            <w:tcW w:w="3934" w:type="dxa"/>
            <w:tcBorders>
              <w:top w:val="nil"/>
              <w:bottom w:val="nil"/>
            </w:tcBorders>
            <w:shd w:val="clear" w:color="auto" w:fill="auto"/>
          </w:tcPr>
          <w:p w14:paraId="2345A207" w14:textId="77777777" w:rsidR="00EE7D35" w:rsidRPr="003F6BC7" w:rsidRDefault="00EE7D35" w:rsidP="0090581D">
            <w:pPr>
              <w:rPr>
                <w:lang w:val="lt-LT"/>
              </w:rPr>
            </w:pPr>
            <w:r w:rsidRPr="003F6BC7">
              <w:rPr>
                <w:lang w:val="lt-LT"/>
              </w:rPr>
              <w:t>Kepenų nepakankamumas*(1)</w:t>
            </w:r>
          </w:p>
        </w:tc>
      </w:tr>
      <w:tr w:rsidR="00EE7D35" w:rsidRPr="003F6BC7" w14:paraId="5671164C" w14:textId="77777777" w:rsidTr="00464860">
        <w:tc>
          <w:tcPr>
            <w:tcW w:w="3095" w:type="dxa"/>
            <w:vMerge/>
            <w:shd w:val="clear" w:color="auto" w:fill="auto"/>
          </w:tcPr>
          <w:p w14:paraId="76AF2B7D" w14:textId="77777777" w:rsidR="00EE7D35" w:rsidRPr="003F6BC7" w:rsidRDefault="00EE7D35" w:rsidP="0090581D">
            <w:pPr>
              <w:rPr>
                <w:lang w:val="lt-LT"/>
              </w:rPr>
            </w:pPr>
          </w:p>
        </w:tc>
        <w:tc>
          <w:tcPr>
            <w:tcW w:w="2258" w:type="dxa"/>
            <w:vMerge/>
            <w:shd w:val="clear" w:color="auto" w:fill="auto"/>
          </w:tcPr>
          <w:p w14:paraId="39244675" w14:textId="77777777" w:rsidR="00EE7D35" w:rsidRPr="003F6BC7" w:rsidRDefault="00EE7D35" w:rsidP="0090581D">
            <w:pPr>
              <w:rPr>
                <w:lang w:val="lt-LT"/>
              </w:rPr>
            </w:pPr>
          </w:p>
        </w:tc>
        <w:tc>
          <w:tcPr>
            <w:tcW w:w="3934" w:type="dxa"/>
            <w:tcBorders>
              <w:top w:val="nil"/>
              <w:bottom w:val="single" w:sz="4" w:space="0" w:color="auto"/>
            </w:tcBorders>
            <w:shd w:val="clear" w:color="auto" w:fill="auto"/>
          </w:tcPr>
          <w:p w14:paraId="3FAFCDA5" w14:textId="77777777" w:rsidR="00EE7D35" w:rsidRPr="003F6BC7" w:rsidRDefault="00EE7D35" w:rsidP="0090581D">
            <w:pPr>
              <w:rPr>
                <w:lang w:val="lt-LT"/>
              </w:rPr>
            </w:pPr>
            <w:r w:rsidRPr="003F6BC7">
              <w:rPr>
                <w:lang w:val="lt-LT"/>
              </w:rPr>
              <w:t>Gelta*</w:t>
            </w:r>
          </w:p>
        </w:tc>
      </w:tr>
      <w:tr w:rsidR="00EE7D35" w:rsidRPr="003F6BC7" w14:paraId="358F0DD8" w14:textId="77777777" w:rsidTr="0090581D">
        <w:tc>
          <w:tcPr>
            <w:tcW w:w="3095" w:type="dxa"/>
            <w:vMerge w:val="restart"/>
            <w:shd w:val="clear" w:color="auto" w:fill="auto"/>
          </w:tcPr>
          <w:p w14:paraId="4B7135E7" w14:textId="77777777" w:rsidR="00EE7D35" w:rsidRPr="003F6BC7" w:rsidRDefault="00EE7D35" w:rsidP="0090581D">
            <w:pPr>
              <w:rPr>
                <w:lang w:val="lt-LT" w:eastAsia="lt-LT"/>
              </w:rPr>
            </w:pPr>
            <w:r w:rsidRPr="003F6BC7">
              <w:rPr>
                <w:lang w:val="lt-LT" w:eastAsia="lt-LT"/>
              </w:rPr>
              <w:t>Odos ir poodinio audinio sutrikimai</w:t>
            </w:r>
          </w:p>
        </w:tc>
        <w:tc>
          <w:tcPr>
            <w:tcW w:w="2258" w:type="dxa"/>
            <w:vMerge w:val="restart"/>
            <w:shd w:val="clear" w:color="auto" w:fill="auto"/>
          </w:tcPr>
          <w:p w14:paraId="512DC605" w14:textId="77777777" w:rsidR="00EE7D35" w:rsidRPr="003F6BC7" w:rsidRDefault="00EE7D35" w:rsidP="0090581D">
            <w:pPr>
              <w:rPr>
                <w:lang w:val="lt-LT" w:eastAsia="lt-LT"/>
              </w:rPr>
            </w:pPr>
            <w:r w:rsidRPr="003F6BC7">
              <w:rPr>
                <w:lang w:val="lt-LT" w:eastAsia="lt-LT"/>
              </w:rPr>
              <w:t>Nedažnas</w:t>
            </w:r>
          </w:p>
        </w:tc>
        <w:tc>
          <w:tcPr>
            <w:tcW w:w="3934" w:type="dxa"/>
            <w:shd w:val="clear" w:color="auto" w:fill="auto"/>
          </w:tcPr>
          <w:p w14:paraId="64128541" w14:textId="542F4335" w:rsidR="00EE7D35" w:rsidRPr="003F6BC7" w:rsidRDefault="0013139B" w:rsidP="0090581D">
            <w:pPr>
              <w:rPr>
                <w:lang w:val="lt-LT" w:eastAsia="lt-LT"/>
              </w:rPr>
            </w:pPr>
            <w:proofErr w:type="spellStart"/>
            <w:r>
              <w:rPr>
                <w:lang w:val="lt-LT" w:eastAsia="lt-LT"/>
              </w:rPr>
              <w:t>Hiperhidrozė</w:t>
            </w:r>
            <w:proofErr w:type="spellEnd"/>
          </w:p>
        </w:tc>
      </w:tr>
      <w:tr w:rsidR="00EE7D35" w:rsidRPr="003F6BC7" w14:paraId="6D8A8E87" w14:textId="77777777" w:rsidTr="0090581D">
        <w:tc>
          <w:tcPr>
            <w:tcW w:w="3095" w:type="dxa"/>
            <w:vMerge/>
            <w:shd w:val="clear" w:color="auto" w:fill="auto"/>
          </w:tcPr>
          <w:p w14:paraId="4C12DB47" w14:textId="77777777" w:rsidR="00EE7D35" w:rsidRPr="003F6BC7" w:rsidRDefault="00EE7D35" w:rsidP="0090581D">
            <w:pPr>
              <w:rPr>
                <w:lang w:val="lt-LT" w:eastAsia="lt-LT"/>
              </w:rPr>
            </w:pPr>
          </w:p>
        </w:tc>
        <w:tc>
          <w:tcPr>
            <w:tcW w:w="2258" w:type="dxa"/>
            <w:vMerge/>
            <w:shd w:val="clear" w:color="auto" w:fill="auto"/>
          </w:tcPr>
          <w:p w14:paraId="0A731B65" w14:textId="77777777" w:rsidR="00EE7D35" w:rsidRPr="003F6BC7" w:rsidRDefault="00EE7D35" w:rsidP="0090581D">
            <w:pPr>
              <w:rPr>
                <w:lang w:val="lt-LT" w:eastAsia="lt-LT"/>
              </w:rPr>
            </w:pPr>
          </w:p>
        </w:tc>
        <w:tc>
          <w:tcPr>
            <w:tcW w:w="3934" w:type="dxa"/>
            <w:shd w:val="clear" w:color="auto" w:fill="auto"/>
          </w:tcPr>
          <w:p w14:paraId="7CEEBB0B" w14:textId="77777777" w:rsidR="00EE7D35" w:rsidRPr="003F6BC7" w:rsidRDefault="00464860" w:rsidP="0090581D">
            <w:pPr>
              <w:rPr>
                <w:lang w:val="lt-LT" w:eastAsia="lt-LT"/>
              </w:rPr>
            </w:pPr>
            <w:r w:rsidRPr="003F6BC7">
              <w:rPr>
                <w:lang w:val="lt-LT" w:eastAsia="lt-LT"/>
              </w:rPr>
              <w:t>Egzema</w:t>
            </w:r>
          </w:p>
        </w:tc>
      </w:tr>
      <w:tr w:rsidR="00EE7D35" w:rsidRPr="003F6BC7" w14:paraId="7F56ACA8" w14:textId="77777777" w:rsidTr="0090581D">
        <w:tc>
          <w:tcPr>
            <w:tcW w:w="3095" w:type="dxa"/>
            <w:vMerge/>
            <w:shd w:val="clear" w:color="auto" w:fill="auto"/>
          </w:tcPr>
          <w:p w14:paraId="778AC2DB" w14:textId="77777777" w:rsidR="00EE7D35" w:rsidRPr="003F6BC7" w:rsidRDefault="00EE7D35" w:rsidP="0090581D">
            <w:pPr>
              <w:rPr>
                <w:lang w:val="lt-LT" w:eastAsia="lt-LT"/>
              </w:rPr>
            </w:pPr>
          </w:p>
        </w:tc>
        <w:tc>
          <w:tcPr>
            <w:tcW w:w="2258" w:type="dxa"/>
            <w:vMerge/>
            <w:shd w:val="clear" w:color="auto" w:fill="auto"/>
          </w:tcPr>
          <w:p w14:paraId="21624877" w14:textId="77777777" w:rsidR="00EE7D35" w:rsidRPr="003F6BC7" w:rsidRDefault="00EE7D35" w:rsidP="0090581D">
            <w:pPr>
              <w:rPr>
                <w:lang w:val="lt-LT" w:eastAsia="lt-LT"/>
              </w:rPr>
            </w:pPr>
          </w:p>
        </w:tc>
        <w:tc>
          <w:tcPr>
            <w:tcW w:w="3934" w:type="dxa"/>
            <w:shd w:val="clear" w:color="auto" w:fill="auto"/>
          </w:tcPr>
          <w:p w14:paraId="5282CF47" w14:textId="77777777" w:rsidR="00EE7D35" w:rsidRPr="003F6BC7" w:rsidRDefault="00EE7D35" w:rsidP="0090581D">
            <w:pPr>
              <w:rPr>
                <w:lang w:val="lt-LT" w:eastAsia="lt-LT"/>
              </w:rPr>
            </w:pPr>
            <w:r w:rsidRPr="003F6BC7">
              <w:rPr>
                <w:lang w:val="lt-LT" w:eastAsia="lt-LT"/>
              </w:rPr>
              <w:t>Niežėjimas*</w:t>
            </w:r>
          </w:p>
        </w:tc>
      </w:tr>
      <w:tr w:rsidR="00EE7D35" w:rsidRPr="003F6BC7" w14:paraId="1B65844B" w14:textId="77777777" w:rsidTr="00464860">
        <w:tc>
          <w:tcPr>
            <w:tcW w:w="3095" w:type="dxa"/>
            <w:vMerge/>
            <w:shd w:val="clear" w:color="auto" w:fill="auto"/>
          </w:tcPr>
          <w:p w14:paraId="3B2AAF61" w14:textId="77777777" w:rsidR="00EE7D35" w:rsidRPr="003F6BC7" w:rsidRDefault="00EE7D35" w:rsidP="0090581D">
            <w:pPr>
              <w:rPr>
                <w:lang w:val="lt-LT" w:eastAsia="lt-LT"/>
              </w:rPr>
            </w:pPr>
          </w:p>
        </w:tc>
        <w:tc>
          <w:tcPr>
            <w:tcW w:w="2258" w:type="dxa"/>
            <w:vMerge/>
            <w:shd w:val="clear" w:color="auto" w:fill="auto"/>
          </w:tcPr>
          <w:p w14:paraId="6F96E9F0" w14:textId="77777777" w:rsidR="00EE7D35" w:rsidRPr="003F6BC7" w:rsidRDefault="00EE7D35" w:rsidP="0090581D">
            <w:pPr>
              <w:rPr>
                <w:lang w:val="lt-LT" w:eastAsia="lt-LT"/>
              </w:rPr>
            </w:pPr>
          </w:p>
        </w:tc>
        <w:tc>
          <w:tcPr>
            <w:tcW w:w="3934" w:type="dxa"/>
            <w:tcBorders>
              <w:bottom w:val="single" w:sz="4" w:space="0" w:color="auto"/>
            </w:tcBorders>
            <w:shd w:val="clear" w:color="auto" w:fill="auto"/>
          </w:tcPr>
          <w:p w14:paraId="0B9983E4" w14:textId="77777777" w:rsidR="00EE7D35" w:rsidRPr="003F6BC7" w:rsidRDefault="00EE7D35" w:rsidP="0090581D">
            <w:pPr>
              <w:rPr>
                <w:lang w:val="lt-LT" w:eastAsia="lt-LT"/>
              </w:rPr>
            </w:pPr>
            <w:r w:rsidRPr="003F6BC7">
              <w:rPr>
                <w:lang w:val="lt-LT" w:eastAsia="lt-LT"/>
              </w:rPr>
              <w:t>Dilgėlinė*</w:t>
            </w:r>
          </w:p>
        </w:tc>
      </w:tr>
      <w:tr w:rsidR="00EE7D35" w:rsidRPr="003F6BC7" w14:paraId="1EC3B72E" w14:textId="77777777" w:rsidTr="00464860">
        <w:tc>
          <w:tcPr>
            <w:tcW w:w="3095" w:type="dxa"/>
            <w:vMerge/>
            <w:shd w:val="clear" w:color="auto" w:fill="auto"/>
          </w:tcPr>
          <w:p w14:paraId="2090E925" w14:textId="77777777" w:rsidR="00EE7D35" w:rsidRPr="003F6BC7" w:rsidRDefault="00EE7D35" w:rsidP="0090581D">
            <w:pPr>
              <w:rPr>
                <w:lang w:val="lt-LT" w:eastAsia="lt-LT"/>
              </w:rPr>
            </w:pPr>
          </w:p>
        </w:tc>
        <w:tc>
          <w:tcPr>
            <w:tcW w:w="2258" w:type="dxa"/>
            <w:vMerge w:val="restart"/>
            <w:shd w:val="clear" w:color="auto" w:fill="auto"/>
          </w:tcPr>
          <w:p w14:paraId="724CF73F" w14:textId="77777777" w:rsidR="00EE7D35" w:rsidRPr="003F6BC7" w:rsidRDefault="00EE7D35" w:rsidP="0090581D">
            <w:pPr>
              <w:rPr>
                <w:lang w:val="lt-LT" w:eastAsia="lt-LT"/>
              </w:rPr>
            </w:pPr>
            <w:r w:rsidRPr="003F6BC7">
              <w:rPr>
                <w:lang w:val="lt-LT" w:eastAsia="lt-LT"/>
              </w:rPr>
              <w:t>Retas</w:t>
            </w:r>
          </w:p>
        </w:tc>
        <w:tc>
          <w:tcPr>
            <w:tcW w:w="3934" w:type="dxa"/>
            <w:tcBorders>
              <w:bottom w:val="nil"/>
            </w:tcBorders>
            <w:shd w:val="clear" w:color="auto" w:fill="auto"/>
          </w:tcPr>
          <w:p w14:paraId="0DB61EAE" w14:textId="441D73C6" w:rsidR="00EE7D35" w:rsidRPr="003F6BC7" w:rsidRDefault="00EE7D35" w:rsidP="00237766">
            <w:pPr>
              <w:rPr>
                <w:lang w:val="lt-LT" w:eastAsia="lt-LT"/>
              </w:rPr>
            </w:pPr>
            <w:proofErr w:type="spellStart"/>
            <w:r w:rsidRPr="003F6BC7">
              <w:rPr>
                <w:lang w:val="lt-LT" w:eastAsia="lt-LT"/>
              </w:rPr>
              <w:t>Eriteminis</w:t>
            </w:r>
            <w:proofErr w:type="spellEnd"/>
            <w:r w:rsidRPr="003F6BC7">
              <w:rPr>
                <w:lang w:val="lt-LT" w:eastAsia="lt-LT"/>
              </w:rPr>
              <w:t xml:space="preserve"> išbėrimas</w:t>
            </w:r>
          </w:p>
        </w:tc>
      </w:tr>
      <w:tr w:rsidR="00EE7D35" w:rsidRPr="00151B1E" w14:paraId="0684E20C" w14:textId="77777777" w:rsidTr="00464860">
        <w:tc>
          <w:tcPr>
            <w:tcW w:w="3095" w:type="dxa"/>
            <w:vMerge/>
            <w:shd w:val="clear" w:color="auto" w:fill="auto"/>
          </w:tcPr>
          <w:p w14:paraId="55571B81" w14:textId="77777777" w:rsidR="00EE7D35" w:rsidRPr="003F6BC7" w:rsidRDefault="00EE7D35" w:rsidP="0090581D">
            <w:pPr>
              <w:rPr>
                <w:lang w:val="lt-LT" w:eastAsia="lt-LT"/>
              </w:rPr>
            </w:pPr>
          </w:p>
        </w:tc>
        <w:tc>
          <w:tcPr>
            <w:tcW w:w="2258" w:type="dxa"/>
            <w:vMerge/>
            <w:shd w:val="clear" w:color="auto" w:fill="auto"/>
          </w:tcPr>
          <w:p w14:paraId="09C6FBC2" w14:textId="77777777" w:rsidR="00EE7D35" w:rsidRPr="003F6BC7" w:rsidRDefault="00EE7D35" w:rsidP="0090581D">
            <w:pPr>
              <w:rPr>
                <w:lang w:val="lt-LT" w:eastAsia="lt-LT"/>
              </w:rPr>
            </w:pPr>
          </w:p>
        </w:tc>
        <w:tc>
          <w:tcPr>
            <w:tcW w:w="3934" w:type="dxa"/>
            <w:tcBorders>
              <w:top w:val="nil"/>
            </w:tcBorders>
            <w:shd w:val="clear" w:color="auto" w:fill="auto"/>
          </w:tcPr>
          <w:p w14:paraId="31B4F76D" w14:textId="77777777" w:rsidR="00EE7D35" w:rsidRPr="003F6BC7" w:rsidRDefault="00EE7D35" w:rsidP="0090581D">
            <w:pPr>
              <w:rPr>
                <w:lang w:val="lt-LT" w:eastAsia="lt-LT"/>
              </w:rPr>
            </w:pPr>
            <w:r w:rsidRPr="003F6BC7">
              <w:rPr>
                <w:lang w:val="lt-LT" w:eastAsia="lt-LT"/>
              </w:rPr>
              <w:t xml:space="preserve">Veido edema ir </w:t>
            </w:r>
            <w:proofErr w:type="spellStart"/>
            <w:r w:rsidRPr="003F6BC7">
              <w:rPr>
                <w:lang w:val="lt-LT" w:eastAsia="lt-LT"/>
              </w:rPr>
              <w:t>angioneurozinė</w:t>
            </w:r>
            <w:proofErr w:type="spellEnd"/>
            <w:r w:rsidRPr="003F6BC7">
              <w:rPr>
                <w:lang w:val="lt-LT" w:eastAsia="lt-LT"/>
              </w:rPr>
              <w:t xml:space="preserve"> edema*</w:t>
            </w:r>
          </w:p>
        </w:tc>
      </w:tr>
      <w:tr w:rsidR="00EE7D35" w:rsidRPr="003F6BC7" w14:paraId="0CCC8AD0" w14:textId="77777777" w:rsidTr="0090581D">
        <w:tc>
          <w:tcPr>
            <w:tcW w:w="3095" w:type="dxa"/>
            <w:shd w:val="clear" w:color="auto" w:fill="auto"/>
          </w:tcPr>
          <w:p w14:paraId="32E0AAD8" w14:textId="77777777" w:rsidR="00EE7D35" w:rsidRPr="003F6BC7" w:rsidRDefault="00EE7D35" w:rsidP="0090581D">
            <w:pPr>
              <w:rPr>
                <w:lang w:val="lt-LT" w:eastAsia="lt-LT"/>
              </w:rPr>
            </w:pPr>
            <w:r w:rsidRPr="003F6BC7">
              <w:rPr>
                <w:lang w:val="lt-LT" w:eastAsia="lt-LT"/>
              </w:rPr>
              <w:t>Skeleto, raumenų ir jungiamojo audinio sutrikimai</w:t>
            </w:r>
          </w:p>
        </w:tc>
        <w:tc>
          <w:tcPr>
            <w:tcW w:w="2258" w:type="dxa"/>
            <w:shd w:val="clear" w:color="auto" w:fill="auto"/>
          </w:tcPr>
          <w:p w14:paraId="7006FB0E" w14:textId="77777777" w:rsidR="00EE7D35" w:rsidRPr="003F6BC7" w:rsidRDefault="00EE7D35" w:rsidP="0090581D">
            <w:pPr>
              <w:rPr>
                <w:lang w:val="lt-LT" w:eastAsia="lt-LT"/>
              </w:rPr>
            </w:pPr>
            <w:r w:rsidRPr="003F6BC7">
              <w:rPr>
                <w:lang w:val="lt-LT" w:eastAsia="lt-LT"/>
              </w:rPr>
              <w:t>Dažnas</w:t>
            </w:r>
          </w:p>
        </w:tc>
        <w:tc>
          <w:tcPr>
            <w:tcW w:w="3934" w:type="dxa"/>
            <w:shd w:val="clear" w:color="auto" w:fill="auto"/>
          </w:tcPr>
          <w:p w14:paraId="56DA3914" w14:textId="77777777" w:rsidR="00EE7D35" w:rsidRPr="003F6BC7" w:rsidRDefault="00EE7D35" w:rsidP="0090581D">
            <w:pPr>
              <w:rPr>
                <w:lang w:val="lt-LT" w:eastAsia="lt-LT"/>
              </w:rPr>
            </w:pPr>
            <w:r w:rsidRPr="003F6BC7">
              <w:rPr>
                <w:lang w:val="lt-LT" w:eastAsia="lt-LT"/>
              </w:rPr>
              <w:t>Nugaros skausmas</w:t>
            </w:r>
          </w:p>
        </w:tc>
      </w:tr>
      <w:tr w:rsidR="00237766" w:rsidRPr="003F6BC7" w14:paraId="345F28A2" w14:textId="77777777" w:rsidTr="0090581D">
        <w:tc>
          <w:tcPr>
            <w:tcW w:w="3095" w:type="dxa"/>
            <w:shd w:val="clear" w:color="auto" w:fill="auto"/>
          </w:tcPr>
          <w:p w14:paraId="3AA0ADA3" w14:textId="77777777" w:rsidR="00237766" w:rsidRPr="003F6BC7" w:rsidRDefault="00237766" w:rsidP="0090581D">
            <w:pPr>
              <w:rPr>
                <w:lang w:val="lt-LT" w:eastAsia="lt-LT"/>
              </w:rPr>
            </w:pPr>
          </w:p>
        </w:tc>
        <w:tc>
          <w:tcPr>
            <w:tcW w:w="2258" w:type="dxa"/>
            <w:shd w:val="clear" w:color="auto" w:fill="auto"/>
          </w:tcPr>
          <w:p w14:paraId="41321F88" w14:textId="06BBE925" w:rsidR="00237766" w:rsidRPr="003F6BC7" w:rsidRDefault="00237766" w:rsidP="0090581D">
            <w:pPr>
              <w:rPr>
                <w:lang w:val="lt-LT" w:eastAsia="lt-LT"/>
              </w:rPr>
            </w:pPr>
            <w:r>
              <w:rPr>
                <w:lang w:val="lt-LT" w:eastAsia="lt-LT"/>
              </w:rPr>
              <w:t>Nedažnas</w:t>
            </w:r>
          </w:p>
        </w:tc>
        <w:tc>
          <w:tcPr>
            <w:tcW w:w="3934" w:type="dxa"/>
            <w:shd w:val="clear" w:color="auto" w:fill="auto"/>
          </w:tcPr>
          <w:p w14:paraId="3AF06BAA" w14:textId="32829DFC" w:rsidR="00237766" w:rsidRPr="003F6BC7" w:rsidRDefault="00237766" w:rsidP="0090581D">
            <w:pPr>
              <w:rPr>
                <w:lang w:val="lt-LT" w:eastAsia="lt-LT"/>
              </w:rPr>
            </w:pPr>
            <w:proofErr w:type="spellStart"/>
            <w:r>
              <w:rPr>
                <w:lang w:val="lt-LT" w:eastAsia="lt-LT"/>
              </w:rPr>
              <w:t>Mialgija</w:t>
            </w:r>
            <w:proofErr w:type="spellEnd"/>
          </w:p>
        </w:tc>
      </w:tr>
      <w:tr w:rsidR="00EE7D35" w:rsidRPr="003F6BC7" w14:paraId="15BC2B82" w14:textId="77777777" w:rsidTr="0090581D">
        <w:tc>
          <w:tcPr>
            <w:tcW w:w="3095" w:type="dxa"/>
            <w:shd w:val="clear" w:color="auto" w:fill="auto"/>
          </w:tcPr>
          <w:p w14:paraId="1DF5F92C" w14:textId="77777777" w:rsidR="00EE7D35" w:rsidRPr="003F6BC7" w:rsidRDefault="00EE7D35" w:rsidP="0090581D">
            <w:pPr>
              <w:rPr>
                <w:lang w:val="lt-LT" w:eastAsia="lt-LT"/>
              </w:rPr>
            </w:pPr>
            <w:r w:rsidRPr="003F6BC7">
              <w:rPr>
                <w:lang w:val="lt-LT" w:eastAsia="lt-LT"/>
              </w:rPr>
              <w:t>Inkstų ir šlapimo takų sutrikimai</w:t>
            </w:r>
          </w:p>
        </w:tc>
        <w:tc>
          <w:tcPr>
            <w:tcW w:w="2258" w:type="dxa"/>
            <w:shd w:val="clear" w:color="auto" w:fill="auto"/>
          </w:tcPr>
          <w:p w14:paraId="0064DBE3" w14:textId="77777777" w:rsidR="00EE7D35" w:rsidRPr="003F6BC7" w:rsidRDefault="00EE7D35" w:rsidP="0090581D">
            <w:pPr>
              <w:rPr>
                <w:lang w:val="lt-LT" w:eastAsia="lt-LT"/>
              </w:rPr>
            </w:pPr>
            <w:r w:rsidRPr="003F6BC7">
              <w:rPr>
                <w:lang w:val="lt-LT" w:eastAsia="lt-LT"/>
              </w:rPr>
              <w:t>Retas</w:t>
            </w:r>
          </w:p>
        </w:tc>
        <w:tc>
          <w:tcPr>
            <w:tcW w:w="3934" w:type="dxa"/>
            <w:shd w:val="clear" w:color="auto" w:fill="auto"/>
          </w:tcPr>
          <w:p w14:paraId="38545135" w14:textId="77777777" w:rsidR="00EE7D35" w:rsidRPr="003F6BC7" w:rsidRDefault="00EE7D35" w:rsidP="0090581D">
            <w:pPr>
              <w:rPr>
                <w:lang w:val="lt-LT" w:eastAsia="lt-LT"/>
              </w:rPr>
            </w:pPr>
            <w:r w:rsidRPr="003F6BC7">
              <w:rPr>
                <w:lang w:val="lt-LT" w:eastAsia="lt-LT"/>
              </w:rPr>
              <w:t>Šlapimo susilaikymas*</w:t>
            </w:r>
          </w:p>
        </w:tc>
      </w:tr>
      <w:tr w:rsidR="00EE7D35" w:rsidRPr="003F6BC7" w14:paraId="0841731B" w14:textId="77777777" w:rsidTr="0090581D">
        <w:tc>
          <w:tcPr>
            <w:tcW w:w="3095" w:type="dxa"/>
            <w:shd w:val="clear" w:color="auto" w:fill="auto"/>
          </w:tcPr>
          <w:p w14:paraId="6EDDE680" w14:textId="77777777" w:rsidR="00EE7D35" w:rsidRPr="003F6BC7" w:rsidRDefault="00EE7D35" w:rsidP="0090581D">
            <w:pPr>
              <w:rPr>
                <w:lang w:val="lt-LT" w:eastAsia="lt-LT"/>
              </w:rPr>
            </w:pPr>
            <w:r w:rsidRPr="003F6BC7">
              <w:rPr>
                <w:lang w:val="lt-LT" w:eastAsia="lt-LT"/>
              </w:rPr>
              <w:t>Bendrieji sutrikimai ir vartojimo vietos pažeidimai</w:t>
            </w:r>
          </w:p>
        </w:tc>
        <w:tc>
          <w:tcPr>
            <w:tcW w:w="2258" w:type="dxa"/>
            <w:shd w:val="clear" w:color="auto" w:fill="auto"/>
          </w:tcPr>
          <w:p w14:paraId="51E0B941" w14:textId="77777777" w:rsidR="00EE7D35" w:rsidRPr="003F6BC7" w:rsidRDefault="00EE7D35" w:rsidP="0090581D">
            <w:pPr>
              <w:rPr>
                <w:lang w:val="lt-LT" w:eastAsia="lt-LT"/>
              </w:rPr>
            </w:pPr>
            <w:r w:rsidRPr="003F6BC7">
              <w:rPr>
                <w:lang w:val="lt-LT" w:eastAsia="lt-LT"/>
              </w:rPr>
              <w:t>Dažnas</w:t>
            </w:r>
          </w:p>
        </w:tc>
        <w:tc>
          <w:tcPr>
            <w:tcW w:w="3934" w:type="dxa"/>
            <w:shd w:val="clear" w:color="auto" w:fill="auto"/>
          </w:tcPr>
          <w:p w14:paraId="352FDD16" w14:textId="77777777" w:rsidR="00EE7D35" w:rsidRPr="003F6BC7" w:rsidRDefault="00EE7D35" w:rsidP="0090581D">
            <w:pPr>
              <w:rPr>
                <w:lang w:val="lt-LT" w:eastAsia="lt-LT"/>
              </w:rPr>
            </w:pPr>
            <w:r w:rsidRPr="003F6BC7">
              <w:rPr>
                <w:lang w:val="lt-LT" w:eastAsia="lt-LT"/>
              </w:rPr>
              <w:t>Nuovargis</w:t>
            </w:r>
          </w:p>
        </w:tc>
      </w:tr>
      <w:tr w:rsidR="00EE7D35" w:rsidRPr="003F6BC7" w14:paraId="6847719F" w14:textId="77777777" w:rsidTr="0090581D">
        <w:tc>
          <w:tcPr>
            <w:tcW w:w="3095" w:type="dxa"/>
            <w:vMerge w:val="restart"/>
            <w:shd w:val="clear" w:color="auto" w:fill="auto"/>
          </w:tcPr>
          <w:p w14:paraId="51E98BAE" w14:textId="77777777" w:rsidR="00EE7D35" w:rsidRPr="003F6BC7" w:rsidRDefault="00EE7D35" w:rsidP="0090581D">
            <w:pPr>
              <w:rPr>
                <w:lang w:val="lt-LT" w:eastAsia="lt-LT"/>
              </w:rPr>
            </w:pPr>
            <w:r w:rsidRPr="003F6BC7">
              <w:rPr>
                <w:lang w:val="lt-LT" w:eastAsia="lt-LT"/>
              </w:rPr>
              <w:t>Tyrimai</w:t>
            </w:r>
          </w:p>
        </w:tc>
        <w:tc>
          <w:tcPr>
            <w:tcW w:w="2258" w:type="dxa"/>
            <w:shd w:val="clear" w:color="auto" w:fill="auto"/>
          </w:tcPr>
          <w:p w14:paraId="07A066E2" w14:textId="77777777" w:rsidR="00EE7D35" w:rsidRPr="003F6BC7" w:rsidRDefault="00EE7D35" w:rsidP="0090581D">
            <w:pPr>
              <w:rPr>
                <w:lang w:val="lt-LT" w:eastAsia="lt-LT"/>
              </w:rPr>
            </w:pPr>
            <w:r w:rsidRPr="003F6BC7">
              <w:rPr>
                <w:lang w:val="lt-LT" w:eastAsia="lt-LT"/>
              </w:rPr>
              <w:t>Dažnas</w:t>
            </w:r>
          </w:p>
        </w:tc>
        <w:tc>
          <w:tcPr>
            <w:tcW w:w="3934" w:type="dxa"/>
            <w:shd w:val="clear" w:color="auto" w:fill="auto"/>
          </w:tcPr>
          <w:p w14:paraId="2F97A952" w14:textId="77777777" w:rsidR="00EE7D35" w:rsidRPr="003F6BC7" w:rsidRDefault="00EE7D35" w:rsidP="0090581D">
            <w:pPr>
              <w:rPr>
                <w:lang w:val="lt-LT" w:eastAsia="lt-LT"/>
              </w:rPr>
            </w:pPr>
            <w:r w:rsidRPr="003F6BC7">
              <w:rPr>
                <w:lang w:val="lt-LT" w:eastAsia="lt-LT"/>
              </w:rPr>
              <w:t>Kūno svorio padidėjimas*</w:t>
            </w:r>
          </w:p>
        </w:tc>
      </w:tr>
      <w:tr w:rsidR="00EE7D35" w:rsidRPr="003F6BC7" w14:paraId="14715ADC" w14:textId="77777777" w:rsidTr="0090581D">
        <w:tc>
          <w:tcPr>
            <w:tcW w:w="3095" w:type="dxa"/>
            <w:vMerge/>
            <w:shd w:val="clear" w:color="auto" w:fill="auto"/>
          </w:tcPr>
          <w:p w14:paraId="17DEE1DE" w14:textId="77777777" w:rsidR="00EE7D35" w:rsidRPr="003F6BC7" w:rsidRDefault="00EE7D35" w:rsidP="0090581D">
            <w:pPr>
              <w:rPr>
                <w:lang w:val="lt-LT" w:eastAsia="lt-LT"/>
              </w:rPr>
            </w:pPr>
          </w:p>
        </w:tc>
        <w:tc>
          <w:tcPr>
            <w:tcW w:w="2258" w:type="dxa"/>
            <w:shd w:val="clear" w:color="auto" w:fill="auto"/>
          </w:tcPr>
          <w:p w14:paraId="5C8BB3D9" w14:textId="77777777" w:rsidR="00EE7D35" w:rsidRPr="003F6BC7" w:rsidDel="001F4CE2" w:rsidRDefault="00EE7D35" w:rsidP="0090581D">
            <w:pPr>
              <w:rPr>
                <w:lang w:val="lt-LT" w:eastAsia="lt-LT"/>
              </w:rPr>
            </w:pPr>
            <w:r w:rsidRPr="003F6BC7">
              <w:rPr>
                <w:lang w:val="lt-LT" w:eastAsia="lt-LT"/>
              </w:rPr>
              <w:t>Nedažnas</w:t>
            </w:r>
          </w:p>
        </w:tc>
        <w:tc>
          <w:tcPr>
            <w:tcW w:w="3934" w:type="dxa"/>
            <w:shd w:val="clear" w:color="auto" w:fill="auto"/>
          </w:tcPr>
          <w:p w14:paraId="767F807E" w14:textId="77777777" w:rsidR="00EE7D35" w:rsidRPr="003F6BC7" w:rsidRDefault="00EE7D35" w:rsidP="0090581D">
            <w:pPr>
              <w:rPr>
                <w:lang w:val="lt-LT" w:eastAsia="lt-LT"/>
              </w:rPr>
            </w:pPr>
            <w:r w:rsidRPr="003F6BC7">
              <w:rPr>
                <w:lang w:val="lt-LT" w:eastAsia="lt-LT"/>
              </w:rPr>
              <w:t>Kūno svorio sumažėjimas*</w:t>
            </w:r>
          </w:p>
        </w:tc>
      </w:tr>
    </w:tbl>
    <w:p w14:paraId="5BB771C7" w14:textId="77777777" w:rsidR="00EE7D35" w:rsidRPr="003F6BC7" w:rsidRDefault="00EE7D35" w:rsidP="00EE7D35">
      <w:pPr>
        <w:rPr>
          <w:lang w:val="lt-LT"/>
        </w:rPr>
      </w:pPr>
      <w:r w:rsidRPr="003F6BC7">
        <w:rPr>
          <w:lang w:val="lt-LT"/>
        </w:rPr>
        <w:t>* Dažnis apskaičiuotas remiantis klinikinių tyrimų duomenimis tiems nepageidaujamiems reiškiniams,</w:t>
      </w:r>
    </w:p>
    <w:p w14:paraId="2794C08D" w14:textId="77777777" w:rsidR="00EE7D35" w:rsidRPr="003F6BC7" w:rsidRDefault="00EE7D35" w:rsidP="00EE7D35">
      <w:pPr>
        <w:rPr>
          <w:lang w:val="lt-LT"/>
        </w:rPr>
      </w:pPr>
      <w:r w:rsidRPr="003F6BC7">
        <w:rPr>
          <w:lang w:val="lt-LT"/>
        </w:rPr>
        <w:t>apie kuriuos sužinota gavus spontaninių pranešimų.</w:t>
      </w:r>
    </w:p>
    <w:p w14:paraId="10ABB239" w14:textId="77777777" w:rsidR="00EE7D35" w:rsidRPr="003F6BC7" w:rsidRDefault="00EE7D35" w:rsidP="00EE7D35">
      <w:pPr>
        <w:rPr>
          <w:lang w:val="lt-LT"/>
        </w:rPr>
      </w:pPr>
      <w:r w:rsidRPr="003F6BC7">
        <w:rPr>
          <w:lang w:val="lt-LT"/>
        </w:rPr>
        <w:t>(1) Pranešta apie kelis mirtimi arba kepenų persodinimu pasibaigusius atvejus pacientams, kuriems buvo kepenų pažaidos rizikos veiksnių.</w:t>
      </w:r>
    </w:p>
    <w:p w14:paraId="25E0F5BF" w14:textId="1FD867B9" w:rsidR="00EE7D35" w:rsidRDefault="00EE7D35" w:rsidP="00EE7D35">
      <w:pPr>
        <w:adjustRightInd w:val="0"/>
        <w:rPr>
          <w:iCs/>
          <w:lang w:val="lt-LT" w:eastAsia="lt-LT"/>
        </w:rPr>
      </w:pPr>
    </w:p>
    <w:p w14:paraId="33FA5621" w14:textId="64B3BDFE" w:rsidR="00BA1D0D" w:rsidRDefault="00BA1D0D" w:rsidP="00BA1D0D">
      <w:pPr>
        <w:adjustRightInd w:val="0"/>
        <w:rPr>
          <w:iCs/>
          <w:u w:val="single"/>
          <w:lang w:val="lt-LT" w:eastAsia="lt-LT"/>
        </w:rPr>
      </w:pPr>
      <w:r w:rsidRPr="00151B1E">
        <w:rPr>
          <w:iCs/>
          <w:u w:val="single"/>
          <w:lang w:val="lt-LT" w:eastAsia="lt-LT"/>
        </w:rPr>
        <w:t>Vaikų populiacija</w:t>
      </w:r>
    </w:p>
    <w:p w14:paraId="5E8CB26E" w14:textId="77777777" w:rsidR="00BA1D0D" w:rsidRPr="00151B1E" w:rsidRDefault="00BA1D0D" w:rsidP="00BA1D0D">
      <w:pPr>
        <w:adjustRightInd w:val="0"/>
        <w:rPr>
          <w:iCs/>
          <w:u w:val="single"/>
          <w:lang w:val="lt-LT" w:eastAsia="lt-LT"/>
        </w:rPr>
      </w:pPr>
    </w:p>
    <w:p w14:paraId="33943F0B" w14:textId="735068F4" w:rsidR="00BA1D0D" w:rsidRPr="00BA1D0D" w:rsidRDefault="00BA1D0D" w:rsidP="00BA1D0D">
      <w:pPr>
        <w:adjustRightInd w:val="0"/>
        <w:rPr>
          <w:iCs/>
          <w:lang w:val="lt-LT" w:eastAsia="lt-LT"/>
        </w:rPr>
      </w:pPr>
      <w:r w:rsidRPr="00BA1D0D">
        <w:rPr>
          <w:iCs/>
          <w:lang w:val="lt-LT" w:eastAsia="lt-LT"/>
        </w:rPr>
        <w:t>Dvigubai koduoto, veiksmingu vaistiniu preparatu (</w:t>
      </w:r>
      <w:proofErr w:type="spellStart"/>
      <w:r w:rsidRPr="00BA1D0D">
        <w:rPr>
          <w:iCs/>
          <w:lang w:val="lt-LT" w:eastAsia="lt-LT"/>
        </w:rPr>
        <w:t>fluoksetinu</w:t>
      </w:r>
      <w:proofErr w:type="spellEnd"/>
      <w:r w:rsidRPr="00BA1D0D">
        <w:rPr>
          <w:iCs/>
          <w:lang w:val="lt-LT" w:eastAsia="lt-LT"/>
        </w:rPr>
        <w:t xml:space="preserve">) ir </w:t>
      </w:r>
      <w:proofErr w:type="spellStart"/>
      <w:r w:rsidRPr="00BA1D0D">
        <w:rPr>
          <w:iCs/>
          <w:lang w:val="lt-LT" w:eastAsia="lt-LT"/>
        </w:rPr>
        <w:t>placebu</w:t>
      </w:r>
      <w:proofErr w:type="spellEnd"/>
      <w:r w:rsidRPr="00BA1D0D">
        <w:rPr>
          <w:iCs/>
          <w:lang w:val="lt-LT" w:eastAsia="lt-LT"/>
        </w:rPr>
        <w:t xml:space="preserve"> kontroliuoto tyrimo metu</w:t>
      </w:r>
      <w:r>
        <w:rPr>
          <w:iCs/>
          <w:lang w:val="lt-LT" w:eastAsia="lt-LT"/>
        </w:rPr>
        <w:t xml:space="preserve"> </w:t>
      </w:r>
      <w:proofErr w:type="spellStart"/>
      <w:r w:rsidRPr="00BA1D0D">
        <w:rPr>
          <w:iCs/>
          <w:lang w:val="lt-LT" w:eastAsia="lt-LT"/>
        </w:rPr>
        <w:t>agomelatinu</w:t>
      </w:r>
      <w:proofErr w:type="spellEnd"/>
      <w:r w:rsidRPr="00BA1D0D">
        <w:rPr>
          <w:iCs/>
          <w:lang w:val="lt-LT" w:eastAsia="lt-LT"/>
        </w:rPr>
        <w:t xml:space="preserve"> buvo gydomi 80</w:t>
      </w:r>
      <w:r>
        <w:rPr>
          <w:iCs/>
          <w:lang w:val="lt-LT" w:eastAsia="lt-LT"/>
        </w:rPr>
        <w:t> </w:t>
      </w:r>
      <w:r w:rsidRPr="00BA1D0D">
        <w:rPr>
          <w:iCs/>
          <w:lang w:val="lt-LT" w:eastAsia="lt-LT"/>
        </w:rPr>
        <w:t>vaikų (nuo 7 iki 12</w:t>
      </w:r>
      <w:r>
        <w:rPr>
          <w:iCs/>
          <w:lang w:val="lt-LT" w:eastAsia="lt-LT"/>
        </w:rPr>
        <w:t> </w:t>
      </w:r>
      <w:r w:rsidRPr="00BA1D0D">
        <w:rPr>
          <w:iCs/>
          <w:lang w:val="lt-LT" w:eastAsia="lt-LT"/>
        </w:rPr>
        <w:t>metų amžiaus) ir 319</w:t>
      </w:r>
      <w:r>
        <w:rPr>
          <w:iCs/>
          <w:lang w:val="lt-LT" w:eastAsia="lt-LT"/>
        </w:rPr>
        <w:t> </w:t>
      </w:r>
      <w:r w:rsidRPr="00BA1D0D">
        <w:rPr>
          <w:iCs/>
          <w:lang w:val="lt-LT" w:eastAsia="lt-LT"/>
        </w:rPr>
        <w:t>paauglių (nuo 12</w:t>
      </w:r>
      <w:r>
        <w:rPr>
          <w:iCs/>
          <w:lang w:val="lt-LT" w:eastAsia="lt-LT"/>
        </w:rPr>
        <w:t xml:space="preserve"> </w:t>
      </w:r>
      <w:r w:rsidRPr="00BA1D0D">
        <w:rPr>
          <w:iCs/>
          <w:lang w:val="lt-LT" w:eastAsia="lt-LT"/>
        </w:rPr>
        <w:t>iki 17</w:t>
      </w:r>
      <w:r>
        <w:rPr>
          <w:iCs/>
          <w:lang w:val="lt-LT" w:eastAsia="lt-LT"/>
        </w:rPr>
        <w:t> </w:t>
      </w:r>
      <w:r w:rsidRPr="00BA1D0D">
        <w:rPr>
          <w:iCs/>
          <w:lang w:val="lt-LT" w:eastAsia="lt-LT"/>
        </w:rPr>
        <w:t>metų amžiaus), sergančių vidutinio sunkumo ar sunkiu didžiosios depresijos sutrikimu.</w:t>
      </w:r>
    </w:p>
    <w:p w14:paraId="4CCA2170" w14:textId="6A4EF7E5" w:rsidR="00BA1D0D" w:rsidRPr="00BA1D0D" w:rsidRDefault="00BA1D0D" w:rsidP="00BA1D0D">
      <w:pPr>
        <w:adjustRightInd w:val="0"/>
        <w:rPr>
          <w:iCs/>
          <w:lang w:val="lt-LT" w:eastAsia="lt-LT"/>
        </w:rPr>
      </w:pPr>
      <w:r w:rsidRPr="00BA1D0D">
        <w:rPr>
          <w:iCs/>
          <w:lang w:val="lt-LT" w:eastAsia="lt-LT"/>
        </w:rPr>
        <w:t>Apskritai 25</w:t>
      </w:r>
      <w:r>
        <w:rPr>
          <w:iCs/>
          <w:lang w:val="lt-LT" w:eastAsia="lt-LT"/>
        </w:rPr>
        <w:t> </w:t>
      </w:r>
      <w:r w:rsidRPr="00BA1D0D">
        <w:rPr>
          <w:iCs/>
          <w:lang w:val="lt-LT" w:eastAsia="lt-LT"/>
        </w:rPr>
        <w:t xml:space="preserve">mg </w:t>
      </w:r>
      <w:proofErr w:type="spellStart"/>
      <w:r w:rsidRPr="00BA1D0D">
        <w:rPr>
          <w:iCs/>
          <w:lang w:val="lt-LT" w:eastAsia="lt-LT"/>
        </w:rPr>
        <w:t>agomelatino</w:t>
      </w:r>
      <w:proofErr w:type="spellEnd"/>
      <w:r w:rsidRPr="00BA1D0D">
        <w:rPr>
          <w:iCs/>
          <w:lang w:val="lt-LT" w:eastAsia="lt-LT"/>
        </w:rPr>
        <w:t xml:space="preserve"> dozės vartojimo saugumo savybės paaugliams pagrindiniame tyrime</w:t>
      </w:r>
      <w:r>
        <w:rPr>
          <w:iCs/>
          <w:lang w:val="lt-LT" w:eastAsia="lt-LT"/>
        </w:rPr>
        <w:t xml:space="preserve"> </w:t>
      </w:r>
      <w:r w:rsidRPr="00BA1D0D">
        <w:rPr>
          <w:iCs/>
          <w:lang w:val="lt-LT" w:eastAsia="lt-LT"/>
        </w:rPr>
        <w:t>(dvigubai koduotoje kontroliuotoje dalyje) buvo panašios į stebėtas suaugusiesiems, išskyrus</w:t>
      </w:r>
      <w:r>
        <w:rPr>
          <w:iCs/>
          <w:lang w:val="lt-LT" w:eastAsia="lt-LT"/>
        </w:rPr>
        <w:t xml:space="preserve"> </w:t>
      </w:r>
      <w:r w:rsidRPr="00BA1D0D">
        <w:rPr>
          <w:iCs/>
          <w:lang w:val="lt-LT" w:eastAsia="lt-LT"/>
        </w:rPr>
        <w:t>pykinimą, kuris paaugliams pasireiškė dažniau (13,3</w:t>
      </w:r>
      <w:r>
        <w:rPr>
          <w:iCs/>
          <w:lang w:val="lt-LT" w:eastAsia="lt-LT"/>
        </w:rPr>
        <w:t> </w:t>
      </w:r>
      <w:r w:rsidRPr="00BA1D0D">
        <w:rPr>
          <w:iCs/>
          <w:lang w:val="lt-LT" w:eastAsia="lt-LT"/>
        </w:rPr>
        <w:t>%) nei suaugusiesiems (6,3</w:t>
      </w:r>
      <w:r>
        <w:rPr>
          <w:iCs/>
          <w:lang w:val="lt-LT" w:eastAsia="lt-LT"/>
        </w:rPr>
        <w:t> </w:t>
      </w:r>
      <w:r w:rsidRPr="00BA1D0D">
        <w:rPr>
          <w:iCs/>
          <w:lang w:val="lt-LT" w:eastAsia="lt-LT"/>
        </w:rPr>
        <w:t>%).</w:t>
      </w:r>
    </w:p>
    <w:p w14:paraId="2B8BA15F" w14:textId="5191FCAF" w:rsidR="00BA1D0D" w:rsidRPr="00BA1D0D" w:rsidRDefault="00BA1D0D" w:rsidP="00BA1D0D">
      <w:pPr>
        <w:adjustRightInd w:val="0"/>
        <w:rPr>
          <w:iCs/>
          <w:lang w:val="lt-LT" w:eastAsia="lt-LT"/>
        </w:rPr>
      </w:pPr>
      <w:r w:rsidRPr="00BA1D0D">
        <w:rPr>
          <w:iCs/>
          <w:lang w:val="lt-LT" w:eastAsia="lt-LT"/>
        </w:rPr>
        <w:t xml:space="preserve">Apibendrinti </w:t>
      </w:r>
      <w:proofErr w:type="spellStart"/>
      <w:r w:rsidRPr="00BA1D0D">
        <w:rPr>
          <w:iCs/>
          <w:lang w:val="lt-LT" w:eastAsia="lt-LT"/>
        </w:rPr>
        <w:t>agomelatino</w:t>
      </w:r>
      <w:proofErr w:type="spellEnd"/>
      <w:r w:rsidRPr="00BA1D0D">
        <w:rPr>
          <w:iCs/>
          <w:lang w:val="lt-LT" w:eastAsia="lt-LT"/>
        </w:rPr>
        <w:t xml:space="preserve"> klinikinių tyrimų duomenys parodė, kad apie nepageidaujamus reiškinius ir</w:t>
      </w:r>
      <w:r>
        <w:rPr>
          <w:iCs/>
          <w:lang w:val="lt-LT" w:eastAsia="lt-LT"/>
        </w:rPr>
        <w:t xml:space="preserve"> </w:t>
      </w:r>
      <w:r w:rsidRPr="00BA1D0D">
        <w:rPr>
          <w:iCs/>
          <w:lang w:val="lt-LT" w:eastAsia="lt-LT"/>
        </w:rPr>
        <w:t>sunkius nepageidaujamus reiškinius (nepriklausomai nuo juos sukėlusios priežasties) dažniau pranešta</w:t>
      </w:r>
      <w:r>
        <w:rPr>
          <w:iCs/>
          <w:lang w:val="lt-LT" w:eastAsia="lt-LT"/>
        </w:rPr>
        <w:t xml:space="preserve"> </w:t>
      </w:r>
      <w:r w:rsidRPr="00BA1D0D">
        <w:rPr>
          <w:iCs/>
          <w:lang w:val="lt-LT" w:eastAsia="lt-LT"/>
        </w:rPr>
        <w:t>paaugliams nei suaugusiesiems (67,2</w:t>
      </w:r>
      <w:r>
        <w:rPr>
          <w:iCs/>
          <w:lang w:val="lt-LT" w:eastAsia="lt-LT"/>
        </w:rPr>
        <w:t> </w:t>
      </w:r>
      <w:r w:rsidRPr="00BA1D0D">
        <w:rPr>
          <w:iCs/>
          <w:lang w:val="lt-LT" w:eastAsia="lt-LT"/>
        </w:rPr>
        <w:t>% palyginti su 60,4</w:t>
      </w:r>
      <w:r>
        <w:rPr>
          <w:iCs/>
          <w:lang w:val="lt-LT" w:eastAsia="lt-LT"/>
        </w:rPr>
        <w:t> </w:t>
      </w:r>
      <w:r w:rsidRPr="00BA1D0D">
        <w:rPr>
          <w:iCs/>
          <w:lang w:val="lt-LT" w:eastAsia="lt-LT"/>
        </w:rPr>
        <w:t>% pacientų, kurie pranešė apie bent vieną</w:t>
      </w:r>
      <w:r>
        <w:rPr>
          <w:iCs/>
          <w:lang w:val="lt-LT" w:eastAsia="lt-LT"/>
        </w:rPr>
        <w:t xml:space="preserve"> </w:t>
      </w:r>
      <w:r w:rsidRPr="00BA1D0D">
        <w:rPr>
          <w:iCs/>
          <w:lang w:val="lt-LT" w:eastAsia="lt-LT"/>
        </w:rPr>
        <w:t>nepageidaujamą reiškinį, ir 10,4</w:t>
      </w:r>
      <w:r>
        <w:rPr>
          <w:iCs/>
          <w:lang w:val="lt-LT" w:eastAsia="lt-LT"/>
        </w:rPr>
        <w:t> </w:t>
      </w:r>
      <w:r w:rsidRPr="00BA1D0D">
        <w:rPr>
          <w:iCs/>
          <w:lang w:val="lt-LT" w:eastAsia="lt-LT"/>
        </w:rPr>
        <w:t>% palyginti su 3,5</w:t>
      </w:r>
      <w:r>
        <w:rPr>
          <w:iCs/>
          <w:lang w:val="lt-LT" w:eastAsia="lt-LT"/>
        </w:rPr>
        <w:t> </w:t>
      </w:r>
      <w:r w:rsidRPr="00BA1D0D">
        <w:rPr>
          <w:iCs/>
          <w:lang w:val="lt-LT" w:eastAsia="lt-LT"/>
        </w:rPr>
        <w:t>% pacientų, kurie pranešė apie bent vieną sunkų</w:t>
      </w:r>
      <w:r>
        <w:rPr>
          <w:iCs/>
          <w:lang w:val="lt-LT" w:eastAsia="lt-LT"/>
        </w:rPr>
        <w:t xml:space="preserve"> </w:t>
      </w:r>
      <w:r w:rsidRPr="00BA1D0D">
        <w:rPr>
          <w:iCs/>
          <w:lang w:val="lt-LT" w:eastAsia="lt-LT"/>
        </w:rPr>
        <w:t>nepageidaujamą reiškinį).</w:t>
      </w:r>
    </w:p>
    <w:p w14:paraId="1A076F78" w14:textId="74908AC0" w:rsidR="00BA1D0D" w:rsidRPr="00BA1D0D" w:rsidRDefault="00BA1D0D" w:rsidP="00BA1D0D">
      <w:pPr>
        <w:adjustRightInd w:val="0"/>
        <w:rPr>
          <w:iCs/>
          <w:lang w:val="lt-LT" w:eastAsia="lt-LT"/>
        </w:rPr>
      </w:pPr>
      <w:r w:rsidRPr="00BA1D0D">
        <w:rPr>
          <w:iCs/>
          <w:lang w:val="lt-LT" w:eastAsia="lt-LT"/>
        </w:rPr>
        <w:t>Apie kepenų nepageidaujamus reiškinius buvo pranešta 6,3</w:t>
      </w:r>
      <w:r>
        <w:rPr>
          <w:iCs/>
          <w:lang w:val="lt-LT" w:eastAsia="lt-LT"/>
        </w:rPr>
        <w:t> </w:t>
      </w:r>
      <w:r w:rsidRPr="00BA1D0D">
        <w:rPr>
          <w:iCs/>
          <w:lang w:val="lt-LT" w:eastAsia="lt-LT"/>
        </w:rPr>
        <w:t>% paauglių, palyginti su 1,7</w:t>
      </w:r>
      <w:r>
        <w:rPr>
          <w:iCs/>
          <w:lang w:val="lt-LT" w:eastAsia="lt-LT"/>
        </w:rPr>
        <w:t> </w:t>
      </w:r>
      <w:r w:rsidRPr="00BA1D0D">
        <w:rPr>
          <w:iCs/>
          <w:lang w:val="lt-LT" w:eastAsia="lt-LT"/>
        </w:rPr>
        <w:t>%</w:t>
      </w:r>
      <w:r>
        <w:rPr>
          <w:iCs/>
          <w:lang w:val="lt-LT" w:eastAsia="lt-LT"/>
        </w:rPr>
        <w:t xml:space="preserve"> </w:t>
      </w:r>
      <w:r w:rsidRPr="00BA1D0D">
        <w:rPr>
          <w:iCs/>
          <w:lang w:val="lt-LT" w:eastAsia="lt-LT"/>
        </w:rPr>
        <w:t>suaugusiųjų. Su savižudybe susiję reiškiniai (pavyzdžiui, su savižudybe susijęs elgesys, mintys apie</w:t>
      </w:r>
      <w:r>
        <w:rPr>
          <w:iCs/>
          <w:lang w:val="lt-LT" w:eastAsia="lt-LT"/>
        </w:rPr>
        <w:t xml:space="preserve"> </w:t>
      </w:r>
      <w:r w:rsidRPr="00BA1D0D">
        <w:rPr>
          <w:iCs/>
          <w:lang w:val="lt-LT" w:eastAsia="lt-LT"/>
        </w:rPr>
        <w:t>savižudybę, bandymas nusižudyti ir savęs žalojimas) dažniau pasireiškė paaugliams (3,1</w:t>
      </w:r>
      <w:r>
        <w:rPr>
          <w:iCs/>
          <w:lang w:val="lt-LT" w:eastAsia="lt-LT"/>
        </w:rPr>
        <w:t> </w:t>
      </w:r>
      <w:r w:rsidRPr="00BA1D0D">
        <w:rPr>
          <w:iCs/>
          <w:lang w:val="lt-LT" w:eastAsia="lt-LT"/>
        </w:rPr>
        <w:t>%, 6</w:t>
      </w:r>
      <w:r>
        <w:rPr>
          <w:iCs/>
          <w:lang w:val="lt-LT" w:eastAsia="lt-LT"/>
        </w:rPr>
        <w:t> </w:t>
      </w:r>
      <w:r w:rsidRPr="00BA1D0D">
        <w:rPr>
          <w:iCs/>
          <w:lang w:val="lt-LT" w:eastAsia="lt-LT"/>
        </w:rPr>
        <w:t>pacientams pranešta apie 10</w:t>
      </w:r>
      <w:r>
        <w:rPr>
          <w:iCs/>
          <w:lang w:val="lt-LT" w:eastAsia="lt-LT"/>
        </w:rPr>
        <w:t> </w:t>
      </w:r>
      <w:r w:rsidRPr="00BA1D0D">
        <w:rPr>
          <w:iCs/>
          <w:lang w:val="lt-LT" w:eastAsia="lt-LT"/>
        </w:rPr>
        <w:t>reiškinių), palyginti su suaugusiaisiais (1,2</w:t>
      </w:r>
      <w:r>
        <w:rPr>
          <w:iCs/>
          <w:lang w:val="lt-LT" w:eastAsia="lt-LT"/>
        </w:rPr>
        <w:t> </w:t>
      </w:r>
      <w:r w:rsidRPr="00BA1D0D">
        <w:rPr>
          <w:iCs/>
          <w:lang w:val="lt-LT" w:eastAsia="lt-LT"/>
        </w:rPr>
        <w:t>%, 65</w:t>
      </w:r>
      <w:r>
        <w:rPr>
          <w:iCs/>
          <w:lang w:val="lt-LT" w:eastAsia="lt-LT"/>
        </w:rPr>
        <w:t> </w:t>
      </w:r>
      <w:r w:rsidRPr="00BA1D0D">
        <w:rPr>
          <w:iCs/>
          <w:lang w:val="lt-LT" w:eastAsia="lt-LT"/>
        </w:rPr>
        <w:t>pacientams pranešta</w:t>
      </w:r>
      <w:r>
        <w:rPr>
          <w:iCs/>
          <w:lang w:val="lt-LT" w:eastAsia="lt-LT"/>
        </w:rPr>
        <w:t xml:space="preserve"> </w:t>
      </w:r>
      <w:r w:rsidRPr="00BA1D0D">
        <w:rPr>
          <w:iCs/>
          <w:lang w:val="lt-LT" w:eastAsia="lt-LT"/>
        </w:rPr>
        <w:t>apie 66</w:t>
      </w:r>
      <w:r>
        <w:rPr>
          <w:iCs/>
          <w:lang w:val="lt-LT" w:eastAsia="lt-LT"/>
        </w:rPr>
        <w:t> </w:t>
      </w:r>
      <w:r w:rsidRPr="00BA1D0D">
        <w:rPr>
          <w:iCs/>
          <w:lang w:val="lt-LT" w:eastAsia="lt-LT"/>
        </w:rPr>
        <w:t>reiškinius) (žr. 4.4 skyrių).</w:t>
      </w:r>
    </w:p>
    <w:p w14:paraId="4C0FEEC3" w14:textId="18AC0335" w:rsidR="00BA1D0D" w:rsidRDefault="00BA1D0D" w:rsidP="00BA1D0D">
      <w:pPr>
        <w:adjustRightInd w:val="0"/>
        <w:rPr>
          <w:iCs/>
          <w:lang w:val="lt-LT" w:eastAsia="lt-LT"/>
        </w:rPr>
      </w:pPr>
      <w:r w:rsidRPr="00BA1D0D">
        <w:rPr>
          <w:iCs/>
          <w:lang w:val="lt-LT" w:eastAsia="lt-LT"/>
        </w:rPr>
        <w:t>Ilgalaikio 25</w:t>
      </w:r>
      <w:r>
        <w:rPr>
          <w:iCs/>
          <w:lang w:val="lt-LT" w:eastAsia="lt-LT"/>
        </w:rPr>
        <w:t> </w:t>
      </w:r>
      <w:r w:rsidRPr="00BA1D0D">
        <w:rPr>
          <w:iCs/>
          <w:lang w:val="lt-LT" w:eastAsia="lt-LT"/>
        </w:rPr>
        <w:t xml:space="preserve">mg </w:t>
      </w:r>
      <w:proofErr w:type="spellStart"/>
      <w:r w:rsidRPr="00BA1D0D">
        <w:rPr>
          <w:iCs/>
          <w:lang w:val="lt-LT" w:eastAsia="lt-LT"/>
        </w:rPr>
        <w:t>agolametino</w:t>
      </w:r>
      <w:proofErr w:type="spellEnd"/>
      <w:r w:rsidRPr="00BA1D0D">
        <w:rPr>
          <w:iCs/>
          <w:lang w:val="lt-LT" w:eastAsia="lt-LT"/>
        </w:rPr>
        <w:t xml:space="preserve"> dozės vartojimo paaugliams saugumo duomenų yra nedaug. Jie apima</w:t>
      </w:r>
      <w:r>
        <w:rPr>
          <w:iCs/>
          <w:lang w:val="lt-LT" w:eastAsia="lt-LT"/>
        </w:rPr>
        <w:t xml:space="preserve"> </w:t>
      </w:r>
      <w:r w:rsidRPr="00BA1D0D">
        <w:rPr>
          <w:iCs/>
          <w:lang w:val="lt-LT" w:eastAsia="lt-LT"/>
        </w:rPr>
        <w:t>ilgalaikę patirtį apie poveikį augimui, lytiniam brendimui (žr. 5.1 skyrių) ir pažinimo funkcijai</w:t>
      </w:r>
    </w:p>
    <w:p w14:paraId="5D218F8D" w14:textId="77777777" w:rsidR="00BA1D0D" w:rsidRPr="003F6BC7" w:rsidRDefault="00BA1D0D" w:rsidP="00EE7D35">
      <w:pPr>
        <w:adjustRightInd w:val="0"/>
        <w:rPr>
          <w:iCs/>
          <w:lang w:val="lt-LT" w:eastAsia="lt-LT"/>
        </w:rPr>
      </w:pPr>
    </w:p>
    <w:p w14:paraId="42406D57" w14:textId="77777777" w:rsidR="00EE7D35" w:rsidRPr="003F6BC7" w:rsidRDefault="00EE7D35" w:rsidP="00EE7D35">
      <w:pPr>
        <w:adjustRightInd w:val="0"/>
        <w:jc w:val="both"/>
        <w:rPr>
          <w:u w:val="single"/>
          <w:lang w:val="lt-LT"/>
        </w:rPr>
      </w:pPr>
      <w:r w:rsidRPr="003F6BC7">
        <w:rPr>
          <w:u w:val="single"/>
          <w:lang w:val="lt-LT"/>
        </w:rPr>
        <w:t>Pranešimas apie įtariamas nepageidaujamas reakcijas</w:t>
      </w:r>
    </w:p>
    <w:p w14:paraId="3CAF6AFD" w14:textId="2DE4AAED" w:rsidR="00EE7D35" w:rsidRPr="003F6BC7" w:rsidRDefault="00EE7D35" w:rsidP="00EE7D35">
      <w:pPr>
        <w:adjustRightInd w:val="0"/>
        <w:rPr>
          <w:lang w:val="lt-LT"/>
        </w:rPr>
      </w:pPr>
      <w:r w:rsidRPr="003F6BC7">
        <w:rPr>
          <w:lang w:val="lt-LT"/>
        </w:rPr>
        <w:t xml:space="preserve">Svarbu pranešti apie įtariamas nepageidaujamas reakcijas, pastebėtas po vaistinio preparato registracijos, nes tai leidžia nuolat stebėti vaistinio preparato naudos ir rizikos santykį. </w:t>
      </w:r>
      <w:bookmarkStart w:id="1" w:name="_Hlk174387194"/>
      <w:r w:rsidR="00BA1D0D" w:rsidRPr="00BA1D0D">
        <w:rPr>
          <w:lang w:val="lt-LT"/>
        </w:rPr>
        <w:t xml:space="preserve">Sveikatos priežiūros ar farmacijos specialistai turi pranešti apie bet kokias įtariamas nepageidaujamas reakcijas, </w:t>
      </w:r>
      <w:r w:rsidR="00BA1D0D" w:rsidRPr="00BA1D0D">
        <w:rPr>
          <w:color w:val="000000"/>
          <w:lang w:val="lt-LT"/>
        </w:rPr>
        <w:t xml:space="preserve">užpildę ir pateikę pranešimo formą Valstybinės vaistų kontrolės tarnybos prie Lietuvos Respublikos sveikatos apsaugos ministerijos tinklalapyje </w:t>
      </w:r>
      <w:r w:rsidR="00BA1D0D" w:rsidRPr="00BA1D0D">
        <w:rPr>
          <w:color w:val="0000EE"/>
          <w:u w:val="single"/>
          <w:lang w:val="lt-LT"/>
        </w:rPr>
        <w:t>https://vvkt.lrv.lt/lt/</w:t>
      </w:r>
      <w:r w:rsidR="00BA1D0D" w:rsidRPr="00BA1D0D">
        <w:rPr>
          <w:color w:val="000000"/>
          <w:lang w:val="lt-LT"/>
        </w:rPr>
        <w:t xml:space="preserve"> nurodytais būdais.</w:t>
      </w:r>
      <w:bookmarkEnd w:id="1"/>
    </w:p>
    <w:p w14:paraId="30A83138" w14:textId="77777777" w:rsidR="00EE7D35" w:rsidRPr="003F6BC7" w:rsidRDefault="00EE7D35" w:rsidP="00EE7D35">
      <w:pPr>
        <w:rPr>
          <w:lang w:val="lt-LT"/>
        </w:rPr>
      </w:pPr>
    </w:p>
    <w:p w14:paraId="3F750BDC" w14:textId="77777777" w:rsidR="00EE7D35" w:rsidRPr="003F6BC7" w:rsidRDefault="00EE7D35" w:rsidP="0090581D">
      <w:pPr>
        <w:ind w:left="567" w:hanging="567"/>
        <w:jc w:val="both"/>
        <w:outlineLvl w:val="3"/>
        <w:rPr>
          <w:b/>
          <w:bCs/>
          <w:lang w:val="lt-LT" w:eastAsia="lt-LT"/>
        </w:rPr>
      </w:pPr>
      <w:r w:rsidRPr="003F6BC7">
        <w:rPr>
          <w:b/>
          <w:bCs/>
          <w:lang w:val="lt-LT" w:eastAsia="lt-LT"/>
        </w:rPr>
        <w:t>4.9</w:t>
      </w:r>
      <w:r w:rsidRPr="003F6BC7">
        <w:rPr>
          <w:b/>
          <w:bCs/>
          <w:lang w:val="lt-LT" w:eastAsia="lt-LT"/>
        </w:rPr>
        <w:tab/>
        <w:t>Perdozavimas</w:t>
      </w:r>
    </w:p>
    <w:p w14:paraId="0854BA96" w14:textId="77777777" w:rsidR="00464860" w:rsidRPr="003F6BC7" w:rsidRDefault="00464860" w:rsidP="00EE7D35">
      <w:pPr>
        <w:jc w:val="both"/>
        <w:outlineLvl w:val="3"/>
        <w:rPr>
          <w:lang w:val="lt-LT" w:eastAsia="lt-LT"/>
        </w:rPr>
      </w:pPr>
    </w:p>
    <w:p w14:paraId="3586C0CB" w14:textId="77777777" w:rsidR="00464860" w:rsidRPr="003F6BC7" w:rsidRDefault="00464860" w:rsidP="00464860">
      <w:pPr>
        <w:rPr>
          <w:u w:val="single"/>
          <w:lang w:val="lt-LT"/>
        </w:rPr>
      </w:pPr>
      <w:r w:rsidRPr="003F6BC7">
        <w:rPr>
          <w:u w:val="single"/>
          <w:lang w:val="lt-LT"/>
        </w:rPr>
        <w:t>Simptomai</w:t>
      </w:r>
    </w:p>
    <w:p w14:paraId="0D9EFD59" w14:textId="2A140B1B" w:rsidR="00464860" w:rsidRPr="003F6BC7" w:rsidRDefault="00464860" w:rsidP="00464860">
      <w:pPr>
        <w:rPr>
          <w:lang w:val="lt-LT"/>
        </w:rPr>
      </w:pPr>
      <w:r w:rsidRPr="003F6BC7">
        <w:rPr>
          <w:lang w:val="lt-LT"/>
        </w:rPr>
        <w:t xml:space="preserve">Duomenų apie </w:t>
      </w:r>
      <w:proofErr w:type="spellStart"/>
      <w:r w:rsidRPr="003F6BC7">
        <w:rPr>
          <w:lang w:val="lt-LT"/>
        </w:rPr>
        <w:t>agomelatino</w:t>
      </w:r>
      <w:proofErr w:type="spellEnd"/>
      <w:r w:rsidRPr="003F6BC7">
        <w:rPr>
          <w:lang w:val="lt-LT"/>
        </w:rPr>
        <w:t xml:space="preserve"> perdozavimą yra nedaug. Remiantis turimais duomenimis apie </w:t>
      </w:r>
      <w:proofErr w:type="spellStart"/>
      <w:r w:rsidRPr="003F6BC7">
        <w:rPr>
          <w:lang w:val="lt-LT"/>
        </w:rPr>
        <w:t>agomelatino</w:t>
      </w:r>
      <w:proofErr w:type="spellEnd"/>
      <w:r w:rsidRPr="003F6BC7">
        <w:rPr>
          <w:lang w:val="lt-LT"/>
        </w:rPr>
        <w:t xml:space="preserve"> perdozavimą, pranešta apie </w:t>
      </w:r>
      <w:proofErr w:type="spellStart"/>
      <w:r w:rsidRPr="003F6BC7">
        <w:rPr>
          <w:lang w:val="lt-LT"/>
        </w:rPr>
        <w:t>epigastralgiją</w:t>
      </w:r>
      <w:proofErr w:type="spellEnd"/>
      <w:r w:rsidRPr="003F6BC7">
        <w:rPr>
          <w:lang w:val="lt-LT"/>
        </w:rPr>
        <w:t xml:space="preserve">, </w:t>
      </w:r>
      <w:proofErr w:type="spellStart"/>
      <w:r w:rsidRPr="003F6BC7">
        <w:rPr>
          <w:lang w:val="lt-LT"/>
        </w:rPr>
        <w:t>somnolenciją</w:t>
      </w:r>
      <w:proofErr w:type="spellEnd"/>
      <w:r w:rsidRPr="003F6BC7">
        <w:rPr>
          <w:lang w:val="lt-LT"/>
        </w:rPr>
        <w:t>, nuovargį, sujaudinimą, nerimą, įtampą, svaigulį, cianozę ar bendrąjį negalavimą.</w:t>
      </w:r>
    </w:p>
    <w:p w14:paraId="2769EB64" w14:textId="34323700" w:rsidR="00464860" w:rsidRPr="003F6BC7" w:rsidRDefault="00464860" w:rsidP="00464860">
      <w:pPr>
        <w:rPr>
          <w:lang w:val="lt-LT"/>
        </w:rPr>
      </w:pPr>
      <w:r w:rsidRPr="003F6BC7">
        <w:rPr>
          <w:lang w:val="lt-LT"/>
        </w:rPr>
        <w:t>Vienas pacientas nurijo 2450</w:t>
      </w:r>
      <w:r w:rsidR="00227E03">
        <w:rPr>
          <w:lang w:val="lt-LT"/>
        </w:rPr>
        <w:t> </w:t>
      </w:r>
      <w:r w:rsidRPr="003F6BC7">
        <w:rPr>
          <w:lang w:val="lt-LT"/>
        </w:rPr>
        <w:t xml:space="preserve">mg </w:t>
      </w:r>
      <w:proofErr w:type="spellStart"/>
      <w:r w:rsidRPr="003F6BC7">
        <w:rPr>
          <w:lang w:val="lt-LT"/>
        </w:rPr>
        <w:t>agomelatino</w:t>
      </w:r>
      <w:proofErr w:type="spellEnd"/>
      <w:r w:rsidRPr="003F6BC7">
        <w:rPr>
          <w:lang w:val="lt-LT"/>
        </w:rPr>
        <w:t xml:space="preserve"> ir pasveiko savaime, be širdies ir kraujagyslių sistemos ar biologinių sutrikimų.</w:t>
      </w:r>
    </w:p>
    <w:p w14:paraId="25782DAD" w14:textId="77777777" w:rsidR="00464860" w:rsidRPr="003F6BC7" w:rsidRDefault="00464860" w:rsidP="00464860">
      <w:pPr>
        <w:rPr>
          <w:lang w:val="lt-LT"/>
        </w:rPr>
      </w:pPr>
    </w:p>
    <w:p w14:paraId="0E7D113B" w14:textId="77777777" w:rsidR="00464860" w:rsidRPr="003F6BC7" w:rsidRDefault="00464860" w:rsidP="00464860">
      <w:pPr>
        <w:rPr>
          <w:u w:val="single"/>
          <w:lang w:val="lt-LT"/>
        </w:rPr>
      </w:pPr>
      <w:r w:rsidRPr="003F6BC7">
        <w:rPr>
          <w:u w:val="single"/>
          <w:lang w:val="lt-LT"/>
        </w:rPr>
        <w:t>Gydymas</w:t>
      </w:r>
    </w:p>
    <w:p w14:paraId="6F0AAD91" w14:textId="77777777" w:rsidR="00464860" w:rsidRPr="003F6BC7" w:rsidRDefault="00464860" w:rsidP="00464860">
      <w:pPr>
        <w:rPr>
          <w:lang w:val="lt-LT"/>
        </w:rPr>
      </w:pPr>
      <w:r w:rsidRPr="003F6BC7">
        <w:rPr>
          <w:lang w:val="lt-LT"/>
        </w:rPr>
        <w:t xml:space="preserve">Specifinių </w:t>
      </w:r>
      <w:proofErr w:type="spellStart"/>
      <w:r w:rsidRPr="003F6BC7">
        <w:rPr>
          <w:lang w:val="lt-LT"/>
        </w:rPr>
        <w:t>agomelatino</w:t>
      </w:r>
      <w:proofErr w:type="spellEnd"/>
      <w:r w:rsidRPr="003F6BC7">
        <w:rPr>
          <w:lang w:val="lt-LT"/>
        </w:rPr>
        <w:t xml:space="preserve"> priešnuodžių nežinoma. Perdozavus taikomas klinikinių simptomų gydymas ir įprastinis paciento stebėjimas. Rekomenduojama, kad pacientą gydytojai stebėtų specializuotoje </w:t>
      </w:r>
      <w:r w:rsidRPr="003F6BC7">
        <w:rPr>
          <w:lang w:val="lt-LT"/>
        </w:rPr>
        <w:lastRenderedPageBreak/>
        <w:t>įstaigoje.</w:t>
      </w:r>
    </w:p>
    <w:p w14:paraId="07B1892B" w14:textId="77777777" w:rsidR="00464860" w:rsidRPr="003F6BC7" w:rsidRDefault="00464860" w:rsidP="00464860">
      <w:pPr>
        <w:jc w:val="center"/>
        <w:rPr>
          <w:lang w:val="lt-LT"/>
        </w:rPr>
      </w:pPr>
    </w:p>
    <w:p w14:paraId="40E7E2E7" w14:textId="77777777" w:rsidR="00464860" w:rsidRPr="003F6BC7" w:rsidRDefault="00464860" w:rsidP="00464860">
      <w:pPr>
        <w:rPr>
          <w:lang w:val="lt-LT"/>
        </w:rPr>
      </w:pPr>
    </w:p>
    <w:p w14:paraId="1AF89F2C" w14:textId="77777777" w:rsidR="00464860" w:rsidRPr="003F6BC7" w:rsidRDefault="00464860" w:rsidP="0090581D">
      <w:pPr>
        <w:ind w:left="567" w:hanging="567"/>
        <w:outlineLvl w:val="2"/>
        <w:rPr>
          <w:b/>
          <w:bCs/>
          <w:lang w:val="lt-LT" w:eastAsia="lt-LT"/>
        </w:rPr>
      </w:pPr>
      <w:r w:rsidRPr="003F6BC7">
        <w:rPr>
          <w:b/>
          <w:bCs/>
          <w:lang w:val="lt-LT" w:eastAsia="lt-LT"/>
        </w:rPr>
        <w:t>5.</w:t>
      </w:r>
      <w:r w:rsidRPr="003F6BC7">
        <w:rPr>
          <w:b/>
          <w:bCs/>
          <w:lang w:val="lt-LT" w:eastAsia="lt-LT"/>
        </w:rPr>
        <w:tab/>
        <w:t>FARMAKOLOGINĖS SAVYBĖS</w:t>
      </w:r>
    </w:p>
    <w:p w14:paraId="4EFF1A00" w14:textId="77777777" w:rsidR="00464860" w:rsidRPr="003F6BC7" w:rsidRDefault="00464860" w:rsidP="00464860">
      <w:pPr>
        <w:rPr>
          <w:lang w:val="lt-LT"/>
        </w:rPr>
      </w:pPr>
    </w:p>
    <w:p w14:paraId="2B9542A0" w14:textId="77777777" w:rsidR="00464860" w:rsidRPr="003F6BC7" w:rsidRDefault="00464860" w:rsidP="0090581D">
      <w:pPr>
        <w:ind w:left="567" w:hanging="567"/>
        <w:jc w:val="both"/>
        <w:outlineLvl w:val="3"/>
        <w:rPr>
          <w:b/>
          <w:bCs/>
          <w:lang w:val="lt-LT" w:eastAsia="lt-LT"/>
        </w:rPr>
      </w:pPr>
      <w:r w:rsidRPr="003F6BC7">
        <w:rPr>
          <w:b/>
          <w:bCs/>
          <w:lang w:val="lt-LT" w:eastAsia="lt-LT"/>
        </w:rPr>
        <w:t>5.1</w:t>
      </w:r>
      <w:r w:rsidRPr="003F6BC7">
        <w:rPr>
          <w:b/>
          <w:bCs/>
          <w:lang w:val="lt-LT" w:eastAsia="lt-LT"/>
        </w:rPr>
        <w:tab/>
      </w:r>
      <w:proofErr w:type="spellStart"/>
      <w:r w:rsidRPr="003F6BC7">
        <w:rPr>
          <w:b/>
          <w:bCs/>
          <w:lang w:val="lt-LT" w:eastAsia="lt-LT"/>
        </w:rPr>
        <w:t>Farmakodinaminės</w:t>
      </w:r>
      <w:proofErr w:type="spellEnd"/>
      <w:r w:rsidRPr="003F6BC7">
        <w:rPr>
          <w:b/>
          <w:bCs/>
          <w:lang w:val="lt-LT" w:eastAsia="lt-LT"/>
        </w:rPr>
        <w:t xml:space="preserve"> savybės</w:t>
      </w:r>
    </w:p>
    <w:p w14:paraId="1829B8B0" w14:textId="77777777" w:rsidR="00464860" w:rsidRPr="003F6BC7" w:rsidRDefault="00464860" w:rsidP="00464860">
      <w:pPr>
        <w:rPr>
          <w:lang w:val="lt-LT"/>
        </w:rPr>
      </w:pPr>
    </w:p>
    <w:p w14:paraId="139EF322" w14:textId="77777777" w:rsidR="00464860" w:rsidRPr="003F6BC7" w:rsidRDefault="00464860" w:rsidP="00464860">
      <w:pPr>
        <w:adjustRightInd w:val="0"/>
        <w:rPr>
          <w:color w:val="000000"/>
          <w:lang w:val="lt-LT" w:eastAsia="sl-SI"/>
        </w:rPr>
      </w:pPr>
      <w:proofErr w:type="spellStart"/>
      <w:r w:rsidRPr="003F6BC7">
        <w:rPr>
          <w:color w:val="000000"/>
          <w:lang w:val="lt-LT" w:eastAsia="sl-SI"/>
        </w:rPr>
        <w:t>Farmakoterapinė</w:t>
      </w:r>
      <w:proofErr w:type="spellEnd"/>
      <w:r w:rsidRPr="003F6BC7">
        <w:rPr>
          <w:color w:val="000000"/>
          <w:lang w:val="lt-LT" w:eastAsia="sl-SI"/>
        </w:rPr>
        <w:t xml:space="preserve"> grupė – </w:t>
      </w:r>
      <w:proofErr w:type="spellStart"/>
      <w:r w:rsidRPr="003F6BC7">
        <w:rPr>
          <w:color w:val="000000"/>
          <w:lang w:val="lt-LT" w:eastAsia="sl-SI"/>
        </w:rPr>
        <w:t>psichoanaleptikai</w:t>
      </w:r>
      <w:proofErr w:type="spellEnd"/>
      <w:r w:rsidRPr="003F6BC7">
        <w:rPr>
          <w:color w:val="000000"/>
          <w:lang w:val="lt-LT" w:eastAsia="sl-SI"/>
        </w:rPr>
        <w:t>, kiti antidepresantai. ATC kodas – N06AX22.</w:t>
      </w:r>
    </w:p>
    <w:p w14:paraId="53E225DC" w14:textId="77777777" w:rsidR="00464860" w:rsidRPr="003F6BC7" w:rsidRDefault="00464860" w:rsidP="00464860">
      <w:pPr>
        <w:adjustRightInd w:val="0"/>
        <w:rPr>
          <w:color w:val="000000"/>
          <w:lang w:val="lt-LT" w:eastAsia="sl-SI"/>
        </w:rPr>
      </w:pPr>
    </w:p>
    <w:p w14:paraId="25D33FD7" w14:textId="77777777" w:rsidR="00464860" w:rsidRPr="003F6BC7" w:rsidRDefault="00464860" w:rsidP="00464860">
      <w:pPr>
        <w:adjustRightInd w:val="0"/>
        <w:rPr>
          <w:color w:val="000000"/>
          <w:u w:val="single"/>
          <w:lang w:val="lt-LT" w:eastAsia="sl-SI"/>
        </w:rPr>
      </w:pPr>
      <w:r w:rsidRPr="003F6BC7">
        <w:rPr>
          <w:color w:val="000000"/>
          <w:u w:val="single"/>
          <w:lang w:val="lt-LT" w:eastAsia="sl-SI"/>
        </w:rPr>
        <w:t>Veikimo mechanizmas</w:t>
      </w:r>
    </w:p>
    <w:p w14:paraId="52C0CD3E" w14:textId="77777777" w:rsidR="00464860" w:rsidRPr="003F6BC7" w:rsidRDefault="00464860" w:rsidP="00464860">
      <w:pPr>
        <w:adjustRightInd w:val="0"/>
        <w:rPr>
          <w:color w:val="000000"/>
          <w:lang w:val="lt-LT" w:eastAsia="sl-SI"/>
        </w:rPr>
      </w:pPr>
      <w:proofErr w:type="spellStart"/>
      <w:r w:rsidRPr="003F6BC7">
        <w:rPr>
          <w:color w:val="000000"/>
          <w:lang w:val="lt-LT" w:eastAsia="sl-SI"/>
        </w:rPr>
        <w:t>Agomelatinas</w:t>
      </w:r>
      <w:proofErr w:type="spellEnd"/>
      <w:r w:rsidRPr="003F6BC7">
        <w:rPr>
          <w:color w:val="000000"/>
          <w:lang w:val="lt-LT" w:eastAsia="sl-SI"/>
        </w:rPr>
        <w:t xml:space="preserve"> yra </w:t>
      </w:r>
      <w:proofErr w:type="spellStart"/>
      <w:r w:rsidRPr="003F6BC7">
        <w:rPr>
          <w:color w:val="000000"/>
          <w:lang w:val="lt-LT" w:eastAsia="sl-SI"/>
        </w:rPr>
        <w:t>melatoninerginis</w:t>
      </w:r>
      <w:proofErr w:type="spellEnd"/>
      <w:r w:rsidRPr="003F6BC7">
        <w:rPr>
          <w:color w:val="000000"/>
          <w:lang w:val="lt-LT" w:eastAsia="sl-SI"/>
        </w:rPr>
        <w:t xml:space="preserve"> MT</w:t>
      </w:r>
      <w:r w:rsidRPr="003F6BC7">
        <w:rPr>
          <w:color w:val="000000"/>
          <w:vertAlign w:val="subscript"/>
          <w:lang w:val="lt-LT" w:eastAsia="sl-SI"/>
        </w:rPr>
        <w:t>1</w:t>
      </w:r>
      <w:r w:rsidRPr="003F6BC7">
        <w:rPr>
          <w:color w:val="000000"/>
          <w:lang w:val="lt-LT" w:eastAsia="sl-SI"/>
        </w:rPr>
        <w:t xml:space="preserve"> ir MT</w:t>
      </w:r>
      <w:r w:rsidRPr="003F6BC7">
        <w:rPr>
          <w:color w:val="000000"/>
          <w:vertAlign w:val="subscript"/>
          <w:lang w:val="lt-LT" w:eastAsia="sl-SI"/>
        </w:rPr>
        <w:t>2</w:t>
      </w:r>
      <w:r w:rsidRPr="003F6BC7">
        <w:rPr>
          <w:color w:val="000000"/>
          <w:lang w:val="lt-LT" w:eastAsia="sl-SI"/>
        </w:rPr>
        <w:t xml:space="preserve"> receptorių </w:t>
      </w:r>
      <w:proofErr w:type="spellStart"/>
      <w:r w:rsidRPr="003F6BC7">
        <w:rPr>
          <w:color w:val="000000"/>
          <w:lang w:val="lt-LT" w:eastAsia="sl-SI"/>
        </w:rPr>
        <w:t>agonistas</w:t>
      </w:r>
      <w:proofErr w:type="spellEnd"/>
      <w:r w:rsidRPr="003F6BC7">
        <w:rPr>
          <w:color w:val="000000"/>
          <w:lang w:val="lt-LT" w:eastAsia="sl-SI"/>
        </w:rPr>
        <w:t xml:space="preserve"> bei 5-HT</w:t>
      </w:r>
      <w:r w:rsidRPr="003F6BC7">
        <w:rPr>
          <w:color w:val="000000"/>
          <w:vertAlign w:val="subscript"/>
          <w:lang w:val="lt-LT" w:eastAsia="sl-SI"/>
        </w:rPr>
        <w:t>2C</w:t>
      </w:r>
      <w:r w:rsidRPr="003F6BC7">
        <w:rPr>
          <w:color w:val="000000"/>
          <w:lang w:val="lt-LT" w:eastAsia="sl-SI"/>
        </w:rPr>
        <w:t xml:space="preserve"> antagonistas. </w:t>
      </w:r>
      <w:proofErr w:type="spellStart"/>
      <w:r w:rsidRPr="003F6BC7">
        <w:rPr>
          <w:color w:val="000000"/>
          <w:lang w:val="lt-LT" w:eastAsia="sl-SI"/>
        </w:rPr>
        <w:t>Agomelatino</w:t>
      </w:r>
      <w:proofErr w:type="spellEnd"/>
      <w:r w:rsidRPr="003F6BC7">
        <w:rPr>
          <w:color w:val="000000"/>
          <w:lang w:val="lt-LT" w:eastAsia="sl-SI"/>
        </w:rPr>
        <w:t xml:space="preserve"> prisijungimo prie receptorių tyrimų metu nustatyta, kad </w:t>
      </w:r>
      <w:proofErr w:type="spellStart"/>
      <w:r w:rsidRPr="003F6BC7">
        <w:rPr>
          <w:color w:val="000000"/>
          <w:lang w:val="lt-LT" w:eastAsia="sl-SI"/>
        </w:rPr>
        <w:t>agomelatinas</w:t>
      </w:r>
      <w:proofErr w:type="spellEnd"/>
      <w:r w:rsidRPr="003F6BC7">
        <w:rPr>
          <w:color w:val="000000"/>
          <w:lang w:val="lt-LT" w:eastAsia="sl-SI"/>
        </w:rPr>
        <w:t xml:space="preserve"> neveikia </w:t>
      </w:r>
      <w:proofErr w:type="spellStart"/>
      <w:r w:rsidRPr="003F6BC7">
        <w:rPr>
          <w:color w:val="000000"/>
          <w:lang w:val="lt-LT" w:eastAsia="sl-SI"/>
        </w:rPr>
        <w:t>monoamino</w:t>
      </w:r>
      <w:proofErr w:type="spellEnd"/>
      <w:r w:rsidRPr="003F6BC7">
        <w:rPr>
          <w:color w:val="000000"/>
          <w:lang w:val="lt-LT" w:eastAsia="sl-SI"/>
        </w:rPr>
        <w:t xml:space="preserve"> pasisavinimo ir jam nebūdingas </w:t>
      </w:r>
      <w:proofErr w:type="spellStart"/>
      <w:r w:rsidRPr="003F6BC7">
        <w:rPr>
          <w:color w:val="000000"/>
          <w:lang w:val="lt-LT" w:eastAsia="sl-SI"/>
        </w:rPr>
        <w:t>afinitetas</w:t>
      </w:r>
      <w:proofErr w:type="spellEnd"/>
      <w:r w:rsidRPr="003F6BC7">
        <w:rPr>
          <w:color w:val="000000"/>
          <w:lang w:val="lt-LT" w:eastAsia="sl-SI"/>
        </w:rPr>
        <w:t xml:space="preserve"> α, β </w:t>
      </w:r>
      <w:proofErr w:type="spellStart"/>
      <w:r w:rsidRPr="003F6BC7">
        <w:rPr>
          <w:color w:val="000000"/>
          <w:lang w:val="lt-LT" w:eastAsia="sl-SI"/>
        </w:rPr>
        <w:t>adrenerginiams</w:t>
      </w:r>
      <w:proofErr w:type="spellEnd"/>
      <w:r w:rsidRPr="003F6BC7">
        <w:rPr>
          <w:color w:val="000000"/>
          <w:lang w:val="lt-LT" w:eastAsia="sl-SI"/>
        </w:rPr>
        <w:t xml:space="preserve">, </w:t>
      </w:r>
      <w:proofErr w:type="spellStart"/>
      <w:r w:rsidRPr="003F6BC7">
        <w:rPr>
          <w:color w:val="000000"/>
          <w:lang w:val="lt-LT" w:eastAsia="sl-SI"/>
        </w:rPr>
        <w:t>histaminerginiams</w:t>
      </w:r>
      <w:proofErr w:type="spellEnd"/>
      <w:r w:rsidRPr="003F6BC7">
        <w:rPr>
          <w:color w:val="000000"/>
          <w:lang w:val="lt-LT" w:eastAsia="sl-SI"/>
        </w:rPr>
        <w:t xml:space="preserve">, </w:t>
      </w:r>
      <w:proofErr w:type="spellStart"/>
      <w:r w:rsidRPr="003F6BC7">
        <w:rPr>
          <w:color w:val="000000"/>
          <w:lang w:val="lt-LT" w:eastAsia="sl-SI"/>
        </w:rPr>
        <w:t>cholinerginiams</w:t>
      </w:r>
      <w:proofErr w:type="spellEnd"/>
      <w:r w:rsidRPr="003F6BC7">
        <w:rPr>
          <w:color w:val="000000"/>
          <w:lang w:val="lt-LT" w:eastAsia="sl-SI"/>
        </w:rPr>
        <w:t xml:space="preserve">, </w:t>
      </w:r>
      <w:proofErr w:type="spellStart"/>
      <w:r w:rsidRPr="003F6BC7">
        <w:rPr>
          <w:color w:val="000000"/>
          <w:lang w:val="lt-LT" w:eastAsia="sl-SI"/>
        </w:rPr>
        <w:t>dopaminerginiams</w:t>
      </w:r>
      <w:proofErr w:type="spellEnd"/>
      <w:r w:rsidRPr="003F6BC7">
        <w:rPr>
          <w:color w:val="000000"/>
          <w:lang w:val="lt-LT" w:eastAsia="sl-SI"/>
        </w:rPr>
        <w:t xml:space="preserve"> ir benzodiazepino receptoriams.</w:t>
      </w:r>
    </w:p>
    <w:p w14:paraId="498EA980" w14:textId="77777777" w:rsidR="00464860" w:rsidRPr="003F6BC7" w:rsidRDefault="00464860" w:rsidP="00464860">
      <w:pPr>
        <w:adjustRightInd w:val="0"/>
        <w:rPr>
          <w:color w:val="000000"/>
          <w:lang w:val="lt-LT" w:eastAsia="sl-SI"/>
        </w:rPr>
      </w:pPr>
      <w:proofErr w:type="spellStart"/>
      <w:r w:rsidRPr="003F6BC7">
        <w:rPr>
          <w:color w:val="000000"/>
          <w:lang w:val="lt-LT" w:eastAsia="sl-SI"/>
        </w:rPr>
        <w:t>Agomelatinas</w:t>
      </w:r>
      <w:proofErr w:type="spellEnd"/>
      <w:r w:rsidRPr="003F6BC7">
        <w:rPr>
          <w:color w:val="000000"/>
          <w:lang w:val="lt-LT" w:eastAsia="sl-SI"/>
        </w:rPr>
        <w:t xml:space="preserve"> iš naujo sinchronizuoja </w:t>
      </w:r>
      <w:proofErr w:type="spellStart"/>
      <w:r w:rsidRPr="003F6BC7">
        <w:rPr>
          <w:color w:val="000000"/>
          <w:lang w:val="lt-LT" w:eastAsia="sl-SI"/>
        </w:rPr>
        <w:t>cirkadinius</w:t>
      </w:r>
      <w:proofErr w:type="spellEnd"/>
      <w:r w:rsidRPr="003F6BC7">
        <w:rPr>
          <w:color w:val="000000"/>
          <w:lang w:val="lt-LT" w:eastAsia="sl-SI"/>
        </w:rPr>
        <w:t xml:space="preserve"> ritmus gyvūnų </w:t>
      </w:r>
      <w:proofErr w:type="spellStart"/>
      <w:r w:rsidRPr="003F6BC7">
        <w:rPr>
          <w:color w:val="000000"/>
          <w:lang w:val="lt-LT" w:eastAsia="sl-SI"/>
        </w:rPr>
        <w:t>cirkadinių</w:t>
      </w:r>
      <w:proofErr w:type="spellEnd"/>
      <w:r w:rsidRPr="003F6BC7">
        <w:rPr>
          <w:color w:val="000000"/>
          <w:lang w:val="lt-LT" w:eastAsia="sl-SI"/>
        </w:rPr>
        <w:t xml:space="preserve"> ritmų sutrikimo modeliuose. </w:t>
      </w:r>
      <w:proofErr w:type="spellStart"/>
      <w:r w:rsidRPr="003F6BC7">
        <w:rPr>
          <w:color w:val="000000"/>
          <w:lang w:val="lt-LT" w:eastAsia="sl-SI"/>
        </w:rPr>
        <w:t>Agomelatinas</w:t>
      </w:r>
      <w:proofErr w:type="spellEnd"/>
      <w:r w:rsidRPr="003F6BC7">
        <w:rPr>
          <w:color w:val="000000"/>
          <w:lang w:val="lt-LT" w:eastAsia="sl-SI"/>
        </w:rPr>
        <w:t xml:space="preserve"> specifiškai padidina </w:t>
      </w:r>
      <w:proofErr w:type="spellStart"/>
      <w:r w:rsidRPr="003F6BC7">
        <w:rPr>
          <w:color w:val="000000"/>
          <w:lang w:val="lt-LT" w:eastAsia="sl-SI"/>
        </w:rPr>
        <w:t>noradrenalino</w:t>
      </w:r>
      <w:proofErr w:type="spellEnd"/>
      <w:r w:rsidRPr="003F6BC7">
        <w:rPr>
          <w:color w:val="000000"/>
          <w:lang w:val="lt-LT" w:eastAsia="sl-SI"/>
        </w:rPr>
        <w:t xml:space="preserve"> ir dopamino atsipalaidavimą frontalinėje žievėje ir nedaro įtakos </w:t>
      </w:r>
      <w:proofErr w:type="spellStart"/>
      <w:r w:rsidRPr="003F6BC7">
        <w:rPr>
          <w:color w:val="000000"/>
          <w:lang w:val="lt-LT" w:eastAsia="sl-SI"/>
        </w:rPr>
        <w:t>ekstraceliulinio</w:t>
      </w:r>
      <w:proofErr w:type="spellEnd"/>
      <w:r w:rsidRPr="003F6BC7">
        <w:rPr>
          <w:color w:val="000000"/>
          <w:lang w:val="lt-LT" w:eastAsia="sl-SI"/>
        </w:rPr>
        <w:t xml:space="preserve"> </w:t>
      </w:r>
      <w:proofErr w:type="spellStart"/>
      <w:r w:rsidRPr="003F6BC7">
        <w:rPr>
          <w:color w:val="000000"/>
          <w:lang w:val="lt-LT" w:eastAsia="sl-SI"/>
        </w:rPr>
        <w:t>serotonino</w:t>
      </w:r>
      <w:proofErr w:type="spellEnd"/>
      <w:r w:rsidRPr="003F6BC7">
        <w:rPr>
          <w:color w:val="000000"/>
          <w:lang w:val="lt-LT" w:eastAsia="sl-SI"/>
        </w:rPr>
        <w:t xml:space="preserve"> lygiui.</w:t>
      </w:r>
    </w:p>
    <w:p w14:paraId="01097583" w14:textId="77777777" w:rsidR="00464860" w:rsidRPr="003F6BC7" w:rsidRDefault="00464860" w:rsidP="00464860">
      <w:pPr>
        <w:adjustRightInd w:val="0"/>
        <w:rPr>
          <w:color w:val="000000"/>
          <w:lang w:val="lt-LT" w:eastAsia="sl-SI"/>
        </w:rPr>
      </w:pPr>
    </w:p>
    <w:p w14:paraId="62EDC62E" w14:textId="77777777" w:rsidR="00464860" w:rsidRPr="003F6BC7" w:rsidRDefault="00464860" w:rsidP="00464860">
      <w:pPr>
        <w:adjustRightInd w:val="0"/>
        <w:rPr>
          <w:color w:val="000000"/>
          <w:u w:val="single"/>
          <w:lang w:val="lt-LT" w:eastAsia="sl-SI"/>
        </w:rPr>
      </w:pPr>
      <w:proofErr w:type="spellStart"/>
      <w:r w:rsidRPr="003F6BC7">
        <w:rPr>
          <w:color w:val="000000"/>
          <w:u w:val="single"/>
          <w:lang w:val="lt-LT" w:eastAsia="sl-SI"/>
        </w:rPr>
        <w:t>Farmakodinaminis</w:t>
      </w:r>
      <w:proofErr w:type="spellEnd"/>
      <w:r w:rsidRPr="003F6BC7">
        <w:rPr>
          <w:color w:val="000000"/>
          <w:u w:val="single"/>
          <w:lang w:val="lt-LT" w:eastAsia="sl-SI"/>
        </w:rPr>
        <w:t xml:space="preserve"> poveikis</w:t>
      </w:r>
    </w:p>
    <w:p w14:paraId="56D8B744" w14:textId="77777777" w:rsidR="00464860" w:rsidRPr="003F6BC7" w:rsidRDefault="00464860" w:rsidP="00464860">
      <w:pPr>
        <w:rPr>
          <w:lang w:val="lt-LT" w:eastAsia="lt-LT"/>
        </w:rPr>
      </w:pPr>
      <w:r w:rsidRPr="003F6BC7">
        <w:rPr>
          <w:lang w:val="lt-LT" w:eastAsia="lt-LT"/>
        </w:rPr>
        <w:t xml:space="preserve">Gyvūnų depresijos modeliuose (išmokto bejėgiškumo testas, nevilties testas, lėtinis lengvas stresas), taip pat </w:t>
      </w:r>
      <w:proofErr w:type="spellStart"/>
      <w:r w:rsidRPr="003F6BC7">
        <w:rPr>
          <w:lang w:val="lt-LT" w:eastAsia="lt-LT"/>
        </w:rPr>
        <w:t>cirkadinių</w:t>
      </w:r>
      <w:proofErr w:type="spellEnd"/>
      <w:r w:rsidRPr="003F6BC7">
        <w:rPr>
          <w:lang w:val="lt-LT" w:eastAsia="lt-LT"/>
        </w:rPr>
        <w:t xml:space="preserve"> ritmų </w:t>
      </w:r>
      <w:proofErr w:type="spellStart"/>
      <w:r w:rsidRPr="003F6BC7">
        <w:rPr>
          <w:lang w:val="lt-LT" w:eastAsia="lt-LT"/>
        </w:rPr>
        <w:t>desinchronizacijos</w:t>
      </w:r>
      <w:proofErr w:type="spellEnd"/>
      <w:r w:rsidRPr="003F6BC7">
        <w:rPr>
          <w:lang w:val="lt-LT" w:eastAsia="lt-LT"/>
        </w:rPr>
        <w:t xml:space="preserve"> ir streso bei nerimo modeliuose </w:t>
      </w:r>
      <w:proofErr w:type="spellStart"/>
      <w:r w:rsidRPr="003F6BC7">
        <w:rPr>
          <w:lang w:val="lt-LT" w:eastAsia="lt-LT"/>
        </w:rPr>
        <w:t>agomelatinas</w:t>
      </w:r>
      <w:proofErr w:type="spellEnd"/>
      <w:r w:rsidRPr="003F6BC7">
        <w:rPr>
          <w:lang w:val="lt-LT" w:eastAsia="lt-LT"/>
        </w:rPr>
        <w:t xml:space="preserve"> sukėlė poveikį, panašų į sukeliamą antidepresantų.</w:t>
      </w:r>
    </w:p>
    <w:p w14:paraId="52FB87DD" w14:textId="77777777" w:rsidR="00464860" w:rsidRPr="003F6BC7" w:rsidRDefault="00464860" w:rsidP="00464860">
      <w:pPr>
        <w:adjustRightInd w:val="0"/>
        <w:rPr>
          <w:color w:val="000000"/>
          <w:lang w:val="lt-LT" w:eastAsia="sl-SI"/>
        </w:rPr>
      </w:pPr>
      <w:r w:rsidRPr="003F6BC7">
        <w:rPr>
          <w:color w:val="000000"/>
          <w:lang w:val="lt-LT" w:eastAsia="sl-SI"/>
        </w:rPr>
        <w:t xml:space="preserve">Žmonėms </w:t>
      </w:r>
      <w:proofErr w:type="spellStart"/>
      <w:r w:rsidRPr="003F6BC7">
        <w:rPr>
          <w:color w:val="000000"/>
          <w:lang w:val="lt-LT" w:eastAsia="sl-SI"/>
        </w:rPr>
        <w:t>agomelatinas</w:t>
      </w:r>
      <w:proofErr w:type="spellEnd"/>
      <w:r w:rsidRPr="003F6BC7">
        <w:rPr>
          <w:color w:val="000000"/>
          <w:lang w:val="lt-LT" w:eastAsia="sl-SI"/>
        </w:rPr>
        <w:t xml:space="preserve"> sukelia palankų fazes keičiantį poveikį; jis sužadina miego paankstinimo fazę, kūno temperatūros sumažėjimą ir </w:t>
      </w:r>
      <w:proofErr w:type="spellStart"/>
      <w:r w:rsidRPr="003F6BC7">
        <w:rPr>
          <w:color w:val="000000"/>
          <w:lang w:val="lt-LT" w:eastAsia="sl-SI"/>
        </w:rPr>
        <w:t>melatonino</w:t>
      </w:r>
      <w:proofErr w:type="spellEnd"/>
      <w:r w:rsidRPr="003F6BC7">
        <w:rPr>
          <w:color w:val="000000"/>
          <w:lang w:val="lt-LT" w:eastAsia="sl-SI"/>
        </w:rPr>
        <w:t xml:space="preserve"> poveikio pasireiškimą.</w:t>
      </w:r>
    </w:p>
    <w:p w14:paraId="16981329" w14:textId="77777777" w:rsidR="00464860" w:rsidRPr="003F6BC7" w:rsidRDefault="00464860" w:rsidP="00464860">
      <w:pPr>
        <w:adjustRightInd w:val="0"/>
        <w:rPr>
          <w:color w:val="000000"/>
          <w:lang w:val="lt-LT" w:eastAsia="sl-SI"/>
        </w:rPr>
      </w:pPr>
    </w:p>
    <w:p w14:paraId="6323D89F" w14:textId="767B6684" w:rsidR="00464860" w:rsidRPr="003F6BC7" w:rsidRDefault="00464860" w:rsidP="00464860">
      <w:pPr>
        <w:adjustRightInd w:val="0"/>
        <w:rPr>
          <w:color w:val="000000"/>
          <w:u w:val="single"/>
          <w:lang w:val="lt-LT" w:eastAsia="sl-SI"/>
        </w:rPr>
      </w:pPr>
      <w:r w:rsidRPr="003F6BC7">
        <w:rPr>
          <w:color w:val="000000"/>
          <w:u w:val="single"/>
          <w:lang w:val="lt-LT" w:eastAsia="sl-SI"/>
        </w:rPr>
        <w:t>Klinikinis veiksmingumas ir saugumas</w:t>
      </w:r>
      <w:r w:rsidR="00BA1D0D">
        <w:rPr>
          <w:color w:val="000000"/>
          <w:u w:val="single"/>
          <w:lang w:val="lt-LT" w:eastAsia="sl-SI"/>
        </w:rPr>
        <w:t xml:space="preserve"> suaugusiesiems</w:t>
      </w:r>
    </w:p>
    <w:p w14:paraId="713A2599" w14:textId="0574C050" w:rsidR="00464860" w:rsidRPr="003F6BC7" w:rsidRDefault="00464860" w:rsidP="00464860">
      <w:pPr>
        <w:adjustRightInd w:val="0"/>
        <w:rPr>
          <w:color w:val="000000"/>
          <w:lang w:val="lt-LT" w:eastAsia="sl-SI"/>
        </w:rPr>
      </w:pPr>
      <w:proofErr w:type="spellStart"/>
      <w:r w:rsidRPr="003F6BC7">
        <w:rPr>
          <w:color w:val="000000"/>
          <w:lang w:val="lt-LT" w:eastAsia="sl-SI"/>
        </w:rPr>
        <w:t>Agomelatino</w:t>
      </w:r>
      <w:proofErr w:type="spellEnd"/>
      <w:r w:rsidRPr="003F6BC7">
        <w:rPr>
          <w:color w:val="000000"/>
          <w:lang w:val="lt-LT" w:eastAsia="sl-SI"/>
        </w:rPr>
        <w:t xml:space="preserve"> veiksmingumas ir saugumas gydant didžiosios depresijos epizodus buvo tirtas klinikinėje programoje, kurioje dalyvavo 7900 </w:t>
      </w:r>
      <w:proofErr w:type="spellStart"/>
      <w:r w:rsidRPr="003F6BC7">
        <w:rPr>
          <w:color w:val="000000"/>
          <w:lang w:val="lt-LT" w:eastAsia="sl-SI"/>
        </w:rPr>
        <w:t>agomelatinu</w:t>
      </w:r>
      <w:proofErr w:type="spellEnd"/>
      <w:r w:rsidRPr="003F6BC7">
        <w:rPr>
          <w:color w:val="000000"/>
          <w:lang w:val="lt-LT" w:eastAsia="sl-SI"/>
        </w:rPr>
        <w:t xml:space="preserve"> gydytų pacientų.</w:t>
      </w:r>
    </w:p>
    <w:p w14:paraId="5EC1569E" w14:textId="77777777" w:rsidR="00464860" w:rsidRPr="003F6BC7" w:rsidRDefault="00464860" w:rsidP="00464860">
      <w:pPr>
        <w:adjustRightInd w:val="0"/>
        <w:rPr>
          <w:color w:val="000000"/>
          <w:lang w:val="lt-LT" w:eastAsia="sl-SI"/>
        </w:rPr>
      </w:pPr>
    </w:p>
    <w:p w14:paraId="3A24C4F0" w14:textId="46A7A39A" w:rsidR="00464860" w:rsidRPr="003F6BC7" w:rsidRDefault="00464860" w:rsidP="00464860">
      <w:pPr>
        <w:adjustRightInd w:val="0"/>
        <w:rPr>
          <w:color w:val="000000"/>
          <w:lang w:val="lt-LT" w:eastAsia="sl-SI"/>
        </w:rPr>
      </w:pPr>
      <w:r w:rsidRPr="003F6BC7">
        <w:rPr>
          <w:color w:val="000000"/>
          <w:lang w:val="lt-LT" w:eastAsia="sl-SI"/>
        </w:rPr>
        <w:t xml:space="preserve">Siekiant ištirti trumpalaikį </w:t>
      </w:r>
      <w:proofErr w:type="spellStart"/>
      <w:r w:rsidRPr="003F6BC7">
        <w:rPr>
          <w:color w:val="000000"/>
          <w:lang w:val="lt-LT" w:eastAsia="sl-SI"/>
        </w:rPr>
        <w:t>agomelatino</w:t>
      </w:r>
      <w:proofErr w:type="spellEnd"/>
      <w:r w:rsidRPr="003F6BC7">
        <w:rPr>
          <w:color w:val="000000"/>
          <w:lang w:val="lt-LT" w:eastAsia="sl-SI"/>
        </w:rPr>
        <w:t xml:space="preserve"> veiksmingumą didžiosios depresijos sutrikimui gydyti suaugusiems pacientams skiriant fiksuotą ir (arba) laipsniškai didinamą dozę, buvo atlikta dešimt placebu kontroliuojamų tyrimų. 6 iš 10 trumpalaikių dvigubai koduotų placebu kontroliuotų tyrimų metu gydymo pabaigoje (po 6 ar 8 savaičių) nustatytas reikšmingas 25</w:t>
      </w:r>
      <w:r w:rsidR="00243B40" w:rsidRPr="003F6BC7">
        <w:rPr>
          <w:color w:val="000000"/>
          <w:lang w:val="lt-LT" w:eastAsia="sl-SI"/>
        </w:rPr>
        <w:t>-</w:t>
      </w:r>
      <w:r w:rsidRPr="003F6BC7">
        <w:rPr>
          <w:color w:val="000000"/>
          <w:lang w:val="lt-LT" w:eastAsia="sl-SI"/>
        </w:rPr>
        <w:t xml:space="preserve">50 mg </w:t>
      </w:r>
      <w:proofErr w:type="spellStart"/>
      <w:r w:rsidRPr="003F6BC7">
        <w:rPr>
          <w:color w:val="000000"/>
          <w:lang w:val="lt-LT" w:eastAsia="sl-SI"/>
        </w:rPr>
        <w:t>agomelatino</w:t>
      </w:r>
      <w:proofErr w:type="spellEnd"/>
      <w:r w:rsidRPr="003F6BC7">
        <w:rPr>
          <w:color w:val="000000"/>
          <w:lang w:val="lt-LT" w:eastAsia="sl-SI"/>
        </w:rPr>
        <w:t xml:space="preserve"> dozės veiksmingumas. P</w:t>
      </w:r>
      <w:r w:rsidR="003A58D3">
        <w:rPr>
          <w:color w:val="000000"/>
          <w:lang w:val="lt-LT" w:eastAsia="sl-SI"/>
        </w:rPr>
        <w:t>irm</w:t>
      </w:r>
      <w:r w:rsidRPr="003F6BC7">
        <w:rPr>
          <w:color w:val="000000"/>
          <w:lang w:val="lt-LT" w:eastAsia="sl-SI"/>
        </w:rPr>
        <w:t xml:space="preserve">inė vertinamoji baigtis buvo HAMD-17 skalės </w:t>
      </w:r>
      <w:r w:rsidR="00797F4D" w:rsidRPr="00797F4D">
        <w:rPr>
          <w:color w:val="000000"/>
          <w:lang w:val="lt-LT" w:eastAsia="sl-SI"/>
        </w:rPr>
        <w:t xml:space="preserve">(angl. </w:t>
      </w:r>
      <w:proofErr w:type="spellStart"/>
      <w:r w:rsidR="00797F4D" w:rsidRPr="00590ABF">
        <w:rPr>
          <w:i/>
          <w:color w:val="000000"/>
          <w:lang w:val="lt-LT" w:eastAsia="sl-SI"/>
        </w:rPr>
        <w:t>Hamilton</w:t>
      </w:r>
      <w:proofErr w:type="spellEnd"/>
      <w:r w:rsidR="00797F4D" w:rsidRPr="00590ABF">
        <w:rPr>
          <w:i/>
          <w:color w:val="000000"/>
          <w:lang w:val="lt-LT" w:eastAsia="sl-SI"/>
        </w:rPr>
        <w:t xml:space="preserve"> </w:t>
      </w:r>
      <w:proofErr w:type="spellStart"/>
      <w:r w:rsidR="00797F4D" w:rsidRPr="00590ABF">
        <w:rPr>
          <w:i/>
          <w:color w:val="000000"/>
          <w:lang w:val="lt-LT" w:eastAsia="sl-SI"/>
        </w:rPr>
        <w:t>Depression</w:t>
      </w:r>
      <w:proofErr w:type="spellEnd"/>
      <w:r w:rsidR="00797F4D" w:rsidRPr="00590ABF">
        <w:rPr>
          <w:i/>
          <w:color w:val="000000"/>
          <w:lang w:val="lt-LT" w:eastAsia="sl-SI"/>
        </w:rPr>
        <w:t xml:space="preserve"> </w:t>
      </w:r>
      <w:proofErr w:type="spellStart"/>
      <w:r w:rsidR="00797F4D" w:rsidRPr="00590ABF">
        <w:rPr>
          <w:i/>
          <w:color w:val="000000"/>
          <w:lang w:val="lt-LT" w:eastAsia="sl-SI"/>
        </w:rPr>
        <w:t>Rating</w:t>
      </w:r>
      <w:proofErr w:type="spellEnd"/>
      <w:r w:rsidR="00797F4D" w:rsidRPr="00590ABF">
        <w:rPr>
          <w:i/>
          <w:color w:val="000000"/>
          <w:lang w:val="lt-LT" w:eastAsia="sl-SI"/>
        </w:rPr>
        <w:t xml:space="preserve"> </w:t>
      </w:r>
      <w:proofErr w:type="spellStart"/>
      <w:r w:rsidR="00797F4D" w:rsidRPr="00590ABF">
        <w:rPr>
          <w:i/>
          <w:color w:val="000000"/>
          <w:lang w:val="lt-LT" w:eastAsia="sl-SI"/>
        </w:rPr>
        <w:t>Scale</w:t>
      </w:r>
      <w:proofErr w:type="spellEnd"/>
      <w:r w:rsidR="00797F4D" w:rsidRPr="00590ABF">
        <w:rPr>
          <w:i/>
          <w:color w:val="000000"/>
          <w:lang w:val="lt-LT" w:eastAsia="sl-SI"/>
        </w:rPr>
        <w:t>, HAMD</w:t>
      </w:r>
      <w:r w:rsidR="00797F4D" w:rsidRPr="00797F4D">
        <w:rPr>
          <w:color w:val="000000"/>
          <w:lang w:val="lt-LT" w:eastAsia="sl-SI"/>
        </w:rPr>
        <w:t>)</w:t>
      </w:r>
      <w:r w:rsidR="00797F4D">
        <w:rPr>
          <w:color w:val="000000"/>
          <w:lang w:val="lt-LT" w:eastAsia="sl-SI"/>
        </w:rPr>
        <w:t xml:space="preserve"> </w:t>
      </w:r>
      <w:r w:rsidRPr="003F6BC7">
        <w:rPr>
          <w:color w:val="000000"/>
          <w:lang w:val="lt-LT" w:eastAsia="sl-SI"/>
        </w:rPr>
        <w:t xml:space="preserve">įvertinimo pokytis nuo pradinio rodmens. </w:t>
      </w:r>
      <w:proofErr w:type="spellStart"/>
      <w:r w:rsidRPr="003F6BC7">
        <w:rPr>
          <w:color w:val="000000"/>
          <w:lang w:val="lt-LT" w:eastAsia="sl-SI"/>
        </w:rPr>
        <w:t>Agomelatino</w:t>
      </w:r>
      <w:proofErr w:type="spellEnd"/>
      <w:r w:rsidRPr="003F6BC7">
        <w:rPr>
          <w:color w:val="000000"/>
          <w:lang w:val="lt-LT" w:eastAsia="sl-SI"/>
        </w:rPr>
        <w:t xml:space="preserve"> poveikis nesiskyrė nuo placebo poveikio dviejų tyrimų metu, kai aktyvios kontrolės vaistiniai preparatai </w:t>
      </w:r>
      <w:proofErr w:type="spellStart"/>
      <w:r w:rsidRPr="003F6BC7">
        <w:rPr>
          <w:color w:val="000000"/>
          <w:lang w:val="lt-LT" w:eastAsia="sl-SI"/>
        </w:rPr>
        <w:t>paroksetinas</w:t>
      </w:r>
      <w:proofErr w:type="spellEnd"/>
      <w:r w:rsidRPr="003F6BC7">
        <w:rPr>
          <w:color w:val="000000"/>
          <w:lang w:val="lt-LT" w:eastAsia="sl-SI"/>
        </w:rPr>
        <w:t xml:space="preserve"> arba </w:t>
      </w:r>
      <w:proofErr w:type="spellStart"/>
      <w:r w:rsidRPr="003F6BC7">
        <w:rPr>
          <w:color w:val="000000"/>
          <w:lang w:val="lt-LT" w:eastAsia="sl-SI"/>
        </w:rPr>
        <w:t>fluoksetinas</w:t>
      </w:r>
      <w:proofErr w:type="spellEnd"/>
      <w:r w:rsidRPr="003F6BC7">
        <w:rPr>
          <w:color w:val="000000"/>
          <w:lang w:val="lt-LT" w:eastAsia="sl-SI"/>
        </w:rPr>
        <w:t xml:space="preserve"> parodė šių tyrimų jautrumą. </w:t>
      </w:r>
      <w:proofErr w:type="spellStart"/>
      <w:r w:rsidRPr="003F6BC7">
        <w:rPr>
          <w:color w:val="000000"/>
          <w:lang w:val="lt-LT" w:eastAsia="sl-SI"/>
        </w:rPr>
        <w:t>Agomelatinas</w:t>
      </w:r>
      <w:proofErr w:type="spellEnd"/>
      <w:r w:rsidRPr="003F6BC7">
        <w:rPr>
          <w:color w:val="000000"/>
          <w:lang w:val="lt-LT" w:eastAsia="sl-SI"/>
        </w:rPr>
        <w:t xml:space="preserve"> tiesiogiai nebuvo lyginamas su </w:t>
      </w:r>
      <w:proofErr w:type="spellStart"/>
      <w:r w:rsidRPr="003F6BC7">
        <w:rPr>
          <w:color w:val="000000"/>
          <w:lang w:val="lt-LT" w:eastAsia="sl-SI"/>
        </w:rPr>
        <w:t>paroksetinu</w:t>
      </w:r>
      <w:proofErr w:type="spellEnd"/>
      <w:r w:rsidRPr="003F6BC7">
        <w:rPr>
          <w:color w:val="000000"/>
          <w:lang w:val="lt-LT" w:eastAsia="sl-SI"/>
        </w:rPr>
        <w:t xml:space="preserve"> ir </w:t>
      </w:r>
      <w:proofErr w:type="spellStart"/>
      <w:r w:rsidRPr="003F6BC7">
        <w:rPr>
          <w:color w:val="000000"/>
          <w:lang w:val="lt-LT" w:eastAsia="sl-SI"/>
        </w:rPr>
        <w:t>fluoksetinu</w:t>
      </w:r>
      <w:proofErr w:type="spellEnd"/>
      <w:r w:rsidRPr="003F6BC7">
        <w:rPr>
          <w:color w:val="000000"/>
          <w:lang w:val="lt-LT" w:eastAsia="sl-SI"/>
        </w:rPr>
        <w:t xml:space="preserve">, nes šie lyginamieji vaistiniai preparatai buvo pridėti siekiant užtikrinti tyrimų jautrumą. Atliekant kitus du tyrimus, išvados padaryti nebuvo galima, nes aktyviai kontrolei vartojamų </w:t>
      </w:r>
      <w:proofErr w:type="spellStart"/>
      <w:r w:rsidRPr="003F6BC7">
        <w:rPr>
          <w:color w:val="000000"/>
          <w:lang w:val="lt-LT" w:eastAsia="sl-SI"/>
        </w:rPr>
        <w:t>paroksetino</w:t>
      </w:r>
      <w:proofErr w:type="spellEnd"/>
      <w:r w:rsidRPr="003F6BC7">
        <w:rPr>
          <w:color w:val="000000"/>
          <w:lang w:val="lt-LT" w:eastAsia="sl-SI"/>
        </w:rPr>
        <w:t xml:space="preserve"> arba </w:t>
      </w:r>
      <w:proofErr w:type="spellStart"/>
      <w:r w:rsidRPr="003F6BC7">
        <w:rPr>
          <w:color w:val="000000"/>
          <w:lang w:val="lt-LT" w:eastAsia="sl-SI"/>
        </w:rPr>
        <w:t>fluoksetino</w:t>
      </w:r>
      <w:proofErr w:type="spellEnd"/>
      <w:r w:rsidRPr="003F6BC7">
        <w:rPr>
          <w:color w:val="000000"/>
          <w:lang w:val="lt-LT" w:eastAsia="sl-SI"/>
        </w:rPr>
        <w:t xml:space="preserve"> poveikis nesiskyrė nuo placebo poveikio. Vis dėlto šiuose klinikiniuose tyrimuose nebuvo leidžiama padidinti pradinės </w:t>
      </w:r>
      <w:proofErr w:type="spellStart"/>
      <w:r w:rsidRPr="003F6BC7">
        <w:rPr>
          <w:color w:val="000000"/>
          <w:lang w:val="lt-LT" w:eastAsia="sl-SI"/>
        </w:rPr>
        <w:t>agomelatino</w:t>
      </w:r>
      <w:proofErr w:type="spellEnd"/>
      <w:r w:rsidRPr="003F6BC7">
        <w:rPr>
          <w:color w:val="000000"/>
          <w:lang w:val="lt-LT" w:eastAsia="sl-SI"/>
        </w:rPr>
        <w:t xml:space="preserve">, </w:t>
      </w:r>
      <w:proofErr w:type="spellStart"/>
      <w:r w:rsidRPr="003F6BC7">
        <w:rPr>
          <w:color w:val="000000"/>
          <w:lang w:val="lt-LT" w:eastAsia="sl-SI"/>
        </w:rPr>
        <w:t>paroksetino</w:t>
      </w:r>
      <w:proofErr w:type="spellEnd"/>
      <w:r w:rsidRPr="003F6BC7">
        <w:rPr>
          <w:color w:val="000000"/>
          <w:lang w:val="lt-LT" w:eastAsia="sl-SI"/>
        </w:rPr>
        <w:t xml:space="preserve"> ar </w:t>
      </w:r>
      <w:proofErr w:type="spellStart"/>
      <w:r w:rsidRPr="003F6BC7">
        <w:rPr>
          <w:color w:val="000000"/>
          <w:lang w:val="lt-LT" w:eastAsia="sl-SI"/>
        </w:rPr>
        <w:t>fluoksetino</w:t>
      </w:r>
      <w:proofErr w:type="spellEnd"/>
      <w:r w:rsidRPr="003F6BC7">
        <w:rPr>
          <w:color w:val="000000"/>
          <w:lang w:val="lt-LT" w:eastAsia="sl-SI"/>
        </w:rPr>
        <w:t xml:space="preserve"> dozės, net jei atsakas nebuvo pakankamas.</w:t>
      </w:r>
    </w:p>
    <w:p w14:paraId="2FA4075A" w14:textId="77777777" w:rsidR="00464860" w:rsidRPr="003F6BC7" w:rsidRDefault="00464860" w:rsidP="00464860">
      <w:pPr>
        <w:adjustRightInd w:val="0"/>
        <w:rPr>
          <w:color w:val="000000"/>
          <w:lang w:val="lt-LT" w:eastAsia="sl-SI"/>
        </w:rPr>
      </w:pPr>
    </w:p>
    <w:p w14:paraId="42BACB35" w14:textId="36FEAB4D" w:rsidR="00464860" w:rsidRPr="003F6BC7" w:rsidRDefault="00464860" w:rsidP="00464860">
      <w:pPr>
        <w:adjustRightInd w:val="0"/>
        <w:rPr>
          <w:color w:val="000000"/>
          <w:lang w:val="lt-LT" w:eastAsia="sl-SI"/>
        </w:rPr>
      </w:pPr>
      <w:r w:rsidRPr="003F6BC7">
        <w:rPr>
          <w:color w:val="000000"/>
          <w:lang w:val="lt-LT" w:eastAsia="sl-SI"/>
        </w:rPr>
        <w:t>Sunkesne depresija (pradinis HAM-D vertinimas ≥</w:t>
      </w:r>
      <w:r w:rsidR="00FA5548">
        <w:rPr>
          <w:color w:val="000000"/>
          <w:lang w:val="lt-LT" w:eastAsia="sl-SI"/>
        </w:rPr>
        <w:t> </w:t>
      </w:r>
      <w:r w:rsidRPr="003F6BC7">
        <w:rPr>
          <w:color w:val="000000"/>
          <w:lang w:val="lt-LT" w:eastAsia="sl-SI"/>
        </w:rPr>
        <w:t xml:space="preserve">25) sergantiems pacientams visų placebu kontroliuotų tyrimų metu taip pat buvo nustatytas </w:t>
      </w:r>
      <w:proofErr w:type="spellStart"/>
      <w:r w:rsidRPr="003F6BC7">
        <w:rPr>
          <w:color w:val="000000"/>
          <w:lang w:val="lt-LT" w:eastAsia="sl-SI"/>
        </w:rPr>
        <w:t>agomelatino</w:t>
      </w:r>
      <w:proofErr w:type="spellEnd"/>
      <w:r w:rsidRPr="003F6BC7">
        <w:rPr>
          <w:color w:val="000000"/>
          <w:lang w:val="lt-LT" w:eastAsia="sl-SI"/>
        </w:rPr>
        <w:t xml:space="preserve"> veiksmingumas.</w:t>
      </w:r>
    </w:p>
    <w:p w14:paraId="13127CFC" w14:textId="77777777" w:rsidR="00464860" w:rsidRPr="003F6BC7" w:rsidRDefault="00464860" w:rsidP="00464860">
      <w:pPr>
        <w:adjustRightInd w:val="0"/>
        <w:rPr>
          <w:color w:val="000000"/>
          <w:lang w:val="lt-LT" w:eastAsia="sl-SI"/>
        </w:rPr>
      </w:pPr>
    </w:p>
    <w:p w14:paraId="47518306" w14:textId="77777777" w:rsidR="00464860" w:rsidRPr="003F6BC7" w:rsidRDefault="00464860" w:rsidP="00464860">
      <w:pPr>
        <w:adjustRightInd w:val="0"/>
        <w:rPr>
          <w:color w:val="000000"/>
          <w:lang w:val="lt-LT" w:eastAsia="sl-SI"/>
        </w:rPr>
      </w:pPr>
      <w:r w:rsidRPr="003F6BC7">
        <w:rPr>
          <w:color w:val="000000"/>
          <w:lang w:val="lt-LT" w:eastAsia="sl-SI"/>
        </w:rPr>
        <w:t xml:space="preserve">Atsako į gydymą dažnis buvo statistiškai reikšmingai didesnis vartojant </w:t>
      </w:r>
      <w:proofErr w:type="spellStart"/>
      <w:r w:rsidRPr="003F6BC7">
        <w:rPr>
          <w:color w:val="000000"/>
          <w:lang w:val="lt-LT" w:eastAsia="sl-SI"/>
        </w:rPr>
        <w:t>agomelatiną</w:t>
      </w:r>
      <w:proofErr w:type="spellEnd"/>
      <w:r w:rsidRPr="003F6BC7">
        <w:rPr>
          <w:color w:val="000000"/>
          <w:lang w:val="lt-LT" w:eastAsia="sl-SI"/>
        </w:rPr>
        <w:t xml:space="preserve">, palyginti su </w:t>
      </w:r>
      <w:proofErr w:type="spellStart"/>
      <w:r w:rsidRPr="003F6BC7">
        <w:rPr>
          <w:color w:val="000000"/>
          <w:lang w:val="lt-LT" w:eastAsia="sl-SI"/>
        </w:rPr>
        <w:t>placebu</w:t>
      </w:r>
      <w:proofErr w:type="spellEnd"/>
      <w:r w:rsidRPr="003F6BC7">
        <w:rPr>
          <w:color w:val="000000"/>
          <w:lang w:val="lt-LT" w:eastAsia="sl-SI"/>
        </w:rPr>
        <w:t>.</w:t>
      </w:r>
    </w:p>
    <w:p w14:paraId="1D1C4EDB" w14:textId="77777777" w:rsidR="00464860" w:rsidRPr="003F6BC7" w:rsidRDefault="00464860" w:rsidP="00464860">
      <w:pPr>
        <w:adjustRightInd w:val="0"/>
        <w:rPr>
          <w:color w:val="000000"/>
          <w:lang w:val="lt-LT" w:eastAsia="sl-SI"/>
        </w:rPr>
      </w:pPr>
    </w:p>
    <w:p w14:paraId="6209DA95" w14:textId="6B027136" w:rsidR="00464860" w:rsidRPr="003F6BC7" w:rsidRDefault="00464860" w:rsidP="00464860">
      <w:pPr>
        <w:adjustRightInd w:val="0"/>
        <w:rPr>
          <w:color w:val="000000"/>
          <w:lang w:val="lt-LT" w:eastAsia="sl-SI"/>
        </w:rPr>
      </w:pPr>
      <w:r w:rsidRPr="003F6BC7">
        <w:rPr>
          <w:color w:val="000000"/>
          <w:lang w:val="lt-LT" w:eastAsia="sl-SI"/>
        </w:rPr>
        <w:t xml:space="preserve">Šešiuose iš septynių veiksmingumo tyrimų, kuriuose dalyvavusių depresija sergančių suaugusių pacientų populiacijos buvo </w:t>
      </w:r>
      <w:proofErr w:type="spellStart"/>
      <w:r w:rsidRPr="003F6BC7">
        <w:rPr>
          <w:color w:val="000000"/>
          <w:lang w:val="lt-LT" w:eastAsia="sl-SI"/>
        </w:rPr>
        <w:t>heterogeniškos</w:t>
      </w:r>
      <w:proofErr w:type="spellEnd"/>
      <w:r w:rsidRPr="003F6BC7">
        <w:rPr>
          <w:color w:val="000000"/>
          <w:lang w:val="lt-LT" w:eastAsia="sl-SI"/>
        </w:rPr>
        <w:t xml:space="preserve">, buvo patvirtintas </w:t>
      </w:r>
      <w:proofErr w:type="spellStart"/>
      <w:r w:rsidRPr="003F6BC7">
        <w:rPr>
          <w:color w:val="000000"/>
          <w:lang w:val="lt-LT" w:eastAsia="sl-SI"/>
        </w:rPr>
        <w:t>agomelatino</w:t>
      </w:r>
      <w:proofErr w:type="spellEnd"/>
      <w:r w:rsidRPr="003F6BC7">
        <w:rPr>
          <w:color w:val="000000"/>
          <w:lang w:val="lt-LT" w:eastAsia="sl-SI"/>
        </w:rPr>
        <w:t xml:space="preserve"> poveikio pranašumas (2 tyrimuose) arba </w:t>
      </w:r>
      <w:r w:rsidR="00FA5548">
        <w:rPr>
          <w:color w:val="000000"/>
          <w:lang w:val="lt-LT" w:eastAsia="sl-SI"/>
        </w:rPr>
        <w:t>ne prastesnis veiksmingumas</w:t>
      </w:r>
      <w:r w:rsidR="00FA5548" w:rsidRPr="003F6BC7">
        <w:rPr>
          <w:color w:val="000000"/>
          <w:lang w:val="lt-LT" w:eastAsia="sl-SI"/>
        </w:rPr>
        <w:t xml:space="preserve"> </w:t>
      </w:r>
      <w:r w:rsidRPr="003F6BC7">
        <w:rPr>
          <w:color w:val="000000"/>
          <w:lang w:val="lt-LT" w:eastAsia="sl-SI"/>
        </w:rPr>
        <w:t>(4 tyrimuose), palyginti su SSRI/SNRI (</w:t>
      </w:r>
      <w:proofErr w:type="spellStart"/>
      <w:r w:rsidRPr="003F6BC7">
        <w:rPr>
          <w:color w:val="000000"/>
          <w:lang w:val="lt-LT" w:eastAsia="sl-SI"/>
        </w:rPr>
        <w:t>sertralinu</w:t>
      </w:r>
      <w:proofErr w:type="spellEnd"/>
      <w:r w:rsidRPr="003F6BC7">
        <w:rPr>
          <w:color w:val="000000"/>
          <w:lang w:val="lt-LT" w:eastAsia="sl-SI"/>
        </w:rPr>
        <w:t xml:space="preserve">, </w:t>
      </w:r>
      <w:proofErr w:type="spellStart"/>
      <w:r w:rsidRPr="003F6BC7">
        <w:rPr>
          <w:color w:val="000000"/>
          <w:lang w:val="lt-LT" w:eastAsia="sl-SI"/>
        </w:rPr>
        <w:t>escitalopramu</w:t>
      </w:r>
      <w:proofErr w:type="spellEnd"/>
      <w:r w:rsidRPr="003F6BC7">
        <w:rPr>
          <w:color w:val="000000"/>
          <w:lang w:val="lt-LT" w:eastAsia="sl-SI"/>
        </w:rPr>
        <w:t xml:space="preserve">, </w:t>
      </w:r>
      <w:proofErr w:type="spellStart"/>
      <w:r w:rsidRPr="003F6BC7">
        <w:rPr>
          <w:color w:val="000000"/>
          <w:lang w:val="lt-LT" w:eastAsia="sl-SI"/>
        </w:rPr>
        <w:t>fluoksetinu</w:t>
      </w:r>
      <w:proofErr w:type="spellEnd"/>
      <w:r w:rsidRPr="003F6BC7">
        <w:rPr>
          <w:color w:val="000000"/>
          <w:lang w:val="lt-LT" w:eastAsia="sl-SI"/>
        </w:rPr>
        <w:t xml:space="preserve">, </w:t>
      </w:r>
      <w:proofErr w:type="spellStart"/>
      <w:r w:rsidRPr="003F6BC7">
        <w:rPr>
          <w:color w:val="000000"/>
          <w:lang w:val="lt-LT" w:eastAsia="sl-SI"/>
        </w:rPr>
        <w:t>venlafaksinu</w:t>
      </w:r>
      <w:proofErr w:type="spellEnd"/>
      <w:r w:rsidRPr="003F6BC7">
        <w:rPr>
          <w:color w:val="000000"/>
          <w:lang w:val="lt-LT" w:eastAsia="sl-SI"/>
        </w:rPr>
        <w:t xml:space="preserve"> ar </w:t>
      </w:r>
      <w:proofErr w:type="spellStart"/>
      <w:r w:rsidRPr="003F6BC7">
        <w:rPr>
          <w:color w:val="000000"/>
          <w:lang w:val="lt-LT" w:eastAsia="sl-SI"/>
        </w:rPr>
        <w:t>duloksetinu</w:t>
      </w:r>
      <w:proofErr w:type="spellEnd"/>
      <w:r w:rsidRPr="003F6BC7">
        <w:rPr>
          <w:color w:val="000000"/>
          <w:lang w:val="lt-LT" w:eastAsia="sl-SI"/>
        </w:rPr>
        <w:t xml:space="preserve">). </w:t>
      </w:r>
      <w:proofErr w:type="spellStart"/>
      <w:r w:rsidRPr="003F6BC7">
        <w:rPr>
          <w:color w:val="000000"/>
          <w:lang w:val="lt-LT" w:eastAsia="sl-SI"/>
        </w:rPr>
        <w:t>Antidepresinis</w:t>
      </w:r>
      <w:proofErr w:type="spellEnd"/>
      <w:r w:rsidRPr="003F6BC7">
        <w:rPr>
          <w:color w:val="000000"/>
          <w:lang w:val="lt-LT" w:eastAsia="sl-SI"/>
        </w:rPr>
        <w:t xml:space="preserve"> poveikis buvo vertintas pagal HAMD-17 skalės įvertinimą (p</w:t>
      </w:r>
      <w:r w:rsidR="003A58D3">
        <w:rPr>
          <w:color w:val="000000"/>
          <w:lang w:val="lt-LT" w:eastAsia="sl-SI"/>
        </w:rPr>
        <w:t>irminę</w:t>
      </w:r>
      <w:r w:rsidRPr="003F6BC7">
        <w:rPr>
          <w:color w:val="000000"/>
          <w:lang w:val="lt-LT" w:eastAsia="sl-SI"/>
        </w:rPr>
        <w:t xml:space="preserve"> ar antrinę vertinamąją baigtį).</w:t>
      </w:r>
    </w:p>
    <w:p w14:paraId="2F137AB8" w14:textId="77777777" w:rsidR="00464860" w:rsidRPr="003F6BC7" w:rsidRDefault="00464860" w:rsidP="00464860">
      <w:pPr>
        <w:adjustRightInd w:val="0"/>
        <w:rPr>
          <w:color w:val="000000"/>
          <w:lang w:val="lt-LT" w:eastAsia="sl-SI"/>
        </w:rPr>
      </w:pPr>
    </w:p>
    <w:p w14:paraId="1957B099" w14:textId="2C94EFFE" w:rsidR="00464860" w:rsidRPr="003F6BC7" w:rsidRDefault="00464860" w:rsidP="00464860">
      <w:pPr>
        <w:adjustRightInd w:val="0"/>
        <w:rPr>
          <w:color w:val="000000"/>
          <w:lang w:val="lt-LT" w:eastAsia="sl-SI"/>
        </w:rPr>
      </w:pPr>
      <w:r w:rsidRPr="003F6BC7">
        <w:rPr>
          <w:color w:val="000000"/>
          <w:lang w:val="lt-LT" w:eastAsia="sl-SI"/>
        </w:rPr>
        <w:t xml:space="preserve">Atkryčio prevencijos tyrimas parodė, kad </w:t>
      </w:r>
      <w:proofErr w:type="spellStart"/>
      <w:r w:rsidRPr="003F6BC7">
        <w:rPr>
          <w:color w:val="000000"/>
          <w:lang w:val="lt-LT" w:eastAsia="sl-SI"/>
        </w:rPr>
        <w:t>antidepresinis</w:t>
      </w:r>
      <w:proofErr w:type="spellEnd"/>
      <w:r w:rsidRPr="003F6BC7">
        <w:rPr>
          <w:color w:val="000000"/>
          <w:lang w:val="lt-LT" w:eastAsia="sl-SI"/>
        </w:rPr>
        <w:t xml:space="preserve"> poveikis išlieka. Pacientai, kurie reagavo į pradinį gydymą 25</w:t>
      </w:r>
      <w:r w:rsidR="00243B40" w:rsidRPr="003F6BC7">
        <w:rPr>
          <w:color w:val="000000"/>
          <w:lang w:val="lt-LT" w:eastAsia="sl-SI"/>
        </w:rPr>
        <w:t>-</w:t>
      </w:r>
      <w:r w:rsidRPr="003F6BC7">
        <w:rPr>
          <w:color w:val="000000"/>
          <w:lang w:val="lt-LT" w:eastAsia="sl-SI"/>
        </w:rPr>
        <w:t>50</w:t>
      </w:r>
      <w:r w:rsidR="00227E03">
        <w:rPr>
          <w:color w:val="000000"/>
          <w:lang w:val="lt-LT" w:eastAsia="sl-SI"/>
        </w:rPr>
        <w:t> </w:t>
      </w:r>
      <w:r w:rsidRPr="003F6BC7">
        <w:rPr>
          <w:color w:val="000000"/>
          <w:lang w:val="lt-LT" w:eastAsia="sl-SI"/>
        </w:rPr>
        <w:t xml:space="preserve">mg </w:t>
      </w:r>
      <w:proofErr w:type="spellStart"/>
      <w:r w:rsidRPr="003F6BC7">
        <w:rPr>
          <w:color w:val="000000"/>
          <w:lang w:val="lt-LT" w:eastAsia="sl-SI"/>
        </w:rPr>
        <w:t>agomelatino</w:t>
      </w:r>
      <w:proofErr w:type="spellEnd"/>
      <w:r w:rsidRPr="003F6BC7">
        <w:rPr>
          <w:color w:val="000000"/>
          <w:lang w:val="lt-LT" w:eastAsia="sl-SI"/>
        </w:rPr>
        <w:t xml:space="preserve"> (nekoduoto) doze kartą per parą 8/10 savaičių, buvo suskirstyti </w:t>
      </w:r>
      <w:r w:rsidRPr="003F6BC7">
        <w:rPr>
          <w:color w:val="000000"/>
          <w:lang w:val="lt-LT" w:eastAsia="sl-SI"/>
        </w:rPr>
        <w:lastRenderedPageBreak/>
        <w:t>į atsitiktines imtis ir dar 6</w:t>
      </w:r>
      <w:r w:rsidR="00FA5548">
        <w:rPr>
          <w:color w:val="000000"/>
          <w:lang w:val="lt-LT" w:eastAsia="sl-SI"/>
        </w:rPr>
        <w:t xml:space="preserve"> </w:t>
      </w:r>
      <w:r w:rsidRPr="003F6BC7">
        <w:rPr>
          <w:color w:val="000000"/>
          <w:lang w:val="lt-LT" w:eastAsia="sl-SI"/>
        </w:rPr>
        <w:t>mėnesius vartojo arba 25</w:t>
      </w:r>
      <w:r w:rsidR="00243B40" w:rsidRPr="003F6BC7">
        <w:rPr>
          <w:color w:val="000000"/>
          <w:lang w:val="lt-LT" w:eastAsia="sl-SI"/>
        </w:rPr>
        <w:t>-</w:t>
      </w:r>
      <w:r w:rsidRPr="003F6BC7">
        <w:rPr>
          <w:color w:val="000000"/>
          <w:lang w:val="lt-LT" w:eastAsia="sl-SI"/>
        </w:rPr>
        <w:t xml:space="preserve">50 mg </w:t>
      </w:r>
      <w:proofErr w:type="spellStart"/>
      <w:r w:rsidRPr="003F6BC7">
        <w:rPr>
          <w:color w:val="000000"/>
          <w:lang w:val="lt-LT" w:eastAsia="sl-SI"/>
        </w:rPr>
        <w:t>agomelatino</w:t>
      </w:r>
      <w:proofErr w:type="spellEnd"/>
      <w:r w:rsidRPr="003F6BC7">
        <w:rPr>
          <w:color w:val="000000"/>
          <w:lang w:val="lt-LT" w:eastAsia="sl-SI"/>
        </w:rPr>
        <w:t xml:space="preserve"> kartą per parą, arba placebo. Kartą per parą vartojama 25</w:t>
      </w:r>
      <w:r w:rsidR="00243B40" w:rsidRPr="003F6BC7">
        <w:rPr>
          <w:color w:val="000000"/>
          <w:lang w:val="lt-LT" w:eastAsia="sl-SI"/>
        </w:rPr>
        <w:t>-</w:t>
      </w:r>
      <w:r w:rsidRPr="003F6BC7">
        <w:rPr>
          <w:color w:val="000000"/>
          <w:lang w:val="lt-LT" w:eastAsia="sl-SI"/>
        </w:rPr>
        <w:t>50</w:t>
      </w:r>
      <w:r w:rsidR="00227E03">
        <w:rPr>
          <w:color w:val="000000"/>
          <w:lang w:val="lt-LT" w:eastAsia="sl-SI"/>
        </w:rPr>
        <w:t> </w:t>
      </w:r>
      <w:r w:rsidRPr="003F6BC7">
        <w:rPr>
          <w:color w:val="000000"/>
          <w:lang w:val="lt-LT" w:eastAsia="sl-SI"/>
        </w:rPr>
        <w:t xml:space="preserve">mg </w:t>
      </w:r>
      <w:proofErr w:type="spellStart"/>
      <w:r w:rsidRPr="003F6BC7">
        <w:rPr>
          <w:color w:val="000000"/>
          <w:lang w:val="lt-LT" w:eastAsia="sl-SI"/>
        </w:rPr>
        <w:t>agomelatino</w:t>
      </w:r>
      <w:proofErr w:type="spellEnd"/>
      <w:r w:rsidRPr="003F6BC7">
        <w:rPr>
          <w:color w:val="000000"/>
          <w:lang w:val="lt-LT" w:eastAsia="sl-SI"/>
        </w:rPr>
        <w:t xml:space="preserve"> dozė, palyginti su placebu, sukėlė statistiškai reikšmingai pranašesnį poveikį (p=0,0001) vertinant </w:t>
      </w:r>
      <w:r w:rsidR="003A58D3">
        <w:rPr>
          <w:color w:val="000000"/>
          <w:lang w:val="lt-LT" w:eastAsia="sl-SI"/>
        </w:rPr>
        <w:t>pirminę</w:t>
      </w:r>
      <w:r w:rsidRPr="003F6BC7">
        <w:rPr>
          <w:color w:val="000000"/>
          <w:lang w:val="lt-LT" w:eastAsia="sl-SI"/>
        </w:rPr>
        <w:t xml:space="preserve"> vertinamąją baigtį, t. y. depresijos atkryčio prevenciją (matuojant laiką iki atkryčio). Per 6 mėnesių dvigubai koduotą stebėjimo laikotarpį atkryčio dažnis buvo 22% </w:t>
      </w:r>
      <w:proofErr w:type="spellStart"/>
      <w:r w:rsidRPr="003F6BC7">
        <w:rPr>
          <w:color w:val="000000"/>
          <w:lang w:val="lt-LT" w:eastAsia="sl-SI"/>
        </w:rPr>
        <w:t>agomelatino</w:t>
      </w:r>
      <w:proofErr w:type="spellEnd"/>
      <w:r w:rsidRPr="003F6BC7">
        <w:rPr>
          <w:color w:val="000000"/>
          <w:lang w:val="lt-LT" w:eastAsia="sl-SI"/>
        </w:rPr>
        <w:t xml:space="preserve"> grupėje ir 47% placebo grupėje.</w:t>
      </w:r>
    </w:p>
    <w:p w14:paraId="541EA98F" w14:textId="77777777" w:rsidR="00464860" w:rsidRPr="003F6BC7" w:rsidRDefault="00464860" w:rsidP="00464860">
      <w:pPr>
        <w:adjustRightInd w:val="0"/>
        <w:rPr>
          <w:color w:val="000000"/>
          <w:lang w:val="lt-LT" w:eastAsia="sl-SI"/>
        </w:rPr>
      </w:pPr>
    </w:p>
    <w:p w14:paraId="375BB3D5" w14:textId="4FF4271F" w:rsidR="00464860" w:rsidRPr="003F6BC7" w:rsidRDefault="00464860" w:rsidP="00464860">
      <w:pPr>
        <w:adjustRightInd w:val="0"/>
        <w:rPr>
          <w:color w:val="000000"/>
          <w:lang w:val="lt-LT" w:eastAsia="sl-SI"/>
        </w:rPr>
      </w:pPr>
      <w:proofErr w:type="spellStart"/>
      <w:r w:rsidRPr="003F6BC7">
        <w:rPr>
          <w:color w:val="000000"/>
          <w:lang w:val="lt-LT" w:eastAsia="sl-SI"/>
        </w:rPr>
        <w:t>Agomelatinas</w:t>
      </w:r>
      <w:proofErr w:type="spellEnd"/>
      <w:r w:rsidRPr="003F6BC7">
        <w:rPr>
          <w:color w:val="000000"/>
          <w:lang w:val="lt-LT" w:eastAsia="sl-SI"/>
        </w:rPr>
        <w:t xml:space="preserve"> nepaveikė sveikų savanorių budrumo dieną ir atminties. Depresija sergantiems pacientams </w:t>
      </w:r>
      <w:proofErr w:type="spellStart"/>
      <w:r w:rsidRPr="003F6BC7">
        <w:rPr>
          <w:color w:val="000000"/>
          <w:lang w:val="lt-LT" w:eastAsia="sl-SI"/>
        </w:rPr>
        <w:t>agomelatino</w:t>
      </w:r>
      <w:proofErr w:type="spellEnd"/>
      <w:r w:rsidRPr="003F6BC7">
        <w:rPr>
          <w:color w:val="000000"/>
          <w:lang w:val="lt-LT" w:eastAsia="sl-SI"/>
        </w:rPr>
        <w:t xml:space="preserve"> 25</w:t>
      </w:r>
      <w:r w:rsidR="00227E03">
        <w:rPr>
          <w:color w:val="000000"/>
          <w:lang w:val="lt-LT" w:eastAsia="sl-SI"/>
        </w:rPr>
        <w:t> </w:t>
      </w:r>
      <w:r w:rsidRPr="003F6BC7">
        <w:rPr>
          <w:color w:val="000000"/>
          <w:lang w:val="lt-LT" w:eastAsia="sl-SI"/>
        </w:rPr>
        <w:t xml:space="preserve">mg dozė padidino miego lėtų bangų fazę ir neveikė greitų akių judesių (angl. </w:t>
      </w:r>
      <w:proofErr w:type="spellStart"/>
      <w:r w:rsidRPr="003F6BC7">
        <w:rPr>
          <w:i/>
          <w:iCs/>
          <w:color w:val="000000"/>
          <w:lang w:val="lt-LT" w:eastAsia="sl-SI"/>
        </w:rPr>
        <w:t>Rapid</w:t>
      </w:r>
      <w:proofErr w:type="spellEnd"/>
      <w:r w:rsidRPr="003F6BC7">
        <w:rPr>
          <w:i/>
          <w:iCs/>
          <w:color w:val="000000"/>
          <w:lang w:val="lt-LT" w:eastAsia="sl-SI"/>
        </w:rPr>
        <w:t xml:space="preserve"> </w:t>
      </w:r>
      <w:proofErr w:type="spellStart"/>
      <w:r w:rsidRPr="003F6BC7">
        <w:rPr>
          <w:i/>
          <w:iCs/>
          <w:color w:val="000000"/>
          <w:lang w:val="lt-LT" w:eastAsia="sl-SI"/>
        </w:rPr>
        <w:t>Eye</w:t>
      </w:r>
      <w:proofErr w:type="spellEnd"/>
      <w:r w:rsidRPr="003F6BC7">
        <w:rPr>
          <w:i/>
          <w:iCs/>
          <w:color w:val="000000"/>
          <w:lang w:val="lt-LT" w:eastAsia="sl-SI"/>
        </w:rPr>
        <w:t xml:space="preserve"> </w:t>
      </w:r>
      <w:proofErr w:type="spellStart"/>
      <w:r w:rsidRPr="003F6BC7">
        <w:rPr>
          <w:i/>
          <w:iCs/>
          <w:color w:val="000000"/>
          <w:lang w:val="lt-LT" w:eastAsia="sl-SI"/>
        </w:rPr>
        <w:t>Movement</w:t>
      </w:r>
      <w:proofErr w:type="spellEnd"/>
      <w:r w:rsidRPr="003F6BC7">
        <w:rPr>
          <w:i/>
          <w:iCs/>
          <w:color w:val="000000"/>
          <w:lang w:val="lt-LT" w:eastAsia="sl-SI"/>
        </w:rPr>
        <w:t xml:space="preserve">, </w:t>
      </w:r>
      <w:r w:rsidRPr="003F6BC7">
        <w:rPr>
          <w:color w:val="000000"/>
          <w:lang w:val="lt-LT" w:eastAsia="sl-SI"/>
        </w:rPr>
        <w:t xml:space="preserve">REM) miego trukmės ar REM </w:t>
      </w:r>
      <w:proofErr w:type="spellStart"/>
      <w:r w:rsidRPr="003F6BC7">
        <w:rPr>
          <w:color w:val="000000"/>
          <w:lang w:val="lt-LT" w:eastAsia="sl-SI"/>
        </w:rPr>
        <w:t>latencijos</w:t>
      </w:r>
      <w:proofErr w:type="spellEnd"/>
      <w:r w:rsidRPr="003F6BC7">
        <w:rPr>
          <w:color w:val="000000"/>
          <w:lang w:val="lt-LT" w:eastAsia="sl-SI"/>
        </w:rPr>
        <w:t>. Be to, 25</w:t>
      </w:r>
      <w:r w:rsidR="00227E03">
        <w:rPr>
          <w:color w:val="000000"/>
          <w:lang w:val="lt-LT" w:eastAsia="sl-SI"/>
        </w:rPr>
        <w:t> </w:t>
      </w:r>
      <w:r w:rsidRPr="003F6BC7">
        <w:rPr>
          <w:color w:val="000000"/>
          <w:lang w:val="lt-LT" w:eastAsia="sl-SI"/>
        </w:rPr>
        <w:t xml:space="preserve">mg </w:t>
      </w:r>
      <w:proofErr w:type="spellStart"/>
      <w:r w:rsidRPr="003F6BC7">
        <w:rPr>
          <w:color w:val="000000"/>
          <w:lang w:val="lt-LT" w:eastAsia="sl-SI"/>
        </w:rPr>
        <w:t>agomelatino</w:t>
      </w:r>
      <w:proofErr w:type="spellEnd"/>
      <w:r w:rsidRPr="003F6BC7">
        <w:rPr>
          <w:color w:val="000000"/>
          <w:lang w:val="lt-LT" w:eastAsia="sl-SI"/>
        </w:rPr>
        <w:t xml:space="preserve"> dozė paankstino miego pradžią ir minimalaus širdies susitraukimų dažnio atsiradimą. Patys pacientai įvertino, kad nuo pirmosios gydymo savaitės reikšmingai pagerėjo užmigimas ir miego kokybė, o nerangumo dienos metu nepasireiškė.</w:t>
      </w:r>
    </w:p>
    <w:p w14:paraId="540EC6E6" w14:textId="77777777" w:rsidR="00464860" w:rsidRPr="003F6BC7" w:rsidRDefault="00464860" w:rsidP="00464860">
      <w:pPr>
        <w:adjustRightInd w:val="0"/>
        <w:rPr>
          <w:color w:val="000000"/>
          <w:lang w:val="lt-LT" w:eastAsia="sl-SI"/>
        </w:rPr>
      </w:pPr>
    </w:p>
    <w:p w14:paraId="55F13B32" w14:textId="648DBE7B" w:rsidR="00464860" w:rsidRPr="003F6BC7" w:rsidRDefault="00464860" w:rsidP="00464860">
      <w:pPr>
        <w:adjustRightInd w:val="0"/>
        <w:rPr>
          <w:color w:val="000000"/>
          <w:lang w:val="lt-LT" w:eastAsia="sl-SI"/>
        </w:rPr>
      </w:pPr>
      <w:r w:rsidRPr="003F6BC7">
        <w:rPr>
          <w:color w:val="000000"/>
          <w:lang w:val="lt-LT" w:eastAsia="sl-SI"/>
        </w:rPr>
        <w:t xml:space="preserve">Specifinis lyginamasis lytinės disfunkcijos tyrimas, kuriame dalyvavo depresija sergantys remisiją pasiekę pacientai, parodė skaitinę tendenciją (statistiškai nereikšmingą), kad, vartojant </w:t>
      </w:r>
      <w:proofErr w:type="spellStart"/>
      <w:r w:rsidRPr="003F6BC7">
        <w:rPr>
          <w:color w:val="000000"/>
          <w:lang w:val="lt-LT" w:eastAsia="sl-SI"/>
        </w:rPr>
        <w:t>agomelatino</w:t>
      </w:r>
      <w:proofErr w:type="spellEnd"/>
      <w:r w:rsidRPr="003F6BC7">
        <w:rPr>
          <w:color w:val="000000"/>
          <w:lang w:val="lt-LT" w:eastAsia="sl-SI"/>
        </w:rPr>
        <w:t xml:space="preserve"> lytinė disfunkcija pasireiškia rečiau, negu vartojant </w:t>
      </w:r>
      <w:proofErr w:type="spellStart"/>
      <w:r w:rsidRPr="003F6BC7">
        <w:rPr>
          <w:color w:val="000000"/>
          <w:lang w:val="lt-LT" w:eastAsia="sl-SI"/>
        </w:rPr>
        <w:t>venlafaksino</w:t>
      </w:r>
      <w:proofErr w:type="spellEnd"/>
      <w:r w:rsidRPr="003F6BC7">
        <w:rPr>
          <w:color w:val="000000"/>
          <w:lang w:val="lt-LT" w:eastAsia="sl-SI"/>
        </w:rPr>
        <w:t xml:space="preserve">, lyginant lytinio potraukio ar orgazmo įvertinimą pagal lytinio poveikio skalę (angl. </w:t>
      </w:r>
      <w:proofErr w:type="spellStart"/>
      <w:r w:rsidRPr="003F6BC7">
        <w:rPr>
          <w:i/>
          <w:iCs/>
          <w:color w:val="000000"/>
          <w:lang w:val="lt-LT" w:eastAsia="sl-SI"/>
        </w:rPr>
        <w:t>Sex</w:t>
      </w:r>
      <w:proofErr w:type="spellEnd"/>
      <w:r w:rsidRPr="003F6BC7">
        <w:rPr>
          <w:i/>
          <w:iCs/>
          <w:color w:val="000000"/>
          <w:lang w:val="lt-LT" w:eastAsia="sl-SI"/>
        </w:rPr>
        <w:t xml:space="preserve"> </w:t>
      </w:r>
      <w:proofErr w:type="spellStart"/>
      <w:r w:rsidRPr="003F6BC7">
        <w:rPr>
          <w:i/>
          <w:iCs/>
          <w:color w:val="000000"/>
          <w:lang w:val="lt-LT" w:eastAsia="sl-SI"/>
        </w:rPr>
        <w:t>Effects</w:t>
      </w:r>
      <w:proofErr w:type="spellEnd"/>
      <w:r w:rsidRPr="003F6BC7">
        <w:rPr>
          <w:i/>
          <w:iCs/>
          <w:color w:val="000000"/>
          <w:lang w:val="lt-LT" w:eastAsia="sl-SI"/>
        </w:rPr>
        <w:t xml:space="preserve"> </w:t>
      </w:r>
      <w:proofErr w:type="spellStart"/>
      <w:r w:rsidRPr="003F6BC7">
        <w:rPr>
          <w:i/>
          <w:iCs/>
          <w:color w:val="000000"/>
          <w:lang w:val="lt-LT" w:eastAsia="sl-SI"/>
        </w:rPr>
        <w:t>Scale</w:t>
      </w:r>
      <w:proofErr w:type="spellEnd"/>
      <w:r w:rsidRPr="003F6BC7">
        <w:rPr>
          <w:i/>
          <w:iCs/>
          <w:color w:val="000000"/>
          <w:lang w:val="lt-LT" w:eastAsia="sl-SI"/>
        </w:rPr>
        <w:t xml:space="preserve">, </w:t>
      </w:r>
      <w:r w:rsidRPr="003F6BC7">
        <w:rPr>
          <w:iCs/>
          <w:color w:val="000000"/>
          <w:lang w:val="lt-LT" w:eastAsia="sl-SI"/>
        </w:rPr>
        <w:t>SEXFX</w:t>
      </w:r>
      <w:r w:rsidRPr="003F6BC7">
        <w:rPr>
          <w:color w:val="000000"/>
          <w:lang w:val="lt-LT" w:eastAsia="sl-SI"/>
        </w:rPr>
        <w:t xml:space="preserve">). Tyrimų jungtinės analizės duomenimis, gautais naudojant Arizonos lytinio patyrimo skalę (angl. </w:t>
      </w:r>
      <w:r w:rsidRPr="003F6BC7">
        <w:rPr>
          <w:i/>
          <w:iCs/>
          <w:color w:val="000000"/>
          <w:lang w:val="lt-LT" w:eastAsia="sl-SI"/>
        </w:rPr>
        <w:t xml:space="preserve">Arizona </w:t>
      </w:r>
      <w:proofErr w:type="spellStart"/>
      <w:r w:rsidRPr="003F6BC7">
        <w:rPr>
          <w:i/>
          <w:iCs/>
          <w:color w:val="000000"/>
          <w:lang w:val="lt-LT" w:eastAsia="sl-SI"/>
        </w:rPr>
        <w:t>Sexual</w:t>
      </w:r>
      <w:proofErr w:type="spellEnd"/>
      <w:r w:rsidRPr="003F6BC7">
        <w:rPr>
          <w:i/>
          <w:iCs/>
          <w:color w:val="000000"/>
          <w:lang w:val="lt-LT" w:eastAsia="sl-SI"/>
        </w:rPr>
        <w:t xml:space="preserve"> </w:t>
      </w:r>
      <w:proofErr w:type="spellStart"/>
      <w:r w:rsidRPr="003F6BC7">
        <w:rPr>
          <w:i/>
          <w:iCs/>
          <w:color w:val="000000"/>
          <w:lang w:val="lt-LT" w:eastAsia="sl-SI"/>
        </w:rPr>
        <w:t>Experience</w:t>
      </w:r>
      <w:proofErr w:type="spellEnd"/>
      <w:r w:rsidRPr="003F6BC7">
        <w:rPr>
          <w:i/>
          <w:iCs/>
          <w:color w:val="000000"/>
          <w:lang w:val="lt-LT" w:eastAsia="sl-SI"/>
        </w:rPr>
        <w:t xml:space="preserve"> </w:t>
      </w:r>
      <w:proofErr w:type="spellStart"/>
      <w:r w:rsidRPr="003F6BC7">
        <w:rPr>
          <w:i/>
          <w:iCs/>
          <w:color w:val="000000"/>
          <w:lang w:val="lt-LT" w:eastAsia="sl-SI"/>
        </w:rPr>
        <w:t>Scale</w:t>
      </w:r>
      <w:proofErr w:type="spellEnd"/>
      <w:r w:rsidRPr="003F6BC7">
        <w:rPr>
          <w:i/>
          <w:iCs/>
          <w:color w:val="000000"/>
          <w:lang w:val="lt-LT" w:eastAsia="sl-SI"/>
        </w:rPr>
        <w:t xml:space="preserve">, </w:t>
      </w:r>
      <w:r w:rsidRPr="003F6BC7">
        <w:rPr>
          <w:iCs/>
          <w:color w:val="000000"/>
          <w:lang w:val="lt-LT" w:eastAsia="sl-SI"/>
        </w:rPr>
        <w:t>ASEX</w:t>
      </w:r>
      <w:r w:rsidRPr="003F6BC7">
        <w:rPr>
          <w:color w:val="000000"/>
          <w:lang w:val="lt-LT" w:eastAsia="sl-SI"/>
        </w:rPr>
        <w:t xml:space="preserve">), </w:t>
      </w:r>
      <w:proofErr w:type="spellStart"/>
      <w:r w:rsidRPr="003F6BC7">
        <w:rPr>
          <w:color w:val="000000"/>
          <w:lang w:val="lt-LT" w:eastAsia="sl-SI"/>
        </w:rPr>
        <w:t>agomelatinas</w:t>
      </w:r>
      <w:proofErr w:type="spellEnd"/>
      <w:r w:rsidRPr="003F6BC7">
        <w:rPr>
          <w:color w:val="000000"/>
          <w:lang w:val="lt-LT" w:eastAsia="sl-SI"/>
        </w:rPr>
        <w:t xml:space="preserve"> nesukelia lytinės funkcijos sutrikimų. Sveikiems savanoriams </w:t>
      </w:r>
      <w:proofErr w:type="spellStart"/>
      <w:r w:rsidRPr="003F6BC7">
        <w:rPr>
          <w:color w:val="000000"/>
          <w:lang w:val="lt-LT" w:eastAsia="sl-SI"/>
        </w:rPr>
        <w:t>agomelatinas</w:t>
      </w:r>
      <w:proofErr w:type="spellEnd"/>
      <w:r w:rsidRPr="003F6BC7">
        <w:rPr>
          <w:color w:val="000000"/>
          <w:lang w:val="lt-LT" w:eastAsia="sl-SI"/>
        </w:rPr>
        <w:t xml:space="preserve">, kitaip nei </w:t>
      </w:r>
      <w:proofErr w:type="spellStart"/>
      <w:r w:rsidRPr="003F6BC7">
        <w:rPr>
          <w:color w:val="000000"/>
          <w:lang w:val="lt-LT" w:eastAsia="sl-SI"/>
        </w:rPr>
        <w:t>paroksetinas</w:t>
      </w:r>
      <w:proofErr w:type="spellEnd"/>
      <w:r w:rsidRPr="003F6BC7">
        <w:rPr>
          <w:color w:val="000000"/>
          <w:lang w:val="lt-LT" w:eastAsia="sl-SI"/>
        </w:rPr>
        <w:t>, nesukėlė lytinės funkcijos pokyčių.</w:t>
      </w:r>
    </w:p>
    <w:p w14:paraId="2278DE9C" w14:textId="77777777" w:rsidR="00464860" w:rsidRPr="003F6BC7" w:rsidRDefault="00464860" w:rsidP="00464860">
      <w:pPr>
        <w:adjustRightInd w:val="0"/>
        <w:rPr>
          <w:color w:val="000000"/>
          <w:lang w:val="lt-LT" w:eastAsia="sl-SI"/>
        </w:rPr>
      </w:pPr>
    </w:p>
    <w:p w14:paraId="1200BA4D" w14:textId="77777777" w:rsidR="00464860" w:rsidRPr="003F6BC7" w:rsidRDefault="00464860" w:rsidP="00464860">
      <w:pPr>
        <w:adjustRightInd w:val="0"/>
        <w:rPr>
          <w:color w:val="000000"/>
          <w:lang w:val="lt-LT" w:eastAsia="sl-SI"/>
        </w:rPr>
      </w:pPr>
      <w:r w:rsidRPr="003F6BC7">
        <w:rPr>
          <w:color w:val="000000"/>
          <w:lang w:val="lt-LT" w:eastAsia="sl-SI"/>
        </w:rPr>
        <w:t xml:space="preserve">Klinikinių tyrimų metu </w:t>
      </w:r>
      <w:proofErr w:type="spellStart"/>
      <w:r w:rsidRPr="003F6BC7">
        <w:rPr>
          <w:color w:val="000000"/>
          <w:lang w:val="lt-LT" w:eastAsia="sl-SI"/>
        </w:rPr>
        <w:t>agomelatino</w:t>
      </w:r>
      <w:proofErr w:type="spellEnd"/>
      <w:r w:rsidRPr="003F6BC7">
        <w:rPr>
          <w:color w:val="000000"/>
          <w:lang w:val="lt-LT" w:eastAsia="sl-SI"/>
        </w:rPr>
        <w:t xml:space="preserve"> poveikis širdies susitraukimų dažniui ir kraujospūdžiui buvo neutralus.</w:t>
      </w:r>
    </w:p>
    <w:p w14:paraId="40F7D538" w14:textId="77777777" w:rsidR="00464860" w:rsidRPr="003F6BC7" w:rsidRDefault="00464860" w:rsidP="00464860">
      <w:pPr>
        <w:adjustRightInd w:val="0"/>
        <w:rPr>
          <w:color w:val="000000"/>
          <w:lang w:val="lt-LT" w:eastAsia="sl-SI"/>
        </w:rPr>
      </w:pPr>
    </w:p>
    <w:p w14:paraId="7EBB967D" w14:textId="2CD155F1" w:rsidR="00464860" w:rsidRPr="003F6BC7" w:rsidRDefault="00464860" w:rsidP="00464860">
      <w:pPr>
        <w:adjustRightInd w:val="0"/>
        <w:rPr>
          <w:color w:val="000000"/>
          <w:lang w:val="lt-LT" w:eastAsia="sl-SI"/>
        </w:rPr>
      </w:pPr>
      <w:r w:rsidRPr="003F6BC7">
        <w:rPr>
          <w:color w:val="000000"/>
          <w:lang w:val="lt-LT" w:eastAsia="sl-SI"/>
        </w:rPr>
        <w:t xml:space="preserve">Tyrimo, kuriuo, remiantis simptomų ir požymių, atsirandančių nutraukus vaistinio preparato vartojimą, sąrašu (angl. </w:t>
      </w:r>
      <w:proofErr w:type="spellStart"/>
      <w:r w:rsidRPr="003F6BC7">
        <w:rPr>
          <w:i/>
          <w:iCs/>
          <w:color w:val="000000"/>
          <w:lang w:val="lt-LT" w:eastAsia="sl-SI"/>
        </w:rPr>
        <w:t>Discontinuation</w:t>
      </w:r>
      <w:proofErr w:type="spellEnd"/>
      <w:r w:rsidRPr="003F6BC7">
        <w:rPr>
          <w:i/>
          <w:iCs/>
          <w:color w:val="000000"/>
          <w:lang w:val="lt-LT" w:eastAsia="sl-SI"/>
        </w:rPr>
        <w:t xml:space="preserve"> </w:t>
      </w:r>
      <w:proofErr w:type="spellStart"/>
      <w:r w:rsidRPr="003F6BC7">
        <w:rPr>
          <w:i/>
          <w:iCs/>
          <w:color w:val="000000"/>
          <w:lang w:val="lt-LT" w:eastAsia="sl-SI"/>
        </w:rPr>
        <w:t>Emergent</w:t>
      </w:r>
      <w:proofErr w:type="spellEnd"/>
      <w:r w:rsidRPr="003F6BC7">
        <w:rPr>
          <w:i/>
          <w:iCs/>
          <w:color w:val="000000"/>
          <w:lang w:val="lt-LT" w:eastAsia="sl-SI"/>
        </w:rPr>
        <w:t xml:space="preserve"> </w:t>
      </w:r>
      <w:proofErr w:type="spellStart"/>
      <w:r w:rsidRPr="003F6BC7">
        <w:rPr>
          <w:i/>
          <w:iCs/>
          <w:color w:val="000000"/>
          <w:lang w:val="lt-LT" w:eastAsia="sl-SI"/>
        </w:rPr>
        <w:t>Signs</w:t>
      </w:r>
      <w:proofErr w:type="spellEnd"/>
      <w:r w:rsidRPr="003F6BC7">
        <w:rPr>
          <w:i/>
          <w:iCs/>
          <w:color w:val="000000"/>
          <w:lang w:val="lt-LT" w:eastAsia="sl-SI"/>
        </w:rPr>
        <w:t xml:space="preserve"> </w:t>
      </w:r>
      <w:proofErr w:type="spellStart"/>
      <w:r w:rsidRPr="003F6BC7">
        <w:rPr>
          <w:i/>
          <w:iCs/>
          <w:color w:val="000000"/>
          <w:lang w:val="lt-LT" w:eastAsia="sl-SI"/>
        </w:rPr>
        <w:t>and</w:t>
      </w:r>
      <w:proofErr w:type="spellEnd"/>
      <w:r w:rsidRPr="003F6BC7">
        <w:rPr>
          <w:i/>
          <w:iCs/>
          <w:color w:val="000000"/>
          <w:lang w:val="lt-LT" w:eastAsia="sl-SI"/>
        </w:rPr>
        <w:t xml:space="preserve"> </w:t>
      </w:r>
      <w:proofErr w:type="spellStart"/>
      <w:r w:rsidRPr="003F6BC7">
        <w:rPr>
          <w:i/>
          <w:iCs/>
          <w:color w:val="000000"/>
          <w:lang w:val="lt-LT" w:eastAsia="sl-SI"/>
        </w:rPr>
        <w:t>Symptoms</w:t>
      </w:r>
      <w:proofErr w:type="spellEnd"/>
      <w:r w:rsidRPr="003F6BC7">
        <w:rPr>
          <w:i/>
          <w:iCs/>
          <w:color w:val="000000"/>
          <w:lang w:val="lt-LT" w:eastAsia="sl-SI"/>
        </w:rPr>
        <w:t xml:space="preserve">, </w:t>
      </w:r>
      <w:r w:rsidRPr="003F6BC7">
        <w:rPr>
          <w:iCs/>
          <w:color w:val="000000"/>
          <w:lang w:val="lt-LT" w:eastAsia="sl-SI"/>
        </w:rPr>
        <w:t>DESS</w:t>
      </w:r>
      <w:r w:rsidRPr="003F6BC7">
        <w:rPr>
          <w:color w:val="000000"/>
          <w:lang w:val="lt-LT" w:eastAsia="sl-SI"/>
        </w:rPr>
        <w:t>), buvo siekiama įvertinti nutraukimo simptomus depresija sergantiems remisiją pasiekusiems pacientams, metu</w:t>
      </w:r>
      <w:r w:rsidR="001E1537">
        <w:rPr>
          <w:color w:val="000000"/>
          <w:lang w:val="lt-LT" w:eastAsia="sl-SI"/>
        </w:rPr>
        <w:t>,</w:t>
      </w:r>
      <w:r w:rsidRPr="003F6BC7">
        <w:rPr>
          <w:color w:val="000000"/>
          <w:lang w:val="lt-LT" w:eastAsia="sl-SI"/>
        </w:rPr>
        <w:t xml:space="preserve"> </w:t>
      </w:r>
      <w:proofErr w:type="spellStart"/>
      <w:r w:rsidRPr="003F6BC7">
        <w:rPr>
          <w:color w:val="000000"/>
          <w:lang w:val="lt-LT" w:eastAsia="sl-SI"/>
        </w:rPr>
        <w:t>agomelatinas</w:t>
      </w:r>
      <w:proofErr w:type="spellEnd"/>
      <w:r w:rsidRPr="003F6BC7">
        <w:rPr>
          <w:color w:val="000000"/>
          <w:lang w:val="lt-LT" w:eastAsia="sl-SI"/>
        </w:rPr>
        <w:t xml:space="preserve"> </w:t>
      </w:r>
      <w:r w:rsidR="0058047A" w:rsidRPr="003F6BC7">
        <w:rPr>
          <w:color w:val="000000"/>
          <w:lang w:val="lt-LT" w:eastAsia="sl-SI"/>
        </w:rPr>
        <w:t xml:space="preserve">nesukėlė nutraukimo sindromo </w:t>
      </w:r>
      <w:r w:rsidRPr="003F6BC7">
        <w:rPr>
          <w:color w:val="000000"/>
          <w:lang w:val="lt-LT" w:eastAsia="sl-SI"/>
        </w:rPr>
        <w:t>po staigaus gydymo nutraukimo.</w:t>
      </w:r>
    </w:p>
    <w:p w14:paraId="7D892EBF" w14:textId="77777777" w:rsidR="0058047A" w:rsidRPr="003F6BC7" w:rsidRDefault="0058047A" w:rsidP="00464860">
      <w:pPr>
        <w:adjustRightInd w:val="0"/>
        <w:rPr>
          <w:color w:val="000000"/>
          <w:lang w:val="lt-LT" w:eastAsia="sl-SI"/>
        </w:rPr>
      </w:pPr>
    </w:p>
    <w:p w14:paraId="12D3409D" w14:textId="77777777" w:rsidR="00464860" w:rsidRPr="003F6BC7" w:rsidRDefault="00464860" w:rsidP="00464860">
      <w:pPr>
        <w:adjustRightInd w:val="0"/>
        <w:rPr>
          <w:color w:val="000000"/>
          <w:lang w:val="lt-LT" w:eastAsia="sl-SI"/>
        </w:rPr>
      </w:pPr>
      <w:r w:rsidRPr="003F6BC7">
        <w:rPr>
          <w:color w:val="000000"/>
          <w:lang w:val="lt-LT" w:eastAsia="sl-SI"/>
        </w:rPr>
        <w:t xml:space="preserve">Tiriant sveikus savanorius pagal specifinę vizualinę analoginę skalę ar priklausomybės tyrimo centro aprašo (angl. </w:t>
      </w:r>
      <w:proofErr w:type="spellStart"/>
      <w:r w:rsidRPr="003F6BC7">
        <w:rPr>
          <w:i/>
          <w:iCs/>
          <w:color w:val="000000"/>
          <w:lang w:val="lt-LT" w:eastAsia="sl-SI"/>
        </w:rPr>
        <w:t>Addiction</w:t>
      </w:r>
      <w:proofErr w:type="spellEnd"/>
      <w:r w:rsidRPr="003F6BC7">
        <w:rPr>
          <w:i/>
          <w:iCs/>
          <w:color w:val="000000"/>
          <w:lang w:val="lt-LT" w:eastAsia="sl-SI"/>
        </w:rPr>
        <w:t xml:space="preserve"> </w:t>
      </w:r>
      <w:proofErr w:type="spellStart"/>
      <w:r w:rsidRPr="003F6BC7">
        <w:rPr>
          <w:i/>
          <w:iCs/>
          <w:color w:val="000000"/>
          <w:lang w:val="lt-LT" w:eastAsia="sl-SI"/>
        </w:rPr>
        <w:t>Research</w:t>
      </w:r>
      <w:proofErr w:type="spellEnd"/>
      <w:r w:rsidRPr="003F6BC7">
        <w:rPr>
          <w:i/>
          <w:iCs/>
          <w:color w:val="000000"/>
          <w:lang w:val="lt-LT" w:eastAsia="sl-SI"/>
        </w:rPr>
        <w:t xml:space="preserve"> </w:t>
      </w:r>
      <w:proofErr w:type="spellStart"/>
      <w:r w:rsidRPr="003F6BC7">
        <w:rPr>
          <w:i/>
          <w:iCs/>
          <w:color w:val="000000"/>
          <w:lang w:val="lt-LT" w:eastAsia="sl-SI"/>
        </w:rPr>
        <w:t>Center</w:t>
      </w:r>
      <w:proofErr w:type="spellEnd"/>
      <w:r w:rsidRPr="003F6BC7">
        <w:rPr>
          <w:i/>
          <w:iCs/>
          <w:color w:val="000000"/>
          <w:lang w:val="lt-LT" w:eastAsia="sl-SI"/>
        </w:rPr>
        <w:t xml:space="preserve"> </w:t>
      </w:r>
      <w:proofErr w:type="spellStart"/>
      <w:r w:rsidRPr="003F6BC7">
        <w:rPr>
          <w:i/>
          <w:iCs/>
          <w:color w:val="000000"/>
          <w:lang w:val="lt-LT" w:eastAsia="sl-SI"/>
        </w:rPr>
        <w:t>Inventor</w:t>
      </w:r>
      <w:r w:rsidRPr="003F6BC7">
        <w:rPr>
          <w:color w:val="000000"/>
          <w:lang w:val="lt-LT" w:eastAsia="sl-SI"/>
        </w:rPr>
        <w:t>y</w:t>
      </w:r>
      <w:proofErr w:type="spellEnd"/>
      <w:r w:rsidRPr="003F6BC7">
        <w:rPr>
          <w:color w:val="000000"/>
          <w:lang w:val="lt-LT" w:eastAsia="sl-SI"/>
        </w:rPr>
        <w:t xml:space="preserve">, ARCI) 49 kontrolinį sąrašą, nustatyta, kad piktnaudžiavimo </w:t>
      </w:r>
      <w:proofErr w:type="spellStart"/>
      <w:r w:rsidRPr="003F6BC7">
        <w:rPr>
          <w:color w:val="000000"/>
          <w:lang w:val="lt-LT" w:eastAsia="sl-SI"/>
        </w:rPr>
        <w:t>agomelatinu</w:t>
      </w:r>
      <w:proofErr w:type="spellEnd"/>
      <w:r w:rsidRPr="003F6BC7">
        <w:rPr>
          <w:color w:val="000000"/>
          <w:lang w:val="lt-LT" w:eastAsia="sl-SI"/>
        </w:rPr>
        <w:t xml:space="preserve"> nepasireiškia.</w:t>
      </w:r>
    </w:p>
    <w:p w14:paraId="4D6277D0" w14:textId="77777777" w:rsidR="0058047A" w:rsidRPr="003F6BC7" w:rsidRDefault="0058047A" w:rsidP="00464860">
      <w:pPr>
        <w:adjustRightInd w:val="0"/>
        <w:rPr>
          <w:color w:val="000000"/>
          <w:lang w:val="lt-LT" w:eastAsia="sl-SI"/>
        </w:rPr>
      </w:pPr>
    </w:p>
    <w:p w14:paraId="559B49EB" w14:textId="68E4F0FC" w:rsidR="00464860" w:rsidRPr="003F6BC7" w:rsidRDefault="00464860" w:rsidP="00464860">
      <w:pPr>
        <w:adjustRightInd w:val="0"/>
        <w:rPr>
          <w:color w:val="000000"/>
          <w:lang w:val="lt-LT" w:eastAsia="sl-SI"/>
        </w:rPr>
      </w:pPr>
      <w:r w:rsidRPr="003F6BC7">
        <w:rPr>
          <w:color w:val="000000"/>
          <w:lang w:val="lt-LT" w:eastAsia="sl-SI"/>
        </w:rPr>
        <w:t>Placebu kontroliuotame 8 savaičių trukmės tyrime, kurio metu senyviems (≥ 65</w:t>
      </w:r>
      <w:r w:rsidR="00227E03">
        <w:rPr>
          <w:color w:val="000000"/>
          <w:lang w:val="lt-LT" w:eastAsia="sl-SI"/>
        </w:rPr>
        <w:t> </w:t>
      </w:r>
      <w:r w:rsidRPr="003F6BC7">
        <w:rPr>
          <w:color w:val="000000"/>
          <w:lang w:val="lt-LT" w:eastAsia="sl-SI"/>
        </w:rPr>
        <w:t xml:space="preserve">metų) depresija sergantiems pacientams (N=222, iš jų 151 buvo gydomas </w:t>
      </w:r>
      <w:proofErr w:type="spellStart"/>
      <w:r w:rsidRPr="003F6BC7">
        <w:rPr>
          <w:color w:val="000000"/>
          <w:lang w:val="lt-LT" w:eastAsia="sl-SI"/>
        </w:rPr>
        <w:t>agomelatinu</w:t>
      </w:r>
      <w:proofErr w:type="spellEnd"/>
      <w:r w:rsidRPr="003F6BC7">
        <w:rPr>
          <w:color w:val="000000"/>
          <w:lang w:val="lt-LT" w:eastAsia="sl-SI"/>
        </w:rPr>
        <w:t>), buvo skiriama 25-50</w:t>
      </w:r>
      <w:r w:rsidR="00227E03">
        <w:rPr>
          <w:color w:val="000000"/>
          <w:lang w:val="lt-LT" w:eastAsia="sl-SI"/>
        </w:rPr>
        <w:t> </w:t>
      </w:r>
      <w:r w:rsidRPr="003F6BC7">
        <w:rPr>
          <w:color w:val="000000"/>
          <w:lang w:val="lt-LT" w:eastAsia="sl-SI"/>
        </w:rPr>
        <w:t xml:space="preserve">mg </w:t>
      </w:r>
      <w:proofErr w:type="spellStart"/>
      <w:r w:rsidRPr="003F6BC7">
        <w:rPr>
          <w:color w:val="000000"/>
          <w:lang w:val="lt-LT" w:eastAsia="sl-SI"/>
        </w:rPr>
        <w:t>agomelatino</w:t>
      </w:r>
      <w:proofErr w:type="spellEnd"/>
      <w:r w:rsidRPr="003F6BC7">
        <w:rPr>
          <w:color w:val="000000"/>
          <w:lang w:val="lt-LT" w:eastAsia="sl-SI"/>
        </w:rPr>
        <w:t xml:space="preserve"> paros dozė, nustatytas statistiškai reikšmingas HAM-D bendrojo įvertinimo (p</w:t>
      </w:r>
      <w:r w:rsidR="003A58D3">
        <w:rPr>
          <w:color w:val="000000"/>
          <w:lang w:val="lt-LT" w:eastAsia="sl-SI"/>
        </w:rPr>
        <w:t>irm</w:t>
      </w:r>
      <w:r w:rsidRPr="003F6BC7">
        <w:rPr>
          <w:color w:val="000000"/>
          <w:lang w:val="lt-LT" w:eastAsia="sl-SI"/>
        </w:rPr>
        <w:t>inės vertinamosios baigties) skirtumas 2,67</w:t>
      </w:r>
      <w:r w:rsidR="001E7898">
        <w:rPr>
          <w:color w:val="000000"/>
          <w:lang w:val="lt-LT" w:eastAsia="sl-SI"/>
        </w:rPr>
        <w:t xml:space="preserve"> </w:t>
      </w:r>
      <w:r w:rsidRPr="003F6BC7">
        <w:rPr>
          <w:color w:val="000000"/>
          <w:lang w:val="lt-LT" w:eastAsia="sl-SI"/>
        </w:rPr>
        <w:t xml:space="preserve">balo. Asmenų, kuriems buvo nustatytas palankus gydymo atsakas, analizė parodė, kad </w:t>
      </w:r>
      <w:proofErr w:type="spellStart"/>
      <w:r w:rsidRPr="003F6BC7">
        <w:rPr>
          <w:color w:val="000000"/>
          <w:lang w:val="lt-LT" w:eastAsia="sl-SI"/>
        </w:rPr>
        <w:t>agomelatino</w:t>
      </w:r>
      <w:proofErr w:type="spellEnd"/>
      <w:r w:rsidRPr="003F6BC7">
        <w:rPr>
          <w:color w:val="000000"/>
          <w:lang w:val="lt-LT" w:eastAsia="sl-SI"/>
        </w:rPr>
        <w:t xml:space="preserve"> poveikis viršesnis. Labai senyvo amžiaus pacientams (≥ 75</w:t>
      </w:r>
      <w:r w:rsidR="00227E03">
        <w:rPr>
          <w:color w:val="000000"/>
          <w:lang w:val="lt-LT" w:eastAsia="sl-SI"/>
        </w:rPr>
        <w:t> </w:t>
      </w:r>
      <w:r w:rsidRPr="003F6BC7">
        <w:rPr>
          <w:color w:val="000000"/>
          <w:lang w:val="lt-LT" w:eastAsia="sl-SI"/>
        </w:rPr>
        <w:t xml:space="preserve">metų, N=69, iš jų 48 buvo gydomi </w:t>
      </w:r>
      <w:proofErr w:type="spellStart"/>
      <w:r w:rsidRPr="003F6BC7">
        <w:rPr>
          <w:color w:val="000000"/>
          <w:lang w:val="lt-LT" w:eastAsia="sl-SI"/>
        </w:rPr>
        <w:t>agomelatinu</w:t>
      </w:r>
      <w:proofErr w:type="spellEnd"/>
      <w:r w:rsidRPr="003F6BC7">
        <w:rPr>
          <w:color w:val="000000"/>
          <w:lang w:val="lt-LT" w:eastAsia="sl-SI"/>
        </w:rPr>
        <w:t>) pagerėjimo nenustatyta.</w:t>
      </w:r>
      <w:r w:rsidR="00C364D1" w:rsidRPr="003F6BC7">
        <w:rPr>
          <w:color w:val="000000"/>
          <w:lang w:val="lt-LT" w:eastAsia="sl-SI"/>
        </w:rPr>
        <w:t xml:space="preserve"> </w:t>
      </w:r>
      <w:proofErr w:type="spellStart"/>
      <w:r w:rsidRPr="003F6BC7">
        <w:rPr>
          <w:color w:val="000000"/>
          <w:lang w:val="lt-LT" w:eastAsia="sl-SI"/>
        </w:rPr>
        <w:t>Agomelatino</w:t>
      </w:r>
      <w:proofErr w:type="spellEnd"/>
      <w:r w:rsidRPr="003F6BC7">
        <w:rPr>
          <w:color w:val="000000"/>
          <w:lang w:val="lt-LT" w:eastAsia="sl-SI"/>
        </w:rPr>
        <w:t xml:space="preserve"> toleravimas senyviems pacientams buvo panašus į nustatytą jaunesniems suaugusiesiems.</w:t>
      </w:r>
    </w:p>
    <w:p w14:paraId="416F90AA" w14:textId="77777777" w:rsidR="00464860" w:rsidRPr="003F6BC7" w:rsidRDefault="00464860" w:rsidP="00464860">
      <w:pPr>
        <w:adjustRightInd w:val="0"/>
        <w:rPr>
          <w:color w:val="000000"/>
          <w:lang w:val="lt-LT" w:eastAsia="sl-SI"/>
        </w:rPr>
      </w:pPr>
    </w:p>
    <w:p w14:paraId="700DB0DB" w14:textId="31FDE750" w:rsidR="00464860" w:rsidRPr="003F6BC7" w:rsidRDefault="00464860" w:rsidP="00464860">
      <w:pPr>
        <w:adjustRightInd w:val="0"/>
        <w:rPr>
          <w:color w:val="000000"/>
          <w:lang w:val="lt-LT" w:eastAsia="sl-SI"/>
        </w:rPr>
      </w:pPr>
      <w:r w:rsidRPr="003F6BC7">
        <w:rPr>
          <w:color w:val="000000"/>
          <w:lang w:val="lt-LT" w:eastAsia="sl-SI"/>
        </w:rPr>
        <w:t>Specifiniame kontroliuotame 3</w:t>
      </w:r>
      <w:r w:rsidR="001E7898">
        <w:rPr>
          <w:color w:val="000000"/>
          <w:lang w:val="lt-LT" w:eastAsia="sl-SI"/>
        </w:rPr>
        <w:t xml:space="preserve"> </w:t>
      </w:r>
      <w:r w:rsidRPr="003F6BC7">
        <w:rPr>
          <w:color w:val="000000"/>
          <w:lang w:val="lt-LT" w:eastAsia="sl-SI"/>
        </w:rPr>
        <w:t xml:space="preserve">savaičių trukmės tyrime dalyvavo didžiosios depresijos sutrikimu sergantys pacientai, kurių būklė vartojant </w:t>
      </w:r>
      <w:proofErr w:type="spellStart"/>
      <w:r w:rsidRPr="003F6BC7">
        <w:rPr>
          <w:color w:val="000000"/>
          <w:lang w:val="lt-LT" w:eastAsia="sl-SI"/>
        </w:rPr>
        <w:t>paroksetino</w:t>
      </w:r>
      <w:proofErr w:type="spellEnd"/>
      <w:r w:rsidRPr="003F6BC7">
        <w:rPr>
          <w:color w:val="000000"/>
          <w:lang w:val="lt-LT" w:eastAsia="sl-SI"/>
        </w:rPr>
        <w:t xml:space="preserve"> (SSRI) ar </w:t>
      </w:r>
      <w:proofErr w:type="spellStart"/>
      <w:r w:rsidRPr="003F6BC7">
        <w:rPr>
          <w:color w:val="000000"/>
          <w:lang w:val="lt-LT" w:eastAsia="sl-SI"/>
        </w:rPr>
        <w:t>venlafaksino</w:t>
      </w:r>
      <w:proofErr w:type="spellEnd"/>
      <w:r w:rsidRPr="003F6BC7">
        <w:rPr>
          <w:color w:val="000000"/>
          <w:lang w:val="lt-LT" w:eastAsia="sl-SI"/>
        </w:rPr>
        <w:t xml:space="preserve"> (SNRI) nebuvo pakankamai pagerėjusi. Gydymą šiais antidepresantais pakeitus </w:t>
      </w:r>
      <w:proofErr w:type="spellStart"/>
      <w:r w:rsidRPr="003F6BC7">
        <w:rPr>
          <w:color w:val="000000"/>
          <w:lang w:val="lt-LT" w:eastAsia="sl-SI"/>
        </w:rPr>
        <w:t>agomelatinu</w:t>
      </w:r>
      <w:proofErr w:type="spellEnd"/>
      <w:r w:rsidRPr="003F6BC7">
        <w:rPr>
          <w:color w:val="000000"/>
          <w:lang w:val="lt-LT" w:eastAsia="sl-SI"/>
        </w:rPr>
        <w:t xml:space="preserve">, nutraukimo simptomų atsirado tiek po staigaus, tiek po laipsniško ankstesniojo gydymo SSRI arba SNRI nutraukimo. Šie nutraukimo simptomai gali būti supainioti su nepakankamu </w:t>
      </w:r>
      <w:proofErr w:type="spellStart"/>
      <w:r w:rsidRPr="003F6BC7">
        <w:rPr>
          <w:color w:val="000000"/>
          <w:lang w:val="lt-LT" w:eastAsia="sl-SI"/>
        </w:rPr>
        <w:t>agomelatino</w:t>
      </w:r>
      <w:proofErr w:type="spellEnd"/>
      <w:r w:rsidRPr="003F6BC7">
        <w:rPr>
          <w:color w:val="000000"/>
          <w:lang w:val="lt-LT" w:eastAsia="sl-SI"/>
        </w:rPr>
        <w:t xml:space="preserve"> poveikiu gydymo pradžioje.</w:t>
      </w:r>
    </w:p>
    <w:p w14:paraId="5846BF5D" w14:textId="77777777" w:rsidR="00464860" w:rsidRPr="003F6BC7" w:rsidRDefault="00464860" w:rsidP="00464860">
      <w:pPr>
        <w:adjustRightInd w:val="0"/>
        <w:rPr>
          <w:color w:val="000000"/>
          <w:lang w:val="lt-LT" w:eastAsia="sl-SI"/>
        </w:rPr>
      </w:pPr>
    </w:p>
    <w:p w14:paraId="2D282BBA" w14:textId="749FB3E3" w:rsidR="00464860" w:rsidRPr="003F6BC7" w:rsidRDefault="00464860" w:rsidP="00464860">
      <w:pPr>
        <w:adjustRightInd w:val="0"/>
        <w:rPr>
          <w:color w:val="000000"/>
          <w:lang w:val="lt-LT" w:eastAsia="sl-SI"/>
        </w:rPr>
      </w:pPr>
      <w:r w:rsidRPr="003F6BC7">
        <w:rPr>
          <w:color w:val="000000"/>
          <w:lang w:val="lt-LT" w:eastAsia="sl-SI"/>
        </w:rPr>
        <w:t>Procentinė pacientų, kuriems per savaitę nuo gydymo SSRI ar SNRI nutraukimo pasireiškė bent vienas nutraukimo simptomas, dalis buvo mažesnė ilgo laipsniško dozės mažinimo grupėje (kai SSRI/SNRI vartojimas laipsniškai nutrauktas 2 savaičių laikotarpiu), palyginus su greito laipsniško dozės mažinimo grupe (kai SSRI/SNRI vartojimas laipsniškai nutrauktas 1</w:t>
      </w:r>
      <w:r w:rsidR="00227E03">
        <w:rPr>
          <w:color w:val="000000"/>
          <w:lang w:val="lt-LT" w:eastAsia="sl-SI"/>
        </w:rPr>
        <w:t> </w:t>
      </w:r>
      <w:r w:rsidRPr="003F6BC7">
        <w:rPr>
          <w:color w:val="000000"/>
          <w:lang w:val="lt-LT" w:eastAsia="sl-SI"/>
        </w:rPr>
        <w:t>savaitės laikotarpiu) ir staigaus pakeitimo grupe (kai gydymas pakeistas iš karto): atitinkamai 56,1%, 62,6% ir 79,8%.</w:t>
      </w:r>
    </w:p>
    <w:p w14:paraId="79224958" w14:textId="77777777" w:rsidR="00464860" w:rsidRPr="003F6BC7" w:rsidRDefault="00464860" w:rsidP="00464860">
      <w:pPr>
        <w:adjustRightInd w:val="0"/>
        <w:rPr>
          <w:color w:val="000000"/>
          <w:lang w:val="lt-LT" w:eastAsia="sl-SI"/>
        </w:rPr>
      </w:pPr>
    </w:p>
    <w:p w14:paraId="3364BFD0" w14:textId="77777777" w:rsidR="00464860" w:rsidRPr="003F6BC7" w:rsidRDefault="00464860" w:rsidP="00464860">
      <w:pPr>
        <w:adjustRightInd w:val="0"/>
        <w:rPr>
          <w:color w:val="000000"/>
          <w:u w:val="single"/>
          <w:lang w:val="lt-LT" w:eastAsia="sl-SI"/>
        </w:rPr>
      </w:pPr>
      <w:r w:rsidRPr="003F6BC7">
        <w:rPr>
          <w:color w:val="000000"/>
          <w:u w:val="single"/>
          <w:lang w:val="lt-LT" w:eastAsia="sl-SI"/>
        </w:rPr>
        <w:t>Vaikų populiacija</w:t>
      </w:r>
    </w:p>
    <w:p w14:paraId="287B1856" w14:textId="10A46A3D" w:rsidR="003F136B" w:rsidRDefault="003F136B" w:rsidP="003F136B">
      <w:pPr>
        <w:adjustRightInd w:val="0"/>
        <w:rPr>
          <w:color w:val="000000"/>
          <w:lang w:val="lt-LT" w:eastAsia="sl-SI"/>
        </w:rPr>
      </w:pPr>
      <w:r w:rsidRPr="003F136B">
        <w:rPr>
          <w:color w:val="000000"/>
          <w:lang w:val="lt-LT" w:eastAsia="sl-SI"/>
        </w:rPr>
        <w:t xml:space="preserve">Dviejų </w:t>
      </w:r>
      <w:proofErr w:type="spellStart"/>
      <w:r w:rsidRPr="003F136B">
        <w:rPr>
          <w:color w:val="000000"/>
          <w:lang w:val="lt-LT" w:eastAsia="sl-SI"/>
        </w:rPr>
        <w:t>agomelatino</w:t>
      </w:r>
      <w:proofErr w:type="spellEnd"/>
      <w:r w:rsidRPr="003F136B">
        <w:rPr>
          <w:color w:val="000000"/>
          <w:lang w:val="lt-LT" w:eastAsia="sl-SI"/>
        </w:rPr>
        <w:t xml:space="preserve"> dozių (10</w:t>
      </w:r>
      <w:r>
        <w:rPr>
          <w:color w:val="000000"/>
          <w:lang w:val="lt-LT" w:eastAsia="sl-SI"/>
        </w:rPr>
        <w:t> </w:t>
      </w:r>
      <w:r w:rsidRPr="003F136B">
        <w:rPr>
          <w:color w:val="000000"/>
          <w:lang w:val="lt-LT" w:eastAsia="sl-SI"/>
        </w:rPr>
        <w:t>mg ir 25</w:t>
      </w:r>
      <w:r>
        <w:rPr>
          <w:color w:val="000000"/>
          <w:lang w:val="lt-LT" w:eastAsia="sl-SI"/>
        </w:rPr>
        <w:t> </w:t>
      </w:r>
      <w:r w:rsidRPr="003F136B">
        <w:rPr>
          <w:color w:val="000000"/>
          <w:lang w:val="lt-LT" w:eastAsia="sl-SI"/>
        </w:rPr>
        <w:t>mg) veiksmingumas ir saugumas gydant vidutinio sunkumo ir</w:t>
      </w:r>
      <w:r>
        <w:rPr>
          <w:color w:val="000000"/>
          <w:lang w:val="lt-LT" w:eastAsia="sl-SI"/>
        </w:rPr>
        <w:t xml:space="preserve"> </w:t>
      </w:r>
      <w:r w:rsidRPr="003F136B">
        <w:rPr>
          <w:color w:val="000000"/>
          <w:lang w:val="lt-LT" w:eastAsia="sl-SI"/>
        </w:rPr>
        <w:t>sunkius didžiosios depresijos epizodus, kai depresijos gydymas vien psichoterapija buvo</w:t>
      </w:r>
      <w:r>
        <w:rPr>
          <w:color w:val="000000"/>
          <w:lang w:val="lt-LT" w:eastAsia="sl-SI"/>
        </w:rPr>
        <w:t xml:space="preserve"> </w:t>
      </w:r>
      <w:r w:rsidRPr="003F136B">
        <w:rPr>
          <w:color w:val="000000"/>
          <w:lang w:val="lt-LT" w:eastAsia="sl-SI"/>
        </w:rPr>
        <w:t>neveiksmingas, buvo įvertintas 12</w:t>
      </w:r>
      <w:r>
        <w:rPr>
          <w:color w:val="000000"/>
          <w:lang w:val="lt-LT" w:eastAsia="sl-SI"/>
        </w:rPr>
        <w:t> </w:t>
      </w:r>
      <w:r w:rsidRPr="003F136B">
        <w:rPr>
          <w:color w:val="000000"/>
          <w:lang w:val="lt-LT" w:eastAsia="sl-SI"/>
        </w:rPr>
        <w:t>savaičių trukmės atsitiktinių imčių, dvigubai koduoto ir placebu</w:t>
      </w:r>
      <w:r>
        <w:rPr>
          <w:color w:val="000000"/>
          <w:lang w:val="lt-LT" w:eastAsia="sl-SI"/>
        </w:rPr>
        <w:t xml:space="preserve"> </w:t>
      </w:r>
      <w:r w:rsidRPr="003F136B">
        <w:rPr>
          <w:color w:val="000000"/>
          <w:lang w:val="lt-LT" w:eastAsia="sl-SI"/>
        </w:rPr>
        <w:lastRenderedPageBreak/>
        <w:t>kontroliuoto lygiagrečių grupių tyrimo metu (žr. 4.2 skyrių). Siekiant užtikrinti tyrimo jautrumą,</w:t>
      </w:r>
      <w:r>
        <w:rPr>
          <w:color w:val="000000"/>
          <w:lang w:val="lt-LT" w:eastAsia="sl-SI"/>
        </w:rPr>
        <w:t xml:space="preserve"> </w:t>
      </w:r>
      <w:r w:rsidRPr="003F136B">
        <w:rPr>
          <w:color w:val="000000"/>
          <w:lang w:val="lt-LT" w:eastAsia="sl-SI"/>
        </w:rPr>
        <w:t xml:space="preserve">papildoma grupė vartojo </w:t>
      </w:r>
      <w:proofErr w:type="spellStart"/>
      <w:r w:rsidRPr="003F136B">
        <w:rPr>
          <w:color w:val="000000"/>
          <w:lang w:val="lt-LT" w:eastAsia="sl-SI"/>
        </w:rPr>
        <w:t>fluoksetino</w:t>
      </w:r>
      <w:proofErr w:type="spellEnd"/>
      <w:r w:rsidRPr="003F136B">
        <w:rPr>
          <w:color w:val="000000"/>
          <w:lang w:val="lt-LT" w:eastAsia="sl-SI"/>
        </w:rPr>
        <w:t xml:space="preserve"> (</w:t>
      </w:r>
      <w:r w:rsidRPr="00151B1E">
        <w:rPr>
          <w:lang w:val="lt-LT"/>
        </w:rPr>
        <w:t>10 mg</w:t>
      </w:r>
      <w:r w:rsidRPr="003F136B">
        <w:rPr>
          <w:color w:val="000000"/>
          <w:lang w:val="lt-LT" w:eastAsia="sl-SI"/>
        </w:rPr>
        <w:t xml:space="preserve"> per parą su galimybe dozę koreguoti iki 20</w:t>
      </w:r>
      <w:r>
        <w:rPr>
          <w:color w:val="000000"/>
          <w:lang w:val="lt-LT" w:eastAsia="sl-SI"/>
        </w:rPr>
        <w:t> </w:t>
      </w:r>
      <w:r w:rsidRPr="003F136B">
        <w:rPr>
          <w:color w:val="000000"/>
          <w:lang w:val="lt-LT" w:eastAsia="sl-SI"/>
        </w:rPr>
        <w:t>mg per parą).</w:t>
      </w:r>
      <w:r>
        <w:rPr>
          <w:color w:val="000000"/>
          <w:lang w:val="lt-LT" w:eastAsia="sl-SI"/>
        </w:rPr>
        <w:t xml:space="preserve"> </w:t>
      </w:r>
    </w:p>
    <w:p w14:paraId="6B70E13F" w14:textId="77777777" w:rsidR="003F136B" w:rsidRDefault="003F136B" w:rsidP="003F136B">
      <w:pPr>
        <w:adjustRightInd w:val="0"/>
        <w:rPr>
          <w:color w:val="000000"/>
          <w:lang w:val="lt-LT" w:eastAsia="sl-SI"/>
        </w:rPr>
      </w:pPr>
    </w:p>
    <w:p w14:paraId="19A12E6E" w14:textId="0824161C" w:rsidR="003F136B" w:rsidRPr="003F136B" w:rsidRDefault="003F136B" w:rsidP="003F136B">
      <w:pPr>
        <w:adjustRightInd w:val="0"/>
        <w:rPr>
          <w:color w:val="000000"/>
          <w:lang w:val="lt-LT" w:eastAsia="sl-SI"/>
        </w:rPr>
      </w:pPr>
      <w:r w:rsidRPr="003F136B">
        <w:rPr>
          <w:color w:val="000000"/>
          <w:lang w:val="lt-LT" w:eastAsia="sl-SI"/>
        </w:rPr>
        <w:t>Pacientams (N</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400; iš jų 80</w:t>
      </w:r>
      <w:r>
        <w:rPr>
          <w:color w:val="000000"/>
          <w:lang w:val="lt-LT" w:eastAsia="sl-SI"/>
        </w:rPr>
        <w:t> </w:t>
      </w:r>
      <w:r w:rsidRPr="003F136B">
        <w:rPr>
          <w:color w:val="000000"/>
          <w:lang w:val="lt-LT" w:eastAsia="sl-SI"/>
        </w:rPr>
        <w:t>vaikų nuo 7</w:t>
      </w:r>
      <w:r>
        <w:rPr>
          <w:color w:val="000000"/>
          <w:lang w:val="lt-LT" w:eastAsia="sl-SI"/>
        </w:rPr>
        <w:t> </w:t>
      </w:r>
      <w:r w:rsidRPr="003F136B">
        <w:rPr>
          <w:color w:val="000000"/>
          <w:lang w:val="lt-LT" w:eastAsia="sl-SI"/>
        </w:rPr>
        <w:t>iki 12</w:t>
      </w:r>
      <w:r>
        <w:rPr>
          <w:color w:val="000000"/>
          <w:lang w:val="lt-LT" w:eastAsia="sl-SI"/>
        </w:rPr>
        <w:t> </w:t>
      </w:r>
      <w:r w:rsidRPr="003F136B">
        <w:rPr>
          <w:color w:val="000000"/>
          <w:lang w:val="lt-LT" w:eastAsia="sl-SI"/>
        </w:rPr>
        <w:t>metų amžiaus ir 320</w:t>
      </w:r>
      <w:r>
        <w:rPr>
          <w:color w:val="000000"/>
          <w:lang w:val="lt-LT" w:eastAsia="sl-SI"/>
        </w:rPr>
        <w:t> </w:t>
      </w:r>
      <w:r w:rsidRPr="003F136B">
        <w:rPr>
          <w:color w:val="000000"/>
          <w:lang w:val="lt-LT" w:eastAsia="sl-SI"/>
        </w:rPr>
        <w:t>paauglių nuo 12 iki</w:t>
      </w:r>
      <w:r>
        <w:rPr>
          <w:color w:val="000000"/>
          <w:lang w:val="lt-LT" w:eastAsia="sl-SI"/>
        </w:rPr>
        <w:t xml:space="preserve"> </w:t>
      </w:r>
      <w:r w:rsidRPr="003F136B">
        <w:rPr>
          <w:color w:val="000000"/>
          <w:lang w:val="lt-LT" w:eastAsia="sl-SI"/>
        </w:rPr>
        <w:t>17</w:t>
      </w:r>
      <w:r>
        <w:rPr>
          <w:color w:val="000000"/>
          <w:lang w:val="lt-LT" w:eastAsia="sl-SI"/>
        </w:rPr>
        <w:t> </w:t>
      </w:r>
      <w:r w:rsidRPr="003F136B">
        <w:rPr>
          <w:color w:val="000000"/>
          <w:lang w:val="lt-LT" w:eastAsia="sl-SI"/>
        </w:rPr>
        <w:t>metų amžiaus), sergantiems vidutinio sunkumo ir sunkia depresija pagal DSM IV, atsitiktinės</w:t>
      </w:r>
      <w:r>
        <w:rPr>
          <w:color w:val="000000"/>
          <w:lang w:val="lt-LT" w:eastAsia="sl-SI"/>
        </w:rPr>
        <w:t xml:space="preserve"> </w:t>
      </w:r>
      <w:r w:rsidRPr="003F136B">
        <w:rPr>
          <w:color w:val="000000"/>
          <w:lang w:val="lt-LT" w:eastAsia="sl-SI"/>
        </w:rPr>
        <w:t>atrankos būdu buvo paskirta vartoti 10</w:t>
      </w:r>
      <w:r>
        <w:rPr>
          <w:color w:val="000000"/>
          <w:lang w:val="lt-LT" w:eastAsia="sl-SI"/>
        </w:rPr>
        <w:t> </w:t>
      </w:r>
      <w:r w:rsidRPr="003F136B">
        <w:rPr>
          <w:color w:val="000000"/>
          <w:lang w:val="lt-LT" w:eastAsia="sl-SI"/>
        </w:rPr>
        <w:t xml:space="preserve">mg </w:t>
      </w:r>
      <w:proofErr w:type="spellStart"/>
      <w:r w:rsidRPr="003F136B">
        <w:rPr>
          <w:color w:val="000000"/>
          <w:lang w:val="lt-LT" w:eastAsia="sl-SI"/>
        </w:rPr>
        <w:t>agomelatino</w:t>
      </w:r>
      <w:proofErr w:type="spellEnd"/>
      <w:r w:rsidRPr="003F136B">
        <w:rPr>
          <w:color w:val="000000"/>
          <w:lang w:val="lt-LT" w:eastAsia="sl-SI"/>
        </w:rPr>
        <w:t xml:space="preserve"> dozę (N</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102, iš jų 81</w:t>
      </w:r>
      <w:r>
        <w:rPr>
          <w:color w:val="000000"/>
          <w:lang w:val="lt-LT" w:eastAsia="sl-SI"/>
        </w:rPr>
        <w:t> </w:t>
      </w:r>
      <w:r w:rsidRPr="003F136B">
        <w:rPr>
          <w:color w:val="000000"/>
          <w:lang w:val="lt-LT" w:eastAsia="sl-SI"/>
        </w:rPr>
        <w:t>paauglys), 25</w:t>
      </w:r>
      <w:r>
        <w:rPr>
          <w:color w:val="000000"/>
          <w:lang w:val="lt-LT" w:eastAsia="sl-SI"/>
        </w:rPr>
        <w:t> </w:t>
      </w:r>
      <w:r w:rsidRPr="003F136B">
        <w:rPr>
          <w:color w:val="000000"/>
          <w:lang w:val="lt-LT" w:eastAsia="sl-SI"/>
        </w:rPr>
        <w:t>mg</w:t>
      </w:r>
      <w:r>
        <w:rPr>
          <w:color w:val="000000"/>
          <w:lang w:val="lt-LT" w:eastAsia="sl-SI"/>
        </w:rPr>
        <w:t xml:space="preserve"> </w:t>
      </w:r>
      <w:proofErr w:type="spellStart"/>
      <w:r w:rsidRPr="003F136B">
        <w:rPr>
          <w:color w:val="000000"/>
          <w:lang w:val="lt-LT" w:eastAsia="sl-SI"/>
        </w:rPr>
        <w:t>agomelatino</w:t>
      </w:r>
      <w:proofErr w:type="spellEnd"/>
      <w:r w:rsidRPr="003F136B">
        <w:rPr>
          <w:color w:val="000000"/>
          <w:lang w:val="lt-LT" w:eastAsia="sl-SI"/>
        </w:rPr>
        <w:t xml:space="preserve"> dozę (N</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95, iš jų 76</w:t>
      </w:r>
      <w:r>
        <w:rPr>
          <w:color w:val="000000"/>
          <w:lang w:val="lt-LT" w:eastAsia="sl-SI"/>
        </w:rPr>
        <w:t> </w:t>
      </w:r>
      <w:r w:rsidRPr="003F136B">
        <w:rPr>
          <w:color w:val="000000"/>
          <w:lang w:val="lt-LT" w:eastAsia="sl-SI"/>
        </w:rPr>
        <w:t>paaugliai), placebo (N</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103, iš jų 82</w:t>
      </w:r>
      <w:r>
        <w:rPr>
          <w:color w:val="000000"/>
          <w:lang w:val="lt-LT" w:eastAsia="sl-SI"/>
        </w:rPr>
        <w:t> </w:t>
      </w:r>
      <w:r w:rsidRPr="003F136B">
        <w:rPr>
          <w:color w:val="000000"/>
          <w:lang w:val="lt-LT" w:eastAsia="sl-SI"/>
        </w:rPr>
        <w:t xml:space="preserve">paaugliai) ir </w:t>
      </w:r>
      <w:proofErr w:type="spellStart"/>
      <w:r w:rsidRPr="003F136B">
        <w:rPr>
          <w:color w:val="000000"/>
          <w:lang w:val="lt-LT" w:eastAsia="sl-SI"/>
        </w:rPr>
        <w:t>fluoksetino</w:t>
      </w:r>
      <w:proofErr w:type="spellEnd"/>
      <w:r>
        <w:rPr>
          <w:color w:val="000000"/>
          <w:lang w:val="lt-LT" w:eastAsia="sl-SI"/>
        </w:rPr>
        <w:t xml:space="preserve"> </w:t>
      </w:r>
      <w:r w:rsidRPr="003F136B">
        <w:rPr>
          <w:color w:val="000000"/>
          <w:lang w:val="lt-LT" w:eastAsia="sl-SI"/>
        </w:rPr>
        <w:t>(N</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100, iš jų 81</w:t>
      </w:r>
      <w:r>
        <w:rPr>
          <w:color w:val="000000"/>
          <w:lang w:val="lt-LT" w:eastAsia="sl-SI"/>
        </w:rPr>
        <w:t> </w:t>
      </w:r>
      <w:r w:rsidRPr="003F136B">
        <w:rPr>
          <w:color w:val="000000"/>
          <w:lang w:val="lt-LT" w:eastAsia="sl-SI"/>
        </w:rPr>
        <w:t>paauglys).</w:t>
      </w:r>
    </w:p>
    <w:p w14:paraId="7A73A8BD" w14:textId="110F4F75" w:rsidR="003F136B" w:rsidRDefault="003F136B" w:rsidP="003F136B">
      <w:pPr>
        <w:adjustRightInd w:val="0"/>
        <w:rPr>
          <w:color w:val="000000"/>
          <w:lang w:val="lt-LT" w:eastAsia="sl-SI"/>
        </w:rPr>
      </w:pPr>
      <w:r w:rsidRPr="003F136B">
        <w:rPr>
          <w:color w:val="000000"/>
          <w:lang w:val="lt-LT" w:eastAsia="sl-SI"/>
        </w:rPr>
        <w:t>Prieš įtraukimą pacientai turėjo būti nereagavę į gydymą psichosocialinėmis priemonėmis. Dvigubai</w:t>
      </w:r>
      <w:r>
        <w:rPr>
          <w:color w:val="000000"/>
          <w:lang w:val="lt-LT" w:eastAsia="sl-SI"/>
        </w:rPr>
        <w:t xml:space="preserve"> </w:t>
      </w:r>
      <w:r w:rsidRPr="003F136B">
        <w:rPr>
          <w:color w:val="000000"/>
          <w:lang w:val="lt-LT" w:eastAsia="sl-SI"/>
        </w:rPr>
        <w:t>koduotu laikotarpiu psichosocialinės konsultacijos buvo taikomos vieną kartą per mėnesį (4, 8 ir</w:t>
      </w:r>
      <w:r>
        <w:rPr>
          <w:color w:val="000000"/>
          <w:lang w:val="lt-LT" w:eastAsia="sl-SI"/>
        </w:rPr>
        <w:t xml:space="preserve"> </w:t>
      </w:r>
      <w:r w:rsidRPr="003F136B">
        <w:rPr>
          <w:color w:val="000000"/>
          <w:lang w:val="lt-LT" w:eastAsia="sl-SI"/>
        </w:rPr>
        <w:t>12</w:t>
      </w:r>
      <w:r>
        <w:rPr>
          <w:color w:val="000000"/>
          <w:lang w:val="lt-LT" w:eastAsia="sl-SI"/>
        </w:rPr>
        <w:t> </w:t>
      </w:r>
      <w:r w:rsidRPr="003F136B">
        <w:rPr>
          <w:color w:val="000000"/>
          <w:lang w:val="lt-LT" w:eastAsia="sl-SI"/>
        </w:rPr>
        <w:t>savaitėmis).</w:t>
      </w:r>
    </w:p>
    <w:p w14:paraId="1367EB29" w14:textId="77777777" w:rsidR="003F136B" w:rsidRPr="003F136B" w:rsidRDefault="003F136B" w:rsidP="003F136B">
      <w:pPr>
        <w:adjustRightInd w:val="0"/>
        <w:rPr>
          <w:color w:val="000000"/>
          <w:lang w:val="lt-LT" w:eastAsia="sl-SI"/>
        </w:rPr>
      </w:pPr>
    </w:p>
    <w:p w14:paraId="421D5192" w14:textId="6F511BA5" w:rsidR="003F136B" w:rsidRPr="003F136B" w:rsidRDefault="003F136B" w:rsidP="003F136B">
      <w:pPr>
        <w:adjustRightInd w:val="0"/>
        <w:rPr>
          <w:color w:val="000000"/>
          <w:lang w:val="lt-LT" w:eastAsia="sl-SI"/>
        </w:rPr>
      </w:pPr>
      <w:r w:rsidRPr="003F136B">
        <w:rPr>
          <w:color w:val="000000"/>
          <w:lang w:val="lt-LT" w:eastAsia="sl-SI"/>
        </w:rPr>
        <w:t>Pagrindinė vertinamoji baigtis buvo koreguotas skirtumas tarp pradinio ir 12</w:t>
      </w:r>
      <w:r>
        <w:rPr>
          <w:color w:val="000000"/>
          <w:lang w:val="lt-LT" w:eastAsia="sl-SI"/>
        </w:rPr>
        <w:t> </w:t>
      </w:r>
      <w:r w:rsidRPr="003F136B">
        <w:rPr>
          <w:color w:val="000000"/>
          <w:lang w:val="lt-LT" w:eastAsia="sl-SI"/>
        </w:rPr>
        <w:t>savaitės Atnaujintos</w:t>
      </w:r>
    </w:p>
    <w:p w14:paraId="79CF3211" w14:textId="3FB81194" w:rsidR="003F136B" w:rsidRPr="003F136B" w:rsidRDefault="003F136B" w:rsidP="003F136B">
      <w:pPr>
        <w:adjustRightInd w:val="0"/>
        <w:rPr>
          <w:color w:val="000000"/>
          <w:lang w:val="lt-LT" w:eastAsia="sl-SI"/>
        </w:rPr>
      </w:pPr>
      <w:r w:rsidRPr="003F136B">
        <w:rPr>
          <w:color w:val="000000"/>
          <w:lang w:val="lt-LT" w:eastAsia="sl-SI"/>
        </w:rPr>
        <w:t xml:space="preserve">vaikų depresijos vertinimo skalės (angl. </w:t>
      </w:r>
      <w:proofErr w:type="spellStart"/>
      <w:r w:rsidRPr="00151B1E">
        <w:rPr>
          <w:i/>
          <w:iCs/>
          <w:color w:val="000000"/>
          <w:lang w:val="lt-LT" w:eastAsia="sl-SI"/>
        </w:rPr>
        <w:t>Children’s</w:t>
      </w:r>
      <w:proofErr w:type="spellEnd"/>
      <w:r w:rsidRPr="00151B1E">
        <w:rPr>
          <w:i/>
          <w:iCs/>
          <w:color w:val="000000"/>
          <w:lang w:val="lt-LT" w:eastAsia="sl-SI"/>
        </w:rPr>
        <w:t xml:space="preserve"> </w:t>
      </w:r>
      <w:proofErr w:type="spellStart"/>
      <w:r w:rsidRPr="00151B1E">
        <w:rPr>
          <w:i/>
          <w:iCs/>
          <w:color w:val="000000"/>
          <w:lang w:val="lt-LT" w:eastAsia="sl-SI"/>
        </w:rPr>
        <w:t>Depression</w:t>
      </w:r>
      <w:proofErr w:type="spellEnd"/>
      <w:r w:rsidRPr="00151B1E">
        <w:rPr>
          <w:i/>
          <w:iCs/>
          <w:color w:val="000000"/>
          <w:lang w:val="lt-LT" w:eastAsia="sl-SI"/>
        </w:rPr>
        <w:t xml:space="preserve"> </w:t>
      </w:r>
      <w:proofErr w:type="spellStart"/>
      <w:r w:rsidRPr="00151B1E">
        <w:rPr>
          <w:i/>
          <w:iCs/>
          <w:color w:val="000000"/>
          <w:lang w:val="lt-LT" w:eastAsia="sl-SI"/>
        </w:rPr>
        <w:t>Rating</w:t>
      </w:r>
      <w:proofErr w:type="spellEnd"/>
      <w:r w:rsidRPr="00151B1E">
        <w:rPr>
          <w:i/>
          <w:iCs/>
          <w:color w:val="000000"/>
          <w:lang w:val="lt-LT" w:eastAsia="sl-SI"/>
        </w:rPr>
        <w:t xml:space="preserve"> </w:t>
      </w:r>
      <w:proofErr w:type="spellStart"/>
      <w:r w:rsidRPr="00151B1E">
        <w:rPr>
          <w:i/>
          <w:iCs/>
          <w:color w:val="000000"/>
          <w:lang w:val="lt-LT" w:eastAsia="sl-SI"/>
        </w:rPr>
        <w:t>Scale</w:t>
      </w:r>
      <w:proofErr w:type="spellEnd"/>
      <w:r w:rsidRPr="00151B1E">
        <w:rPr>
          <w:i/>
          <w:iCs/>
          <w:color w:val="000000"/>
          <w:lang w:val="lt-LT" w:eastAsia="sl-SI"/>
        </w:rPr>
        <w:t xml:space="preserve"> – </w:t>
      </w:r>
      <w:proofErr w:type="spellStart"/>
      <w:r w:rsidRPr="00151B1E">
        <w:rPr>
          <w:i/>
          <w:iCs/>
          <w:color w:val="000000"/>
          <w:lang w:val="lt-LT" w:eastAsia="sl-SI"/>
        </w:rPr>
        <w:t>Revised</w:t>
      </w:r>
      <w:proofErr w:type="spellEnd"/>
      <w:r w:rsidRPr="003F136B">
        <w:rPr>
          <w:color w:val="000000"/>
          <w:lang w:val="lt-LT" w:eastAsia="sl-SI"/>
        </w:rPr>
        <w:t>, CDRS</w:t>
      </w:r>
      <w:r>
        <w:rPr>
          <w:color w:val="000000"/>
          <w:lang w:val="lt-LT" w:eastAsia="sl-SI"/>
        </w:rPr>
        <w:noBreakHyphen/>
      </w:r>
      <w:r w:rsidRPr="003F136B">
        <w:rPr>
          <w:color w:val="000000"/>
          <w:lang w:val="lt-LT" w:eastAsia="sl-SI"/>
        </w:rPr>
        <w:t>R)</w:t>
      </w:r>
    </w:p>
    <w:p w14:paraId="25333AD1" w14:textId="0904D380" w:rsidR="003F136B" w:rsidRPr="003F136B" w:rsidRDefault="003F136B" w:rsidP="003F136B">
      <w:pPr>
        <w:adjustRightInd w:val="0"/>
        <w:rPr>
          <w:color w:val="000000"/>
          <w:lang w:val="lt-LT" w:eastAsia="sl-SI"/>
        </w:rPr>
      </w:pPr>
      <w:r w:rsidRPr="003F136B">
        <w:rPr>
          <w:color w:val="000000"/>
          <w:lang w:val="lt-LT" w:eastAsia="sl-SI"/>
        </w:rPr>
        <w:t>neapdoroto bendrojo įvertinimo, taikant 3</w:t>
      </w:r>
      <w:r>
        <w:rPr>
          <w:color w:val="000000"/>
          <w:lang w:val="lt-LT" w:eastAsia="sl-SI"/>
        </w:rPr>
        <w:t> </w:t>
      </w:r>
      <w:r w:rsidRPr="003F136B">
        <w:rPr>
          <w:color w:val="000000"/>
          <w:lang w:val="lt-LT" w:eastAsia="sl-SI"/>
        </w:rPr>
        <w:t>krypčių ANCOVA. Būtinoji įtraukimo į tyrimą sąlyga buvo</w:t>
      </w:r>
      <w:r>
        <w:rPr>
          <w:color w:val="000000"/>
          <w:lang w:val="lt-LT" w:eastAsia="sl-SI"/>
        </w:rPr>
        <w:t xml:space="preserve"> </w:t>
      </w:r>
    </w:p>
    <w:p w14:paraId="7C4747FC" w14:textId="7DC28B09" w:rsidR="003F136B" w:rsidRPr="003F136B" w:rsidRDefault="003F136B" w:rsidP="003F136B">
      <w:pPr>
        <w:adjustRightInd w:val="0"/>
        <w:rPr>
          <w:color w:val="000000"/>
          <w:lang w:val="lt-LT" w:eastAsia="sl-SI"/>
        </w:rPr>
      </w:pPr>
      <w:r w:rsidRPr="003F136B">
        <w:rPr>
          <w:color w:val="000000"/>
          <w:lang w:val="lt-LT" w:eastAsia="sl-SI"/>
        </w:rPr>
        <w:t>neapdorotas įvertinimas ≥</w:t>
      </w:r>
      <w:r>
        <w:rPr>
          <w:color w:val="000000"/>
          <w:lang w:val="lt-LT" w:eastAsia="sl-SI"/>
        </w:rPr>
        <w:t> </w:t>
      </w:r>
      <w:r w:rsidRPr="003F136B">
        <w:rPr>
          <w:color w:val="000000"/>
          <w:lang w:val="lt-LT" w:eastAsia="sl-SI"/>
        </w:rPr>
        <w:t>45</w:t>
      </w:r>
      <w:r>
        <w:rPr>
          <w:color w:val="000000"/>
          <w:lang w:val="lt-LT" w:eastAsia="sl-SI"/>
        </w:rPr>
        <w:t> </w:t>
      </w:r>
      <w:r w:rsidRPr="003F136B">
        <w:rPr>
          <w:color w:val="000000"/>
          <w:lang w:val="lt-LT" w:eastAsia="sl-SI"/>
        </w:rPr>
        <w:t>balai. CDRS</w:t>
      </w:r>
      <w:r>
        <w:rPr>
          <w:color w:val="000000"/>
          <w:lang w:val="lt-LT" w:eastAsia="sl-SI"/>
        </w:rPr>
        <w:noBreakHyphen/>
      </w:r>
      <w:r w:rsidRPr="003F136B">
        <w:rPr>
          <w:color w:val="000000"/>
          <w:lang w:val="lt-LT" w:eastAsia="sl-SI"/>
        </w:rPr>
        <w:t>R vertinimas buvo atliekamas atrankos vizito metu,</w:t>
      </w:r>
      <w:r>
        <w:rPr>
          <w:color w:val="000000"/>
          <w:lang w:val="lt-LT" w:eastAsia="sl-SI"/>
        </w:rPr>
        <w:t xml:space="preserve"> </w:t>
      </w:r>
      <w:r w:rsidRPr="003F136B">
        <w:rPr>
          <w:color w:val="000000"/>
          <w:lang w:val="lt-LT" w:eastAsia="sl-SI"/>
        </w:rPr>
        <w:t>įtraukimo metu (0</w:t>
      </w:r>
      <w:r>
        <w:rPr>
          <w:color w:val="000000"/>
          <w:lang w:val="lt-LT" w:eastAsia="sl-SI"/>
        </w:rPr>
        <w:t> </w:t>
      </w:r>
      <w:r w:rsidRPr="003F136B">
        <w:rPr>
          <w:color w:val="000000"/>
          <w:lang w:val="lt-LT" w:eastAsia="sl-SI"/>
        </w:rPr>
        <w:t>savaitę) ir vėliau kiekvieno vizito metu (t.</w:t>
      </w:r>
      <w:r>
        <w:rPr>
          <w:color w:val="000000"/>
          <w:lang w:val="lt-LT" w:eastAsia="sl-SI"/>
        </w:rPr>
        <w:t> </w:t>
      </w:r>
      <w:r w:rsidRPr="003F136B">
        <w:rPr>
          <w:color w:val="000000"/>
          <w:lang w:val="lt-LT" w:eastAsia="sl-SI"/>
        </w:rPr>
        <w:t>y. dvigubai koduotu laikotarpiu: 1, 2, 4, 8</w:t>
      </w:r>
      <w:r>
        <w:rPr>
          <w:color w:val="000000"/>
          <w:lang w:val="lt-LT" w:eastAsia="sl-SI"/>
        </w:rPr>
        <w:t xml:space="preserve"> </w:t>
      </w:r>
      <w:r w:rsidRPr="003F136B">
        <w:rPr>
          <w:color w:val="000000"/>
          <w:lang w:val="lt-LT" w:eastAsia="sl-SI"/>
        </w:rPr>
        <w:t>ir 12</w:t>
      </w:r>
      <w:r>
        <w:rPr>
          <w:color w:val="000000"/>
          <w:lang w:val="lt-LT" w:eastAsia="sl-SI"/>
        </w:rPr>
        <w:t> </w:t>
      </w:r>
      <w:r w:rsidRPr="003F136B">
        <w:rPr>
          <w:color w:val="000000"/>
          <w:lang w:val="lt-LT" w:eastAsia="sl-SI"/>
        </w:rPr>
        <w:t>savaitėmis).</w:t>
      </w:r>
    </w:p>
    <w:p w14:paraId="56B8259D" w14:textId="7331BB88" w:rsidR="003F136B" w:rsidRPr="00151B1E" w:rsidRDefault="003F136B" w:rsidP="003F136B">
      <w:pPr>
        <w:adjustRightInd w:val="0"/>
        <w:rPr>
          <w:i/>
          <w:iCs/>
          <w:color w:val="000000"/>
          <w:lang w:val="lt-LT" w:eastAsia="sl-SI"/>
        </w:rPr>
      </w:pPr>
      <w:r w:rsidRPr="003F136B">
        <w:rPr>
          <w:color w:val="000000"/>
          <w:lang w:val="lt-LT" w:eastAsia="sl-SI"/>
        </w:rPr>
        <w:t>Svarbiausios antrinės veiksmingumo vertinamosios baigtys buvo Bendrojo klinikinio įvertinimo –</w:t>
      </w:r>
      <w:r>
        <w:rPr>
          <w:color w:val="000000"/>
          <w:lang w:val="lt-LT" w:eastAsia="sl-SI"/>
        </w:rPr>
        <w:t xml:space="preserve"> </w:t>
      </w:r>
      <w:r w:rsidRPr="003F136B">
        <w:rPr>
          <w:color w:val="000000"/>
          <w:lang w:val="lt-LT" w:eastAsia="sl-SI"/>
        </w:rPr>
        <w:t xml:space="preserve">ligos sunkumo (angl. </w:t>
      </w:r>
      <w:proofErr w:type="spellStart"/>
      <w:r w:rsidRPr="00151B1E">
        <w:rPr>
          <w:i/>
          <w:iCs/>
          <w:color w:val="000000"/>
          <w:lang w:val="lt-LT" w:eastAsia="sl-SI"/>
        </w:rPr>
        <w:t>Clinical</w:t>
      </w:r>
      <w:proofErr w:type="spellEnd"/>
      <w:r w:rsidRPr="00151B1E">
        <w:rPr>
          <w:i/>
          <w:iCs/>
          <w:color w:val="000000"/>
          <w:lang w:val="lt-LT" w:eastAsia="sl-SI"/>
        </w:rPr>
        <w:t xml:space="preserve"> Global </w:t>
      </w:r>
      <w:proofErr w:type="spellStart"/>
      <w:r w:rsidRPr="00151B1E">
        <w:rPr>
          <w:i/>
          <w:iCs/>
          <w:color w:val="000000"/>
          <w:lang w:val="lt-LT" w:eastAsia="sl-SI"/>
        </w:rPr>
        <w:t>Impression</w:t>
      </w:r>
      <w:proofErr w:type="spellEnd"/>
      <w:r w:rsidRPr="00151B1E">
        <w:rPr>
          <w:i/>
          <w:iCs/>
          <w:color w:val="000000"/>
          <w:lang w:val="lt-LT" w:eastAsia="sl-SI"/>
        </w:rPr>
        <w:t xml:space="preserve"> – </w:t>
      </w:r>
      <w:proofErr w:type="spellStart"/>
      <w:r w:rsidRPr="00151B1E">
        <w:rPr>
          <w:i/>
          <w:iCs/>
          <w:color w:val="000000"/>
          <w:lang w:val="lt-LT" w:eastAsia="sl-SI"/>
        </w:rPr>
        <w:t>Severity</w:t>
      </w:r>
      <w:proofErr w:type="spellEnd"/>
      <w:r w:rsidRPr="00151B1E">
        <w:rPr>
          <w:i/>
          <w:iCs/>
          <w:color w:val="000000"/>
          <w:lang w:val="lt-LT" w:eastAsia="sl-SI"/>
        </w:rPr>
        <w:t xml:space="preserve"> </w:t>
      </w:r>
      <w:proofErr w:type="spellStart"/>
      <w:r w:rsidRPr="00151B1E">
        <w:rPr>
          <w:i/>
          <w:iCs/>
          <w:color w:val="000000"/>
          <w:lang w:val="lt-LT" w:eastAsia="sl-SI"/>
        </w:rPr>
        <w:t>of</w:t>
      </w:r>
      <w:proofErr w:type="spellEnd"/>
      <w:r w:rsidRPr="00151B1E">
        <w:rPr>
          <w:i/>
          <w:iCs/>
          <w:color w:val="000000"/>
          <w:lang w:val="lt-LT" w:eastAsia="sl-SI"/>
        </w:rPr>
        <w:t xml:space="preserve"> </w:t>
      </w:r>
      <w:proofErr w:type="spellStart"/>
      <w:r w:rsidRPr="00151B1E">
        <w:rPr>
          <w:i/>
          <w:iCs/>
          <w:color w:val="000000"/>
          <w:lang w:val="lt-LT" w:eastAsia="sl-SI"/>
        </w:rPr>
        <w:t>Illness</w:t>
      </w:r>
      <w:proofErr w:type="spellEnd"/>
      <w:r w:rsidRPr="003F136B">
        <w:rPr>
          <w:color w:val="000000"/>
          <w:lang w:val="lt-LT" w:eastAsia="sl-SI"/>
        </w:rPr>
        <w:t>, CGI-S) ir pagerėjimo (angl.</w:t>
      </w:r>
      <w:r>
        <w:rPr>
          <w:color w:val="000000"/>
          <w:lang w:val="lt-LT" w:eastAsia="sl-SI"/>
        </w:rPr>
        <w:t xml:space="preserve"> </w:t>
      </w:r>
      <w:proofErr w:type="spellStart"/>
      <w:r w:rsidRPr="00151B1E">
        <w:rPr>
          <w:i/>
          <w:iCs/>
          <w:color w:val="000000"/>
          <w:lang w:val="lt-LT" w:eastAsia="sl-SI"/>
        </w:rPr>
        <w:t>Improvement</w:t>
      </w:r>
      <w:proofErr w:type="spellEnd"/>
      <w:r w:rsidRPr="00151B1E">
        <w:rPr>
          <w:i/>
          <w:iCs/>
          <w:color w:val="000000"/>
          <w:lang w:val="lt-LT" w:eastAsia="sl-SI"/>
        </w:rPr>
        <w:t>,</w:t>
      </w:r>
      <w:r w:rsidRPr="003F136B">
        <w:rPr>
          <w:color w:val="000000"/>
          <w:lang w:val="lt-LT" w:eastAsia="sl-SI"/>
        </w:rPr>
        <w:t xml:space="preserve"> CGI-I) skalių įvertinimas ir Paauglių depresijos vertinimo skalės (angl. </w:t>
      </w:r>
      <w:proofErr w:type="spellStart"/>
      <w:r w:rsidRPr="00151B1E">
        <w:rPr>
          <w:i/>
          <w:iCs/>
          <w:color w:val="000000"/>
          <w:lang w:val="lt-LT" w:eastAsia="sl-SI"/>
        </w:rPr>
        <w:t>Adolescent</w:t>
      </w:r>
      <w:proofErr w:type="spellEnd"/>
    </w:p>
    <w:p w14:paraId="7187C9EE" w14:textId="77777777" w:rsidR="003F136B" w:rsidRPr="003F136B" w:rsidRDefault="003F136B" w:rsidP="003F136B">
      <w:pPr>
        <w:adjustRightInd w:val="0"/>
        <w:rPr>
          <w:color w:val="000000"/>
          <w:lang w:val="lt-LT" w:eastAsia="sl-SI"/>
        </w:rPr>
      </w:pPr>
      <w:proofErr w:type="spellStart"/>
      <w:r w:rsidRPr="00151B1E">
        <w:rPr>
          <w:i/>
          <w:iCs/>
          <w:color w:val="000000"/>
          <w:lang w:val="lt-LT" w:eastAsia="sl-SI"/>
        </w:rPr>
        <w:t>Depression</w:t>
      </w:r>
      <w:proofErr w:type="spellEnd"/>
      <w:r w:rsidRPr="00151B1E">
        <w:rPr>
          <w:i/>
          <w:iCs/>
          <w:color w:val="000000"/>
          <w:lang w:val="lt-LT" w:eastAsia="sl-SI"/>
        </w:rPr>
        <w:t xml:space="preserve"> </w:t>
      </w:r>
      <w:proofErr w:type="spellStart"/>
      <w:r w:rsidRPr="00151B1E">
        <w:rPr>
          <w:i/>
          <w:iCs/>
          <w:color w:val="000000"/>
          <w:lang w:val="lt-LT" w:eastAsia="sl-SI"/>
        </w:rPr>
        <w:t>Rating</w:t>
      </w:r>
      <w:proofErr w:type="spellEnd"/>
      <w:r w:rsidRPr="00151B1E">
        <w:rPr>
          <w:i/>
          <w:iCs/>
          <w:color w:val="000000"/>
          <w:lang w:val="lt-LT" w:eastAsia="sl-SI"/>
        </w:rPr>
        <w:t xml:space="preserve"> </w:t>
      </w:r>
      <w:proofErr w:type="spellStart"/>
      <w:r w:rsidRPr="00151B1E">
        <w:rPr>
          <w:i/>
          <w:iCs/>
          <w:color w:val="000000"/>
          <w:lang w:val="lt-LT" w:eastAsia="sl-SI"/>
        </w:rPr>
        <w:t>Scale</w:t>
      </w:r>
      <w:proofErr w:type="spellEnd"/>
      <w:r w:rsidRPr="003F136B">
        <w:rPr>
          <w:color w:val="000000"/>
          <w:lang w:val="lt-LT" w:eastAsia="sl-SI"/>
        </w:rPr>
        <w:t>, ADRS) bendrasis įvertinimas.</w:t>
      </w:r>
    </w:p>
    <w:p w14:paraId="43DB497C" w14:textId="49938EAB" w:rsidR="003F136B" w:rsidRPr="003F136B" w:rsidRDefault="003F136B" w:rsidP="003F136B">
      <w:pPr>
        <w:adjustRightInd w:val="0"/>
        <w:rPr>
          <w:color w:val="000000"/>
          <w:lang w:val="lt-LT" w:eastAsia="sl-SI"/>
        </w:rPr>
      </w:pPr>
      <w:r w:rsidRPr="003F136B">
        <w:rPr>
          <w:color w:val="000000"/>
          <w:lang w:val="lt-LT" w:eastAsia="sl-SI"/>
        </w:rPr>
        <w:t>Dauguma bendrosios populiacijos pacientų buvo moteriškos lyties (62,5</w:t>
      </w:r>
      <w:r>
        <w:rPr>
          <w:color w:val="000000"/>
          <w:lang w:val="lt-LT" w:eastAsia="sl-SI"/>
        </w:rPr>
        <w:t> </w:t>
      </w:r>
      <w:r w:rsidRPr="003F136B">
        <w:rPr>
          <w:color w:val="000000"/>
          <w:lang w:val="lt-LT" w:eastAsia="sl-SI"/>
        </w:rPr>
        <w:t>%), amžiaus mediana buvo</w:t>
      </w:r>
      <w:r>
        <w:rPr>
          <w:color w:val="000000"/>
          <w:lang w:val="lt-LT" w:eastAsia="sl-SI"/>
        </w:rPr>
        <w:t xml:space="preserve"> </w:t>
      </w:r>
      <w:r w:rsidRPr="003F136B">
        <w:rPr>
          <w:color w:val="000000"/>
          <w:lang w:val="lt-LT" w:eastAsia="sl-SI"/>
        </w:rPr>
        <w:t>14,0</w:t>
      </w:r>
      <w:r>
        <w:rPr>
          <w:color w:val="000000"/>
          <w:lang w:val="lt-LT" w:eastAsia="sl-SI"/>
        </w:rPr>
        <w:t> </w:t>
      </w:r>
      <w:r w:rsidRPr="003F136B">
        <w:rPr>
          <w:color w:val="000000"/>
          <w:lang w:val="lt-LT" w:eastAsia="sl-SI"/>
        </w:rPr>
        <w:t>metų (intervalas: 7</w:t>
      </w:r>
      <w:r>
        <w:rPr>
          <w:color w:val="000000"/>
          <w:lang w:val="lt-LT" w:eastAsia="sl-SI"/>
        </w:rPr>
        <w:noBreakHyphen/>
      </w:r>
      <w:r w:rsidRPr="003F136B">
        <w:rPr>
          <w:color w:val="000000"/>
          <w:lang w:val="lt-LT" w:eastAsia="sl-SI"/>
        </w:rPr>
        <w:t>17</w:t>
      </w:r>
      <w:r>
        <w:rPr>
          <w:color w:val="000000"/>
          <w:lang w:val="lt-LT" w:eastAsia="sl-SI"/>
        </w:rPr>
        <w:t> </w:t>
      </w:r>
      <w:r w:rsidRPr="003F136B">
        <w:rPr>
          <w:color w:val="000000"/>
          <w:lang w:val="lt-LT" w:eastAsia="sl-SI"/>
        </w:rPr>
        <w:t>metų). Daugumai pacientų pasireiškęs depresijos epizodas buvo pirmasis</w:t>
      </w:r>
      <w:r>
        <w:rPr>
          <w:color w:val="000000"/>
          <w:lang w:val="lt-LT" w:eastAsia="sl-SI"/>
        </w:rPr>
        <w:t xml:space="preserve"> </w:t>
      </w:r>
      <w:r w:rsidRPr="003F136B">
        <w:rPr>
          <w:color w:val="000000"/>
          <w:lang w:val="lt-LT" w:eastAsia="sl-SI"/>
        </w:rPr>
        <w:t>(71,5</w:t>
      </w:r>
      <w:r>
        <w:rPr>
          <w:color w:val="000000"/>
          <w:lang w:val="lt-LT" w:eastAsia="sl-SI"/>
        </w:rPr>
        <w:t> </w:t>
      </w:r>
      <w:r w:rsidRPr="003F136B">
        <w:rPr>
          <w:color w:val="000000"/>
          <w:lang w:val="lt-LT" w:eastAsia="sl-SI"/>
        </w:rPr>
        <w:t>%). Pagal DSM-IV-TR kriterijus 61,8</w:t>
      </w:r>
      <w:r>
        <w:rPr>
          <w:color w:val="000000"/>
          <w:lang w:val="lt-LT" w:eastAsia="sl-SI"/>
        </w:rPr>
        <w:t> </w:t>
      </w:r>
      <w:r w:rsidRPr="003F136B">
        <w:rPr>
          <w:color w:val="000000"/>
          <w:lang w:val="lt-LT" w:eastAsia="sl-SI"/>
        </w:rPr>
        <w:t>% pacientų epizodas buvo diagnozuotas kaip vidutinio</w:t>
      </w:r>
      <w:r>
        <w:rPr>
          <w:color w:val="000000"/>
          <w:lang w:val="lt-LT" w:eastAsia="sl-SI"/>
        </w:rPr>
        <w:t xml:space="preserve"> </w:t>
      </w:r>
      <w:r w:rsidRPr="003F136B">
        <w:rPr>
          <w:color w:val="000000"/>
          <w:lang w:val="lt-LT" w:eastAsia="sl-SI"/>
        </w:rPr>
        <w:t>sunkumo, o 38,3</w:t>
      </w:r>
      <w:r>
        <w:rPr>
          <w:color w:val="000000"/>
          <w:lang w:val="lt-LT" w:eastAsia="sl-SI"/>
        </w:rPr>
        <w:t> </w:t>
      </w:r>
      <w:r w:rsidRPr="003F136B">
        <w:rPr>
          <w:color w:val="000000"/>
          <w:lang w:val="lt-LT" w:eastAsia="sl-SI"/>
        </w:rPr>
        <w:t>% – kaip sunkus (be psichozės požymių). Vidutinė esamo epizodo trukmė buvo</w:t>
      </w:r>
      <w:r>
        <w:rPr>
          <w:color w:val="000000"/>
          <w:lang w:val="lt-LT" w:eastAsia="sl-SI"/>
        </w:rPr>
        <w:t xml:space="preserve"> </w:t>
      </w:r>
      <w:r w:rsidRPr="003F136B">
        <w:rPr>
          <w:color w:val="000000"/>
          <w:lang w:val="lt-LT" w:eastAsia="sl-SI"/>
        </w:rPr>
        <w:t>143,4</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153,2</w:t>
      </w:r>
      <w:r>
        <w:rPr>
          <w:color w:val="000000"/>
          <w:lang w:val="lt-LT" w:eastAsia="sl-SI"/>
        </w:rPr>
        <w:t> </w:t>
      </w:r>
      <w:r w:rsidRPr="003F136B">
        <w:rPr>
          <w:color w:val="000000"/>
          <w:lang w:val="lt-LT" w:eastAsia="sl-SI"/>
        </w:rPr>
        <w:t>dienos, mediana – 96,0</w:t>
      </w:r>
      <w:r>
        <w:rPr>
          <w:color w:val="000000"/>
          <w:lang w:val="lt-LT" w:eastAsia="sl-SI"/>
        </w:rPr>
        <w:t> </w:t>
      </w:r>
      <w:r w:rsidRPr="003F136B">
        <w:rPr>
          <w:color w:val="000000"/>
          <w:lang w:val="lt-LT" w:eastAsia="sl-SI"/>
        </w:rPr>
        <w:t>dienos (intervalas nuo 29 iki 1</w:t>
      </w:r>
      <w:r>
        <w:rPr>
          <w:color w:val="000000"/>
          <w:lang w:val="lt-LT" w:eastAsia="sl-SI"/>
        </w:rPr>
        <w:t> </w:t>
      </w:r>
      <w:r w:rsidRPr="003F136B">
        <w:rPr>
          <w:color w:val="000000"/>
          <w:lang w:val="lt-LT" w:eastAsia="sl-SI"/>
        </w:rPr>
        <w:t>463</w:t>
      </w:r>
      <w:r>
        <w:rPr>
          <w:color w:val="000000"/>
          <w:lang w:val="lt-LT" w:eastAsia="sl-SI"/>
        </w:rPr>
        <w:t> </w:t>
      </w:r>
      <w:r w:rsidRPr="003F136B">
        <w:rPr>
          <w:color w:val="000000"/>
          <w:lang w:val="lt-LT" w:eastAsia="sl-SI"/>
        </w:rPr>
        <w:t>dienų).</w:t>
      </w:r>
    </w:p>
    <w:p w14:paraId="40C03701" w14:textId="1EFF2B53" w:rsidR="003F136B" w:rsidRDefault="003F136B" w:rsidP="003F136B">
      <w:pPr>
        <w:adjustRightInd w:val="0"/>
        <w:rPr>
          <w:color w:val="000000"/>
          <w:lang w:val="lt-LT" w:eastAsia="sl-SI"/>
        </w:rPr>
      </w:pPr>
      <w:r w:rsidRPr="003F136B">
        <w:rPr>
          <w:color w:val="000000"/>
          <w:lang w:val="lt-LT" w:eastAsia="sl-SI"/>
        </w:rPr>
        <w:t>Vertinant gretutines ligas, maždaug 6</w:t>
      </w:r>
      <w:r>
        <w:rPr>
          <w:color w:val="000000"/>
          <w:lang w:val="lt-LT" w:eastAsia="sl-SI"/>
        </w:rPr>
        <w:t> </w:t>
      </w:r>
      <w:r w:rsidRPr="003F136B">
        <w:rPr>
          <w:color w:val="000000"/>
          <w:lang w:val="lt-LT" w:eastAsia="sl-SI"/>
        </w:rPr>
        <w:t xml:space="preserve">% visos populiacijos pacientų sirgo </w:t>
      </w:r>
      <w:proofErr w:type="spellStart"/>
      <w:r w:rsidRPr="003F136B">
        <w:rPr>
          <w:color w:val="000000"/>
          <w:lang w:val="lt-LT" w:eastAsia="sl-SI"/>
        </w:rPr>
        <w:t>generalizuoto</w:t>
      </w:r>
      <w:proofErr w:type="spellEnd"/>
      <w:r w:rsidRPr="003F136B">
        <w:rPr>
          <w:color w:val="000000"/>
          <w:lang w:val="lt-LT" w:eastAsia="sl-SI"/>
        </w:rPr>
        <w:t xml:space="preserve"> nerimo</w:t>
      </w:r>
      <w:r>
        <w:rPr>
          <w:color w:val="000000"/>
          <w:lang w:val="lt-LT" w:eastAsia="sl-SI"/>
        </w:rPr>
        <w:t xml:space="preserve"> </w:t>
      </w:r>
      <w:r w:rsidRPr="003F136B">
        <w:rPr>
          <w:color w:val="000000"/>
          <w:lang w:val="lt-LT" w:eastAsia="sl-SI"/>
        </w:rPr>
        <w:t>sutrikimu, 7</w:t>
      </w:r>
      <w:r>
        <w:rPr>
          <w:color w:val="000000"/>
          <w:lang w:val="lt-LT" w:eastAsia="sl-SI"/>
        </w:rPr>
        <w:t> </w:t>
      </w:r>
      <w:r w:rsidRPr="003F136B">
        <w:rPr>
          <w:color w:val="000000"/>
          <w:lang w:val="lt-LT" w:eastAsia="sl-SI"/>
        </w:rPr>
        <w:t>% – socialinio nerimo sutrikimu ir 2</w:t>
      </w:r>
      <w:r>
        <w:rPr>
          <w:color w:val="000000"/>
          <w:lang w:val="lt-LT" w:eastAsia="sl-SI"/>
        </w:rPr>
        <w:t> </w:t>
      </w:r>
      <w:r w:rsidRPr="003F136B">
        <w:rPr>
          <w:color w:val="000000"/>
          <w:lang w:val="lt-LT" w:eastAsia="sl-SI"/>
        </w:rPr>
        <w:t>% – išsiskyrimo nerimo sutrikimu.</w:t>
      </w:r>
    </w:p>
    <w:p w14:paraId="3E2DE41F" w14:textId="77777777" w:rsidR="003F136B" w:rsidRPr="003F136B" w:rsidRDefault="003F136B" w:rsidP="003F136B">
      <w:pPr>
        <w:adjustRightInd w:val="0"/>
        <w:rPr>
          <w:color w:val="000000"/>
          <w:lang w:val="lt-LT" w:eastAsia="sl-SI"/>
        </w:rPr>
      </w:pPr>
    </w:p>
    <w:p w14:paraId="39042CDF" w14:textId="12AC5287" w:rsidR="003F136B" w:rsidRPr="003F136B" w:rsidRDefault="003F136B" w:rsidP="003F136B">
      <w:pPr>
        <w:adjustRightInd w:val="0"/>
        <w:rPr>
          <w:color w:val="000000"/>
          <w:lang w:val="lt-LT" w:eastAsia="sl-SI"/>
        </w:rPr>
      </w:pPr>
      <w:r w:rsidRPr="003F136B">
        <w:rPr>
          <w:color w:val="000000"/>
          <w:lang w:val="lt-LT" w:eastAsia="sl-SI"/>
        </w:rPr>
        <w:t>Pagrindinės vertinamosios baigties CDRS</w:t>
      </w:r>
      <w:r>
        <w:rPr>
          <w:color w:val="000000"/>
          <w:lang w:val="lt-LT" w:eastAsia="sl-SI"/>
        </w:rPr>
        <w:noBreakHyphen/>
      </w:r>
      <w:r w:rsidRPr="003F136B">
        <w:rPr>
          <w:color w:val="000000"/>
          <w:lang w:val="lt-LT" w:eastAsia="sl-SI"/>
        </w:rPr>
        <w:t>R neapdoroto įvertinimo, išreikšto pokyčiu nuo pradinio</w:t>
      </w:r>
      <w:r>
        <w:rPr>
          <w:color w:val="000000"/>
          <w:lang w:val="lt-LT" w:eastAsia="sl-SI"/>
        </w:rPr>
        <w:t xml:space="preserve"> </w:t>
      </w:r>
      <w:r w:rsidRPr="003F136B">
        <w:rPr>
          <w:color w:val="000000"/>
          <w:lang w:val="lt-LT" w:eastAsia="sl-SI"/>
        </w:rPr>
        <w:t>rodmens iki paskutinio vėlesnio rodmens visos populiacijos pacientams, rezultatai parodė, kad</w:t>
      </w:r>
      <w:r>
        <w:rPr>
          <w:color w:val="000000"/>
          <w:lang w:val="lt-LT" w:eastAsia="sl-SI"/>
        </w:rPr>
        <w:t xml:space="preserve"> </w:t>
      </w:r>
      <w:r w:rsidRPr="003F136B">
        <w:rPr>
          <w:color w:val="000000"/>
          <w:lang w:val="lt-LT" w:eastAsia="sl-SI"/>
        </w:rPr>
        <w:t>vartojant 25</w:t>
      </w:r>
      <w:r>
        <w:rPr>
          <w:color w:val="000000"/>
          <w:lang w:val="lt-LT" w:eastAsia="sl-SI"/>
        </w:rPr>
        <w:t> </w:t>
      </w:r>
      <w:r w:rsidRPr="003F136B">
        <w:rPr>
          <w:color w:val="000000"/>
          <w:lang w:val="lt-LT" w:eastAsia="sl-SI"/>
        </w:rPr>
        <w:t xml:space="preserve">mg </w:t>
      </w:r>
      <w:proofErr w:type="spellStart"/>
      <w:r w:rsidRPr="003F136B">
        <w:rPr>
          <w:color w:val="000000"/>
          <w:lang w:val="lt-LT" w:eastAsia="sl-SI"/>
        </w:rPr>
        <w:t>agomelatino</w:t>
      </w:r>
      <w:proofErr w:type="spellEnd"/>
      <w:r w:rsidRPr="003F136B">
        <w:rPr>
          <w:color w:val="000000"/>
          <w:lang w:val="lt-LT" w:eastAsia="sl-SI"/>
        </w:rPr>
        <w:t xml:space="preserve"> dozę, palyginti su placebu, skirtumas tarp grupių buvo 4,22; 95</w:t>
      </w:r>
      <w:r>
        <w:rPr>
          <w:color w:val="000000"/>
          <w:lang w:val="lt-LT" w:eastAsia="sl-SI"/>
        </w:rPr>
        <w:t> </w:t>
      </w:r>
      <w:r w:rsidRPr="003F136B">
        <w:rPr>
          <w:color w:val="000000"/>
          <w:lang w:val="lt-LT" w:eastAsia="sl-SI"/>
        </w:rPr>
        <w:t>% PI</w:t>
      </w:r>
      <w:r>
        <w:rPr>
          <w:color w:val="000000"/>
          <w:lang w:val="lt-LT" w:eastAsia="sl-SI"/>
        </w:rPr>
        <w:t> </w:t>
      </w:r>
      <w:r w:rsidRPr="003F136B">
        <w:rPr>
          <w:color w:val="000000"/>
          <w:lang w:val="lt-LT" w:eastAsia="sl-SI"/>
        </w:rPr>
        <w:t>[0,63; 7,82]. Paauglių pogrupyje apskaičiuotas skirtumas tarp 25</w:t>
      </w:r>
      <w:r>
        <w:rPr>
          <w:color w:val="000000"/>
          <w:lang w:val="lt-LT" w:eastAsia="sl-SI"/>
        </w:rPr>
        <w:t> </w:t>
      </w:r>
      <w:r w:rsidRPr="003F136B">
        <w:rPr>
          <w:color w:val="000000"/>
          <w:lang w:val="lt-LT" w:eastAsia="sl-SI"/>
        </w:rPr>
        <w:t xml:space="preserve">mg </w:t>
      </w:r>
      <w:proofErr w:type="spellStart"/>
      <w:r w:rsidRPr="003F136B">
        <w:rPr>
          <w:color w:val="000000"/>
          <w:lang w:val="lt-LT" w:eastAsia="sl-SI"/>
        </w:rPr>
        <w:t>agomelatino</w:t>
      </w:r>
      <w:proofErr w:type="spellEnd"/>
      <w:r w:rsidRPr="003F136B">
        <w:rPr>
          <w:color w:val="000000"/>
          <w:lang w:val="lt-LT" w:eastAsia="sl-SI"/>
        </w:rPr>
        <w:t xml:space="preserve"> dozės ir </w:t>
      </w:r>
      <w:proofErr w:type="spellStart"/>
      <w:r w:rsidRPr="003F136B">
        <w:rPr>
          <w:color w:val="000000"/>
          <w:lang w:val="lt-LT" w:eastAsia="sl-SI"/>
        </w:rPr>
        <w:t>placebo</w:t>
      </w:r>
      <w:proofErr w:type="spellEnd"/>
    </w:p>
    <w:p w14:paraId="703A2A85" w14:textId="4B625D21" w:rsidR="003F136B" w:rsidRPr="003F136B" w:rsidRDefault="003F136B" w:rsidP="003F136B">
      <w:pPr>
        <w:adjustRightInd w:val="0"/>
        <w:rPr>
          <w:color w:val="000000"/>
          <w:lang w:val="lt-LT" w:eastAsia="sl-SI"/>
        </w:rPr>
      </w:pPr>
      <w:r w:rsidRPr="003F136B">
        <w:rPr>
          <w:color w:val="000000"/>
          <w:lang w:val="lt-LT" w:eastAsia="sl-SI"/>
        </w:rPr>
        <w:t>grupių buvo 5,22; (95</w:t>
      </w:r>
      <w:r>
        <w:rPr>
          <w:color w:val="000000"/>
          <w:lang w:val="lt-LT" w:eastAsia="sl-SI"/>
        </w:rPr>
        <w:t> </w:t>
      </w:r>
      <w:r w:rsidRPr="003F136B">
        <w:rPr>
          <w:color w:val="000000"/>
          <w:lang w:val="lt-LT" w:eastAsia="sl-SI"/>
        </w:rPr>
        <w:t>% PI</w:t>
      </w:r>
      <w:r>
        <w:rPr>
          <w:color w:val="000000"/>
          <w:lang w:val="lt-LT" w:eastAsia="sl-SI"/>
        </w:rPr>
        <w:t> </w:t>
      </w:r>
      <w:r w:rsidRPr="003F136B">
        <w:rPr>
          <w:color w:val="000000"/>
          <w:lang w:val="lt-LT" w:eastAsia="sl-SI"/>
        </w:rPr>
        <w:t>[1,03; 9,40]).</w:t>
      </w:r>
    </w:p>
    <w:p w14:paraId="357EAD01" w14:textId="2AC89E0E" w:rsidR="003F136B" w:rsidRPr="003F136B" w:rsidRDefault="003F136B" w:rsidP="003F136B">
      <w:pPr>
        <w:adjustRightInd w:val="0"/>
        <w:rPr>
          <w:color w:val="000000"/>
          <w:lang w:val="lt-LT" w:eastAsia="sl-SI"/>
        </w:rPr>
      </w:pPr>
      <w:r w:rsidRPr="003F136B">
        <w:rPr>
          <w:color w:val="000000"/>
          <w:lang w:val="lt-LT" w:eastAsia="sl-SI"/>
        </w:rPr>
        <w:t>Vertinant antrines vertinamąsias baigtis Bendrojo klinikinio įvertinimo – ligos sunkumo (angl.</w:t>
      </w:r>
      <w:r>
        <w:rPr>
          <w:color w:val="000000"/>
          <w:lang w:val="lt-LT" w:eastAsia="sl-SI"/>
        </w:rPr>
        <w:t xml:space="preserve"> </w:t>
      </w:r>
      <w:proofErr w:type="spellStart"/>
      <w:r w:rsidRPr="00151B1E">
        <w:rPr>
          <w:i/>
          <w:iCs/>
          <w:color w:val="000000"/>
          <w:lang w:val="lt-LT" w:eastAsia="sl-SI"/>
        </w:rPr>
        <w:t>Clinical</w:t>
      </w:r>
      <w:proofErr w:type="spellEnd"/>
      <w:r w:rsidRPr="00151B1E">
        <w:rPr>
          <w:i/>
          <w:iCs/>
          <w:color w:val="000000"/>
          <w:lang w:val="lt-LT" w:eastAsia="sl-SI"/>
        </w:rPr>
        <w:t xml:space="preserve"> Global </w:t>
      </w:r>
      <w:proofErr w:type="spellStart"/>
      <w:r w:rsidRPr="00151B1E">
        <w:rPr>
          <w:i/>
          <w:iCs/>
          <w:color w:val="000000"/>
          <w:lang w:val="lt-LT" w:eastAsia="sl-SI"/>
        </w:rPr>
        <w:t>Impression</w:t>
      </w:r>
      <w:proofErr w:type="spellEnd"/>
      <w:r w:rsidRPr="00151B1E">
        <w:rPr>
          <w:i/>
          <w:iCs/>
          <w:color w:val="000000"/>
          <w:lang w:val="lt-LT" w:eastAsia="sl-SI"/>
        </w:rPr>
        <w:t xml:space="preserve"> – </w:t>
      </w:r>
      <w:proofErr w:type="spellStart"/>
      <w:r w:rsidRPr="00151B1E">
        <w:rPr>
          <w:i/>
          <w:iCs/>
          <w:color w:val="000000"/>
          <w:lang w:val="lt-LT" w:eastAsia="sl-SI"/>
        </w:rPr>
        <w:t>Severity</w:t>
      </w:r>
      <w:proofErr w:type="spellEnd"/>
      <w:r w:rsidRPr="00151B1E">
        <w:rPr>
          <w:i/>
          <w:iCs/>
          <w:color w:val="000000"/>
          <w:lang w:val="lt-LT" w:eastAsia="sl-SI"/>
        </w:rPr>
        <w:t xml:space="preserve"> </w:t>
      </w:r>
      <w:proofErr w:type="spellStart"/>
      <w:r w:rsidRPr="00151B1E">
        <w:rPr>
          <w:i/>
          <w:iCs/>
          <w:color w:val="000000"/>
          <w:lang w:val="lt-LT" w:eastAsia="sl-SI"/>
        </w:rPr>
        <w:t>of</w:t>
      </w:r>
      <w:proofErr w:type="spellEnd"/>
      <w:r w:rsidRPr="00151B1E">
        <w:rPr>
          <w:i/>
          <w:iCs/>
          <w:color w:val="000000"/>
          <w:lang w:val="lt-LT" w:eastAsia="sl-SI"/>
        </w:rPr>
        <w:t xml:space="preserve"> </w:t>
      </w:r>
      <w:proofErr w:type="spellStart"/>
      <w:r w:rsidRPr="00151B1E">
        <w:rPr>
          <w:i/>
          <w:iCs/>
          <w:color w:val="000000"/>
          <w:lang w:val="lt-LT" w:eastAsia="sl-SI"/>
        </w:rPr>
        <w:t>Illness</w:t>
      </w:r>
      <w:proofErr w:type="spellEnd"/>
      <w:r w:rsidRPr="003F136B">
        <w:rPr>
          <w:color w:val="000000"/>
          <w:lang w:val="lt-LT" w:eastAsia="sl-SI"/>
        </w:rPr>
        <w:t xml:space="preserve">, CGI-S) ir pagerėjimo (angl. </w:t>
      </w:r>
      <w:proofErr w:type="spellStart"/>
      <w:r w:rsidRPr="00151B1E">
        <w:rPr>
          <w:i/>
          <w:iCs/>
          <w:color w:val="000000"/>
          <w:lang w:val="lt-LT" w:eastAsia="sl-SI"/>
        </w:rPr>
        <w:t>Improvement</w:t>
      </w:r>
      <w:proofErr w:type="spellEnd"/>
      <w:r w:rsidRPr="00151B1E">
        <w:rPr>
          <w:i/>
          <w:iCs/>
          <w:color w:val="000000"/>
          <w:lang w:val="lt-LT" w:eastAsia="sl-SI"/>
        </w:rPr>
        <w:t>,</w:t>
      </w:r>
      <w:r w:rsidRPr="003F136B">
        <w:rPr>
          <w:color w:val="000000"/>
          <w:lang w:val="lt-LT" w:eastAsia="sl-SI"/>
        </w:rPr>
        <w:t xml:space="preserve"> CGI-I)</w:t>
      </w:r>
      <w:r>
        <w:rPr>
          <w:color w:val="000000"/>
          <w:lang w:val="lt-LT" w:eastAsia="sl-SI"/>
        </w:rPr>
        <w:t xml:space="preserve"> </w:t>
      </w:r>
      <w:r w:rsidRPr="003F136B">
        <w:rPr>
          <w:color w:val="000000"/>
          <w:lang w:val="lt-LT" w:eastAsia="sl-SI"/>
        </w:rPr>
        <w:t>skalių įvertinimą, statistiškai reikšmingų skirtumų tarp visų tiriamųjų grupių nepastebėta. Vidutinis</w:t>
      </w:r>
      <w:r>
        <w:rPr>
          <w:color w:val="000000"/>
          <w:lang w:val="lt-LT" w:eastAsia="sl-SI"/>
        </w:rPr>
        <w:t xml:space="preserve"> </w:t>
      </w:r>
      <w:r w:rsidRPr="003F136B">
        <w:rPr>
          <w:color w:val="000000"/>
          <w:lang w:val="lt-LT" w:eastAsia="sl-SI"/>
        </w:rPr>
        <w:t>ADRS įvertinimo skirtumas tarp 25</w:t>
      </w:r>
      <w:r>
        <w:rPr>
          <w:color w:val="000000"/>
          <w:lang w:val="lt-LT" w:eastAsia="sl-SI"/>
        </w:rPr>
        <w:t> </w:t>
      </w:r>
      <w:r w:rsidRPr="003F136B">
        <w:rPr>
          <w:color w:val="000000"/>
          <w:lang w:val="lt-LT" w:eastAsia="sl-SI"/>
        </w:rPr>
        <w:t xml:space="preserve">mg </w:t>
      </w:r>
      <w:proofErr w:type="spellStart"/>
      <w:r w:rsidRPr="003F136B">
        <w:rPr>
          <w:color w:val="000000"/>
          <w:lang w:val="lt-LT" w:eastAsia="sl-SI"/>
        </w:rPr>
        <w:t>agomelatino</w:t>
      </w:r>
      <w:proofErr w:type="spellEnd"/>
      <w:r w:rsidRPr="003F136B">
        <w:rPr>
          <w:color w:val="000000"/>
          <w:lang w:val="lt-LT" w:eastAsia="sl-SI"/>
        </w:rPr>
        <w:t xml:space="preserve"> dozės grupės ir placebo grupės buvo 4,07, 95</w:t>
      </w:r>
      <w:r>
        <w:rPr>
          <w:color w:val="000000"/>
          <w:lang w:val="lt-LT" w:eastAsia="sl-SI"/>
        </w:rPr>
        <w:t> </w:t>
      </w:r>
      <w:r w:rsidRPr="003F136B">
        <w:rPr>
          <w:color w:val="000000"/>
          <w:lang w:val="lt-LT" w:eastAsia="sl-SI"/>
        </w:rPr>
        <w:t>%</w:t>
      </w:r>
      <w:r>
        <w:rPr>
          <w:color w:val="000000"/>
          <w:lang w:val="lt-LT" w:eastAsia="sl-SI"/>
        </w:rPr>
        <w:t xml:space="preserve"> </w:t>
      </w:r>
      <w:r w:rsidRPr="003F136B">
        <w:rPr>
          <w:color w:val="000000"/>
          <w:lang w:val="lt-LT" w:eastAsia="sl-SI"/>
        </w:rPr>
        <w:t>PI</w:t>
      </w:r>
      <w:r>
        <w:rPr>
          <w:color w:val="000000"/>
          <w:lang w:val="lt-LT" w:eastAsia="sl-SI"/>
        </w:rPr>
        <w:t> </w:t>
      </w:r>
      <w:r w:rsidRPr="003F136B">
        <w:rPr>
          <w:color w:val="000000"/>
          <w:lang w:val="lt-LT" w:eastAsia="sl-SI"/>
        </w:rPr>
        <w:t>[0,68; 7,46].</w:t>
      </w:r>
    </w:p>
    <w:p w14:paraId="524D6799" w14:textId="77777777" w:rsidR="003F136B" w:rsidRDefault="003F136B" w:rsidP="003F136B">
      <w:pPr>
        <w:adjustRightInd w:val="0"/>
        <w:rPr>
          <w:color w:val="000000"/>
          <w:lang w:val="lt-LT" w:eastAsia="sl-SI"/>
        </w:rPr>
      </w:pPr>
    </w:p>
    <w:p w14:paraId="2001F602" w14:textId="17C201EE" w:rsidR="003F136B" w:rsidRPr="003F136B" w:rsidRDefault="003F136B" w:rsidP="003F136B">
      <w:pPr>
        <w:adjustRightInd w:val="0"/>
        <w:rPr>
          <w:color w:val="000000"/>
          <w:lang w:val="lt-LT" w:eastAsia="sl-SI"/>
        </w:rPr>
      </w:pPr>
      <w:r w:rsidRPr="003F136B">
        <w:rPr>
          <w:color w:val="000000"/>
          <w:lang w:val="lt-LT" w:eastAsia="sl-SI"/>
        </w:rPr>
        <w:t>Užbaigus 12</w:t>
      </w:r>
      <w:r>
        <w:rPr>
          <w:color w:val="000000"/>
          <w:lang w:val="lt-LT" w:eastAsia="sl-SI"/>
        </w:rPr>
        <w:t> </w:t>
      </w:r>
      <w:r w:rsidRPr="003F136B">
        <w:rPr>
          <w:color w:val="000000"/>
          <w:lang w:val="lt-LT" w:eastAsia="sl-SI"/>
        </w:rPr>
        <w:t>savaičių dvigubai koduotą laikotarpį, pacientai galėjo dalyvauti neprivalomame</w:t>
      </w:r>
      <w:r>
        <w:rPr>
          <w:color w:val="000000"/>
          <w:lang w:val="lt-LT" w:eastAsia="sl-SI"/>
        </w:rPr>
        <w:t xml:space="preserve"> </w:t>
      </w:r>
      <w:r w:rsidRPr="003F136B">
        <w:rPr>
          <w:color w:val="000000"/>
          <w:lang w:val="lt-LT" w:eastAsia="sl-SI"/>
        </w:rPr>
        <w:t>atvirajame 21</w:t>
      </w:r>
      <w:r>
        <w:rPr>
          <w:color w:val="000000"/>
          <w:lang w:val="lt-LT" w:eastAsia="sl-SI"/>
        </w:rPr>
        <w:t> </w:t>
      </w:r>
      <w:r w:rsidRPr="003F136B">
        <w:rPr>
          <w:color w:val="000000"/>
          <w:lang w:val="lt-LT" w:eastAsia="sl-SI"/>
        </w:rPr>
        <w:t>mėnesio pratęsimo laikotarpyje, vartodami 10</w:t>
      </w:r>
      <w:r>
        <w:rPr>
          <w:color w:val="000000"/>
          <w:lang w:val="lt-LT" w:eastAsia="sl-SI"/>
        </w:rPr>
        <w:t> </w:t>
      </w:r>
      <w:r w:rsidRPr="003F136B">
        <w:rPr>
          <w:color w:val="000000"/>
          <w:lang w:val="lt-LT" w:eastAsia="sl-SI"/>
        </w:rPr>
        <w:t>mg arba 25</w:t>
      </w:r>
      <w:r>
        <w:rPr>
          <w:color w:val="000000"/>
          <w:lang w:val="lt-LT" w:eastAsia="sl-SI"/>
        </w:rPr>
        <w:t> </w:t>
      </w:r>
      <w:r w:rsidRPr="003F136B">
        <w:rPr>
          <w:color w:val="000000"/>
          <w:lang w:val="lt-LT" w:eastAsia="sl-SI"/>
        </w:rPr>
        <w:t xml:space="preserve">mg </w:t>
      </w:r>
      <w:proofErr w:type="spellStart"/>
      <w:r w:rsidRPr="003F136B">
        <w:rPr>
          <w:color w:val="000000"/>
          <w:lang w:val="lt-LT" w:eastAsia="sl-SI"/>
        </w:rPr>
        <w:t>agomelatino</w:t>
      </w:r>
      <w:proofErr w:type="spellEnd"/>
      <w:r w:rsidRPr="003F136B">
        <w:rPr>
          <w:color w:val="000000"/>
          <w:lang w:val="lt-LT" w:eastAsia="sl-SI"/>
        </w:rPr>
        <w:t xml:space="preserve"> dozę. Vis</w:t>
      </w:r>
      <w:r>
        <w:rPr>
          <w:color w:val="000000"/>
          <w:lang w:val="lt-LT" w:eastAsia="sl-SI"/>
        </w:rPr>
        <w:t xml:space="preserve"> </w:t>
      </w:r>
      <w:r w:rsidRPr="003F136B">
        <w:rPr>
          <w:color w:val="000000"/>
          <w:lang w:val="lt-LT" w:eastAsia="sl-SI"/>
        </w:rPr>
        <w:t>dėlto šis laikotarpis nebuvo suplanuotas kaip atkryčio profilaktikos tyrimas ir visi pacientai vartojo</w:t>
      </w:r>
      <w:r>
        <w:rPr>
          <w:color w:val="000000"/>
          <w:lang w:val="lt-LT" w:eastAsia="sl-SI"/>
        </w:rPr>
        <w:t xml:space="preserve"> </w:t>
      </w:r>
      <w:r w:rsidRPr="003F136B">
        <w:rPr>
          <w:color w:val="000000"/>
          <w:lang w:val="lt-LT" w:eastAsia="sl-SI"/>
        </w:rPr>
        <w:t xml:space="preserve">lanksčias </w:t>
      </w:r>
      <w:proofErr w:type="spellStart"/>
      <w:r w:rsidRPr="003F136B">
        <w:rPr>
          <w:color w:val="000000"/>
          <w:lang w:val="lt-LT" w:eastAsia="sl-SI"/>
        </w:rPr>
        <w:t>agomelatino</w:t>
      </w:r>
      <w:proofErr w:type="spellEnd"/>
      <w:r w:rsidRPr="003F136B">
        <w:rPr>
          <w:color w:val="000000"/>
          <w:lang w:val="lt-LT" w:eastAsia="sl-SI"/>
        </w:rPr>
        <w:t xml:space="preserve"> dozes. Todėl naudingų duomenų apie veiksmingumą ir saugumą po 12</w:t>
      </w:r>
      <w:r>
        <w:rPr>
          <w:color w:val="000000"/>
          <w:lang w:val="lt-LT" w:eastAsia="sl-SI"/>
        </w:rPr>
        <w:t> </w:t>
      </w:r>
      <w:r w:rsidRPr="003F136B">
        <w:rPr>
          <w:color w:val="000000"/>
          <w:lang w:val="lt-LT" w:eastAsia="sl-SI"/>
        </w:rPr>
        <w:t>savaičių</w:t>
      </w:r>
    </w:p>
    <w:p w14:paraId="06475D15" w14:textId="77777777" w:rsidR="003F136B" w:rsidRPr="003F136B" w:rsidRDefault="003F136B" w:rsidP="003F136B">
      <w:pPr>
        <w:adjustRightInd w:val="0"/>
        <w:rPr>
          <w:color w:val="000000"/>
          <w:lang w:val="lt-LT" w:eastAsia="sl-SI"/>
        </w:rPr>
      </w:pPr>
      <w:r w:rsidRPr="003F136B">
        <w:rPr>
          <w:color w:val="000000"/>
          <w:lang w:val="lt-LT" w:eastAsia="sl-SI"/>
        </w:rPr>
        <w:t>yra nedaug.</w:t>
      </w:r>
    </w:p>
    <w:p w14:paraId="0A0191D6" w14:textId="77777777" w:rsidR="003F136B" w:rsidRDefault="003F136B" w:rsidP="003F136B">
      <w:pPr>
        <w:adjustRightInd w:val="0"/>
        <w:rPr>
          <w:color w:val="000000"/>
          <w:lang w:val="lt-LT" w:eastAsia="sl-SI"/>
        </w:rPr>
      </w:pPr>
    </w:p>
    <w:p w14:paraId="4B15B357" w14:textId="565AB587" w:rsidR="003F136B" w:rsidRDefault="003F136B" w:rsidP="003F136B">
      <w:pPr>
        <w:adjustRightInd w:val="0"/>
        <w:rPr>
          <w:color w:val="000000"/>
          <w:lang w:val="lt-LT" w:eastAsia="sl-SI"/>
        </w:rPr>
      </w:pPr>
      <w:r w:rsidRPr="003F136B">
        <w:rPr>
          <w:color w:val="000000"/>
          <w:lang w:val="lt-LT" w:eastAsia="sl-SI"/>
        </w:rPr>
        <w:t xml:space="preserve">Lytinio subrendimo būklė buvo vertinama pagal </w:t>
      </w:r>
      <w:proofErr w:type="spellStart"/>
      <w:r w:rsidRPr="00151B1E">
        <w:rPr>
          <w:i/>
          <w:iCs/>
          <w:color w:val="000000"/>
          <w:lang w:val="lt-LT" w:eastAsia="sl-SI"/>
        </w:rPr>
        <w:t>Tanner</w:t>
      </w:r>
      <w:proofErr w:type="spellEnd"/>
      <w:r w:rsidRPr="003F136B">
        <w:rPr>
          <w:color w:val="000000"/>
          <w:lang w:val="lt-LT" w:eastAsia="sl-SI"/>
        </w:rPr>
        <w:t xml:space="preserve"> stadiją. Nors gauti duomenys yra riboti, jie</w:t>
      </w:r>
      <w:r>
        <w:rPr>
          <w:color w:val="000000"/>
          <w:lang w:val="lt-LT" w:eastAsia="sl-SI"/>
        </w:rPr>
        <w:t xml:space="preserve"> </w:t>
      </w:r>
      <w:r w:rsidRPr="003F136B">
        <w:rPr>
          <w:color w:val="000000"/>
          <w:lang w:val="lt-LT" w:eastAsia="sl-SI"/>
        </w:rPr>
        <w:t xml:space="preserve">nerodo </w:t>
      </w:r>
      <w:proofErr w:type="spellStart"/>
      <w:r w:rsidRPr="003F136B">
        <w:rPr>
          <w:color w:val="000000"/>
          <w:lang w:val="lt-LT" w:eastAsia="sl-SI"/>
        </w:rPr>
        <w:t>agomelatino</w:t>
      </w:r>
      <w:proofErr w:type="spellEnd"/>
      <w:r w:rsidRPr="003F136B">
        <w:rPr>
          <w:color w:val="000000"/>
          <w:lang w:val="lt-LT" w:eastAsia="sl-SI"/>
        </w:rPr>
        <w:t xml:space="preserve"> poveikio vystymuisi pagal </w:t>
      </w:r>
      <w:proofErr w:type="spellStart"/>
      <w:r w:rsidRPr="00151B1E">
        <w:rPr>
          <w:i/>
          <w:iCs/>
          <w:color w:val="000000"/>
          <w:lang w:val="lt-LT" w:eastAsia="sl-SI"/>
        </w:rPr>
        <w:t>Tanner</w:t>
      </w:r>
      <w:proofErr w:type="spellEnd"/>
      <w:r w:rsidRPr="003F136B">
        <w:rPr>
          <w:color w:val="000000"/>
          <w:lang w:val="lt-LT" w:eastAsia="sl-SI"/>
        </w:rPr>
        <w:t xml:space="preserve"> stadiją (žr. 4.8 skyrių).</w:t>
      </w:r>
    </w:p>
    <w:p w14:paraId="70F2ECA8" w14:textId="77777777" w:rsidR="003F136B" w:rsidRPr="003F136B" w:rsidRDefault="003F136B" w:rsidP="003F136B">
      <w:pPr>
        <w:adjustRightInd w:val="0"/>
        <w:rPr>
          <w:color w:val="000000"/>
          <w:lang w:val="lt-LT" w:eastAsia="sl-SI"/>
        </w:rPr>
      </w:pPr>
    </w:p>
    <w:p w14:paraId="1A8DFFBA" w14:textId="32ADDD65" w:rsidR="003F136B" w:rsidRDefault="003F136B" w:rsidP="003F136B">
      <w:pPr>
        <w:adjustRightInd w:val="0"/>
        <w:rPr>
          <w:color w:val="000000"/>
          <w:lang w:val="lt-LT" w:eastAsia="sl-SI"/>
        </w:rPr>
      </w:pPr>
      <w:r w:rsidRPr="003F136B">
        <w:rPr>
          <w:color w:val="000000"/>
          <w:lang w:val="lt-LT" w:eastAsia="sl-SI"/>
        </w:rPr>
        <w:t>Daugiau informacijos apie saugumą pateikiama 4.4 ir 4.8 skyriuose.</w:t>
      </w:r>
    </w:p>
    <w:p w14:paraId="53133EA3" w14:textId="77777777" w:rsidR="003F136B" w:rsidRPr="003F136B" w:rsidRDefault="003F136B" w:rsidP="003F136B">
      <w:pPr>
        <w:adjustRightInd w:val="0"/>
        <w:rPr>
          <w:color w:val="000000"/>
          <w:lang w:val="lt-LT" w:eastAsia="sl-SI"/>
        </w:rPr>
      </w:pPr>
    </w:p>
    <w:p w14:paraId="3B1F585E" w14:textId="42F3DF52" w:rsidR="00464860" w:rsidRPr="003F6BC7" w:rsidRDefault="003F136B" w:rsidP="003F136B">
      <w:pPr>
        <w:adjustRightInd w:val="0"/>
        <w:rPr>
          <w:color w:val="000000"/>
          <w:lang w:val="lt-LT" w:eastAsia="sl-SI"/>
        </w:rPr>
      </w:pPr>
      <w:r w:rsidRPr="003F136B">
        <w:rPr>
          <w:color w:val="000000"/>
          <w:lang w:val="lt-LT" w:eastAsia="sl-SI"/>
        </w:rPr>
        <w:t>Duomenų apie saugumą ir veiksmingumą vaikų pogrupyje (7</w:t>
      </w:r>
      <w:r>
        <w:rPr>
          <w:color w:val="000000"/>
          <w:lang w:val="lt-LT" w:eastAsia="sl-SI"/>
        </w:rPr>
        <w:noBreakHyphen/>
      </w:r>
      <w:r w:rsidRPr="003F136B">
        <w:rPr>
          <w:color w:val="000000"/>
          <w:lang w:val="lt-LT" w:eastAsia="sl-SI"/>
        </w:rPr>
        <w:t>11</w:t>
      </w:r>
      <w:r>
        <w:rPr>
          <w:color w:val="000000"/>
          <w:lang w:val="lt-LT" w:eastAsia="sl-SI"/>
        </w:rPr>
        <w:t> </w:t>
      </w:r>
      <w:r w:rsidRPr="003F136B">
        <w:rPr>
          <w:color w:val="000000"/>
          <w:lang w:val="lt-LT" w:eastAsia="sl-SI"/>
        </w:rPr>
        <w:t>metų amžiaus; iš viso 80</w:t>
      </w:r>
      <w:r>
        <w:rPr>
          <w:color w:val="000000"/>
          <w:lang w:val="lt-LT" w:eastAsia="sl-SI"/>
        </w:rPr>
        <w:t> </w:t>
      </w:r>
      <w:r w:rsidRPr="003F136B">
        <w:rPr>
          <w:color w:val="000000"/>
          <w:lang w:val="lt-LT" w:eastAsia="sl-SI"/>
        </w:rPr>
        <w:t>pacientų)</w:t>
      </w:r>
      <w:r>
        <w:rPr>
          <w:color w:val="000000"/>
          <w:lang w:val="lt-LT" w:eastAsia="sl-SI"/>
        </w:rPr>
        <w:t xml:space="preserve"> </w:t>
      </w:r>
      <w:r w:rsidRPr="003F136B">
        <w:rPr>
          <w:color w:val="000000"/>
          <w:lang w:val="lt-LT" w:eastAsia="sl-SI"/>
        </w:rPr>
        <w:t>yra nedaug, nes pacientų skaičius buvo labai mažas (žr. 4.2 skyrių). Vaikų grupėje vidutinis CDRS</w:t>
      </w:r>
      <w:r>
        <w:rPr>
          <w:color w:val="000000"/>
          <w:lang w:val="lt-LT" w:eastAsia="sl-SI"/>
        </w:rPr>
        <w:noBreakHyphen/>
      </w:r>
      <w:r w:rsidRPr="003F136B">
        <w:rPr>
          <w:color w:val="000000"/>
          <w:lang w:val="lt-LT" w:eastAsia="sl-SI"/>
        </w:rPr>
        <w:t>R</w:t>
      </w:r>
      <w:r>
        <w:rPr>
          <w:color w:val="000000"/>
          <w:lang w:val="lt-LT" w:eastAsia="sl-SI"/>
        </w:rPr>
        <w:t xml:space="preserve"> </w:t>
      </w:r>
      <w:r w:rsidRPr="003F136B">
        <w:rPr>
          <w:color w:val="000000"/>
          <w:lang w:val="lt-LT" w:eastAsia="sl-SI"/>
        </w:rPr>
        <w:t>neapdoroto bendrojo įvertinimo vidurkio pokytis trumpalaikės fazės pabaigoje absoliučia verte buvo</w:t>
      </w:r>
      <w:r>
        <w:rPr>
          <w:color w:val="000000"/>
          <w:lang w:val="lt-LT" w:eastAsia="sl-SI"/>
        </w:rPr>
        <w:t xml:space="preserve"> </w:t>
      </w:r>
      <w:r w:rsidRPr="003F136B">
        <w:rPr>
          <w:color w:val="000000"/>
          <w:lang w:val="lt-LT" w:eastAsia="sl-SI"/>
        </w:rPr>
        <w:t>mažesnis 25</w:t>
      </w:r>
      <w:r>
        <w:rPr>
          <w:color w:val="000000"/>
          <w:lang w:val="lt-LT" w:eastAsia="sl-SI"/>
        </w:rPr>
        <w:t> </w:t>
      </w:r>
      <w:r w:rsidRPr="003F136B">
        <w:rPr>
          <w:color w:val="000000"/>
          <w:lang w:val="lt-LT" w:eastAsia="sl-SI"/>
        </w:rPr>
        <w:t xml:space="preserve">mg </w:t>
      </w:r>
      <w:proofErr w:type="spellStart"/>
      <w:r w:rsidRPr="003F136B">
        <w:rPr>
          <w:color w:val="000000"/>
          <w:lang w:val="lt-LT" w:eastAsia="sl-SI"/>
        </w:rPr>
        <w:t>agomelatino</w:t>
      </w:r>
      <w:proofErr w:type="spellEnd"/>
      <w:r w:rsidRPr="003F136B">
        <w:rPr>
          <w:color w:val="000000"/>
          <w:lang w:val="lt-LT" w:eastAsia="sl-SI"/>
        </w:rPr>
        <w:t xml:space="preserve"> dozės grupėje (-17,1</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13,3), palyginti su placebo grupe (-19,0</w:t>
      </w:r>
      <w:r>
        <w:rPr>
          <w:color w:val="000000"/>
          <w:lang w:val="lt-LT" w:eastAsia="sl-SI"/>
        </w:rPr>
        <w:t> </w:t>
      </w:r>
      <w:r w:rsidRPr="003F136B">
        <w:rPr>
          <w:color w:val="000000"/>
          <w:lang w:val="lt-LT" w:eastAsia="sl-SI"/>
        </w:rPr>
        <w:t>±</w:t>
      </w:r>
      <w:r>
        <w:rPr>
          <w:color w:val="000000"/>
          <w:lang w:val="lt-LT" w:eastAsia="sl-SI"/>
        </w:rPr>
        <w:t> </w:t>
      </w:r>
      <w:r w:rsidRPr="003F136B">
        <w:rPr>
          <w:color w:val="000000"/>
          <w:lang w:val="lt-LT" w:eastAsia="sl-SI"/>
        </w:rPr>
        <w:t>18,3).</w:t>
      </w:r>
    </w:p>
    <w:p w14:paraId="3C8DE4C4" w14:textId="77777777" w:rsidR="00464860" w:rsidRPr="003F6BC7" w:rsidRDefault="00464860" w:rsidP="00464860">
      <w:pPr>
        <w:adjustRightInd w:val="0"/>
        <w:rPr>
          <w:b/>
          <w:bCs/>
          <w:color w:val="000000"/>
          <w:lang w:val="lt-LT" w:eastAsia="sl-SI"/>
        </w:rPr>
      </w:pPr>
    </w:p>
    <w:p w14:paraId="2A8E0C25" w14:textId="77777777" w:rsidR="00464860" w:rsidRPr="003F6BC7" w:rsidRDefault="00464860" w:rsidP="00151B1E">
      <w:pPr>
        <w:keepNext/>
        <w:adjustRightInd w:val="0"/>
        <w:ind w:left="567" w:hanging="567"/>
        <w:rPr>
          <w:b/>
          <w:bCs/>
          <w:color w:val="000000"/>
          <w:lang w:val="lt-LT" w:eastAsia="sl-SI"/>
        </w:rPr>
      </w:pPr>
      <w:r w:rsidRPr="003F6BC7">
        <w:rPr>
          <w:b/>
          <w:bCs/>
          <w:color w:val="000000"/>
          <w:lang w:val="lt-LT" w:eastAsia="sl-SI"/>
        </w:rPr>
        <w:lastRenderedPageBreak/>
        <w:t>5.2</w:t>
      </w:r>
      <w:r w:rsidRPr="003F6BC7">
        <w:rPr>
          <w:b/>
          <w:bCs/>
          <w:color w:val="000000"/>
          <w:lang w:val="lt-LT" w:eastAsia="sl-SI"/>
        </w:rPr>
        <w:tab/>
      </w:r>
      <w:proofErr w:type="spellStart"/>
      <w:r w:rsidRPr="003F6BC7">
        <w:rPr>
          <w:b/>
          <w:bCs/>
          <w:color w:val="000000"/>
          <w:lang w:val="lt-LT" w:eastAsia="sl-SI"/>
        </w:rPr>
        <w:t>Farmakokinetinės</w:t>
      </w:r>
      <w:proofErr w:type="spellEnd"/>
      <w:r w:rsidRPr="003F6BC7">
        <w:rPr>
          <w:b/>
          <w:bCs/>
          <w:color w:val="000000"/>
          <w:lang w:val="lt-LT" w:eastAsia="sl-SI"/>
        </w:rPr>
        <w:t xml:space="preserve"> savybės</w:t>
      </w:r>
    </w:p>
    <w:p w14:paraId="2674B239" w14:textId="77777777" w:rsidR="00464860" w:rsidRPr="003F6BC7" w:rsidRDefault="00464860" w:rsidP="00151B1E">
      <w:pPr>
        <w:keepNext/>
        <w:rPr>
          <w:lang w:val="lt-LT"/>
        </w:rPr>
      </w:pPr>
    </w:p>
    <w:p w14:paraId="65E5F2D2" w14:textId="77777777" w:rsidR="00C364D1" w:rsidRPr="003F6BC7" w:rsidRDefault="00C364D1" w:rsidP="00151B1E">
      <w:pPr>
        <w:keepNext/>
        <w:adjustRightInd w:val="0"/>
        <w:rPr>
          <w:color w:val="000000"/>
          <w:u w:val="single"/>
          <w:lang w:val="lt-LT" w:eastAsia="sl-SI"/>
        </w:rPr>
      </w:pPr>
      <w:r w:rsidRPr="003F6BC7">
        <w:rPr>
          <w:color w:val="000000"/>
          <w:u w:val="single"/>
          <w:lang w:val="lt-LT" w:eastAsia="sl-SI"/>
        </w:rPr>
        <w:t>Absorbcija ir biologinis prieinamumas</w:t>
      </w:r>
    </w:p>
    <w:p w14:paraId="41A15262" w14:textId="2DC504C6" w:rsidR="00C364D1" w:rsidRPr="003F6BC7" w:rsidRDefault="00C364D1" w:rsidP="00C364D1">
      <w:pPr>
        <w:adjustRightInd w:val="0"/>
        <w:rPr>
          <w:color w:val="000000"/>
          <w:lang w:val="lt-LT" w:eastAsia="sl-SI"/>
        </w:rPr>
      </w:pPr>
      <w:r w:rsidRPr="003F6BC7">
        <w:rPr>
          <w:color w:val="000000"/>
          <w:lang w:val="lt-LT" w:eastAsia="sl-SI"/>
        </w:rPr>
        <w:t xml:space="preserve">Per burną pavartotas </w:t>
      </w:r>
      <w:proofErr w:type="spellStart"/>
      <w:r w:rsidRPr="003F6BC7">
        <w:rPr>
          <w:color w:val="000000"/>
          <w:lang w:val="lt-LT" w:eastAsia="sl-SI"/>
        </w:rPr>
        <w:t>agomelatinas</w:t>
      </w:r>
      <w:proofErr w:type="spellEnd"/>
      <w:r w:rsidRPr="003F6BC7">
        <w:rPr>
          <w:color w:val="000000"/>
          <w:lang w:val="lt-LT" w:eastAsia="sl-SI"/>
        </w:rPr>
        <w:t xml:space="preserve"> absorbuojamas greitai ir gerai (≥</w:t>
      </w:r>
      <w:r w:rsidR="001E7898">
        <w:rPr>
          <w:color w:val="000000"/>
          <w:lang w:val="lt-LT" w:eastAsia="sl-SI"/>
        </w:rPr>
        <w:t> </w:t>
      </w:r>
      <w:r w:rsidRPr="003F6BC7">
        <w:rPr>
          <w:color w:val="000000"/>
          <w:lang w:val="lt-LT" w:eastAsia="sl-SI"/>
        </w:rPr>
        <w:t>80%). Absoliutus biologinis prieinamumas yra mažas (&lt;</w:t>
      </w:r>
      <w:r w:rsidR="001E7898">
        <w:rPr>
          <w:color w:val="000000"/>
          <w:lang w:val="lt-LT" w:eastAsia="sl-SI"/>
        </w:rPr>
        <w:t> </w:t>
      </w:r>
      <w:r w:rsidRPr="003F6BC7">
        <w:rPr>
          <w:color w:val="000000"/>
          <w:lang w:val="lt-LT" w:eastAsia="sl-SI"/>
        </w:rPr>
        <w:t>5% per burną vartojamos terapinės dozės) ir skirtingų žmonių organizme reikšmingai skiriasi. Biologinis prieinamumas moterims, palyginti su vyrais, yra didesnis. Biologinį prieinamumą didina geriamieji kontraceptikai ir mažina rūkymas. Didžiausia koncentracija kraujo plazmoje atsiranda per 1</w:t>
      </w:r>
      <w:r w:rsidR="00B810F5" w:rsidRPr="003F6BC7">
        <w:rPr>
          <w:color w:val="000000"/>
          <w:lang w:val="lt-LT" w:eastAsia="sl-SI"/>
        </w:rPr>
        <w:t>-</w:t>
      </w:r>
      <w:r w:rsidRPr="003F6BC7">
        <w:rPr>
          <w:color w:val="000000"/>
          <w:lang w:val="lt-LT" w:eastAsia="sl-SI"/>
        </w:rPr>
        <w:t>2</w:t>
      </w:r>
      <w:r w:rsidR="001E7898">
        <w:rPr>
          <w:color w:val="000000"/>
          <w:lang w:val="lt-LT" w:eastAsia="sl-SI"/>
        </w:rPr>
        <w:t xml:space="preserve"> </w:t>
      </w:r>
      <w:r w:rsidRPr="003F6BC7">
        <w:rPr>
          <w:color w:val="000000"/>
          <w:lang w:val="lt-LT" w:eastAsia="sl-SI"/>
        </w:rPr>
        <w:t>valandas.</w:t>
      </w:r>
    </w:p>
    <w:p w14:paraId="64E24940" w14:textId="77777777" w:rsidR="00C364D1" w:rsidRPr="003F6BC7" w:rsidRDefault="00C364D1" w:rsidP="00C364D1">
      <w:pPr>
        <w:adjustRightInd w:val="0"/>
        <w:rPr>
          <w:color w:val="000000"/>
          <w:lang w:val="lt-LT" w:eastAsia="sl-SI"/>
        </w:rPr>
      </w:pPr>
    </w:p>
    <w:p w14:paraId="5820F94F" w14:textId="77777777" w:rsidR="00C364D1" w:rsidRPr="003F6BC7" w:rsidRDefault="00C364D1" w:rsidP="00C364D1">
      <w:pPr>
        <w:adjustRightInd w:val="0"/>
        <w:rPr>
          <w:color w:val="000000"/>
          <w:lang w:val="lt-LT" w:eastAsia="sl-SI"/>
        </w:rPr>
      </w:pPr>
      <w:r w:rsidRPr="003F6BC7">
        <w:rPr>
          <w:color w:val="000000"/>
          <w:lang w:val="lt-LT" w:eastAsia="sl-SI"/>
        </w:rPr>
        <w:t xml:space="preserve">Vartojant terapines dozes, sisteminė </w:t>
      </w:r>
      <w:proofErr w:type="spellStart"/>
      <w:r w:rsidRPr="003F6BC7">
        <w:rPr>
          <w:color w:val="000000"/>
          <w:lang w:val="lt-LT" w:eastAsia="sl-SI"/>
        </w:rPr>
        <w:t>agomelatino</w:t>
      </w:r>
      <w:proofErr w:type="spellEnd"/>
      <w:r w:rsidRPr="003F6BC7">
        <w:rPr>
          <w:color w:val="000000"/>
          <w:lang w:val="lt-LT" w:eastAsia="sl-SI"/>
        </w:rPr>
        <w:t xml:space="preserve"> ekspozicija didėja proporcingai dozei. Vartojant didesnes dozes, pasireiškia metabolizmo prieš patenkant į sisteminę kraujotaką įsotinimo efektas.</w:t>
      </w:r>
    </w:p>
    <w:p w14:paraId="04093C78" w14:textId="7A54FCC3" w:rsidR="00C364D1" w:rsidRPr="003F6BC7" w:rsidRDefault="00C364D1" w:rsidP="00C364D1">
      <w:pPr>
        <w:adjustRightInd w:val="0"/>
        <w:rPr>
          <w:color w:val="000000"/>
          <w:lang w:val="lt-LT" w:eastAsia="sl-SI"/>
        </w:rPr>
      </w:pPr>
      <w:r w:rsidRPr="003F6BC7">
        <w:rPr>
          <w:color w:val="000000"/>
          <w:lang w:val="lt-LT" w:eastAsia="sl-SI"/>
        </w:rPr>
        <w:t xml:space="preserve">Maistas (įprastinis ar riebus) biologinio prieinamumo ir absorbcijos greičio nekeičia. Labai riebus maistas padidina </w:t>
      </w:r>
      <w:r w:rsidR="001E7898">
        <w:rPr>
          <w:color w:val="000000"/>
          <w:lang w:val="lt-LT" w:eastAsia="sl-SI"/>
        </w:rPr>
        <w:t>kintamumą</w:t>
      </w:r>
      <w:r w:rsidRPr="003F6BC7">
        <w:rPr>
          <w:color w:val="000000"/>
          <w:lang w:val="lt-LT" w:eastAsia="sl-SI"/>
        </w:rPr>
        <w:t>.</w:t>
      </w:r>
    </w:p>
    <w:p w14:paraId="7161893A" w14:textId="77777777" w:rsidR="00C364D1" w:rsidRPr="003F6BC7" w:rsidRDefault="00C364D1" w:rsidP="00C364D1">
      <w:pPr>
        <w:adjustRightInd w:val="0"/>
        <w:rPr>
          <w:color w:val="000000"/>
          <w:lang w:val="lt-LT" w:eastAsia="sl-SI"/>
        </w:rPr>
      </w:pPr>
    </w:p>
    <w:p w14:paraId="45DA7AC5" w14:textId="77777777" w:rsidR="00C364D1" w:rsidRPr="003F6BC7" w:rsidRDefault="00C364D1" w:rsidP="00C364D1">
      <w:pPr>
        <w:adjustRightInd w:val="0"/>
        <w:rPr>
          <w:color w:val="000000"/>
          <w:u w:val="single"/>
          <w:lang w:val="lt-LT" w:eastAsia="sl-SI"/>
        </w:rPr>
      </w:pPr>
      <w:r w:rsidRPr="003F6BC7">
        <w:rPr>
          <w:color w:val="000000"/>
          <w:u w:val="single"/>
          <w:lang w:val="lt-LT" w:eastAsia="sl-SI"/>
        </w:rPr>
        <w:t>Pasiskirstymas</w:t>
      </w:r>
    </w:p>
    <w:p w14:paraId="69A4A56A" w14:textId="2971C711" w:rsidR="00C364D1" w:rsidRPr="003F6BC7" w:rsidRDefault="00C364D1" w:rsidP="00C364D1">
      <w:pPr>
        <w:adjustRightInd w:val="0"/>
        <w:rPr>
          <w:color w:val="000000"/>
          <w:lang w:val="lt-LT" w:eastAsia="sl-SI"/>
        </w:rPr>
      </w:pPr>
      <w:r w:rsidRPr="003F6BC7">
        <w:rPr>
          <w:color w:val="000000"/>
          <w:lang w:val="lt-LT" w:eastAsia="sl-SI"/>
        </w:rPr>
        <w:t xml:space="preserve">Nusistovėjus </w:t>
      </w:r>
      <w:proofErr w:type="spellStart"/>
      <w:r w:rsidRPr="003F6BC7">
        <w:rPr>
          <w:color w:val="000000"/>
          <w:lang w:val="lt-LT" w:eastAsia="sl-SI"/>
        </w:rPr>
        <w:t>pusiausvyrinei</w:t>
      </w:r>
      <w:proofErr w:type="spellEnd"/>
      <w:r w:rsidRPr="003F6BC7">
        <w:rPr>
          <w:color w:val="000000"/>
          <w:lang w:val="lt-LT" w:eastAsia="sl-SI"/>
        </w:rPr>
        <w:t xml:space="preserve"> apykaitai, pasiskirstymo tūris yra maždaug 35</w:t>
      </w:r>
      <w:r w:rsidR="00227E03">
        <w:rPr>
          <w:color w:val="000000"/>
          <w:lang w:val="lt-LT" w:eastAsia="sl-SI"/>
        </w:rPr>
        <w:t> </w:t>
      </w:r>
      <w:r w:rsidRPr="003F6BC7">
        <w:rPr>
          <w:color w:val="000000"/>
          <w:lang w:val="lt-LT" w:eastAsia="sl-SI"/>
        </w:rPr>
        <w:t>l, prie kraujo plazmos baltymų prisijungia 95% veikliosios medžiagos (nepriklausomai nuo koncentracijos); pacientų amžius ir inkstų funkcijos sutrikimas poveikio tokiam prisijungimui nesukelia, tačiau jei yra kepenų funkcijos sutrikimas, laisva frakcija būna dvigubai didesnė.</w:t>
      </w:r>
    </w:p>
    <w:p w14:paraId="6C6AC925" w14:textId="77777777" w:rsidR="00C364D1" w:rsidRPr="003F6BC7" w:rsidRDefault="00C364D1" w:rsidP="00C364D1">
      <w:pPr>
        <w:adjustRightInd w:val="0"/>
        <w:rPr>
          <w:color w:val="000000"/>
          <w:lang w:val="lt-LT" w:eastAsia="sl-SI"/>
        </w:rPr>
      </w:pPr>
    </w:p>
    <w:p w14:paraId="57B37106" w14:textId="77777777" w:rsidR="00C364D1" w:rsidRPr="003F6BC7" w:rsidRDefault="00C364D1" w:rsidP="00C364D1">
      <w:pPr>
        <w:adjustRightInd w:val="0"/>
        <w:rPr>
          <w:color w:val="000000"/>
          <w:u w:val="single"/>
          <w:lang w:val="lt-LT" w:eastAsia="sl-SI"/>
        </w:rPr>
      </w:pPr>
      <w:proofErr w:type="spellStart"/>
      <w:r w:rsidRPr="003F6BC7">
        <w:rPr>
          <w:color w:val="000000"/>
          <w:u w:val="single"/>
          <w:lang w:val="lt-LT" w:eastAsia="sl-SI"/>
        </w:rPr>
        <w:t>Biotransformacija</w:t>
      </w:r>
      <w:proofErr w:type="spellEnd"/>
    </w:p>
    <w:p w14:paraId="1A03D244" w14:textId="77777777" w:rsidR="00C364D1" w:rsidRPr="003F6BC7" w:rsidRDefault="00C364D1" w:rsidP="00C364D1">
      <w:pPr>
        <w:rPr>
          <w:lang w:val="lt-LT"/>
        </w:rPr>
      </w:pPr>
      <w:r w:rsidRPr="003F6BC7">
        <w:rPr>
          <w:lang w:val="lt-LT" w:eastAsia="lt-LT"/>
        </w:rPr>
        <w:t xml:space="preserve">Išgertas </w:t>
      </w:r>
      <w:proofErr w:type="spellStart"/>
      <w:r w:rsidRPr="003F6BC7">
        <w:rPr>
          <w:lang w:val="lt-LT" w:eastAsia="lt-LT"/>
        </w:rPr>
        <w:t>agomelatinas</w:t>
      </w:r>
      <w:proofErr w:type="spellEnd"/>
      <w:r w:rsidRPr="003F6BC7">
        <w:rPr>
          <w:lang w:val="lt-LT" w:eastAsia="lt-LT"/>
        </w:rPr>
        <w:t xml:space="preserve"> greitai </w:t>
      </w:r>
      <w:proofErr w:type="spellStart"/>
      <w:r w:rsidRPr="003F6BC7">
        <w:rPr>
          <w:lang w:val="lt-LT" w:eastAsia="lt-LT"/>
        </w:rPr>
        <w:t>metabolizuojamas</w:t>
      </w:r>
      <w:proofErr w:type="spellEnd"/>
      <w:r w:rsidRPr="003F6BC7">
        <w:rPr>
          <w:lang w:val="lt-LT" w:eastAsia="lt-LT"/>
        </w:rPr>
        <w:t xml:space="preserve"> daugiausia kepenų CYP1A2 </w:t>
      </w:r>
      <w:proofErr w:type="spellStart"/>
      <w:r w:rsidRPr="003F6BC7">
        <w:rPr>
          <w:lang w:val="lt-LT" w:eastAsia="lt-LT"/>
        </w:rPr>
        <w:t>izofermentų</w:t>
      </w:r>
      <w:proofErr w:type="spellEnd"/>
      <w:r w:rsidRPr="003F6BC7">
        <w:rPr>
          <w:lang w:val="lt-LT" w:eastAsia="lt-LT"/>
        </w:rPr>
        <w:t xml:space="preserve">. CYP2C9 ir CYP2C19 </w:t>
      </w:r>
      <w:proofErr w:type="spellStart"/>
      <w:r w:rsidRPr="003F6BC7">
        <w:rPr>
          <w:lang w:val="lt-LT" w:eastAsia="lt-LT"/>
        </w:rPr>
        <w:t>izofermentai</w:t>
      </w:r>
      <w:proofErr w:type="spellEnd"/>
      <w:r w:rsidRPr="003F6BC7">
        <w:rPr>
          <w:lang w:val="lt-LT" w:eastAsia="lt-LT"/>
        </w:rPr>
        <w:t xml:space="preserve"> taip pat dalyvauja šiame procese, bet jų įtaka yra mažesnė.</w:t>
      </w:r>
    </w:p>
    <w:p w14:paraId="1FA64170" w14:textId="77777777" w:rsidR="00C364D1" w:rsidRPr="003F6BC7" w:rsidRDefault="00C364D1" w:rsidP="00C364D1">
      <w:pPr>
        <w:rPr>
          <w:lang w:val="lt-LT"/>
        </w:rPr>
      </w:pPr>
      <w:r w:rsidRPr="003F6BC7">
        <w:rPr>
          <w:lang w:val="lt-LT"/>
        </w:rPr>
        <w:t xml:space="preserve">Svarbiausi metabolitai </w:t>
      </w:r>
      <w:proofErr w:type="spellStart"/>
      <w:r w:rsidRPr="003F6BC7">
        <w:rPr>
          <w:lang w:val="lt-LT"/>
        </w:rPr>
        <w:t>hidroksilintas</w:t>
      </w:r>
      <w:proofErr w:type="spellEnd"/>
      <w:r w:rsidRPr="003F6BC7">
        <w:rPr>
          <w:lang w:val="lt-LT"/>
        </w:rPr>
        <w:t xml:space="preserve"> ir </w:t>
      </w:r>
      <w:proofErr w:type="spellStart"/>
      <w:r w:rsidRPr="003F6BC7">
        <w:rPr>
          <w:lang w:val="lt-LT"/>
        </w:rPr>
        <w:t>demetilintas</w:t>
      </w:r>
      <w:proofErr w:type="spellEnd"/>
      <w:r w:rsidRPr="003F6BC7">
        <w:rPr>
          <w:lang w:val="lt-LT"/>
        </w:rPr>
        <w:t xml:space="preserve"> </w:t>
      </w:r>
      <w:proofErr w:type="spellStart"/>
      <w:r w:rsidRPr="003F6BC7">
        <w:rPr>
          <w:lang w:val="lt-LT"/>
        </w:rPr>
        <w:t>agomelatinas</w:t>
      </w:r>
      <w:proofErr w:type="spellEnd"/>
      <w:r w:rsidRPr="003F6BC7">
        <w:rPr>
          <w:lang w:val="lt-LT"/>
        </w:rPr>
        <w:t xml:space="preserve"> yra neaktyvūs, jie greitai </w:t>
      </w:r>
      <w:proofErr w:type="spellStart"/>
      <w:r w:rsidRPr="003F6BC7">
        <w:rPr>
          <w:lang w:val="lt-LT"/>
        </w:rPr>
        <w:t>konjuguojami</w:t>
      </w:r>
      <w:proofErr w:type="spellEnd"/>
      <w:r w:rsidRPr="003F6BC7">
        <w:rPr>
          <w:lang w:val="lt-LT"/>
        </w:rPr>
        <w:t xml:space="preserve"> ir pašalinami su šlapimu.</w:t>
      </w:r>
    </w:p>
    <w:p w14:paraId="48292B25" w14:textId="77777777" w:rsidR="00C364D1" w:rsidRPr="003F6BC7" w:rsidRDefault="00C364D1" w:rsidP="00C364D1">
      <w:pPr>
        <w:rPr>
          <w:lang w:val="lt-LT"/>
        </w:rPr>
      </w:pPr>
    </w:p>
    <w:p w14:paraId="6E6912E4" w14:textId="77777777" w:rsidR="00C364D1" w:rsidRPr="003F6BC7" w:rsidRDefault="00C364D1" w:rsidP="00C364D1">
      <w:pPr>
        <w:rPr>
          <w:u w:val="single"/>
          <w:lang w:val="lt-LT"/>
        </w:rPr>
      </w:pPr>
      <w:r w:rsidRPr="003F6BC7">
        <w:rPr>
          <w:u w:val="single"/>
          <w:lang w:val="lt-LT"/>
        </w:rPr>
        <w:t>Eliminacija</w:t>
      </w:r>
    </w:p>
    <w:p w14:paraId="5006969C" w14:textId="3A494C4D" w:rsidR="00C364D1" w:rsidRPr="003F6BC7" w:rsidRDefault="00C364D1" w:rsidP="00C364D1">
      <w:pPr>
        <w:rPr>
          <w:lang w:val="lt-LT"/>
        </w:rPr>
      </w:pPr>
      <w:r w:rsidRPr="003F6BC7">
        <w:rPr>
          <w:lang w:val="lt-LT"/>
        </w:rPr>
        <w:t>Eliminacija vyksta greitai, vidutinis pusinės eliminacijos iš kraujo plazmos laikas yra 1</w:t>
      </w:r>
      <w:r w:rsidRPr="003F6BC7">
        <w:rPr>
          <w:lang w:val="lt-LT"/>
        </w:rPr>
        <w:noBreakHyphen/>
        <w:t>2</w:t>
      </w:r>
      <w:r w:rsidR="00227E03">
        <w:rPr>
          <w:lang w:val="lt-LT"/>
        </w:rPr>
        <w:t> </w:t>
      </w:r>
      <w:r w:rsidRPr="003F6BC7">
        <w:rPr>
          <w:lang w:val="lt-LT"/>
        </w:rPr>
        <w:t>valandos, o klirensas yra didelis (maždaug 1100</w:t>
      </w:r>
      <w:r w:rsidR="00227E03">
        <w:rPr>
          <w:lang w:val="lt-LT"/>
        </w:rPr>
        <w:t> </w:t>
      </w:r>
      <w:r w:rsidRPr="003F6BC7">
        <w:rPr>
          <w:lang w:val="lt-LT"/>
        </w:rPr>
        <w:t>ml/min.) ir jį iš esmės lemia metabolizmas.</w:t>
      </w:r>
    </w:p>
    <w:p w14:paraId="27CCBA29" w14:textId="2900F613" w:rsidR="00C364D1" w:rsidRPr="003F6BC7" w:rsidRDefault="001E7898" w:rsidP="00C364D1">
      <w:pPr>
        <w:rPr>
          <w:lang w:val="lt-LT"/>
        </w:rPr>
      </w:pPr>
      <w:r>
        <w:rPr>
          <w:lang w:val="lt-LT"/>
        </w:rPr>
        <w:t>Šalinimas</w:t>
      </w:r>
      <w:r w:rsidRPr="003F6BC7">
        <w:rPr>
          <w:lang w:val="lt-LT"/>
        </w:rPr>
        <w:t xml:space="preserve"> </w:t>
      </w:r>
      <w:r w:rsidR="00C364D1" w:rsidRPr="003F6BC7">
        <w:rPr>
          <w:lang w:val="lt-LT"/>
        </w:rPr>
        <w:t>daugiausia (80%) vyksta su šlapimu metabolitų pavidalu, nepakitusios medžiagos kiekis šlapime yra nereikšmingas.</w:t>
      </w:r>
    </w:p>
    <w:p w14:paraId="740E886A" w14:textId="77777777" w:rsidR="00C364D1" w:rsidRPr="003F6BC7" w:rsidRDefault="00C364D1" w:rsidP="00C364D1">
      <w:pPr>
        <w:rPr>
          <w:lang w:val="lt-LT"/>
        </w:rPr>
      </w:pPr>
      <w:r w:rsidRPr="003F6BC7">
        <w:rPr>
          <w:lang w:val="lt-LT"/>
        </w:rPr>
        <w:t>Vartojant kartotines dozes, kinetika nekinta.</w:t>
      </w:r>
    </w:p>
    <w:p w14:paraId="6C943C52" w14:textId="77777777" w:rsidR="00C364D1" w:rsidRPr="003F6BC7" w:rsidRDefault="00C364D1" w:rsidP="00C364D1">
      <w:pPr>
        <w:rPr>
          <w:lang w:val="lt-LT"/>
        </w:rPr>
      </w:pPr>
    </w:p>
    <w:p w14:paraId="0DDB12B3" w14:textId="77777777" w:rsidR="00C364D1" w:rsidRPr="003F6BC7" w:rsidRDefault="00C364D1" w:rsidP="00C364D1">
      <w:pPr>
        <w:rPr>
          <w:u w:val="single"/>
          <w:lang w:val="lt-LT"/>
        </w:rPr>
      </w:pPr>
      <w:r w:rsidRPr="003F6BC7">
        <w:rPr>
          <w:u w:val="single"/>
          <w:lang w:val="lt-LT"/>
        </w:rPr>
        <w:t>Sutrikusi inkstų funkcija</w:t>
      </w:r>
    </w:p>
    <w:p w14:paraId="286908B6" w14:textId="30E83167" w:rsidR="00C364D1" w:rsidRPr="003F6BC7" w:rsidRDefault="00C364D1" w:rsidP="00C364D1">
      <w:pPr>
        <w:rPr>
          <w:lang w:val="lt-LT"/>
        </w:rPr>
      </w:pPr>
      <w:r w:rsidRPr="003F6BC7">
        <w:rPr>
          <w:lang w:val="lt-LT"/>
        </w:rPr>
        <w:t>Pacientams, kuriems yra sunkus inkstų funkcijos sutrikimas, nepastebėta jokių svarbių farmakokinetikos parametrų pokyčių (n=8, vienkartinė 25</w:t>
      </w:r>
      <w:r w:rsidR="00227E03">
        <w:rPr>
          <w:lang w:val="lt-LT"/>
        </w:rPr>
        <w:t> </w:t>
      </w:r>
      <w:r w:rsidRPr="003F6BC7">
        <w:rPr>
          <w:lang w:val="lt-LT"/>
        </w:rPr>
        <w:t xml:space="preserve">mg dozė), tačiau pacientus, kuriems yra vidutinio sunkumo ar sunkus inkstų funkcijos sutrikimas, </w:t>
      </w:r>
      <w:proofErr w:type="spellStart"/>
      <w:r w:rsidRPr="003F6BC7">
        <w:rPr>
          <w:lang w:val="lt-LT"/>
        </w:rPr>
        <w:t>agomelatino</w:t>
      </w:r>
      <w:proofErr w:type="spellEnd"/>
      <w:r w:rsidRPr="003F6BC7">
        <w:rPr>
          <w:lang w:val="lt-LT"/>
        </w:rPr>
        <w:t xml:space="preserve"> būtina </w:t>
      </w:r>
      <w:r w:rsidR="001E7898" w:rsidRPr="003F6BC7">
        <w:rPr>
          <w:lang w:val="lt-LT"/>
        </w:rPr>
        <w:t xml:space="preserve">atsargiai </w:t>
      </w:r>
      <w:r w:rsidRPr="003F6BC7">
        <w:rPr>
          <w:lang w:val="lt-LT"/>
        </w:rPr>
        <w:t>skirti vartoti, nes klinikinių duomenų apie tokių pacientų gydymą yra nedaug (žr. 4.2 skyrių).</w:t>
      </w:r>
    </w:p>
    <w:p w14:paraId="608003FC" w14:textId="77777777" w:rsidR="00C364D1" w:rsidRPr="003F6BC7" w:rsidRDefault="00C364D1" w:rsidP="00C364D1">
      <w:pPr>
        <w:rPr>
          <w:lang w:val="lt-LT"/>
        </w:rPr>
      </w:pPr>
    </w:p>
    <w:p w14:paraId="2A25BA88" w14:textId="77777777" w:rsidR="00C364D1" w:rsidRPr="003F6BC7" w:rsidRDefault="00C364D1" w:rsidP="00C364D1">
      <w:pPr>
        <w:rPr>
          <w:u w:val="single"/>
          <w:lang w:val="lt-LT"/>
        </w:rPr>
      </w:pPr>
      <w:r w:rsidRPr="003F6BC7">
        <w:rPr>
          <w:u w:val="single"/>
          <w:lang w:val="lt-LT"/>
        </w:rPr>
        <w:t>Sutrikusi kepenų funkcija</w:t>
      </w:r>
    </w:p>
    <w:p w14:paraId="0471C109" w14:textId="56BC004D" w:rsidR="00C364D1" w:rsidRPr="003F6BC7" w:rsidRDefault="00C364D1" w:rsidP="00C364D1">
      <w:pPr>
        <w:rPr>
          <w:lang w:val="lt-LT"/>
        </w:rPr>
      </w:pPr>
      <w:r w:rsidRPr="003F6BC7">
        <w:rPr>
          <w:lang w:val="lt-LT"/>
        </w:rPr>
        <w:t xml:space="preserve">Specifinio tyrimo, kuriame dalyvavusiems kepenų ciroze sergantiems pacientams buvo lengvas (A tipo pagal </w:t>
      </w:r>
      <w:proofErr w:type="spellStart"/>
      <w:r w:rsidRPr="003F6BC7">
        <w:rPr>
          <w:i/>
          <w:lang w:val="lt-LT"/>
        </w:rPr>
        <w:t>Child-Pugh</w:t>
      </w:r>
      <w:proofErr w:type="spellEnd"/>
      <w:r w:rsidRPr="003F6BC7">
        <w:rPr>
          <w:lang w:val="lt-LT"/>
        </w:rPr>
        <w:t xml:space="preserve"> klasifikaciją) ar vidutinio sunkumo (B tipo pagal </w:t>
      </w:r>
      <w:proofErr w:type="spellStart"/>
      <w:r w:rsidRPr="003F6BC7">
        <w:rPr>
          <w:i/>
          <w:lang w:val="lt-LT"/>
        </w:rPr>
        <w:t>Child-Pugh</w:t>
      </w:r>
      <w:proofErr w:type="spellEnd"/>
      <w:r w:rsidRPr="003F6BC7">
        <w:rPr>
          <w:lang w:val="lt-LT"/>
        </w:rPr>
        <w:t xml:space="preserve"> klasifikaciją) kepenų funkcijos sutrikimas, metu 25 mg </w:t>
      </w:r>
      <w:proofErr w:type="spellStart"/>
      <w:r w:rsidRPr="003F6BC7">
        <w:rPr>
          <w:lang w:val="lt-LT"/>
        </w:rPr>
        <w:t>agomelatino</w:t>
      </w:r>
      <w:proofErr w:type="spellEnd"/>
      <w:r w:rsidRPr="003F6BC7">
        <w:rPr>
          <w:lang w:val="lt-LT"/>
        </w:rPr>
        <w:t xml:space="preserve"> dozės ekspozicija gerokai padidėjo (atitinkamai 70 ir 140</w:t>
      </w:r>
      <w:r w:rsidR="00227E03">
        <w:rPr>
          <w:lang w:val="lt-LT"/>
        </w:rPr>
        <w:t> </w:t>
      </w:r>
      <w:r w:rsidRPr="003F6BC7">
        <w:rPr>
          <w:lang w:val="lt-LT"/>
        </w:rPr>
        <w:t>kartų), palyginti su savanoriais, kurie nesirgo kepenų nepakankamumu ir kurių amžius, kūno svoris bei rūkymo įpročiai buvo panašūs (žr. 4.2, 4.3 ir 4.4 skyrius).</w:t>
      </w:r>
    </w:p>
    <w:p w14:paraId="1B0730A4" w14:textId="77777777" w:rsidR="00C364D1" w:rsidRPr="003F6BC7" w:rsidRDefault="00C364D1" w:rsidP="00C364D1">
      <w:pPr>
        <w:rPr>
          <w:lang w:val="lt-LT"/>
        </w:rPr>
      </w:pPr>
    </w:p>
    <w:p w14:paraId="7DE1CA28" w14:textId="77777777" w:rsidR="00C364D1" w:rsidRPr="003F6BC7" w:rsidRDefault="00C364D1" w:rsidP="00C364D1">
      <w:pPr>
        <w:rPr>
          <w:u w:val="single"/>
          <w:lang w:val="lt-LT"/>
        </w:rPr>
      </w:pPr>
      <w:r w:rsidRPr="003F6BC7">
        <w:rPr>
          <w:u w:val="single"/>
          <w:lang w:val="lt-LT"/>
        </w:rPr>
        <w:t>Senyvi pacientai</w:t>
      </w:r>
    </w:p>
    <w:p w14:paraId="5A1564C7" w14:textId="0C5C488A" w:rsidR="00C364D1" w:rsidRPr="003F6BC7" w:rsidRDefault="00C364D1" w:rsidP="00C364D1">
      <w:pPr>
        <w:rPr>
          <w:lang w:val="lt-LT"/>
        </w:rPr>
      </w:pPr>
      <w:r w:rsidRPr="003F6BC7">
        <w:rPr>
          <w:lang w:val="lt-LT"/>
        </w:rPr>
        <w:t>Farmakokinetikos tyrimo, kuriame dalyvavo senyvi (≥ 65 metų) pacientai, metu nustatyta, kad po 25</w:t>
      </w:r>
      <w:r w:rsidR="00227E03">
        <w:rPr>
          <w:lang w:val="lt-LT"/>
        </w:rPr>
        <w:t> </w:t>
      </w:r>
      <w:r w:rsidRPr="003F6BC7">
        <w:rPr>
          <w:lang w:val="lt-LT"/>
        </w:rPr>
        <w:t xml:space="preserve">mg </w:t>
      </w:r>
      <w:proofErr w:type="spellStart"/>
      <w:r w:rsidRPr="003F6BC7">
        <w:rPr>
          <w:lang w:val="lt-LT"/>
        </w:rPr>
        <w:t>agomelatino</w:t>
      </w:r>
      <w:proofErr w:type="spellEnd"/>
      <w:r w:rsidRPr="003F6BC7">
        <w:rPr>
          <w:lang w:val="lt-LT"/>
        </w:rPr>
        <w:t xml:space="preserve"> dozės pavartojimo ≥</w:t>
      </w:r>
      <w:r w:rsidR="00227E03">
        <w:rPr>
          <w:lang w:val="lt-LT"/>
        </w:rPr>
        <w:t> </w:t>
      </w:r>
      <w:r w:rsidRPr="003F6BC7">
        <w:rPr>
          <w:lang w:val="lt-LT"/>
        </w:rPr>
        <w:t>75</w:t>
      </w:r>
      <w:r w:rsidR="00465AD8">
        <w:rPr>
          <w:lang w:val="lt-LT"/>
        </w:rPr>
        <w:t xml:space="preserve"> </w:t>
      </w:r>
      <w:r w:rsidRPr="003F6BC7">
        <w:rPr>
          <w:lang w:val="lt-LT"/>
        </w:rPr>
        <w:t xml:space="preserve">metų pacientams vidutiniai AUC ir </w:t>
      </w:r>
      <w:proofErr w:type="spellStart"/>
      <w:r w:rsidRPr="003F6BC7">
        <w:rPr>
          <w:lang w:val="lt-LT"/>
        </w:rPr>
        <w:t>C</w:t>
      </w:r>
      <w:r w:rsidRPr="003F6BC7">
        <w:rPr>
          <w:vertAlign w:val="subscript"/>
          <w:lang w:val="lt-LT"/>
        </w:rPr>
        <w:t>max</w:t>
      </w:r>
      <w:proofErr w:type="spellEnd"/>
      <w:r w:rsidRPr="003F6BC7">
        <w:rPr>
          <w:vertAlign w:val="subscript"/>
          <w:lang w:val="lt-LT"/>
        </w:rPr>
        <w:t xml:space="preserve"> </w:t>
      </w:r>
      <w:r w:rsidRPr="003F6BC7">
        <w:rPr>
          <w:lang w:val="lt-LT"/>
        </w:rPr>
        <w:t>buvo maždaug 4</w:t>
      </w:r>
      <w:r w:rsidR="00227E03">
        <w:rPr>
          <w:lang w:val="lt-LT"/>
        </w:rPr>
        <w:t> </w:t>
      </w:r>
      <w:r w:rsidRPr="003F6BC7">
        <w:rPr>
          <w:lang w:val="lt-LT"/>
        </w:rPr>
        <w:t>kartus ir 13</w:t>
      </w:r>
      <w:r w:rsidR="00227E03">
        <w:rPr>
          <w:lang w:val="lt-LT"/>
        </w:rPr>
        <w:t> </w:t>
      </w:r>
      <w:r w:rsidRPr="003F6BC7">
        <w:rPr>
          <w:lang w:val="lt-LT"/>
        </w:rPr>
        <w:t>kartų didesni, palyginus su &lt;</w:t>
      </w:r>
      <w:r w:rsidR="00227E03">
        <w:rPr>
          <w:lang w:val="lt-LT"/>
        </w:rPr>
        <w:t> </w:t>
      </w:r>
      <w:r w:rsidRPr="003F6BC7">
        <w:rPr>
          <w:lang w:val="lt-LT"/>
        </w:rPr>
        <w:t>75</w:t>
      </w:r>
      <w:r w:rsidR="00465AD8">
        <w:rPr>
          <w:lang w:val="lt-LT"/>
        </w:rPr>
        <w:t xml:space="preserve"> </w:t>
      </w:r>
      <w:r w:rsidRPr="003F6BC7">
        <w:rPr>
          <w:lang w:val="lt-LT"/>
        </w:rPr>
        <w:t>metų pacientais. Bendras pacientų, vartojusių 50</w:t>
      </w:r>
      <w:r w:rsidR="00227E03">
        <w:rPr>
          <w:lang w:val="lt-LT"/>
        </w:rPr>
        <w:t> </w:t>
      </w:r>
      <w:r w:rsidRPr="003F6BC7">
        <w:rPr>
          <w:lang w:val="lt-LT"/>
        </w:rPr>
        <w:t>mg dozę, skaičius buvo per mažas, kad būtų galima daryti kokias nors išvadas. Senyviems pacientams dozės koreguoti nereikia.</w:t>
      </w:r>
    </w:p>
    <w:p w14:paraId="01C81710" w14:textId="7E61E8AB" w:rsidR="00C364D1" w:rsidRDefault="00C364D1" w:rsidP="00C364D1">
      <w:pPr>
        <w:rPr>
          <w:lang w:val="lt-LT"/>
        </w:rPr>
      </w:pPr>
    </w:p>
    <w:p w14:paraId="12225F9A" w14:textId="77777777" w:rsidR="003F136B" w:rsidRPr="00151B1E" w:rsidRDefault="003F136B" w:rsidP="003F136B">
      <w:pPr>
        <w:rPr>
          <w:u w:val="single"/>
          <w:lang w:val="lt-LT"/>
        </w:rPr>
      </w:pPr>
      <w:r w:rsidRPr="00151B1E">
        <w:rPr>
          <w:u w:val="single"/>
          <w:lang w:val="lt-LT"/>
        </w:rPr>
        <w:t>Vaikų populiacija</w:t>
      </w:r>
    </w:p>
    <w:p w14:paraId="0D27F224" w14:textId="3085C892" w:rsidR="003F136B" w:rsidRDefault="003F136B" w:rsidP="003F136B">
      <w:pPr>
        <w:rPr>
          <w:lang w:val="lt-LT"/>
        </w:rPr>
      </w:pPr>
      <w:proofErr w:type="spellStart"/>
      <w:r w:rsidRPr="003F136B">
        <w:rPr>
          <w:lang w:val="lt-LT"/>
        </w:rPr>
        <w:t>Agomelatino</w:t>
      </w:r>
      <w:proofErr w:type="spellEnd"/>
      <w:r w:rsidRPr="003F136B">
        <w:rPr>
          <w:lang w:val="lt-LT"/>
        </w:rPr>
        <w:t xml:space="preserve"> </w:t>
      </w:r>
      <w:proofErr w:type="spellStart"/>
      <w:r w:rsidRPr="003F136B">
        <w:rPr>
          <w:lang w:val="lt-LT"/>
        </w:rPr>
        <w:t>farmakokinetika</w:t>
      </w:r>
      <w:proofErr w:type="spellEnd"/>
      <w:r w:rsidRPr="003F136B">
        <w:rPr>
          <w:lang w:val="lt-LT"/>
        </w:rPr>
        <w:t xml:space="preserve"> buvo tiriama 60</w:t>
      </w:r>
      <w:r w:rsidR="00470342">
        <w:rPr>
          <w:lang w:val="lt-LT"/>
        </w:rPr>
        <w:t> </w:t>
      </w:r>
      <w:r w:rsidRPr="003F136B">
        <w:rPr>
          <w:lang w:val="lt-LT"/>
        </w:rPr>
        <w:t>vaikų ir 166</w:t>
      </w:r>
      <w:r w:rsidR="00470342">
        <w:rPr>
          <w:lang w:val="lt-LT"/>
        </w:rPr>
        <w:t> </w:t>
      </w:r>
      <w:r w:rsidRPr="003F136B">
        <w:rPr>
          <w:lang w:val="lt-LT"/>
        </w:rPr>
        <w:t>paaugliams, kuriems buvo skiriamos nuo</w:t>
      </w:r>
      <w:r w:rsidR="00470342">
        <w:rPr>
          <w:lang w:val="lt-LT"/>
        </w:rPr>
        <w:t xml:space="preserve"> </w:t>
      </w:r>
      <w:r w:rsidRPr="003F136B">
        <w:rPr>
          <w:lang w:val="lt-LT"/>
        </w:rPr>
        <w:t>1</w:t>
      </w:r>
      <w:r w:rsidR="00470342">
        <w:rPr>
          <w:lang w:val="lt-LT"/>
        </w:rPr>
        <w:t> </w:t>
      </w:r>
      <w:r w:rsidRPr="003F136B">
        <w:rPr>
          <w:lang w:val="lt-LT"/>
        </w:rPr>
        <w:t>mg iki 25</w:t>
      </w:r>
      <w:r w:rsidR="00470342">
        <w:rPr>
          <w:lang w:val="lt-LT"/>
        </w:rPr>
        <w:t> </w:t>
      </w:r>
      <w:r w:rsidRPr="003F136B">
        <w:rPr>
          <w:lang w:val="lt-LT"/>
        </w:rPr>
        <w:t>mg paros dozės. Dauguma duomenų gauti iš koncentracijos seilėse matavimų, o</w:t>
      </w:r>
      <w:r w:rsidR="00470342">
        <w:rPr>
          <w:lang w:val="lt-LT"/>
        </w:rPr>
        <w:t xml:space="preserve"> </w:t>
      </w:r>
      <w:proofErr w:type="spellStart"/>
      <w:r w:rsidRPr="003F136B">
        <w:rPr>
          <w:lang w:val="lt-LT"/>
        </w:rPr>
        <w:t>agomelatino</w:t>
      </w:r>
      <w:proofErr w:type="spellEnd"/>
      <w:r w:rsidRPr="003F136B">
        <w:rPr>
          <w:lang w:val="lt-LT"/>
        </w:rPr>
        <w:t xml:space="preserve"> ekspozicija kraujo plazmoje vaikų populiacijoje iš esmės nėra apibūdinta. Kaip ir</w:t>
      </w:r>
      <w:r w:rsidR="00470342">
        <w:rPr>
          <w:lang w:val="lt-LT"/>
        </w:rPr>
        <w:t xml:space="preserve"> </w:t>
      </w:r>
      <w:r w:rsidRPr="003F136B">
        <w:rPr>
          <w:lang w:val="lt-LT"/>
        </w:rPr>
        <w:lastRenderedPageBreak/>
        <w:t xml:space="preserve">suaugusiesiems, </w:t>
      </w:r>
      <w:proofErr w:type="spellStart"/>
      <w:r w:rsidRPr="003F136B">
        <w:rPr>
          <w:lang w:val="lt-LT"/>
        </w:rPr>
        <w:t>agomelatino</w:t>
      </w:r>
      <w:proofErr w:type="spellEnd"/>
      <w:r w:rsidRPr="003F136B">
        <w:rPr>
          <w:lang w:val="lt-LT"/>
        </w:rPr>
        <w:t xml:space="preserve"> </w:t>
      </w:r>
      <w:proofErr w:type="spellStart"/>
      <w:r w:rsidRPr="003F136B">
        <w:rPr>
          <w:lang w:val="lt-LT"/>
        </w:rPr>
        <w:t>farmakokinetika</w:t>
      </w:r>
      <w:proofErr w:type="spellEnd"/>
      <w:r w:rsidRPr="003F136B">
        <w:rPr>
          <w:lang w:val="lt-LT"/>
        </w:rPr>
        <w:t xml:space="preserve"> (FK) skirtingų asmenų organizme reikšmingai skiriasi.</w:t>
      </w:r>
      <w:r w:rsidR="00470342">
        <w:rPr>
          <w:lang w:val="lt-LT"/>
        </w:rPr>
        <w:t xml:space="preserve"> </w:t>
      </w:r>
      <w:r w:rsidRPr="003F136B">
        <w:rPr>
          <w:lang w:val="lt-LT"/>
        </w:rPr>
        <w:t>Turimi pediatriniai duomenys rodo reikšmingą ekspozicijos persidengimą palyginti su ekspozicija</w:t>
      </w:r>
      <w:r w:rsidR="00470342">
        <w:rPr>
          <w:lang w:val="lt-LT"/>
        </w:rPr>
        <w:t xml:space="preserve"> </w:t>
      </w:r>
      <w:r w:rsidRPr="003F136B">
        <w:rPr>
          <w:lang w:val="lt-LT"/>
        </w:rPr>
        <w:t>suaugusiųjų, kurie vartojo 25</w:t>
      </w:r>
      <w:r w:rsidR="00470342">
        <w:rPr>
          <w:lang w:val="lt-LT"/>
        </w:rPr>
        <w:t> </w:t>
      </w:r>
      <w:r w:rsidRPr="003F136B">
        <w:rPr>
          <w:lang w:val="lt-LT"/>
        </w:rPr>
        <w:t xml:space="preserve">mg </w:t>
      </w:r>
      <w:proofErr w:type="spellStart"/>
      <w:r w:rsidRPr="003F136B">
        <w:rPr>
          <w:lang w:val="lt-LT"/>
        </w:rPr>
        <w:t>agomelatino</w:t>
      </w:r>
      <w:proofErr w:type="spellEnd"/>
      <w:r w:rsidRPr="003F136B">
        <w:rPr>
          <w:lang w:val="lt-LT"/>
        </w:rPr>
        <w:t xml:space="preserve"> dozę, organizme.</w:t>
      </w:r>
    </w:p>
    <w:p w14:paraId="176C6534" w14:textId="77777777" w:rsidR="00470342" w:rsidRPr="003F6BC7" w:rsidRDefault="00470342" w:rsidP="003F136B">
      <w:pPr>
        <w:rPr>
          <w:lang w:val="lt-LT"/>
        </w:rPr>
      </w:pPr>
    </w:p>
    <w:p w14:paraId="74298272" w14:textId="77777777" w:rsidR="00C364D1" w:rsidRPr="003F6BC7" w:rsidRDefault="00C364D1" w:rsidP="00C364D1">
      <w:pPr>
        <w:rPr>
          <w:u w:val="single"/>
          <w:lang w:val="lt-LT"/>
        </w:rPr>
      </w:pPr>
      <w:r w:rsidRPr="003F6BC7">
        <w:rPr>
          <w:u w:val="single"/>
          <w:lang w:val="lt-LT"/>
        </w:rPr>
        <w:t>Etninės grupės</w:t>
      </w:r>
    </w:p>
    <w:p w14:paraId="777E541D" w14:textId="77777777" w:rsidR="00C364D1" w:rsidRPr="003F6BC7" w:rsidRDefault="00C364D1" w:rsidP="00C364D1">
      <w:pPr>
        <w:rPr>
          <w:lang w:val="lt-LT"/>
        </w:rPr>
      </w:pPr>
      <w:r w:rsidRPr="003F6BC7">
        <w:rPr>
          <w:lang w:val="lt-LT"/>
        </w:rPr>
        <w:t xml:space="preserve">Duomenų apie rasės įtaką </w:t>
      </w:r>
      <w:proofErr w:type="spellStart"/>
      <w:r w:rsidRPr="003F6BC7">
        <w:rPr>
          <w:lang w:val="lt-LT"/>
        </w:rPr>
        <w:t>agomelatino</w:t>
      </w:r>
      <w:proofErr w:type="spellEnd"/>
      <w:r w:rsidRPr="003F6BC7">
        <w:rPr>
          <w:lang w:val="lt-LT"/>
        </w:rPr>
        <w:t xml:space="preserve"> </w:t>
      </w:r>
      <w:proofErr w:type="spellStart"/>
      <w:r w:rsidRPr="003F6BC7">
        <w:rPr>
          <w:lang w:val="lt-LT"/>
        </w:rPr>
        <w:t>farmakokinetikai</w:t>
      </w:r>
      <w:proofErr w:type="spellEnd"/>
      <w:r w:rsidRPr="003F6BC7">
        <w:rPr>
          <w:lang w:val="lt-LT"/>
        </w:rPr>
        <w:t xml:space="preserve"> nėra.</w:t>
      </w:r>
    </w:p>
    <w:p w14:paraId="446DC150" w14:textId="77777777" w:rsidR="00C364D1" w:rsidRPr="003F6BC7" w:rsidRDefault="00C364D1" w:rsidP="00C364D1">
      <w:pPr>
        <w:rPr>
          <w:lang w:val="lt-LT"/>
        </w:rPr>
      </w:pPr>
    </w:p>
    <w:p w14:paraId="419DFFBE" w14:textId="77777777" w:rsidR="00C364D1" w:rsidRPr="003F6BC7" w:rsidRDefault="00C364D1" w:rsidP="00151B1E">
      <w:pPr>
        <w:keepNext/>
        <w:ind w:left="567" w:hanging="567"/>
        <w:rPr>
          <w:b/>
          <w:lang w:val="lt-LT"/>
        </w:rPr>
      </w:pPr>
      <w:r w:rsidRPr="003F6BC7">
        <w:rPr>
          <w:b/>
          <w:lang w:val="lt-LT"/>
        </w:rPr>
        <w:t>5.3</w:t>
      </w:r>
      <w:r w:rsidRPr="003F6BC7">
        <w:rPr>
          <w:b/>
          <w:lang w:val="lt-LT"/>
        </w:rPr>
        <w:tab/>
      </w:r>
      <w:proofErr w:type="spellStart"/>
      <w:r w:rsidRPr="003F6BC7">
        <w:rPr>
          <w:b/>
          <w:lang w:val="lt-LT"/>
        </w:rPr>
        <w:t>Ikiklinikinių</w:t>
      </w:r>
      <w:proofErr w:type="spellEnd"/>
      <w:r w:rsidRPr="003F6BC7">
        <w:rPr>
          <w:b/>
          <w:lang w:val="lt-LT"/>
        </w:rPr>
        <w:t xml:space="preserve"> saugumo tyrimų duomenys</w:t>
      </w:r>
    </w:p>
    <w:p w14:paraId="6568E228" w14:textId="77777777" w:rsidR="00C364D1" w:rsidRPr="003F6BC7" w:rsidRDefault="00C364D1" w:rsidP="00151B1E">
      <w:pPr>
        <w:keepNext/>
        <w:rPr>
          <w:lang w:val="lt-LT"/>
        </w:rPr>
      </w:pPr>
    </w:p>
    <w:p w14:paraId="03B8F2F9" w14:textId="77777777" w:rsidR="00C364D1" w:rsidRPr="003F6BC7" w:rsidRDefault="00C364D1" w:rsidP="00C364D1">
      <w:pPr>
        <w:rPr>
          <w:lang w:val="lt-LT"/>
        </w:rPr>
      </w:pPr>
      <w:r w:rsidRPr="003F6BC7">
        <w:rPr>
          <w:lang w:val="lt-LT"/>
        </w:rPr>
        <w:t>Po didelių vienkartinių ir kartotinių dozių pavartojimo pelėms, žiurkėms ir beždžionėms pasireiškė slopinamasis poveikis.</w:t>
      </w:r>
    </w:p>
    <w:p w14:paraId="694DF726" w14:textId="7B68F342" w:rsidR="00C364D1" w:rsidRPr="003F6BC7" w:rsidRDefault="00C364D1" w:rsidP="00C364D1">
      <w:pPr>
        <w:rPr>
          <w:lang w:val="lt-LT"/>
        </w:rPr>
      </w:pPr>
      <w:r w:rsidRPr="003F6BC7">
        <w:rPr>
          <w:lang w:val="lt-LT"/>
        </w:rPr>
        <w:t>Graužikams paros dozės nuo 125</w:t>
      </w:r>
      <w:r w:rsidR="00227E03">
        <w:rPr>
          <w:lang w:val="lt-LT"/>
        </w:rPr>
        <w:t> </w:t>
      </w:r>
      <w:r w:rsidRPr="003F6BC7">
        <w:rPr>
          <w:lang w:val="lt-LT"/>
        </w:rPr>
        <w:t xml:space="preserve">mg/kg kūno svorio sukėlė stiprią CYP2B ir vidutinio stiprumo </w:t>
      </w:r>
      <w:r w:rsidR="00F907C9" w:rsidRPr="003F6BC7">
        <w:rPr>
          <w:lang w:val="lt-LT"/>
        </w:rPr>
        <w:t xml:space="preserve">CYP1A ir </w:t>
      </w:r>
      <w:r w:rsidRPr="003F6BC7">
        <w:rPr>
          <w:lang w:val="lt-LT"/>
        </w:rPr>
        <w:t>CYP3A indukciją, o beždžionėms 375</w:t>
      </w:r>
      <w:r w:rsidR="00227E03">
        <w:rPr>
          <w:lang w:val="lt-LT"/>
        </w:rPr>
        <w:t> </w:t>
      </w:r>
      <w:r w:rsidRPr="003F6BC7">
        <w:rPr>
          <w:lang w:val="lt-LT"/>
        </w:rPr>
        <w:t>mg/kg kūno svorio paros dozė sukėlė nedidelę CYP2B ir CYP3A indukciją. Kartotinių dozių toksinio poveikio tyrimų su graužikais ir beždžionėmis metu toksinio poveikio kepenims nepastebėta.</w:t>
      </w:r>
    </w:p>
    <w:p w14:paraId="6F0F4B96" w14:textId="77777777" w:rsidR="00C364D1" w:rsidRPr="003F6BC7" w:rsidRDefault="00C364D1" w:rsidP="00C364D1">
      <w:pPr>
        <w:rPr>
          <w:lang w:val="lt-LT"/>
        </w:rPr>
      </w:pPr>
      <w:r w:rsidRPr="003F6BC7">
        <w:rPr>
          <w:lang w:val="lt-LT"/>
        </w:rPr>
        <w:t xml:space="preserve">Vaikingų žiurkių organizme </w:t>
      </w:r>
      <w:proofErr w:type="spellStart"/>
      <w:r w:rsidRPr="003F6BC7">
        <w:rPr>
          <w:lang w:val="lt-LT"/>
        </w:rPr>
        <w:t>agomelatinas</w:t>
      </w:r>
      <w:proofErr w:type="spellEnd"/>
      <w:r w:rsidRPr="003F6BC7">
        <w:rPr>
          <w:lang w:val="lt-LT"/>
        </w:rPr>
        <w:t xml:space="preserve"> prasiskverbia per placentą ir patenka į vaisiaus organizmą.</w:t>
      </w:r>
    </w:p>
    <w:p w14:paraId="38D3B114" w14:textId="49D459DF" w:rsidR="00C364D1" w:rsidRPr="003F6BC7" w:rsidRDefault="00C364D1" w:rsidP="00C364D1">
      <w:pPr>
        <w:rPr>
          <w:lang w:val="lt-LT"/>
        </w:rPr>
      </w:pPr>
      <w:r w:rsidRPr="003F6BC7">
        <w:rPr>
          <w:lang w:val="lt-LT"/>
        </w:rPr>
        <w:t xml:space="preserve">Reprodukcijos tyrimų su žiurkėmis ir triušiais metu </w:t>
      </w:r>
      <w:proofErr w:type="spellStart"/>
      <w:r w:rsidRPr="003F6BC7">
        <w:rPr>
          <w:lang w:val="lt-LT"/>
        </w:rPr>
        <w:t>agomelatino</w:t>
      </w:r>
      <w:proofErr w:type="spellEnd"/>
      <w:r w:rsidRPr="003F6BC7">
        <w:rPr>
          <w:lang w:val="lt-LT"/>
        </w:rPr>
        <w:t xml:space="preserve"> poveikio vaisingumui, embriono ir vaisiaus vystymuisi bei </w:t>
      </w:r>
      <w:proofErr w:type="spellStart"/>
      <w:r w:rsidRPr="003F6BC7">
        <w:rPr>
          <w:lang w:val="lt-LT"/>
        </w:rPr>
        <w:t>prenataliniam</w:t>
      </w:r>
      <w:proofErr w:type="spellEnd"/>
      <w:r w:rsidRPr="003F6BC7">
        <w:rPr>
          <w:lang w:val="lt-LT"/>
        </w:rPr>
        <w:t xml:space="preserve"> ir </w:t>
      </w:r>
      <w:proofErr w:type="spellStart"/>
      <w:r w:rsidRPr="003F6BC7">
        <w:rPr>
          <w:lang w:val="lt-LT"/>
        </w:rPr>
        <w:t>postnataliniam</w:t>
      </w:r>
      <w:proofErr w:type="spellEnd"/>
      <w:r w:rsidRPr="003F6BC7">
        <w:rPr>
          <w:lang w:val="lt-LT"/>
        </w:rPr>
        <w:t xml:space="preserve"> vystymuisi nenustatyta.</w:t>
      </w:r>
    </w:p>
    <w:p w14:paraId="2C3D2236" w14:textId="77777777" w:rsidR="00C364D1" w:rsidRPr="003F6BC7" w:rsidRDefault="00C364D1" w:rsidP="00C364D1">
      <w:pPr>
        <w:rPr>
          <w:lang w:val="lt-LT"/>
        </w:rPr>
      </w:pPr>
      <w:r w:rsidRPr="003F6BC7">
        <w:rPr>
          <w:lang w:val="lt-LT"/>
        </w:rPr>
        <w:t xml:space="preserve">Atlikus seriją standartinių </w:t>
      </w:r>
      <w:proofErr w:type="spellStart"/>
      <w:r w:rsidRPr="003F6BC7">
        <w:rPr>
          <w:lang w:val="lt-LT"/>
        </w:rPr>
        <w:t>genotoksiškumo</w:t>
      </w:r>
      <w:proofErr w:type="spellEnd"/>
      <w:r w:rsidRPr="003F6BC7">
        <w:rPr>
          <w:lang w:val="lt-LT"/>
        </w:rPr>
        <w:t xml:space="preserve"> tyrimų </w:t>
      </w:r>
      <w:proofErr w:type="spellStart"/>
      <w:r w:rsidRPr="003F6BC7">
        <w:rPr>
          <w:i/>
          <w:lang w:val="lt-LT"/>
        </w:rPr>
        <w:t>in</w:t>
      </w:r>
      <w:proofErr w:type="spellEnd"/>
      <w:r w:rsidRPr="003F6BC7">
        <w:rPr>
          <w:i/>
          <w:lang w:val="lt-LT"/>
        </w:rPr>
        <w:t xml:space="preserve"> </w:t>
      </w:r>
      <w:proofErr w:type="spellStart"/>
      <w:r w:rsidRPr="003F6BC7">
        <w:rPr>
          <w:i/>
          <w:lang w:val="lt-LT"/>
        </w:rPr>
        <w:t>vitro</w:t>
      </w:r>
      <w:proofErr w:type="spellEnd"/>
      <w:r w:rsidRPr="003F6BC7">
        <w:rPr>
          <w:lang w:val="lt-LT"/>
        </w:rPr>
        <w:t xml:space="preserve"> ir </w:t>
      </w:r>
      <w:proofErr w:type="spellStart"/>
      <w:r w:rsidRPr="003F6BC7">
        <w:rPr>
          <w:i/>
          <w:lang w:val="lt-LT"/>
        </w:rPr>
        <w:t>in</w:t>
      </w:r>
      <w:proofErr w:type="spellEnd"/>
      <w:r w:rsidRPr="003F6BC7">
        <w:rPr>
          <w:i/>
          <w:lang w:val="lt-LT"/>
        </w:rPr>
        <w:t xml:space="preserve"> </w:t>
      </w:r>
      <w:proofErr w:type="spellStart"/>
      <w:r w:rsidRPr="003F6BC7">
        <w:rPr>
          <w:i/>
          <w:lang w:val="lt-LT"/>
        </w:rPr>
        <w:t>vivo</w:t>
      </w:r>
      <w:proofErr w:type="spellEnd"/>
      <w:r w:rsidRPr="003F6BC7">
        <w:rPr>
          <w:lang w:val="lt-LT"/>
        </w:rPr>
        <w:t xml:space="preserve">, galimo </w:t>
      </w:r>
      <w:proofErr w:type="spellStart"/>
      <w:r w:rsidRPr="003F6BC7">
        <w:rPr>
          <w:lang w:val="lt-LT"/>
        </w:rPr>
        <w:t>mutageninio</w:t>
      </w:r>
      <w:proofErr w:type="spellEnd"/>
      <w:r w:rsidRPr="003F6BC7">
        <w:rPr>
          <w:lang w:val="lt-LT"/>
        </w:rPr>
        <w:t xml:space="preserve"> ar </w:t>
      </w:r>
      <w:proofErr w:type="spellStart"/>
      <w:r w:rsidRPr="003F6BC7">
        <w:rPr>
          <w:lang w:val="lt-LT"/>
        </w:rPr>
        <w:t>klastogeninio</w:t>
      </w:r>
      <w:proofErr w:type="spellEnd"/>
      <w:r w:rsidRPr="003F6BC7">
        <w:rPr>
          <w:lang w:val="lt-LT"/>
        </w:rPr>
        <w:t xml:space="preserve"> </w:t>
      </w:r>
      <w:proofErr w:type="spellStart"/>
      <w:r w:rsidRPr="003F6BC7">
        <w:rPr>
          <w:lang w:val="lt-LT"/>
        </w:rPr>
        <w:t>agomelatino</w:t>
      </w:r>
      <w:proofErr w:type="spellEnd"/>
      <w:r w:rsidRPr="003F6BC7">
        <w:rPr>
          <w:lang w:val="lt-LT"/>
        </w:rPr>
        <w:t xml:space="preserve"> poveikio nenustatyta.</w:t>
      </w:r>
    </w:p>
    <w:p w14:paraId="40563235" w14:textId="77777777" w:rsidR="00C364D1" w:rsidRPr="003F6BC7" w:rsidRDefault="00C364D1" w:rsidP="00C364D1">
      <w:pPr>
        <w:rPr>
          <w:lang w:val="lt-LT"/>
        </w:rPr>
      </w:pPr>
    </w:p>
    <w:p w14:paraId="45D0E4C2" w14:textId="06243439" w:rsidR="00C364D1" w:rsidRPr="003F6BC7" w:rsidRDefault="00C364D1" w:rsidP="00C364D1">
      <w:pPr>
        <w:rPr>
          <w:lang w:val="lt-LT"/>
        </w:rPr>
      </w:pPr>
      <w:proofErr w:type="spellStart"/>
      <w:r w:rsidRPr="003F6BC7">
        <w:rPr>
          <w:lang w:val="lt-LT"/>
        </w:rPr>
        <w:t>Kancerogeniškumo</w:t>
      </w:r>
      <w:proofErr w:type="spellEnd"/>
      <w:r w:rsidRPr="003F6BC7">
        <w:rPr>
          <w:lang w:val="lt-LT"/>
        </w:rPr>
        <w:t xml:space="preserve"> tyrimų metu nustatyta, kad vartojant </w:t>
      </w:r>
      <w:proofErr w:type="spellStart"/>
      <w:r w:rsidRPr="003F6BC7">
        <w:rPr>
          <w:lang w:val="lt-LT"/>
        </w:rPr>
        <w:t>agomelatino</w:t>
      </w:r>
      <w:proofErr w:type="spellEnd"/>
      <w:r w:rsidRPr="003F6BC7">
        <w:rPr>
          <w:lang w:val="lt-LT"/>
        </w:rPr>
        <w:t xml:space="preserve"> dozę, 110</w:t>
      </w:r>
      <w:r w:rsidR="00227E03">
        <w:rPr>
          <w:lang w:val="lt-LT"/>
        </w:rPr>
        <w:t> </w:t>
      </w:r>
      <w:r w:rsidRPr="003F6BC7">
        <w:rPr>
          <w:lang w:val="lt-LT"/>
        </w:rPr>
        <w:t>kartų didesnę už gydomąją, žiurkėms ir pelėms padažnėjo kepenų navikų atvejų. Kepenų navikai greičiausiai yra susiję su graužikams specifinių fermentų indukcija. Esant didelei ekspozicijai (60</w:t>
      </w:r>
      <w:r w:rsidR="00227E03">
        <w:rPr>
          <w:lang w:val="lt-LT"/>
        </w:rPr>
        <w:t> </w:t>
      </w:r>
      <w:r w:rsidRPr="003F6BC7">
        <w:rPr>
          <w:lang w:val="lt-LT"/>
        </w:rPr>
        <w:t>kartų didesnei, nei būna vartojant gydomąsias dozes), žiurkėms dažniau atsirado gerybinių pieno liaukų fibroadenomų, tačiau dažnis išliko tokiame pačiame diapazone, kaip kontrolinėje grupėje.</w:t>
      </w:r>
    </w:p>
    <w:p w14:paraId="79E4C795" w14:textId="77777777" w:rsidR="00C364D1" w:rsidRPr="003F6BC7" w:rsidRDefault="00C364D1" w:rsidP="00C364D1">
      <w:pPr>
        <w:rPr>
          <w:lang w:val="lt-LT"/>
        </w:rPr>
      </w:pPr>
    </w:p>
    <w:p w14:paraId="58C9888D" w14:textId="77777777" w:rsidR="00C364D1" w:rsidRPr="003F6BC7" w:rsidRDefault="00C364D1" w:rsidP="00C364D1">
      <w:pPr>
        <w:rPr>
          <w:lang w:val="lt-LT"/>
        </w:rPr>
      </w:pPr>
      <w:r w:rsidRPr="003F6BC7">
        <w:rPr>
          <w:lang w:val="lt-LT"/>
        </w:rPr>
        <w:t xml:space="preserve">Farmakologiniai saugumo tyrimai neparodė </w:t>
      </w:r>
      <w:proofErr w:type="spellStart"/>
      <w:r w:rsidRPr="003F6BC7">
        <w:rPr>
          <w:lang w:val="lt-LT"/>
        </w:rPr>
        <w:t>agomelatino</w:t>
      </w:r>
      <w:proofErr w:type="spellEnd"/>
      <w:r w:rsidRPr="003F6BC7">
        <w:rPr>
          <w:lang w:val="lt-LT"/>
        </w:rPr>
        <w:t xml:space="preserve"> poveikio </w:t>
      </w:r>
      <w:proofErr w:type="spellStart"/>
      <w:r w:rsidRPr="003F6BC7">
        <w:rPr>
          <w:lang w:val="lt-LT"/>
        </w:rPr>
        <w:t>hERG</w:t>
      </w:r>
      <w:proofErr w:type="spellEnd"/>
      <w:r w:rsidRPr="003F6BC7">
        <w:rPr>
          <w:lang w:val="lt-LT"/>
        </w:rPr>
        <w:t xml:space="preserve"> (žmogaus su </w:t>
      </w:r>
      <w:proofErr w:type="spellStart"/>
      <w:r w:rsidRPr="003F6BC7">
        <w:rPr>
          <w:i/>
          <w:lang w:val="lt-LT"/>
        </w:rPr>
        <w:t>Ether</w:t>
      </w:r>
      <w:proofErr w:type="spellEnd"/>
      <w:r w:rsidRPr="003F6BC7">
        <w:rPr>
          <w:i/>
          <w:lang w:val="lt-LT"/>
        </w:rPr>
        <w:t xml:space="preserve"> à-</w:t>
      </w:r>
      <w:proofErr w:type="spellStart"/>
      <w:r w:rsidRPr="003F6BC7">
        <w:rPr>
          <w:i/>
          <w:lang w:val="lt-LT"/>
        </w:rPr>
        <w:t>go</w:t>
      </w:r>
      <w:proofErr w:type="spellEnd"/>
      <w:r w:rsidRPr="003F6BC7">
        <w:rPr>
          <w:i/>
          <w:lang w:val="lt-LT"/>
        </w:rPr>
        <w:t>-</w:t>
      </w:r>
      <w:proofErr w:type="spellStart"/>
      <w:r w:rsidRPr="003F6BC7">
        <w:rPr>
          <w:i/>
          <w:lang w:val="lt-LT"/>
        </w:rPr>
        <w:t>go</w:t>
      </w:r>
      <w:proofErr w:type="spellEnd"/>
      <w:r w:rsidRPr="003F6BC7">
        <w:rPr>
          <w:lang w:val="lt-LT"/>
        </w:rPr>
        <w:t xml:space="preserve"> susijusio geno) srautui ar šunų </w:t>
      </w:r>
      <w:proofErr w:type="spellStart"/>
      <w:r w:rsidRPr="003F6BC7">
        <w:rPr>
          <w:i/>
          <w:lang w:val="lt-LT"/>
        </w:rPr>
        <w:t>Purkinje</w:t>
      </w:r>
      <w:proofErr w:type="spellEnd"/>
      <w:r w:rsidRPr="003F6BC7">
        <w:rPr>
          <w:lang w:val="lt-LT"/>
        </w:rPr>
        <w:t xml:space="preserve"> ląstelių veikimo potencialui. </w:t>
      </w:r>
      <w:proofErr w:type="spellStart"/>
      <w:r w:rsidRPr="003F6BC7">
        <w:rPr>
          <w:lang w:val="lt-LT"/>
        </w:rPr>
        <w:t>Agomelatiną</w:t>
      </w:r>
      <w:proofErr w:type="spellEnd"/>
      <w:r w:rsidRPr="003F6BC7">
        <w:rPr>
          <w:lang w:val="lt-LT"/>
        </w:rPr>
        <w:t xml:space="preserve"> pelėms ir žiurkėms leidžiant į pilvaplėvę ne didesnėmis kaip 128 mg/kg kūno svorio dozėmis, traukulių atsiradimą skatinančių savybių nenustatyta.</w:t>
      </w:r>
    </w:p>
    <w:p w14:paraId="468878F1" w14:textId="77777777" w:rsidR="00C364D1" w:rsidRPr="003F6BC7" w:rsidRDefault="00C364D1" w:rsidP="00C364D1">
      <w:pPr>
        <w:rPr>
          <w:lang w:val="lt-LT"/>
        </w:rPr>
      </w:pPr>
    </w:p>
    <w:p w14:paraId="7C9488B8" w14:textId="77777777" w:rsidR="00C364D1" w:rsidRPr="003F6BC7" w:rsidRDefault="00C364D1" w:rsidP="00C364D1">
      <w:pPr>
        <w:rPr>
          <w:lang w:val="lt-LT"/>
        </w:rPr>
      </w:pPr>
      <w:r w:rsidRPr="003F6BC7">
        <w:rPr>
          <w:lang w:val="lt-LT"/>
        </w:rPr>
        <w:t xml:space="preserve">Nepastebėta jokio </w:t>
      </w:r>
      <w:proofErr w:type="spellStart"/>
      <w:r w:rsidRPr="003F6BC7">
        <w:rPr>
          <w:lang w:val="lt-LT"/>
        </w:rPr>
        <w:t>agomelatino</w:t>
      </w:r>
      <w:proofErr w:type="spellEnd"/>
      <w:r w:rsidRPr="003F6BC7">
        <w:rPr>
          <w:lang w:val="lt-LT"/>
        </w:rPr>
        <w:t xml:space="preserve"> poveikio gyvūnų jauniklių elgsenai, regai ir reprodukcinei funkcijai. Pastebėtas nedidelis nuo dozės nepriklausomas kūno svorio sumažėjimas, susijęs su</w:t>
      </w:r>
      <w:r w:rsidRPr="003F6BC7">
        <w:rPr>
          <w:lang w:val="lt-LT" w:eastAsia="lt-LT"/>
        </w:rPr>
        <w:t xml:space="preserve"> farmakologinėmis savybėmis, bei tam tikras nedidelis poveikis patinų reprodukciniams organams, nepasireiškiant jokio žalingo poveikio reprodukcinei veiklai.</w:t>
      </w:r>
    </w:p>
    <w:p w14:paraId="694DEC82" w14:textId="77777777" w:rsidR="00C364D1" w:rsidRPr="003F6BC7" w:rsidRDefault="00C364D1" w:rsidP="00C364D1">
      <w:pPr>
        <w:rPr>
          <w:lang w:val="lt-LT"/>
        </w:rPr>
      </w:pPr>
    </w:p>
    <w:p w14:paraId="6D772631" w14:textId="77777777" w:rsidR="00C364D1" w:rsidRPr="003F6BC7" w:rsidRDefault="00C364D1" w:rsidP="00C364D1">
      <w:pPr>
        <w:rPr>
          <w:lang w:val="lt-LT"/>
        </w:rPr>
      </w:pPr>
    </w:p>
    <w:p w14:paraId="0F012662" w14:textId="77777777" w:rsidR="00C364D1" w:rsidRPr="003F6BC7" w:rsidRDefault="00C364D1" w:rsidP="0090581D">
      <w:pPr>
        <w:ind w:left="567" w:hanging="567"/>
        <w:outlineLvl w:val="2"/>
        <w:rPr>
          <w:b/>
          <w:bCs/>
          <w:lang w:val="lt-LT" w:eastAsia="lt-LT"/>
        </w:rPr>
      </w:pPr>
      <w:r w:rsidRPr="003F6BC7">
        <w:rPr>
          <w:b/>
          <w:bCs/>
          <w:lang w:val="lt-LT" w:eastAsia="lt-LT"/>
        </w:rPr>
        <w:t>6.</w:t>
      </w:r>
      <w:r w:rsidRPr="003F6BC7">
        <w:rPr>
          <w:b/>
          <w:bCs/>
          <w:lang w:val="lt-LT" w:eastAsia="lt-LT"/>
        </w:rPr>
        <w:tab/>
        <w:t>FARMACINĖ INFORMACIJA</w:t>
      </w:r>
    </w:p>
    <w:p w14:paraId="3A2A2564" w14:textId="77777777" w:rsidR="00C364D1" w:rsidRPr="003F6BC7" w:rsidRDefault="00C364D1" w:rsidP="00C364D1">
      <w:pPr>
        <w:rPr>
          <w:lang w:val="lt-LT"/>
        </w:rPr>
      </w:pPr>
    </w:p>
    <w:p w14:paraId="7DE9321C" w14:textId="77777777" w:rsidR="00C364D1" w:rsidRPr="003F6BC7" w:rsidRDefault="00C364D1" w:rsidP="0090581D">
      <w:pPr>
        <w:ind w:left="567" w:hanging="567"/>
        <w:jc w:val="both"/>
        <w:outlineLvl w:val="3"/>
        <w:rPr>
          <w:b/>
          <w:bCs/>
          <w:lang w:val="lt-LT" w:eastAsia="lt-LT"/>
        </w:rPr>
      </w:pPr>
      <w:r w:rsidRPr="003F6BC7">
        <w:rPr>
          <w:b/>
          <w:bCs/>
          <w:lang w:val="lt-LT" w:eastAsia="lt-LT"/>
        </w:rPr>
        <w:t>6.1</w:t>
      </w:r>
      <w:r w:rsidRPr="003F6BC7">
        <w:rPr>
          <w:b/>
          <w:bCs/>
          <w:lang w:val="lt-LT" w:eastAsia="lt-LT"/>
        </w:rPr>
        <w:tab/>
        <w:t>Pagalbinių medžiagų sąrašas</w:t>
      </w:r>
    </w:p>
    <w:p w14:paraId="763452A1" w14:textId="77777777" w:rsidR="00C364D1" w:rsidRPr="003F6BC7" w:rsidRDefault="00C364D1" w:rsidP="00C364D1">
      <w:pPr>
        <w:rPr>
          <w:lang w:val="lt-LT"/>
        </w:rPr>
      </w:pPr>
    </w:p>
    <w:p w14:paraId="5052F16F" w14:textId="35F42302" w:rsidR="006A0099" w:rsidRPr="003F6BC7" w:rsidRDefault="006A0099" w:rsidP="006A0099">
      <w:pPr>
        <w:rPr>
          <w:iCs/>
          <w:u w:val="single"/>
          <w:lang w:val="lt-LT"/>
        </w:rPr>
      </w:pPr>
      <w:r w:rsidRPr="003F6BC7">
        <w:rPr>
          <w:iCs/>
          <w:u w:val="single"/>
          <w:lang w:val="lt-LT"/>
        </w:rPr>
        <w:t>Tabletės branduolys</w:t>
      </w:r>
    </w:p>
    <w:p w14:paraId="19050E69" w14:textId="77777777" w:rsidR="00763166" w:rsidRPr="003F6BC7" w:rsidRDefault="0060085D" w:rsidP="00763166">
      <w:pPr>
        <w:tabs>
          <w:tab w:val="left" w:pos="782"/>
        </w:tabs>
        <w:ind w:right="113"/>
        <w:rPr>
          <w:color w:val="000000" w:themeColor="text1"/>
          <w:lang w:val="lt-LT"/>
        </w:rPr>
      </w:pPr>
      <w:proofErr w:type="spellStart"/>
      <w:r w:rsidRPr="0060085D">
        <w:rPr>
          <w:color w:val="000000" w:themeColor="text1"/>
          <w:lang w:val="lt-LT"/>
        </w:rPr>
        <w:t>Silicinta</w:t>
      </w:r>
      <w:proofErr w:type="spellEnd"/>
      <w:r w:rsidRPr="0060085D">
        <w:rPr>
          <w:color w:val="000000" w:themeColor="text1"/>
          <w:lang w:val="lt-LT"/>
        </w:rPr>
        <w:t xml:space="preserve"> </w:t>
      </w:r>
      <w:proofErr w:type="spellStart"/>
      <w:r w:rsidRPr="0060085D">
        <w:rPr>
          <w:color w:val="000000" w:themeColor="text1"/>
          <w:lang w:val="lt-LT"/>
        </w:rPr>
        <w:t>m</w:t>
      </w:r>
      <w:r w:rsidR="00763166" w:rsidRPr="0060085D">
        <w:rPr>
          <w:color w:val="000000" w:themeColor="text1"/>
          <w:lang w:val="lt-LT"/>
        </w:rPr>
        <w:t>ikrokristalinė</w:t>
      </w:r>
      <w:proofErr w:type="spellEnd"/>
      <w:r w:rsidR="00763166" w:rsidRPr="0060085D">
        <w:rPr>
          <w:color w:val="000000" w:themeColor="text1"/>
          <w:lang w:val="lt-LT"/>
        </w:rPr>
        <w:t xml:space="preserve"> celiuliozė</w:t>
      </w:r>
    </w:p>
    <w:p w14:paraId="720698E0" w14:textId="77777777" w:rsidR="006A0099" w:rsidRPr="003F6BC7" w:rsidRDefault="006A0099" w:rsidP="006A0099">
      <w:pPr>
        <w:rPr>
          <w:lang w:val="lt-LT"/>
        </w:rPr>
      </w:pPr>
      <w:proofErr w:type="spellStart"/>
      <w:r w:rsidRPr="003F6BC7">
        <w:rPr>
          <w:lang w:val="lt-LT"/>
        </w:rPr>
        <w:t>Manitolis</w:t>
      </w:r>
      <w:proofErr w:type="spellEnd"/>
    </w:p>
    <w:p w14:paraId="0223B533" w14:textId="77777777" w:rsidR="006A0099" w:rsidRPr="003F6BC7" w:rsidRDefault="006A0099" w:rsidP="006A0099">
      <w:pPr>
        <w:rPr>
          <w:lang w:val="lt-LT"/>
        </w:rPr>
      </w:pPr>
      <w:proofErr w:type="spellStart"/>
      <w:r w:rsidRPr="003F6BC7">
        <w:rPr>
          <w:lang w:val="lt-LT"/>
        </w:rPr>
        <w:t>Povidonas</w:t>
      </w:r>
      <w:proofErr w:type="spellEnd"/>
      <w:r w:rsidRPr="003F6BC7">
        <w:rPr>
          <w:lang w:val="lt-LT"/>
        </w:rPr>
        <w:t xml:space="preserve"> 30</w:t>
      </w:r>
    </w:p>
    <w:p w14:paraId="2EEB27B1" w14:textId="77777777" w:rsidR="006A0099" w:rsidRPr="003F6BC7" w:rsidRDefault="006A0099" w:rsidP="006A0099">
      <w:pPr>
        <w:rPr>
          <w:lang w:val="lt-LT"/>
        </w:rPr>
      </w:pPr>
      <w:r w:rsidRPr="003F6BC7">
        <w:rPr>
          <w:lang w:val="lt-LT"/>
        </w:rPr>
        <w:t>Koloidinis bevandenis silicio dioksidas</w:t>
      </w:r>
    </w:p>
    <w:p w14:paraId="0E5E73B1" w14:textId="77777777" w:rsidR="006A0099" w:rsidRPr="003F6BC7" w:rsidRDefault="006A0099" w:rsidP="006A0099">
      <w:pPr>
        <w:rPr>
          <w:lang w:val="lt-LT"/>
        </w:rPr>
      </w:pPr>
      <w:proofErr w:type="spellStart"/>
      <w:r w:rsidRPr="003F6BC7">
        <w:rPr>
          <w:lang w:val="lt-LT"/>
        </w:rPr>
        <w:t>Krospovidonas</w:t>
      </w:r>
      <w:proofErr w:type="spellEnd"/>
      <w:r w:rsidRPr="003F6BC7">
        <w:rPr>
          <w:lang w:val="lt-LT"/>
        </w:rPr>
        <w:t xml:space="preserve"> (A tipo)</w:t>
      </w:r>
    </w:p>
    <w:p w14:paraId="5889153B" w14:textId="77777777" w:rsidR="006A0099" w:rsidRPr="003F6BC7" w:rsidRDefault="006A0099" w:rsidP="006A0099">
      <w:pPr>
        <w:rPr>
          <w:lang w:val="lt-LT"/>
        </w:rPr>
      </w:pPr>
      <w:r w:rsidRPr="003F6BC7">
        <w:rPr>
          <w:lang w:val="lt-LT"/>
        </w:rPr>
        <w:t xml:space="preserve">Natrio </w:t>
      </w:r>
      <w:proofErr w:type="spellStart"/>
      <w:r w:rsidRPr="003F6BC7">
        <w:rPr>
          <w:lang w:val="lt-LT"/>
        </w:rPr>
        <w:t>stearilfumaratas</w:t>
      </w:r>
      <w:proofErr w:type="spellEnd"/>
    </w:p>
    <w:p w14:paraId="1E0060A9" w14:textId="77777777" w:rsidR="006A0099" w:rsidRPr="003F6BC7" w:rsidRDefault="006A0099" w:rsidP="006A0099">
      <w:pPr>
        <w:rPr>
          <w:lang w:val="lt-LT"/>
        </w:rPr>
      </w:pPr>
      <w:r w:rsidRPr="003F6BC7">
        <w:rPr>
          <w:lang w:val="lt-LT"/>
        </w:rPr>
        <w:t xml:space="preserve">Magnio </w:t>
      </w:r>
      <w:proofErr w:type="spellStart"/>
      <w:r w:rsidRPr="003F6BC7">
        <w:rPr>
          <w:lang w:val="lt-LT"/>
        </w:rPr>
        <w:t>stearatas</w:t>
      </w:r>
      <w:proofErr w:type="spellEnd"/>
    </w:p>
    <w:p w14:paraId="0F890046" w14:textId="77777777" w:rsidR="006A0099" w:rsidRPr="003F6BC7" w:rsidRDefault="006A0099" w:rsidP="006A0099">
      <w:pPr>
        <w:rPr>
          <w:lang w:val="lt-LT"/>
        </w:rPr>
      </w:pPr>
      <w:r w:rsidRPr="003F6BC7">
        <w:rPr>
          <w:lang w:val="lt-LT"/>
        </w:rPr>
        <w:t>Stearino rūgštis</w:t>
      </w:r>
    </w:p>
    <w:p w14:paraId="15DC3ED8" w14:textId="77777777" w:rsidR="006A0099" w:rsidRPr="003F6BC7" w:rsidRDefault="006A0099" w:rsidP="006A0099">
      <w:pPr>
        <w:rPr>
          <w:u w:val="single"/>
          <w:lang w:val="lt-LT"/>
        </w:rPr>
      </w:pPr>
    </w:p>
    <w:p w14:paraId="3D63ADE6" w14:textId="71EFD552" w:rsidR="006A0099" w:rsidRPr="003F6BC7" w:rsidRDefault="006A0099" w:rsidP="006A0099">
      <w:pPr>
        <w:rPr>
          <w:iCs/>
          <w:u w:val="single"/>
          <w:lang w:val="lt-LT"/>
        </w:rPr>
      </w:pPr>
      <w:r w:rsidRPr="003F6BC7">
        <w:rPr>
          <w:iCs/>
          <w:u w:val="single"/>
          <w:lang w:val="lt-LT"/>
        </w:rPr>
        <w:t>Tabletės plėvelė</w:t>
      </w:r>
    </w:p>
    <w:p w14:paraId="34132AB2" w14:textId="77777777" w:rsidR="006A0099" w:rsidRPr="003F6BC7" w:rsidRDefault="006A0099" w:rsidP="006A0099">
      <w:pPr>
        <w:rPr>
          <w:lang w:val="lt-LT"/>
        </w:rPr>
      </w:pPr>
      <w:proofErr w:type="spellStart"/>
      <w:r w:rsidRPr="003F6BC7">
        <w:rPr>
          <w:lang w:val="lt-LT"/>
        </w:rPr>
        <w:t>Hipromeliozė</w:t>
      </w:r>
      <w:proofErr w:type="spellEnd"/>
      <w:r w:rsidRPr="003F6BC7">
        <w:rPr>
          <w:lang w:val="lt-LT"/>
        </w:rPr>
        <w:t xml:space="preserve"> 2910/5</w:t>
      </w:r>
    </w:p>
    <w:p w14:paraId="5E59B5D8" w14:textId="77777777" w:rsidR="006A0099" w:rsidRPr="003F6BC7" w:rsidRDefault="006A0099" w:rsidP="006A0099">
      <w:pPr>
        <w:rPr>
          <w:lang w:val="lt-LT"/>
        </w:rPr>
      </w:pPr>
      <w:proofErr w:type="spellStart"/>
      <w:r w:rsidRPr="003F6BC7">
        <w:rPr>
          <w:lang w:val="lt-LT"/>
        </w:rPr>
        <w:t>Makrogolis</w:t>
      </w:r>
      <w:proofErr w:type="spellEnd"/>
      <w:r w:rsidRPr="003F6BC7">
        <w:rPr>
          <w:lang w:val="lt-LT"/>
        </w:rPr>
        <w:t xml:space="preserve"> 6000</w:t>
      </w:r>
    </w:p>
    <w:p w14:paraId="32A20EBD" w14:textId="77777777" w:rsidR="006A0099" w:rsidRPr="003F6BC7" w:rsidRDefault="006A0099" w:rsidP="006A0099">
      <w:pPr>
        <w:rPr>
          <w:lang w:val="lt-LT"/>
        </w:rPr>
      </w:pPr>
      <w:r w:rsidRPr="003F6BC7">
        <w:rPr>
          <w:lang w:val="lt-LT"/>
        </w:rPr>
        <w:t>Titano dioksidas (E 171)</w:t>
      </w:r>
    </w:p>
    <w:p w14:paraId="0E1C3863" w14:textId="77777777" w:rsidR="006A0099" w:rsidRPr="003F6BC7" w:rsidRDefault="006A0099" w:rsidP="006A0099">
      <w:pPr>
        <w:rPr>
          <w:lang w:val="lt-LT"/>
        </w:rPr>
      </w:pPr>
      <w:r w:rsidRPr="003F6BC7">
        <w:rPr>
          <w:lang w:val="lt-LT"/>
        </w:rPr>
        <w:t>Talkas</w:t>
      </w:r>
    </w:p>
    <w:p w14:paraId="6BABEBA1" w14:textId="77777777" w:rsidR="006A0099" w:rsidRPr="003F6BC7" w:rsidRDefault="006A0099" w:rsidP="006A0099">
      <w:pPr>
        <w:rPr>
          <w:lang w:val="lt-LT"/>
        </w:rPr>
      </w:pPr>
      <w:r w:rsidRPr="003F6BC7">
        <w:rPr>
          <w:lang w:val="lt-LT"/>
        </w:rPr>
        <w:lastRenderedPageBreak/>
        <w:t>Geltonasis geležies oksidas (E 172)</w:t>
      </w:r>
    </w:p>
    <w:p w14:paraId="3D7B6C23" w14:textId="77777777" w:rsidR="00C364D1" w:rsidRPr="003F6BC7" w:rsidRDefault="00C364D1" w:rsidP="00501B36">
      <w:pPr>
        <w:rPr>
          <w:lang w:val="lt-LT"/>
        </w:rPr>
      </w:pPr>
    </w:p>
    <w:p w14:paraId="42F03CE0" w14:textId="77777777" w:rsidR="0090581D" w:rsidRPr="003F6BC7" w:rsidRDefault="0090581D" w:rsidP="0090581D">
      <w:pPr>
        <w:ind w:left="567" w:hanging="567"/>
        <w:jc w:val="both"/>
        <w:outlineLvl w:val="3"/>
        <w:rPr>
          <w:b/>
          <w:bCs/>
          <w:lang w:val="lt-LT" w:eastAsia="lt-LT"/>
        </w:rPr>
      </w:pPr>
      <w:r w:rsidRPr="003F6BC7">
        <w:rPr>
          <w:b/>
          <w:bCs/>
          <w:lang w:val="lt-LT" w:eastAsia="lt-LT"/>
        </w:rPr>
        <w:t>6.2</w:t>
      </w:r>
      <w:r w:rsidRPr="003F6BC7">
        <w:rPr>
          <w:b/>
          <w:bCs/>
          <w:lang w:val="lt-LT" w:eastAsia="lt-LT"/>
        </w:rPr>
        <w:tab/>
        <w:t>Nesuderinamumas</w:t>
      </w:r>
    </w:p>
    <w:p w14:paraId="155C4621" w14:textId="77777777" w:rsidR="0090581D" w:rsidRPr="003F6BC7" w:rsidRDefault="0090581D" w:rsidP="0090581D">
      <w:pPr>
        <w:rPr>
          <w:lang w:val="lt-LT"/>
        </w:rPr>
      </w:pPr>
    </w:p>
    <w:p w14:paraId="0FFB10EB" w14:textId="77777777" w:rsidR="0090581D" w:rsidRPr="003F6BC7" w:rsidRDefault="0090581D" w:rsidP="0090581D">
      <w:pPr>
        <w:rPr>
          <w:lang w:val="lt-LT"/>
        </w:rPr>
      </w:pPr>
      <w:r w:rsidRPr="003F6BC7">
        <w:rPr>
          <w:lang w:val="lt-LT"/>
        </w:rPr>
        <w:t>Duomenys nebūtini.</w:t>
      </w:r>
    </w:p>
    <w:p w14:paraId="2DC4D24D" w14:textId="77777777" w:rsidR="0090581D" w:rsidRPr="003F6BC7" w:rsidRDefault="0090581D" w:rsidP="0090581D">
      <w:pPr>
        <w:rPr>
          <w:lang w:val="lt-LT"/>
        </w:rPr>
      </w:pPr>
    </w:p>
    <w:p w14:paraId="72C4A006" w14:textId="77777777" w:rsidR="0090581D" w:rsidRPr="003F6BC7" w:rsidRDefault="0090581D" w:rsidP="0090581D">
      <w:pPr>
        <w:ind w:left="567" w:hanging="567"/>
        <w:jc w:val="both"/>
        <w:outlineLvl w:val="3"/>
        <w:rPr>
          <w:b/>
          <w:bCs/>
          <w:lang w:val="lt-LT" w:eastAsia="lt-LT"/>
        </w:rPr>
      </w:pPr>
      <w:r w:rsidRPr="003F6BC7">
        <w:rPr>
          <w:b/>
          <w:bCs/>
          <w:lang w:val="lt-LT" w:eastAsia="lt-LT"/>
        </w:rPr>
        <w:t>6.3</w:t>
      </w:r>
      <w:r w:rsidRPr="003F6BC7">
        <w:rPr>
          <w:b/>
          <w:bCs/>
          <w:lang w:val="lt-LT" w:eastAsia="lt-LT"/>
        </w:rPr>
        <w:tab/>
        <w:t>Tinkamumo laikas</w:t>
      </w:r>
    </w:p>
    <w:p w14:paraId="7C3BEE07" w14:textId="77777777" w:rsidR="0090581D" w:rsidRPr="003F6BC7" w:rsidRDefault="0090581D" w:rsidP="0090581D">
      <w:pPr>
        <w:rPr>
          <w:lang w:val="lt-LT"/>
        </w:rPr>
      </w:pPr>
    </w:p>
    <w:p w14:paraId="22277975" w14:textId="77777777" w:rsidR="0090581D" w:rsidRPr="003F6BC7" w:rsidRDefault="0090581D" w:rsidP="0090581D">
      <w:pPr>
        <w:rPr>
          <w:lang w:val="lt-LT"/>
        </w:rPr>
      </w:pPr>
      <w:r w:rsidRPr="003F6BC7">
        <w:rPr>
          <w:lang w:val="lt-LT"/>
        </w:rPr>
        <w:t>2 metai.</w:t>
      </w:r>
    </w:p>
    <w:p w14:paraId="5F6B3B2B" w14:textId="77777777" w:rsidR="0090581D" w:rsidRPr="003F6BC7" w:rsidRDefault="0090581D" w:rsidP="0090581D">
      <w:pPr>
        <w:rPr>
          <w:lang w:val="lt-LT"/>
        </w:rPr>
      </w:pPr>
    </w:p>
    <w:p w14:paraId="2FC9CD45" w14:textId="77777777" w:rsidR="0090581D" w:rsidRPr="003F6BC7" w:rsidRDefault="0090581D" w:rsidP="0090581D">
      <w:pPr>
        <w:ind w:left="567" w:hanging="567"/>
        <w:jc w:val="both"/>
        <w:outlineLvl w:val="3"/>
        <w:rPr>
          <w:b/>
          <w:bCs/>
          <w:lang w:val="lt-LT" w:eastAsia="lt-LT"/>
        </w:rPr>
      </w:pPr>
      <w:r w:rsidRPr="003F6BC7">
        <w:rPr>
          <w:b/>
          <w:bCs/>
          <w:lang w:val="lt-LT" w:eastAsia="lt-LT"/>
        </w:rPr>
        <w:t>6.4</w:t>
      </w:r>
      <w:r w:rsidRPr="003F6BC7">
        <w:rPr>
          <w:b/>
          <w:bCs/>
          <w:lang w:val="lt-LT" w:eastAsia="lt-LT"/>
        </w:rPr>
        <w:tab/>
        <w:t>Specialios laikymo sąlygos</w:t>
      </w:r>
    </w:p>
    <w:p w14:paraId="6BD49213" w14:textId="77777777" w:rsidR="0090581D" w:rsidRPr="003F6BC7" w:rsidRDefault="0090581D" w:rsidP="0090581D">
      <w:pPr>
        <w:rPr>
          <w:lang w:val="lt-LT"/>
        </w:rPr>
      </w:pPr>
    </w:p>
    <w:p w14:paraId="54F4E414" w14:textId="77777777" w:rsidR="0090581D" w:rsidRPr="003F6BC7" w:rsidRDefault="0090581D" w:rsidP="0090581D">
      <w:pPr>
        <w:rPr>
          <w:lang w:val="lt-LT"/>
        </w:rPr>
      </w:pPr>
      <w:r w:rsidRPr="003F6BC7">
        <w:rPr>
          <w:lang w:val="lt-LT"/>
        </w:rPr>
        <w:t>Laikyti gamintojo pakuotėje, kad vaistinis preparatas būtų apsaugotas nuo drėgmės. Šio vaistinio preparato laikymui specialių temperatūros sąlygų nereikalaujama.</w:t>
      </w:r>
    </w:p>
    <w:p w14:paraId="51DEB2CC" w14:textId="77777777" w:rsidR="0090581D" w:rsidRPr="003F6BC7" w:rsidRDefault="0090581D" w:rsidP="0090581D">
      <w:pPr>
        <w:rPr>
          <w:lang w:val="lt-LT"/>
        </w:rPr>
      </w:pPr>
    </w:p>
    <w:p w14:paraId="677E2CA6" w14:textId="77777777" w:rsidR="0090581D" w:rsidRPr="003F6BC7" w:rsidRDefault="0090581D" w:rsidP="0090581D">
      <w:pPr>
        <w:ind w:left="567" w:hanging="567"/>
        <w:jc w:val="both"/>
        <w:outlineLvl w:val="3"/>
        <w:rPr>
          <w:b/>
          <w:bCs/>
          <w:lang w:val="lt-LT" w:eastAsia="lt-LT"/>
        </w:rPr>
      </w:pPr>
      <w:r w:rsidRPr="003F6BC7">
        <w:rPr>
          <w:b/>
          <w:bCs/>
          <w:lang w:val="lt-LT" w:eastAsia="lt-LT"/>
        </w:rPr>
        <w:t>6.5</w:t>
      </w:r>
      <w:r w:rsidRPr="003F6BC7">
        <w:rPr>
          <w:b/>
          <w:bCs/>
          <w:lang w:val="lt-LT" w:eastAsia="lt-LT"/>
        </w:rPr>
        <w:tab/>
      </w:r>
      <w:proofErr w:type="spellStart"/>
      <w:r w:rsidRPr="003F6BC7">
        <w:rPr>
          <w:b/>
          <w:bCs/>
          <w:lang w:val="lt-LT" w:eastAsia="lt-LT"/>
        </w:rPr>
        <w:t>Talpyklės</w:t>
      </w:r>
      <w:proofErr w:type="spellEnd"/>
      <w:r w:rsidRPr="003F6BC7">
        <w:rPr>
          <w:b/>
          <w:bCs/>
          <w:lang w:val="lt-LT" w:eastAsia="lt-LT"/>
        </w:rPr>
        <w:t xml:space="preserve"> pobūdis ir jos turinys</w:t>
      </w:r>
    </w:p>
    <w:p w14:paraId="6E83D5C3" w14:textId="77777777" w:rsidR="0090581D" w:rsidRPr="003F6BC7" w:rsidRDefault="0090581D" w:rsidP="0090581D">
      <w:pPr>
        <w:jc w:val="both"/>
        <w:outlineLvl w:val="3"/>
        <w:rPr>
          <w:b/>
          <w:bCs/>
          <w:lang w:val="lt-LT" w:eastAsia="lt-LT"/>
        </w:rPr>
      </w:pPr>
    </w:p>
    <w:p w14:paraId="52AC8489" w14:textId="77777777" w:rsidR="0090581D" w:rsidRPr="003F6BC7" w:rsidRDefault="0090581D" w:rsidP="0090581D">
      <w:pPr>
        <w:rPr>
          <w:lang w:val="lt-LT"/>
        </w:rPr>
      </w:pPr>
      <w:r w:rsidRPr="003F6BC7">
        <w:rPr>
          <w:lang w:val="lt-LT"/>
        </w:rPr>
        <w:t>OPA/aliuminio/PVC/aliuminio lizdinė plokštelė.</w:t>
      </w:r>
    </w:p>
    <w:p w14:paraId="3F656EC9" w14:textId="440BA0CF" w:rsidR="0090581D" w:rsidRPr="003F6BC7" w:rsidRDefault="0090581D" w:rsidP="0090581D">
      <w:pPr>
        <w:rPr>
          <w:lang w:val="lt-LT"/>
        </w:rPr>
      </w:pPr>
      <w:r w:rsidRPr="003F6BC7">
        <w:rPr>
          <w:lang w:val="lt-LT"/>
        </w:rPr>
        <w:t>Pakuotės dydžiai: 28</w:t>
      </w:r>
      <w:r w:rsidR="000D1AAD">
        <w:rPr>
          <w:lang w:val="lt-LT"/>
        </w:rPr>
        <w:t>, 56,</w:t>
      </w:r>
      <w:r w:rsidRPr="003F6BC7">
        <w:rPr>
          <w:lang w:val="lt-LT"/>
        </w:rPr>
        <w:t xml:space="preserve"> 84 </w:t>
      </w:r>
      <w:r w:rsidR="000D1AAD">
        <w:rPr>
          <w:lang w:val="lt-LT"/>
        </w:rPr>
        <w:t xml:space="preserve">arba 98 </w:t>
      </w:r>
      <w:r w:rsidRPr="003F6BC7">
        <w:rPr>
          <w:lang w:val="lt-LT"/>
        </w:rPr>
        <w:t>plėvele dengtos tabletės.</w:t>
      </w:r>
    </w:p>
    <w:p w14:paraId="3157E7E4" w14:textId="77777777" w:rsidR="0090581D" w:rsidRPr="003F6BC7" w:rsidRDefault="0090581D" w:rsidP="0090581D">
      <w:pPr>
        <w:rPr>
          <w:lang w:val="lt-LT"/>
        </w:rPr>
      </w:pPr>
    </w:p>
    <w:p w14:paraId="1467EBA0" w14:textId="77777777" w:rsidR="0090581D" w:rsidRPr="003F6BC7" w:rsidRDefault="0090581D" w:rsidP="0090581D">
      <w:pPr>
        <w:rPr>
          <w:lang w:val="lt-LT"/>
        </w:rPr>
      </w:pPr>
      <w:r w:rsidRPr="003F6BC7">
        <w:rPr>
          <w:lang w:val="lt-LT"/>
        </w:rPr>
        <w:t>Gali būti tiekiamos ne visų dydžių pakuotės.</w:t>
      </w:r>
    </w:p>
    <w:p w14:paraId="71C70BC6" w14:textId="77777777" w:rsidR="0090581D" w:rsidRPr="003F6BC7" w:rsidRDefault="0090581D" w:rsidP="0090581D">
      <w:pPr>
        <w:rPr>
          <w:lang w:val="lt-LT"/>
        </w:rPr>
      </w:pPr>
    </w:p>
    <w:p w14:paraId="7C1BA309" w14:textId="77777777" w:rsidR="0090581D" w:rsidRPr="003F6BC7" w:rsidRDefault="0090581D" w:rsidP="0090581D">
      <w:pPr>
        <w:ind w:left="567" w:hanging="567"/>
        <w:jc w:val="both"/>
        <w:outlineLvl w:val="3"/>
        <w:rPr>
          <w:b/>
          <w:bCs/>
          <w:lang w:val="lt-LT" w:eastAsia="lt-LT"/>
        </w:rPr>
      </w:pPr>
      <w:bookmarkStart w:id="2" w:name="OLE_LINK1"/>
      <w:r w:rsidRPr="003F6BC7">
        <w:rPr>
          <w:b/>
          <w:bCs/>
          <w:lang w:val="lt-LT" w:eastAsia="lt-LT"/>
        </w:rPr>
        <w:t>6.6</w:t>
      </w:r>
      <w:r w:rsidRPr="003F6BC7">
        <w:rPr>
          <w:b/>
          <w:bCs/>
          <w:lang w:val="lt-LT" w:eastAsia="lt-LT"/>
        </w:rPr>
        <w:tab/>
        <w:t>Specialūs reikalavimai atliekoms tvarkyti</w:t>
      </w:r>
    </w:p>
    <w:bookmarkEnd w:id="2"/>
    <w:p w14:paraId="4B4A9711" w14:textId="77777777" w:rsidR="0090581D" w:rsidRPr="003F6BC7" w:rsidRDefault="0090581D" w:rsidP="0090581D">
      <w:pPr>
        <w:rPr>
          <w:lang w:val="lt-LT"/>
        </w:rPr>
      </w:pPr>
    </w:p>
    <w:p w14:paraId="07923854" w14:textId="77777777" w:rsidR="0090581D" w:rsidRPr="003F6BC7" w:rsidRDefault="0090581D" w:rsidP="0090581D">
      <w:pPr>
        <w:rPr>
          <w:lang w:val="lt-LT"/>
        </w:rPr>
      </w:pPr>
      <w:r w:rsidRPr="003F6BC7">
        <w:rPr>
          <w:lang w:val="lt-LT"/>
        </w:rPr>
        <w:t>Specialių reikalavimų nėra.</w:t>
      </w:r>
    </w:p>
    <w:p w14:paraId="0F879721" w14:textId="77777777" w:rsidR="0090581D" w:rsidRPr="003F6BC7" w:rsidRDefault="0090581D" w:rsidP="0090581D">
      <w:pPr>
        <w:rPr>
          <w:lang w:val="lt-LT"/>
        </w:rPr>
      </w:pPr>
    </w:p>
    <w:p w14:paraId="5FBD91B2" w14:textId="77777777" w:rsidR="0090581D" w:rsidRPr="003F6BC7" w:rsidRDefault="0090581D" w:rsidP="0090581D">
      <w:pPr>
        <w:rPr>
          <w:lang w:val="lt-LT"/>
        </w:rPr>
      </w:pPr>
    </w:p>
    <w:p w14:paraId="068B4929" w14:textId="77777777" w:rsidR="0090581D" w:rsidRPr="003F6BC7" w:rsidRDefault="0090581D" w:rsidP="0090581D">
      <w:pPr>
        <w:ind w:left="567" w:hanging="567"/>
        <w:outlineLvl w:val="2"/>
        <w:rPr>
          <w:b/>
          <w:bCs/>
          <w:lang w:val="lt-LT" w:eastAsia="lt-LT"/>
        </w:rPr>
      </w:pPr>
      <w:r w:rsidRPr="003F6BC7">
        <w:rPr>
          <w:b/>
          <w:bCs/>
          <w:lang w:val="lt-LT" w:eastAsia="lt-LT"/>
        </w:rPr>
        <w:t>7.</w:t>
      </w:r>
      <w:r w:rsidRPr="003F6BC7">
        <w:rPr>
          <w:b/>
          <w:bCs/>
          <w:lang w:val="lt-LT" w:eastAsia="lt-LT"/>
        </w:rPr>
        <w:tab/>
        <w:t>REGISTRUOTOJAS</w:t>
      </w:r>
    </w:p>
    <w:p w14:paraId="28826829" w14:textId="77777777" w:rsidR="0090581D" w:rsidRPr="003F6BC7" w:rsidRDefault="0090581D" w:rsidP="0090581D">
      <w:pPr>
        <w:jc w:val="both"/>
        <w:outlineLvl w:val="3"/>
        <w:rPr>
          <w:b/>
          <w:bCs/>
          <w:lang w:val="lt-LT" w:eastAsia="lt-LT"/>
        </w:rPr>
      </w:pPr>
    </w:p>
    <w:p w14:paraId="2DE2C490" w14:textId="77777777" w:rsidR="0090581D" w:rsidRPr="003F6BC7" w:rsidRDefault="0090581D" w:rsidP="0090581D">
      <w:pPr>
        <w:rPr>
          <w:lang w:val="lt-LT"/>
        </w:rPr>
      </w:pPr>
      <w:bookmarkStart w:id="3" w:name="_Hlk58931515"/>
      <w:proofErr w:type="spellStart"/>
      <w:r w:rsidRPr="003F6BC7">
        <w:rPr>
          <w:lang w:val="lt-LT"/>
        </w:rPr>
        <w:t>Zentiva</w:t>
      </w:r>
      <w:proofErr w:type="spellEnd"/>
      <w:r w:rsidRPr="003F6BC7">
        <w:rPr>
          <w:lang w:val="lt-LT"/>
        </w:rPr>
        <w:t xml:space="preserve">, </w:t>
      </w:r>
      <w:proofErr w:type="spellStart"/>
      <w:r w:rsidRPr="003F6BC7">
        <w:rPr>
          <w:lang w:val="lt-LT"/>
        </w:rPr>
        <w:t>k.s</w:t>
      </w:r>
      <w:proofErr w:type="spellEnd"/>
      <w:r w:rsidRPr="003F6BC7">
        <w:rPr>
          <w:lang w:val="lt-LT"/>
        </w:rPr>
        <w:t>.</w:t>
      </w:r>
    </w:p>
    <w:p w14:paraId="6F9B8FB7" w14:textId="77777777" w:rsidR="0090581D" w:rsidRPr="003F6BC7" w:rsidRDefault="0090581D" w:rsidP="0090581D">
      <w:pPr>
        <w:rPr>
          <w:lang w:val="lt-LT"/>
        </w:rPr>
      </w:pPr>
      <w:r w:rsidRPr="003F6BC7">
        <w:rPr>
          <w:lang w:val="lt-LT"/>
        </w:rPr>
        <w:t xml:space="preserve">U </w:t>
      </w:r>
      <w:proofErr w:type="spellStart"/>
      <w:r w:rsidRPr="003F6BC7">
        <w:rPr>
          <w:lang w:val="lt-LT"/>
        </w:rPr>
        <w:t>kabelovny</w:t>
      </w:r>
      <w:proofErr w:type="spellEnd"/>
      <w:r w:rsidRPr="003F6BC7">
        <w:rPr>
          <w:lang w:val="lt-LT"/>
        </w:rPr>
        <w:t xml:space="preserve"> 130</w:t>
      </w:r>
    </w:p>
    <w:p w14:paraId="3DE563A8" w14:textId="77777777" w:rsidR="0090581D" w:rsidRPr="003F6BC7" w:rsidRDefault="0090581D" w:rsidP="0090581D">
      <w:pPr>
        <w:rPr>
          <w:lang w:val="lt-LT"/>
        </w:rPr>
      </w:pPr>
      <w:proofErr w:type="spellStart"/>
      <w:r w:rsidRPr="003F6BC7">
        <w:rPr>
          <w:lang w:val="lt-LT"/>
        </w:rPr>
        <w:t>Dolní</w:t>
      </w:r>
      <w:proofErr w:type="spellEnd"/>
      <w:r w:rsidRPr="003F6BC7">
        <w:rPr>
          <w:lang w:val="lt-LT"/>
        </w:rPr>
        <w:t xml:space="preserve"> </w:t>
      </w:r>
      <w:proofErr w:type="spellStart"/>
      <w:r w:rsidRPr="003F6BC7">
        <w:rPr>
          <w:lang w:val="lt-LT"/>
        </w:rPr>
        <w:t>Měcholupy</w:t>
      </w:r>
      <w:proofErr w:type="spellEnd"/>
    </w:p>
    <w:p w14:paraId="242CE765" w14:textId="77777777" w:rsidR="0090581D" w:rsidRPr="003F6BC7" w:rsidRDefault="0090581D" w:rsidP="0090581D">
      <w:pPr>
        <w:rPr>
          <w:lang w:val="lt-LT"/>
        </w:rPr>
      </w:pPr>
      <w:r w:rsidRPr="003F6BC7">
        <w:rPr>
          <w:lang w:val="lt-LT"/>
        </w:rPr>
        <w:t>102 37 Praha 10</w:t>
      </w:r>
    </w:p>
    <w:p w14:paraId="69B5CC7B" w14:textId="77777777" w:rsidR="0090581D" w:rsidRPr="003F6BC7" w:rsidRDefault="0090581D" w:rsidP="0090581D">
      <w:pPr>
        <w:rPr>
          <w:lang w:val="lt-LT"/>
        </w:rPr>
      </w:pPr>
      <w:r w:rsidRPr="003F6BC7">
        <w:rPr>
          <w:lang w:val="lt-LT"/>
        </w:rPr>
        <w:t>Čekija</w:t>
      </w:r>
    </w:p>
    <w:bookmarkEnd w:id="3"/>
    <w:p w14:paraId="7E726CC3" w14:textId="77777777" w:rsidR="0090581D" w:rsidRPr="003F6BC7" w:rsidRDefault="0090581D" w:rsidP="00501B36">
      <w:pPr>
        <w:rPr>
          <w:lang w:val="lt-LT"/>
        </w:rPr>
      </w:pPr>
    </w:p>
    <w:p w14:paraId="06C36C21" w14:textId="77777777" w:rsidR="0090581D" w:rsidRPr="003F6BC7" w:rsidRDefault="0090581D" w:rsidP="00501B36">
      <w:pPr>
        <w:rPr>
          <w:lang w:val="lt-LT"/>
        </w:rPr>
      </w:pPr>
    </w:p>
    <w:p w14:paraId="1217E810" w14:textId="77777777" w:rsidR="0090581D" w:rsidRPr="003F6BC7" w:rsidRDefault="0090581D" w:rsidP="0090581D">
      <w:pPr>
        <w:ind w:left="567" w:hanging="567"/>
        <w:outlineLvl w:val="2"/>
        <w:rPr>
          <w:b/>
          <w:bCs/>
          <w:lang w:val="lt-LT" w:eastAsia="lt-LT"/>
        </w:rPr>
      </w:pPr>
      <w:r w:rsidRPr="003F6BC7">
        <w:rPr>
          <w:b/>
          <w:bCs/>
          <w:lang w:val="lt-LT" w:eastAsia="lt-LT"/>
        </w:rPr>
        <w:t>8.</w:t>
      </w:r>
      <w:r w:rsidRPr="003F6BC7">
        <w:rPr>
          <w:b/>
          <w:bCs/>
          <w:lang w:val="lt-LT" w:eastAsia="lt-LT"/>
        </w:rPr>
        <w:tab/>
        <w:t>REGISTRACIJOS PAŽYMĖJIMO NUMERIS (-IAI)</w:t>
      </w:r>
    </w:p>
    <w:p w14:paraId="3A2E5886" w14:textId="77777777" w:rsidR="0090581D" w:rsidRPr="003F6BC7" w:rsidRDefault="0090581D" w:rsidP="0090581D">
      <w:pPr>
        <w:outlineLvl w:val="2"/>
        <w:rPr>
          <w:b/>
          <w:bCs/>
          <w:lang w:val="lt-LT" w:eastAsia="lt-LT"/>
        </w:rPr>
      </w:pPr>
    </w:p>
    <w:p w14:paraId="397FA054" w14:textId="07A78E8D" w:rsidR="00EF58EA" w:rsidRDefault="00EF58EA" w:rsidP="00EF58EA">
      <w:pPr>
        <w:rPr>
          <w:rFonts w:eastAsia="Calibri"/>
          <w:lang w:val="lt-LT" w:eastAsia="lt-LT"/>
        </w:rPr>
      </w:pPr>
      <w:r w:rsidRPr="00EF58EA">
        <w:rPr>
          <w:rFonts w:eastAsia="Calibri"/>
          <w:lang w:val="lt-LT" w:eastAsia="lt-LT"/>
        </w:rPr>
        <w:t>LT/1/21/4722/001 – N28</w:t>
      </w:r>
    </w:p>
    <w:p w14:paraId="42146A06" w14:textId="0F18D60E" w:rsidR="0067310F" w:rsidRPr="00EF58EA" w:rsidRDefault="0067310F" w:rsidP="00EF58EA">
      <w:pPr>
        <w:rPr>
          <w:rFonts w:eastAsia="Calibri"/>
          <w:lang w:val="lt-LT" w:eastAsia="lt-LT"/>
        </w:rPr>
      </w:pPr>
      <w:r>
        <w:rPr>
          <w:rFonts w:eastAsia="Calibri"/>
          <w:lang w:val="lt-LT" w:eastAsia="lt-LT"/>
        </w:rPr>
        <w:t>LT/1/21/4722/00</w:t>
      </w:r>
      <w:r w:rsidR="002F3F05">
        <w:rPr>
          <w:rFonts w:eastAsia="Calibri"/>
          <w:lang w:val="lt-LT" w:eastAsia="lt-LT"/>
        </w:rPr>
        <w:t>3</w:t>
      </w:r>
      <w:r>
        <w:rPr>
          <w:rFonts w:eastAsia="Calibri"/>
          <w:lang w:val="lt-LT" w:eastAsia="lt-LT"/>
        </w:rPr>
        <w:t xml:space="preserve"> – N56</w:t>
      </w:r>
    </w:p>
    <w:p w14:paraId="5B344A52" w14:textId="23B0BC1A" w:rsidR="0090581D" w:rsidRDefault="00EF58EA" w:rsidP="00EF58EA">
      <w:pPr>
        <w:rPr>
          <w:rFonts w:eastAsia="Calibri"/>
          <w:lang w:val="lt-LT" w:eastAsia="lt-LT"/>
        </w:rPr>
      </w:pPr>
      <w:r w:rsidRPr="00EF58EA">
        <w:rPr>
          <w:rFonts w:eastAsia="Calibri"/>
          <w:lang w:val="lt-LT" w:eastAsia="lt-LT"/>
        </w:rPr>
        <w:t>LT/1/21/4722/002 – N84</w:t>
      </w:r>
    </w:p>
    <w:p w14:paraId="4E2CFE52" w14:textId="3124293F" w:rsidR="0067310F" w:rsidRDefault="0067310F" w:rsidP="00EF58EA">
      <w:pPr>
        <w:rPr>
          <w:rFonts w:eastAsia="Calibri"/>
          <w:lang w:val="lt-LT" w:eastAsia="lt-LT"/>
        </w:rPr>
      </w:pPr>
      <w:r>
        <w:rPr>
          <w:rFonts w:eastAsia="Calibri"/>
          <w:lang w:val="lt-LT" w:eastAsia="lt-LT"/>
        </w:rPr>
        <w:t>LT/1/21/4722/00</w:t>
      </w:r>
      <w:r w:rsidR="002F3F05">
        <w:rPr>
          <w:rFonts w:eastAsia="Calibri"/>
          <w:lang w:val="lt-LT" w:eastAsia="lt-LT"/>
        </w:rPr>
        <w:t>4</w:t>
      </w:r>
      <w:r>
        <w:rPr>
          <w:rFonts w:eastAsia="Calibri"/>
          <w:lang w:val="lt-LT" w:eastAsia="lt-LT"/>
        </w:rPr>
        <w:t xml:space="preserve"> – N98</w:t>
      </w:r>
    </w:p>
    <w:p w14:paraId="7B9B2BE7" w14:textId="77777777" w:rsidR="00EF58EA" w:rsidRPr="003F6BC7" w:rsidRDefault="00EF58EA" w:rsidP="00EF58EA">
      <w:pPr>
        <w:rPr>
          <w:rFonts w:eastAsia="Calibri"/>
          <w:lang w:val="lt-LT" w:eastAsia="lt-LT"/>
        </w:rPr>
      </w:pPr>
    </w:p>
    <w:p w14:paraId="001413F2" w14:textId="77777777" w:rsidR="003F6BC7" w:rsidRPr="003F6BC7" w:rsidRDefault="003F6BC7" w:rsidP="00501B36">
      <w:pPr>
        <w:rPr>
          <w:rFonts w:eastAsia="Calibri"/>
          <w:lang w:val="lt-LT" w:eastAsia="lt-LT"/>
        </w:rPr>
      </w:pPr>
    </w:p>
    <w:p w14:paraId="1D4DCA76" w14:textId="77777777" w:rsidR="0090581D" w:rsidRPr="003F6BC7" w:rsidRDefault="0090581D" w:rsidP="0090581D">
      <w:pPr>
        <w:ind w:left="567" w:hanging="567"/>
        <w:outlineLvl w:val="2"/>
        <w:rPr>
          <w:b/>
          <w:bCs/>
          <w:lang w:val="lt-LT" w:eastAsia="lt-LT"/>
        </w:rPr>
      </w:pPr>
      <w:r w:rsidRPr="003F6BC7">
        <w:rPr>
          <w:b/>
          <w:bCs/>
          <w:lang w:val="lt-LT" w:eastAsia="lt-LT"/>
        </w:rPr>
        <w:t>9.</w:t>
      </w:r>
      <w:r w:rsidRPr="003F6BC7">
        <w:rPr>
          <w:b/>
          <w:bCs/>
          <w:lang w:val="lt-LT" w:eastAsia="lt-LT"/>
        </w:rPr>
        <w:tab/>
        <w:t>REGISTRAVIMO / PERREGISTRAVIMO DATA</w:t>
      </w:r>
    </w:p>
    <w:p w14:paraId="4C5CD667" w14:textId="77777777" w:rsidR="0090581D" w:rsidRPr="003F6BC7" w:rsidRDefault="0090581D" w:rsidP="0090581D">
      <w:pPr>
        <w:rPr>
          <w:lang w:val="lt-LT"/>
        </w:rPr>
      </w:pPr>
    </w:p>
    <w:p w14:paraId="209A041D" w14:textId="570961FA" w:rsidR="0090581D" w:rsidRPr="003F6BC7" w:rsidRDefault="0090581D" w:rsidP="0090581D">
      <w:pPr>
        <w:rPr>
          <w:snapToGrid w:val="0"/>
          <w:lang w:val="lt-LT"/>
        </w:rPr>
      </w:pPr>
      <w:r w:rsidRPr="003F6BC7">
        <w:rPr>
          <w:lang w:val="lt-LT"/>
        </w:rPr>
        <w:t>Registravimo data</w:t>
      </w:r>
      <w:r w:rsidR="003F6BC7" w:rsidRPr="003F6BC7">
        <w:rPr>
          <w:lang w:val="lt-LT"/>
        </w:rPr>
        <w:t xml:space="preserve"> </w:t>
      </w:r>
      <w:r w:rsidR="00EF58EA">
        <w:rPr>
          <w:snapToGrid w:val="0"/>
          <w:lang w:val="lt-LT"/>
        </w:rPr>
        <w:t>2021 m. balandžio 19 d.</w:t>
      </w:r>
    </w:p>
    <w:p w14:paraId="4F9C8614" w14:textId="4745110F" w:rsidR="003F6BC7" w:rsidRPr="003F6BC7" w:rsidRDefault="002D46E0" w:rsidP="0090581D">
      <w:pPr>
        <w:rPr>
          <w:snapToGrid w:val="0"/>
          <w:lang w:val="lt-LT"/>
        </w:rPr>
      </w:pPr>
      <w:r w:rsidRPr="00594277">
        <w:rPr>
          <w:lang w:val="lt-LT"/>
        </w:rPr>
        <w:t xml:space="preserve">Paskutinio </w:t>
      </w:r>
      <w:r w:rsidRPr="00594277">
        <w:rPr>
          <w:szCs w:val="24"/>
          <w:lang w:val="lt-LT"/>
        </w:rPr>
        <w:t xml:space="preserve">perregistravimo data </w:t>
      </w:r>
      <w:r w:rsidR="00897D94">
        <w:rPr>
          <w:szCs w:val="24"/>
          <w:lang w:val="lt-LT"/>
        </w:rPr>
        <w:t>2022 m. spalio 31 d.</w:t>
      </w:r>
    </w:p>
    <w:p w14:paraId="42D09A49" w14:textId="341F3134" w:rsidR="003F6BC7" w:rsidRDefault="003F6BC7" w:rsidP="0090581D">
      <w:pPr>
        <w:rPr>
          <w:snapToGrid w:val="0"/>
          <w:lang w:val="lt-LT"/>
        </w:rPr>
      </w:pPr>
    </w:p>
    <w:p w14:paraId="2BAF72A1" w14:textId="77777777" w:rsidR="00524CFE" w:rsidRPr="003F6BC7" w:rsidRDefault="00524CFE" w:rsidP="0090581D">
      <w:pPr>
        <w:rPr>
          <w:snapToGrid w:val="0"/>
          <w:lang w:val="lt-LT"/>
        </w:rPr>
      </w:pPr>
    </w:p>
    <w:p w14:paraId="57BBC75F" w14:textId="77777777" w:rsidR="003F6BC7" w:rsidRPr="003F6BC7" w:rsidRDefault="003F6BC7" w:rsidP="003F6BC7">
      <w:pPr>
        <w:keepNext/>
        <w:keepLines/>
        <w:tabs>
          <w:tab w:val="left" w:pos="720"/>
        </w:tabs>
        <w:ind w:left="567" w:hanging="567"/>
        <w:outlineLvl w:val="2"/>
        <w:rPr>
          <w:b/>
          <w:bCs/>
          <w:snapToGrid w:val="0"/>
          <w:lang w:val="lt-LT"/>
        </w:rPr>
      </w:pPr>
      <w:r w:rsidRPr="003F6BC7">
        <w:rPr>
          <w:b/>
          <w:bCs/>
          <w:snapToGrid w:val="0"/>
          <w:lang w:val="lt-LT"/>
        </w:rPr>
        <w:t>10.</w:t>
      </w:r>
      <w:r w:rsidRPr="003F6BC7">
        <w:rPr>
          <w:b/>
          <w:bCs/>
          <w:snapToGrid w:val="0"/>
          <w:lang w:val="lt-LT"/>
        </w:rPr>
        <w:tab/>
        <w:t>TEKSTO PERŽIŪROS DATA</w:t>
      </w:r>
    </w:p>
    <w:p w14:paraId="59DC7415" w14:textId="77777777" w:rsidR="003F6BC7" w:rsidRPr="003F6BC7" w:rsidRDefault="003F6BC7" w:rsidP="003F6BC7">
      <w:pPr>
        <w:keepNext/>
        <w:keepLines/>
        <w:tabs>
          <w:tab w:val="left" w:pos="720"/>
        </w:tabs>
        <w:ind w:left="567" w:hanging="567"/>
        <w:outlineLvl w:val="2"/>
        <w:rPr>
          <w:b/>
          <w:bCs/>
          <w:snapToGrid w:val="0"/>
          <w:lang w:val="lt-LT"/>
        </w:rPr>
      </w:pPr>
    </w:p>
    <w:p w14:paraId="2CA5D735" w14:textId="3B17FFB6" w:rsidR="003F6BC7" w:rsidRDefault="00897D94" w:rsidP="003F6BC7">
      <w:pPr>
        <w:tabs>
          <w:tab w:val="left" w:pos="5954"/>
          <w:tab w:val="left" w:pos="6237"/>
          <w:tab w:val="left" w:pos="6663"/>
          <w:tab w:val="left" w:pos="6946"/>
        </w:tabs>
        <w:rPr>
          <w:rFonts w:eastAsia="SimSun"/>
          <w:lang w:val="lt-LT"/>
        </w:rPr>
      </w:pPr>
      <w:r>
        <w:rPr>
          <w:szCs w:val="24"/>
          <w:lang w:val="lt-LT"/>
        </w:rPr>
        <w:t>202</w:t>
      </w:r>
      <w:r w:rsidR="000579E9">
        <w:rPr>
          <w:szCs w:val="24"/>
          <w:lang w:val="lt-LT"/>
        </w:rPr>
        <w:t>4</w:t>
      </w:r>
      <w:r>
        <w:rPr>
          <w:szCs w:val="24"/>
          <w:lang w:val="lt-LT"/>
        </w:rPr>
        <w:t xml:space="preserve"> m. </w:t>
      </w:r>
      <w:r w:rsidR="000579E9">
        <w:rPr>
          <w:szCs w:val="24"/>
          <w:lang w:val="lt-LT"/>
        </w:rPr>
        <w:t>spalio 31</w:t>
      </w:r>
      <w:r>
        <w:rPr>
          <w:szCs w:val="24"/>
          <w:lang w:val="lt-LT"/>
        </w:rPr>
        <w:t xml:space="preserve"> d.</w:t>
      </w:r>
    </w:p>
    <w:p w14:paraId="4E8A3CA2" w14:textId="77777777" w:rsidR="00897D94" w:rsidRPr="003F6BC7" w:rsidRDefault="00897D94" w:rsidP="003F6BC7">
      <w:pPr>
        <w:tabs>
          <w:tab w:val="left" w:pos="5954"/>
          <w:tab w:val="left" w:pos="6237"/>
          <w:tab w:val="left" w:pos="6663"/>
          <w:tab w:val="left" w:pos="6946"/>
        </w:tabs>
        <w:rPr>
          <w:rFonts w:eastAsia="SimSun"/>
          <w:lang w:val="lt-LT"/>
        </w:rPr>
      </w:pPr>
    </w:p>
    <w:p w14:paraId="713DC51F" w14:textId="55396A50" w:rsidR="003F6BC7" w:rsidRPr="003F6BC7" w:rsidRDefault="003F6BC7" w:rsidP="003F6BC7">
      <w:pPr>
        <w:tabs>
          <w:tab w:val="left" w:pos="5954"/>
          <w:tab w:val="left" w:pos="6237"/>
          <w:tab w:val="left" w:pos="6663"/>
          <w:tab w:val="left" w:pos="6946"/>
        </w:tabs>
        <w:rPr>
          <w:rFonts w:eastAsia="SimSun"/>
          <w:color w:val="0000FF"/>
          <w:u w:val="single"/>
          <w:lang w:val="lt-LT"/>
        </w:rPr>
      </w:pPr>
      <w:r w:rsidRPr="003F6BC7">
        <w:rPr>
          <w:rFonts w:eastAsia="SimSun"/>
          <w:lang w:val="lt-LT"/>
        </w:rPr>
        <w:t>Išsami informacija apie šį vaistinį preparatą pateikiama Valstybinės vaistų kontrolės tarnybos prie Lietuvos Respublikos sveikatos apsaugos ministerijos tinklalapyje</w:t>
      </w:r>
      <w:r w:rsidRPr="003F6BC7">
        <w:rPr>
          <w:rFonts w:eastAsia="SimSun"/>
          <w:i/>
          <w:lang w:val="lt-LT"/>
        </w:rPr>
        <w:t xml:space="preserve"> </w:t>
      </w:r>
      <w:bookmarkStart w:id="4" w:name="_Hlk174387399"/>
      <w:r w:rsidR="00470342" w:rsidRPr="00470342">
        <w:rPr>
          <w:sz w:val="24"/>
          <w:szCs w:val="20"/>
          <w:lang w:val="lt-LT"/>
        </w:rPr>
        <w:fldChar w:fldCharType="begin"/>
      </w:r>
      <w:r w:rsidR="00470342" w:rsidRPr="00470342">
        <w:rPr>
          <w:sz w:val="24"/>
          <w:szCs w:val="20"/>
          <w:lang w:val="lt-LT"/>
        </w:rPr>
        <w:instrText>HYPERLINK "https://vvkt.lrv.lt/lt/"</w:instrText>
      </w:r>
      <w:r w:rsidR="00470342" w:rsidRPr="00470342">
        <w:rPr>
          <w:sz w:val="24"/>
          <w:szCs w:val="20"/>
          <w:lang w:val="lt-LT"/>
        </w:rPr>
        <w:fldChar w:fldCharType="separate"/>
      </w:r>
      <w:r w:rsidR="00470342" w:rsidRPr="00470342">
        <w:rPr>
          <w:rFonts w:eastAsia="SimSun"/>
          <w:color w:val="0000FF"/>
          <w:u w:val="single"/>
          <w:lang w:val="lt-LT"/>
        </w:rPr>
        <w:t>https://vvkt.lrv.lt/lt/</w:t>
      </w:r>
      <w:r w:rsidR="00470342" w:rsidRPr="00470342">
        <w:rPr>
          <w:rFonts w:eastAsia="SimSun"/>
          <w:color w:val="0000FF"/>
          <w:u w:val="single"/>
          <w:lang w:val="lt-LT"/>
        </w:rPr>
        <w:fldChar w:fldCharType="end"/>
      </w:r>
      <w:r w:rsidR="00470342" w:rsidRPr="00470342">
        <w:rPr>
          <w:rFonts w:eastAsia="SimSun"/>
          <w:lang w:val="lt-LT"/>
        </w:rPr>
        <w:t>.</w:t>
      </w:r>
      <w:bookmarkEnd w:id="4"/>
    </w:p>
    <w:p w14:paraId="0D2FEDFB" w14:textId="5CABB638" w:rsidR="009003C8" w:rsidRDefault="009003C8" w:rsidP="003F6BC7">
      <w:pPr>
        <w:rPr>
          <w:lang w:val="lt-LT"/>
        </w:rPr>
      </w:pPr>
      <w:r>
        <w:rPr>
          <w:lang w:val="lt-LT"/>
        </w:rPr>
        <w:br w:type="page"/>
      </w:r>
    </w:p>
    <w:p w14:paraId="427A761C" w14:textId="77777777" w:rsidR="003F6BC7" w:rsidRPr="003F6BC7" w:rsidRDefault="003F6BC7" w:rsidP="003F6BC7">
      <w:pPr>
        <w:rPr>
          <w:lang w:val="lt-LT"/>
        </w:rPr>
      </w:pPr>
    </w:p>
    <w:p w14:paraId="02C96099" w14:textId="77777777" w:rsidR="003F6BC7" w:rsidRPr="003F6BC7" w:rsidRDefault="003F6BC7" w:rsidP="003F6BC7">
      <w:pPr>
        <w:rPr>
          <w:lang w:val="lt-LT"/>
        </w:rPr>
      </w:pPr>
    </w:p>
    <w:p w14:paraId="028B79B8" w14:textId="77777777" w:rsidR="003F6BC7" w:rsidRPr="003F6BC7" w:rsidRDefault="003F6BC7" w:rsidP="003F6BC7">
      <w:pPr>
        <w:rPr>
          <w:lang w:val="lt-LT"/>
        </w:rPr>
      </w:pPr>
    </w:p>
    <w:p w14:paraId="3BC93ACC" w14:textId="77777777" w:rsidR="003F6BC7" w:rsidRPr="003F6BC7" w:rsidRDefault="003F6BC7" w:rsidP="003F6BC7">
      <w:pPr>
        <w:rPr>
          <w:lang w:val="lt-LT"/>
        </w:rPr>
      </w:pPr>
    </w:p>
    <w:p w14:paraId="31E1825E" w14:textId="77777777" w:rsidR="003F6BC7" w:rsidRPr="003F6BC7" w:rsidRDefault="003F6BC7" w:rsidP="003F6BC7">
      <w:pPr>
        <w:rPr>
          <w:lang w:val="lt-LT"/>
        </w:rPr>
      </w:pPr>
    </w:p>
    <w:p w14:paraId="33530F50" w14:textId="77777777" w:rsidR="003F6BC7" w:rsidRPr="003F6BC7" w:rsidRDefault="003F6BC7" w:rsidP="003F6BC7">
      <w:pPr>
        <w:rPr>
          <w:lang w:val="lt-LT"/>
        </w:rPr>
      </w:pPr>
    </w:p>
    <w:p w14:paraId="147F4EA0" w14:textId="77777777" w:rsidR="003F6BC7" w:rsidRPr="003F6BC7" w:rsidRDefault="003F6BC7" w:rsidP="003F6BC7">
      <w:pPr>
        <w:rPr>
          <w:lang w:val="lt-LT"/>
        </w:rPr>
      </w:pPr>
    </w:p>
    <w:p w14:paraId="72F80C71" w14:textId="77777777" w:rsidR="003F6BC7" w:rsidRPr="003F6BC7" w:rsidRDefault="003F6BC7" w:rsidP="003F6BC7">
      <w:pPr>
        <w:rPr>
          <w:lang w:val="lt-LT"/>
        </w:rPr>
      </w:pPr>
    </w:p>
    <w:p w14:paraId="31022D5C" w14:textId="77777777" w:rsidR="003F6BC7" w:rsidRPr="003F6BC7" w:rsidRDefault="003F6BC7" w:rsidP="003F6BC7">
      <w:pPr>
        <w:rPr>
          <w:lang w:val="lt-LT"/>
        </w:rPr>
      </w:pPr>
    </w:p>
    <w:p w14:paraId="3B92E1E3" w14:textId="77777777" w:rsidR="003F6BC7" w:rsidRPr="003F6BC7" w:rsidRDefault="003F6BC7" w:rsidP="003F6BC7">
      <w:pPr>
        <w:rPr>
          <w:lang w:val="lt-LT"/>
        </w:rPr>
      </w:pPr>
    </w:p>
    <w:p w14:paraId="0CF0958A" w14:textId="77777777" w:rsidR="003F6BC7" w:rsidRPr="003F6BC7" w:rsidRDefault="003F6BC7" w:rsidP="003F6BC7">
      <w:pPr>
        <w:rPr>
          <w:lang w:val="lt-LT"/>
        </w:rPr>
      </w:pPr>
    </w:p>
    <w:p w14:paraId="04A57AF8" w14:textId="77777777" w:rsidR="003F6BC7" w:rsidRPr="003F6BC7" w:rsidRDefault="003F6BC7" w:rsidP="003F6BC7">
      <w:pPr>
        <w:rPr>
          <w:lang w:val="lt-LT"/>
        </w:rPr>
      </w:pPr>
    </w:p>
    <w:p w14:paraId="5B6B3989" w14:textId="77777777" w:rsidR="003F6BC7" w:rsidRPr="003F6BC7" w:rsidRDefault="003F6BC7" w:rsidP="003F6BC7">
      <w:pPr>
        <w:rPr>
          <w:lang w:val="lt-LT"/>
        </w:rPr>
      </w:pPr>
    </w:p>
    <w:p w14:paraId="3B8B1483" w14:textId="77777777" w:rsidR="003F6BC7" w:rsidRPr="003F6BC7" w:rsidRDefault="003F6BC7" w:rsidP="003F6BC7">
      <w:pPr>
        <w:rPr>
          <w:lang w:val="lt-LT"/>
        </w:rPr>
      </w:pPr>
    </w:p>
    <w:p w14:paraId="619EB3F7" w14:textId="77777777" w:rsidR="003F6BC7" w:rsidRPr="003F6BC7" w:rsidRDefault="003F6BC7" w:rsidP="003F6BC7">
      <w:pPr>
        <w:rPr>
          <w:lang w:val="lt-LT"/>
        </w:rPr>
      </w:pPr>
    </w:p>
    <w:p w14:paraId="206AE46C" w14:textId="77777777" w:rsidR="003F6BC7" w:rsidRPr="003F6BC7" w:rsidRDefault="003F6BC7" w:rsidP="003F6BC7">
      <w:pPr>
        <w:rPr>
          <w:lang w:val="lt-LT"/>
        </w:rPr>
      </w:pPr>
    </w:p>
    <w:p w14:paraId="3FC9C6F8" w14:textId="77777777" w:rsidR="003F6BC7" w:rsidRPr="003F6BC7" w:rsidRDefault="003F6BC7" w:rsidP="003F6BC7">
      <w:pPr>
        <w:rPr>
          <w:lang w:val="lt-LT"/>
        </w:rPr>
      </w:pPr>
    </w:p>
    <w:p w14:paraId="3AE2F9BA" w14:textId="77777777" w:rsidR="003F6BC7" w:rsidRPr="003F6BC7" w:rsidRDefault="003F6BC7" w:rsidP="003F6BC7">
      <w:pPr>
        <w:rPr>
          <w:lang w:val="lt-LT"/>
        </w:rPr>
      </w:pPr>
    </w:p>
    <w:p w14:paraId="3093220C" w14:textId="77777777" w:rsidR="003F6BC7" w:rsidRPr="003F6BC7" w:rsidRDefault="003F6BC7" w:rsidP="003F6BC7">
      <w:pPr>
        <w:rPr>
          <w:lang w:val="lt-LT"/>
        </w:rPr>
      </w:pPr>
    </w:p>
    <w:p w14:paraId="178DF928" w14:textId="77777777" w:rsidR="003F6BC7" w:rsidRPr="003F6BC7" w:rsidRDefault="003F6BC7" w:rsidP="003F6BC7">
      <w:pPr>
        <w:jc w:val="center"/>
        <w:rPr>
          <w:b/>
          <w:lang w:val="lt-LT"/>
        </w:rPr>
      </w:pPr>
    </w:p>
    <w:p w14:paraId="3C9C425B" w14:textId="77777777" w:rsidR="003F6BC7" w:rsidRPr="003F6BC7" w:rsidRDefault="003F6BC7" w:rsidP="003F6BC7">
      <w:pPr>
        <w:jc w:val="center"/>
        <w:rPr>
          <w:b/>
          <w:lang w:val="lt-LT"/>
        </w:rPr>
      </w:pPr>
    </w:p>
    <w:p w14:paraId="51AA7A32" w14:textId="77777777" w:rsidR="003F6BC7" w:rsidRPr="003F6BC7" w:rsidRDefault="003F6BC7" w:rsidP="003F6BC7">
      <w:pPr>
        <w:jc w:val="center"/>
        <w:rPr>
          <w:b/>
          <w:lang w:val="lt-LT"/>
        </w:rPr>
      </w:pPr>
    </w:p>
    <w:p w14:paraId="1B31BEF3" w14:textId="77777777" w:rsidR="009003C8" w:rsidRDefault="009003C8" w:rsidP="003F6BC7">
      <w:pPr>
        <w:jc w:val="center"/>
        <w:rPr>
          <w:b/>
          <w:lang w:val="lt-LT"/>
        </w:rPr>
      </w:pPr>
    </w:p>
    <w:p w14:paraId="141EA18A" w14:textId="6F11DBFF" w:rsidR="003F6BC7" w:rsidRPr="003F6BC7" w:rsidRDefault="003F6BC7" w:rsidP="003F6BC7">
      <w:pPr>
        <w:jc w:val="center"/>
        <w:rPr>
          <w:b/>
          <w:lang w:val="lt-LT"/>
        </w:rPr>
      </w:pPr>
      <w:r w:rsidRPr="003F6BC7">
        <w:rPr>
          <w:b/>
          <w:lang w:val="lt-LT"/>
        </w:rPr>
        <w:t>II PRIEDAS</w:t>
      </w:r>
    </w:p>
    <w:p w14:paraId="7627E8A5" w14:textId="77777777" w:rsidR="003F6BC7" w:rsidRPr="003F6BC7" w:rsidRDefault="003F6BC7" w:rsidP="003F6BC7">
      <w:pPr>
        <w:jc w:val="center"/>
        <w:rPr>
          <w:b/>
          <w:lang w:val="lt-LT"/>
        </w:rPr>
      </w:pPr>
    </w:p>
    <w:p w14:paraId="74150703" w14:textId="77777777" w:rsidR="003F6BC7" w:rsidRPr="003F6BC7" w:rsidRDefault="003F6BC7" w:rsidP="003F6BC7">
      <w:pPr>
        <w:jc w:val="center"/>
        <w:rPr>
          <w:b/>
          <w:lang w:val="lt-LT"/>
        </w:rPr>
      </w:pPr>
      <w:r w:rsidRPr="003F6BC7">
        <w:rPr>
          <w:b/>
          <w:snapToGrid w:val="0"/>
          <w:lang w:val="lt-LT"/>
        </w:rPr>
        <w:t>REGISTRACIJOS</w:t>
      </w:r>
      <w:r w:rsidRPr="003F6BC7" w:rsidDel="005C6AA5">
        <w:rPr>
          <w:b/>
          <w:lang w:val="lt-LT"/>
        </w:rPr>
        <w:t xml:space="preserve"> </w:t>
      </w:r>
      <w:r w:rsidRPr="003F6BC7">
        <w:rPr>
          <w:b/>
          <w:lang w:val="lt-LT"/>
        </w:rPr>
        <w:t>SĄLYGOS</w:t>
      </w:r>
    </w:p>
    <w:p w14:paraId="65BAEEB5" w14:textId="77777777" w:rsidR="003F6BC7" w:rsidRPr="003F6BC7" w:rsidRDefault="003F6BC7" w:rsidP="003F6BC7">
      <w:pPr>
        <w:jc w:val="center"/>
        <w:rPr>
          <w:b/>
          <w:lang w:val="lt-LT"/>
        </w:rPr>
      </w:pPr>
    </w:p>
    <w:p w14:paraId="4F646FE4" w14:textId="77777777" w:rsidR="003F6BC7" w:rsidRPr="003F6BC7" w:rsidRDefault="003F6BC7" w:rsidP="003F6BC7">
      <w:pPr>
        <w:widowControl/>
        <w:numPr>
          <w:ilvl w:val="0"/>
          <w:numId w:val="8"/>
        </w:numPr>
        <w:tabs>
          <w:tab w:val="left" w:pos="1701"/>
          <w:tab w:val="left" w:pos="7371"/>
        </w:tabs>
        <w:autoSpaceDE/>
        <w:autoSpaceDN/>
        <w:ind w:left="1701" w:hanging="567"/>
        <w:rPr>
          <w:b/>
          <w:lang w:val="lt-LT"/>
        </w:rPr>
      </w:pPr>
      <w:r w:rsidRPr="003F6BC7">
        <w:rPr>
          <w:b/>
          <w:snapToGrid w:val="0"/>
          <w:lang w:val="lt-LT"/>
        </w:rPr>
        <w:t xml:space="preserve">GAMINTOJAS (-AI), ATSAKINGAS (-I) </w:t>
      </w:r>
      <w:r w:rsidRPr="003F6BC7">
        <w:rPr>
          <w:b/>
          <w:lang w:val="lt-LT"/>
        </w:rPr>
        <w:t>UŽ SERIJŲ IŠLEIDIMĄ</w:t>
      </w:r>
    </w:p>
    <w:p w14:paraId="5B256B5F" w14:textId="77777777" w:rsidR="003F6BC7" w:rsidRPr="003F6BC7" w:rsidRDefault="003F6BC7" w:rsidP="003F6BC7">
      <w:pPr>
        <w:ind w:left="720" w:firstLine="414"/>
        <w:rPr>
          <w:b/>
          <w:lang w:val="lt-LT"/>
        </w:rPr>
      </w:pPr>
    </w:p>
    <w:p w14:paraId="45950AC8" w14:textId="4D055C45" w:rsidR="003F6BC7" w:rsidRDefault="003F6BC7" w:rsidP="003F6BC7">
      <w:pPr>
        <w:tabs>
          <w:tab w:val="left" w:pos="1134"/>
          <w:tab w:val="left" w:pos="1701"/>
        </w:tabs>
        <w:rPr>
          <w:b/>
          <w:lang w:val="lt-LT"/>
        </w:rPr>
      </w:pPr>
      <w:r w:rsidRPr="003F6BC7">
        <w:rPr>
          <w:b/>
          <w:lang w:val="lt-LT"/>
        </w:rPr>
        <w:tab/>
        <w:t>B.</w:t>
      </w:r>
      <w:r w:rsidRPr="003F6BC7">
        <w:rPr>
          <w:b/>
          <w:lang w:val="lt-LT"/>
        </w:rPr>
        <w:tab/>
        <w:t>TIEKIMO IR VARTOJIMO SĄLYGOS AR APRIBOJIMAI</w:t>
      </w:r>
    </w:p>
    <w:p w14:paraId="61B1B03C" w14:textId="77777777" w:rsidR="009003C8" w:rsidRPr="003F6BC7" w:rsidRDefault="009003C8" w:rsidP="003F6BC7">
      <w:pPr>
        <w:tabs>
          <w:tab w:val="left" w:pos="1134"/>
          <w:tab w:val="left" w:pos="1701"/>
        </w:tabs>
        <w:rPr>
          <w:lang w:val="lt-LT"/>
        </w:rPr>
      </w:pPr>
    </w:p>
    <w:p w14:paraId="7B326AFA" w14:textId="4F56AEE6" w:rsidR="009003C8" w:rsidRPr="009003C8" w:rsidRDefault="009003C8" w:rsidP="009003C8">
      <w:pPr>
        <w:widowControl/>
        <w:tabs>
          <w:tab w:val="left" w:pos="1701"/>
        </w:tabs>
        <w:autoSpaceDE/>
        <w:autoSpaceDN/>
        <w:spacing w:line="260" w:lineRule="exact"/>
        <w:ind w:left="1701" w:right="567" w:hanging="567"/>
        <w:rPr>
          <w:b/>
          <w:snapToGrid w:val="0"/>
          <w:szCs w:val="20"/>
          <w:lang w:val="lt-LT"/>
        </w:rPr>
      </w:pPr>
      <w:r w:rsidRPr="009003C8">
        <w:rPr>
          <w:b/>
          <w:snapToGrid w:val="0"/>
          <w:szCs w:val="20"/>
          <w:lang w:val="lt-LT"/>
        </w:rPr>
        <w:t>C.</w:t>
      </w:r>
      <w:r w:rsidRPr="009003C8">
        <w:rPr>
          <w:b/>
          <w:snapToGrid w:val="0"/>
          <w:szCs w:val="20"/>
          <w:lang w:val="lt-LT"/>
        </w:rPr>
        <w:tab/>
        <w:t xml:space="preserve">KITOS SĄLYGOS IR REIKALAVIMAI REGISTRUOTOJUI </w:t>
      </w:r>
    </w:p>
    <w:p w14:paraId="583EFD11" w14:textId="77777777" w:rsidR="009003C8" w:rsidRPr="009003C8" w:rsidRDefault="009003C8" w:rsidP="009003C8">
      <w:pPr>
        <w:widowControl/>
        <w:tabs>
          <w:tab w:val="left" w:pos="1701"/>
        </w:tabs>
        <w:autoSpaceDE/>
        <w:autoSpaceDN/>
        <w:spacing w:line="260" w:lineRule="exact"/>
        <w:ind w:left="1701" w:right="567" w:hanging="567"/>
        <w:rPr>
          <w:b/>
          <w:snapToGrid w:val="0"/>
          <w:szCs w:val="20"/>
          <w:lang w:val="lt-LT"/>
        </w:rPr>
      </w:pPr>
    </w:p>
    <w:p w14:paraId="037F65F2" w14:textId="4B809734" w:rsidR="009003C8" w:rsidRPr="009003C8" w:rsidRDefault="009003C8" w:rsidP="009003C8">
      <w:pPr>
        <w:widowControl/>
        <w:tabs>
          <w:tab w:val="left" w:pos="1701"/>
        </w:tabs>
        <w:autoSpaceDE/>
        <w:autoSpaceDN/>
        <w:spacing w:line="260" w:lineRule="exact"/>
        <w:ind w:left="1701" w:right="567" w:hanging="567"/>
        <w:rPr>
          <w:b/>
          <w:snapToGrid w:val="0"/>
          <w:szCs w:val="20"/>
          <w:lang w:val="lt-LT"/>
        </w:rPr>
      </w:pPr>
      <w:r w:rsidRPr="009003C8">
        <w:rPr>
          <w:b/>
          <w:snapToGrid w:val="0"/>
          <w:szCs w:val="20"/>
          <w:lang w:val="lt-LT"/>
        </w:rPr>
        <w:t>D.</w:t>
      </w:r>
      <w:r w:rsidRPr="009003C8">
        <w:rPr>
          <w:b/>
          <w:snapToGrid w:val="0"/>
          <w:szCs w:val="20"/>
          <w:lang w:val="lt-LT"/>
        </w:rPr>
        <w:tab/>
      </w:r>
      <w:r w:rsidRPr="009003C8">
        <w:rPr>
          <w:b/>
          <w:caps/>
          <w:noProof/>
          <w:snapToGrid w:val="0"/>
          <w:szCs w:val="24"/>
          <w:lang w:val="lt-LT"/>
        </w:rPr>
        <w:t>SĄLYGOS AR APRIBOJIMAI SAUGIAM IR VEIKSMINGAM VAISTINIO PREPARATO VARTOJIMUI UŽTIKRINTI</w:t>
      </w:r>
    </w:p>
    <w:p w14:paraId="4976B68D" w14:textId="77777777" w:rsidR="009003C8" w:rsidRPr="009003C8" w:rsidRDefault="009003C8" w:rsidP="009003C8">
      <w:pPr>
        <w:widowControl/>
        <w:tabs>
          <w:tab w:val="left" w:pos="1701"/>
        </w:tabs>
        <w:autoSpaceDE/>
        <w:autoSpaceDN/>
        <w:spacing w:line="260" w:lineRule="exact"/>
        <w:ind w:left="1701" w:right="567" w:hanging="567"/>
        <w:rPr>
          <w:b/>
          <w:snapToGrid w:val="0"/>
          <w:szCs w:val="20"/>
          <w:lang w:val="lt-LT"/>
        </w:rPr>
      </w:pPr>
    </w:p>
    <w:p w14:paraId="01CB6A62" w14:textId="77777777" w:rsidR="003F6BC7" w:rsidRPr="003F6BC7" w:rsidRDefault="003F6BC7" w:rsidP="003F6BC7">
      <w:pPr>
        <w:rPr>
          <w:lang w:val="lt-LT"/>
        </w:rPr>
      </w:pPr>
    </w:p>
    <w:p w14:paraId="73BCEF44" w14:textId="77777777" w:rsidR="003F6BC7" w:rsidRPr="003F6BC7" w:rsidRDefault="003F6BC7" w:rsidP="003F6BC7">
      <w:pPr>
        <w:tabs>
          <w:tab w:val="left" w:pos="567"/>
        </w:tabs>
        <w:outlineLvl w:val="0"/>
        <w:rPr>
          <w:b/>
          <w:lang w:val="lt-LT"/>
        </w:rPr>
      </w:pPr>
      <w:r w:rsidRPr="003F6BC7">
        <w:rPr>
          <w:lang w:val="lt-LT"/>
        </w:rPr>
        <w:br w:type="page"/>
      </w:r>
      <w:r w:rsidRPr="003F6BC7">
        <w:rPr>
          <w:b/>
          <w:lang w:val="lt-LT"/>
        </w:rPr>
        <w:lastRenderedPageBreak/>
        <w:t>A.</w:t>
      </w:r>
      <w:r w:rsidRPr="003F6BC7">
        <w:rPr>
          <w:b/>
          <w:lang w:val="lt-LT"/>
        </w:rPr>
        <w:tab/>
      </w:r>
      <w:r w:rsidRPr="003F6BC7">
        <w:rPr>
          <w:b/>
          <w:snapToGrid w:val="0"/>
          <w:lang w:val="lt-LT"/>
        </w:rPr>
        <w:t xml:space="preserve">GAMINTOJAS (-AI), ATSAKINGAS (-I) </w:t>
      </w:r>
      <w:r w:rsidRPr="003F6BC7">
        <w:rPr>
          <w:b/>
          <w:lang w:val="lt-LT"/>
        </w:rPr>
        <w:t>UŽ SERIJŲ IŠLEIDIMĄ</w:t>
      </w:r>
    </w:p>
    <w:p w14:paraId="3233F05A" w14:textId="77777777" w:rsidR="003F6BC7" w:rsidRPr="003F6BC7" w:rsidRDefault="003F6BC7" w:rsidP="003F6BC7">
      <w:pPr>
        <w:rPr>
          <w:highlight w:val="yellow"/>
          <w:lang w:val="lt-LT"/>
        </w:rPr>
      </w:pPr>
    </w:p>
    <w:p w14:paraId="0D9885CA" w14:textId="77777777" w:rsidR="003F6BC7" w:rsidRPr="003F6BC7" w:rsidRDefault="003F6BC7" w:rsidP="003F6BC7">
      <w:pPr>
        <w:tabs>
          <w:tab w:val="left" w:pos="567"/>
        </w:tabs>
        <w:jc w:val="both"/>
        <w:rPr>
          <w:snapToGrid w:val="0"/>
          <w:lang w:val="lt-LT"/>
        </w:rPr>
      </w:pPr>
      <w:r w:rsidRPr="003F6BC7">
        <w:rPr>
          <w:snapToGrid w:val="0"/>
          <w:u w:val="single"/>
          <w:lang w:val="lt-LT"/>
        </w:rPr>
        <w:t>Gamintojo (-ų), atsakingo (-ų) už serijų išleidimą, pavadinimas (-ai) ir adresas (-ai)</w:t>
      </w:r>
    </w:p>
    <w:p w14:paraId="2F5148BC" w14:textId="77777777" w:rsidR="003F6BC7" w:rsidRPr="003F6BC7" w:rsidRDefault="003F6BC7" w:rsidP="003F6BC7">
      <w:pPr>
        <w:rPr>
          <w:highlight w:val="yellow"/>
          <w:lang w:val="lt-LT"/>
        </w:rPr>
      </w:pPr>
    </w:p>
    <w:p w14:paraId="5C603088" w14:textId="77777777" w:rsidR="0060085D" w:rsidRPr="003F6BC7" w:rsidRDefault="0060085D" w:rsidP="0060085D">
      <w:pPr>
        <w:rPr>
          <w:lang w:val="lt-LT"/>
        </w:rPr>
      </w:pPr>
      <w:proofErr w:type="spellStart"/>
      <w:r w:rsidRPr="003F6BC7">
        <w:rPr>
          <w:lang w:val="lt-LT"/>
        </w:rPr>
        <w:t>Zentiva</w:t>
      </w:r>
      <w:proofErr w:type="spellEnd"/>
      <w:r w:rsidRPr="003F6BC7">
        <w:rPr>
          <w:lang w:val="lt-LT"/>
        </w:rPr>
        <w:t xml:space="preserve">, </w:t>
      </w:r>
      <w:proofErr w:type="spellStart"/>
      <w:r w:rsidRPr="003F6BC7">
        <w:rPr>
          <w:lang w:val="lt-LT"/>
        </w:rPr>
        <w:t>k.s</w:t>
      </w:r>
      <w:proofErr w:type="spellEnd"/>
      <w:r w:rsidRPr="003F6BC7">
        <w:rPr>
          <w:lang w:val="lt-LT"/>
        </w:rPr>
        <w:t>.</w:t>
      </w:r>
    </w:p>
    <w:p w14:paraId="7132C23F" w14:textId="77777777" w:rsidR="0060085D" w:rsidRPr="003F6BC7" w:rsidRDefault="0060085D" w:rsidP="0060085D">
      <w:pPr>
        <w:rPr>
          <w:lang w:val="lt-LT"/>
        </w:rPr>
      </w:pPr>
      <w:r w:rsidRPr="003F6BC7">
        <w:rPr>
          <w:lang w:val="lt-LT"/>
        </w:rPr>
        <w:t xml:space="preserve">U </w:t>
      </w:r>
      <w:proofErr w:type="spellStart"/>
      <w:r w:rsidRPr="003F6BC7">
        <w:rPr>
          <w:lang w:val="lt-LT"/>
        </w:rPr>
        <w:t>kabelovny</w:t>
      </w:r>
      <w:proofErr w:type="spellEnd"/>
      <w:r w:rsidRPr="003F6BC7">
        <w:rPr>
          <w:lang w:val="lt-LT"/>
        </w:rPr>
        <w:t xml:space="preserve"> 130</w:t>
      </w:r>
    </w:p>
    <w:p w14:paraId="4352D9DB" w14:textId="77777777" w:rsidR="0060085D" w:rsidRPr="003F6BC7" w:rsidRDefault="0060085D" w:rsidP="0060085D">
      <w:pPr>
        <w:rPr>
          <w:lang w:val="lt-LT"/>
        </w:rPr>
      </w:pPr>
      <w:proofErr w:type="spellStart"/>
      <w:r w:rsidRPr="003F6BC7">
        <w:rPr>
          <w:lang w:val="lt-LT"/>
        </w:rPr>
        <w:t>Dolní</w:t>
      </w:r>
      <w:proofErr w:type="spellEnd"/>
      <w:r w:rsidRPr="003F6BC7">
        <w:rPr>
          <w:lang w:val="lt-LT"/>
        </w:rPr>
        <w:t xml:space="preserve"> </w:t>
      </w:r>
      <w:proofErr w:type="spellStart"/>
      <w:r w:rsidRPr="003F6BC7">
        <w:rPr>
          <w:lang w:val="lt-LT"/>
        </w:rPr>
        <w:t>Měcholupy</w:t>
      </w:r>
      <w:proofErr w:type="spellEnd"/>
    </w:p>
    <w:p w14:paraId="5C7C80D9" w14:textId="77777777" w:rsidR="0060085D" w:rsidRPr="003F6BC7" w:rsidRDefault="0060085D" w:rsidP="0060085D">
      <w:pPr>
        <w:rPr>
          <w:lang w:val="lt-LT"/>
        </w:rPr>
      </w:pPr>
      <w:r w:rsidRPr="003F6BC7">
        <w:rPr>
          <w:lang w:val="lt-LT"/>
        </w:rPr>
        <w:t>102 37 Praha 10</w:t>
      </w:r>
    </w:p>
    <w:p w14:paraId="2F67D9F4" w14:textId="77777777" w:rsidR="0060085D" w:rsidRPr="003F6BC7" w:rsidRDefault="0060085D" w:rsidP="0060085D">
      <w:pPr>
        <w:rPr>
          <w:lang w:val="lt-LT"/>
        </w:rPr>
      </w:pPr>
      <w:r w:rsidRPr="003F6BC7">
        <w:rPr>
          <w:lang w:val="lt-LT"/>
        </w:rPr>
        <w:t>Čekija</w:t>
      </w:r>
    </w:p>
    <w:p w14:paraId="3E21264E" w14:textId="77777777" w:rsidR="003F6BC7" w:rsidRPr="003F6BC7" w:rsidRDefault="003F6BC7" w:rsidP="003F6BC7">
      <w:pPr>
        <w:rPr>
          <w:highlight w:val="yellow"/>
          <w:lang w:val="lt-LT"/>
        </w:rPr>
      </w:pPr>
    </w:p>
    <w:p w14:paraId="18C74ED0" w14:textId="77777777" w:rsidR="003F6BC7" w:rsidRPr="003F6BC7" w:rsidRDefault="003F6BC7" w:rsidP="003F6BC7">
      <w:pPr>
        <w:rPr>
          <w:highlight w:val="yellow"/>
          <w:lang w:val="lt-LT"/>
        </w:rPr>
      </w:pPr>
    </w:p>
    <w:p w14:paraId="31273830" w14:textId="77777777" w:rsidR="003F6BC7" w:rsidRPr="003F6BC7" w:rsidRDefault="003F6BC7" w:rsidP="003F6BC7">
      <w:pPr>
        <w:ind w:left="567" w:hanging="567"/>
        <w:outlineLvl w:val="0"/>
        <w:rPr>
          <w:b/>
          <w:lang w:val="lt-LT"/>
        </w:rPr>
      </w:pPr>
      <w:r w:rsidRPr="003F6BC7">
        <w:rPr>
          <w:b/>
          <w:lang w:val="lt-LT"/>
        </w:rPr>
        <w:t>B.</w:t>
      </w:r>
      <w:r w:rsidRPr="003F6BC7">
        <w:rPr>
          <w:b/>
          <w:lang w:val="lt-LT"/>
        </w:rPr>
        <w:tab/>
        <w:t>TIEKIMO IR VARTOJIMO SĄLYGOS AR APRIBOJIMAI</w:t>
      </w:r>
    </w:p>
    <w:p w14:paraId="48A34CDF" w14:textId="77777777" w:rsidR="003F6BC7" w:rsidRPr="003F6BC7" w:rsidRDefault="003F6BC7" w:rsidP="003F6BC7">
      <w:pPr>
        <w:rPr>
          <w:lang w:val="lt-LT"/>
        </w:rPr>
      </w:pPr>
    </w:p>
    <w:p w14:paraId="3BC8F322" w14:textId="77777777" w:rsidR="003F6BC7" w:rsidRPr="003F6BC7" w:rsidRDefault="003F6BC7" w:rsidP="003F6BC7">
      <w:pPr>
        <w:numPr>
          <w:ilvl w:val="12"/>
          <w:numId w:val="0"/>
        </w:numPr>
        <w:rPr>
          <w:lang w:val="lt-LT"/>
        </w:rPr>
      </w:pPr>
      <w:r w:rsidRPr="003F6BC7">
        <w:rPr>
          <w:lang w:val="lt-LT"/>
        </w:rPr>
        <w:t>Receptinis vaistinis preparatas.</w:t>
      </w:r>
    </w:p>
    <w:p w14:paraId="27243D50" w14:textId="77777777" w:rsidR="003F6BC7" w:rsidRPr="003F6BC7" w:rsidRDefault="003F6BC7" w:rsidP="003F6BC7">
      <w:pPr>
        <w:jc w:val="both"/>
        <w:rPr>
          <w:position w:val="6"/>
          <w:lang w:val="lt-LT"/>
        </w:rPr>
      </w:pPr>
    </w:p>
    <w:p w14:paraId="3450F75C" w14:textId="77777777" w:rsidR="003F6BC7" w:rsidRPr="003F6BC7" w:rsidRDefault="003F6BC7" w:rsidP="003F6BC7">
      <w:pPr>
        <w:jc w:val="both"/>
        <w:rPr>
          <w:position w:val="6"/>
          <w:lang w:val="lt-LT"/>
        </w:rPr>
      </w:pPr>
    </w:p>
    <w:p w14:paraId="21B3AF8A" w14:textId="1319133E" w:rsidR="009003C8" w:rsidRPr="009003C8" w:rsidRDefault="009003C8" w:rsidP="009003C8">
      <w:pPr>
        <w:widowControl/>
        <w:tabs>
          <w:tab w:val="left" w:pos="567"/>
        </w:tabs>
        <w:autoSpaceDE/>
        <w:autoSpaceDN/>
        <w:spacing w:line="260" w:lineRule="exact"/>
        <w:rPr>
          <w:b/>
          <w:snapToGrid w:val="0"/>
          <w:szCs w:val="20"/>
          <w:lang w:val="lt-LT"/>
        </w:rPr>
      </w:pPr>
      <w:r w:rsidRPr="009003C8">
        <w:rPr>
          <w:b/>
          <w:snapToGrid w:val="0"/>
          <w:szCs w:val="20"/>
          <w:lang w:val="lt-LT"/>
        </w:rPr>
        <w:t>C.</w:t>
      </w:r>
      <w:r w:rsidRPr="009003C8">
        <w:rPr>
          <w:b/>
          <w:snapToGrid w:val="0"/>
          <w:szCs w:val="20"/>
          <w:lang w:val="lt-LT"/>
        </w:rPr>
        <w:tab/>
      </w:r>
      <w:r w:rsidRPr="009003C8">
        <w:rPr>
          <w:b/>
          <w:snapToGrid w:val="0"/>
          <w:szCs w:val="24"/>
          <w:lang w:val="lt-LT"/>
        </w:rPr>
        <w:t>KITOS SĄLYGOS IR REIKALAVIMAI REGISTRUOTOJU</w:t>
      </w:r>
      <w:r>
        <w:rPr>
          <w:b/>
          <w:snapToGrid w:val="0"/>
          <w:szCs w:val="24"/>
          <w:lang w:val="lt-LT"/>
        </w:rPr>
        <w:t>I</w:t>
      </w:r>
    </w:p>
    <w:p w14:paraId="0561F92F" w14:textId="77777777" w:rsidR="009003C8" w:rsidRPr="009003C8" w:rsidRDefault="009003C8" w:rsidP="009003C8">
      <w:pPr>
        <w:widowControl/>
        <w:tabs>
          <w:tab w:val="left" w:pos="567"/>
        </w:tabs>
        <w:autoSpaceDE/>
        <w:autoSpaceDN/>
        <w:spacing w:line="260" w:lineRule="exact"/>
        <w:ind w:right="-1"/>
        <w:rPr>
          <w:i/>
          <w:snapToGrid w:val="0"/>
          <w:szCs w:val="20"/>
          <w:u w:val="single"/>
          <w:lang w:val="lt-LT"/>
        </w:rPr>
      </w:pPr>
    </w:p>
    <w:p w14:paraId="1AA12E75" w14:textId="77777777" w:rsidR="009003C8" w:rsidRPr="009003C8" w:rsidRDefault="009003C8" w:rsidP="009003C8">
      <w:pPr>
        <w:widowControl/>
        <w:numPr>
          <w:ilvl w:val="0"/>
          <w:numId w:val="14"/>
        </w:numPr>
        <w:tabs>
          <w:tab w:val="left" w:pos="567"/>
        </w:tabs>
        <w:autoSpaceDE/>
        <w:autoSpaceDN/>
        <w:spacing w:line="260" w:lineRule="exact"/>
        <w:ind w:right="-1" w:hanging="720"/>
        <w:rPr>
          <w:b/>
          <w:snapToGrid w:val="0"/>
          <w:szCs w:val="24"/>
          <w:lang w:val="lt-LT"/>
        </w:rPr>
      </w:pPr>
      <w:r w:rsidRPr="009003C8">
        <w:rPr>
          <w:b/>
          <w:snapToGrid w:val="0"/>
          <w:szCs w:val="20"/>
          <w:lang w:val="lt-LT"/>
        </w:rPr>
        <w:t>Periodiškai atnaujinami saugumo protokolai (PASP)</w:t>
      </w:r>
    </w:p>
    <w:p w14:paraId="348002B1" w14:textId="77777777" w:rsidR="009003C8" w:rsidRPr="009003C8" w:rsidRDefault="009003C8" w:rsidP="009003C8">
      <w:pPr>
        <w:widowControl/>
        <w:tabs>
          <w:tab w:val="left" w:pos="0"/>
          <w:tab w:val="left" w:pos="567"/>
        </w:tabs>
        <w:autoSpaceDE/>
        <w:autoSpaceDN/>
        <w:spacing w:line="260" w:lineRule="exact"/>
        <w:ind w:right="567"/>
        <w:rPr>
          <w:snapToGrid w:val="0"/>
          <w:szCs w:val="24"/>
          <w:lang w:val="lt-LT"/>
        </w:rPr>
      </w:pPr>
    </w:p>
    <w:p w14:paraId="6713EAB8" w14:textId="699A46D9" w:rsidR="009003C8" w:rsidRPr="009003C8" w:rsidRDefault="009003C8" w:rsidP="009003C8">
      <w:pPr>
        <w:widowControl/>
        <w:tabs>
          <w:tab w:val="left" w:pos="0"/>
          <w:tab w:val="left" w:pos="567"/>
        </w:tabs>
        <w:autoSpaceDE/>
        <w:autoSpaceDN/>
        <w:spacing w:line="260" w:lineRule="exact"/>
        <w:rPr>
          <w:i/>
          <w:snapToGrid w:val="0"/>
          <w:szCs w:val="24"/>
          <w:lang w:val="lt-LT"/>
        </w:rPr>
      </w:pPr>
      <w:r w:rsidRPr="009003C8">
        <w:rPr>
          <w:noProof/>
          <w:snapToGrid w:val="0"/>
          <w:szCs w:val="24"/>
          <w:lang w:val="lt-LT"/>
        </w:rPr>
        <w:t xml:space="preserve">Registruotojas šio vaistinio preparato periodiškai atnaujinamus saugumo protokolus teikia remdamasis Direktyvos 2001/83/EB 107c straipsnio 7 dalyje numatytame Sąjungos </w:t>
      </w:r>
      <w:r w:rsidRPr="009003C8">
        <w:rPr>
          <w:snapToGrid w:val="0"/>
          <w:szCs w:val="24"/>
          <w:lang w:val="lt-LT"/>
        </w:rPr>
        <w:t xml:space="preserve">referencinių </w:t>
      </w:r>
      <w:r w:rsidRPr="009003C8">
        <w:rPr>
          <w:noProof/>
          <w:snapToGrid w:val="0"/>
          <w:szCs w:val="24"/>
          <w:lang w:val="lt-LT"/>
        </w:rPr>
        <w:t>datų sąraše (</w:t>
      </w:r>
      <w:r w:rsidRPr="009003C8">
        <w:rPr>
          <w:i/>
          <w:noProof/>
          <w:snapToGrid w:val="0"/>
          <w:szCs w:val="24"/>
          <w:lang w:val="lt-LT"/>
        </w:rPr>
        <w:t>EURD</w:t>
      </w:r>
      <w:r w:rsidRPr="009003C8">
        <w:rPr>
          <w:noProof/>
          <w:snapToGrid w:val="0"/>
          <w:szCs w:val="24"/>
          <w:lang w:val="lt-LT"/>
        </w:rPr>
        <w:t xml:space="preserve"> sąraše), kuris skelbiamas Europos vaistų </w:t>
      </w:r>
      <w:r w:rsidRPr="009003C8">
        <w:rPr>
          <w:snapToGrid w:val="0"/>
          <w:szCs w:val="24"/>
          <w:lang w:val="lt-LT"/>
        </w:rPr>
        <w:t>tinklalapyje</w:t>
      </w:r>
      <w:r w:rsidRPr="009003C8">
        <w:rPr>
          <w:noProof/>
          <w:snapToGrid w:val="0"/>
          <w:szCs w:val="24"/>
          <w:lang w:val="lt-LT"/>
        </w:rPr>
        <w:t>, nustatytais reikalavimais.</w:t>
      </w:r>
    </w:p>
    <w:p w14:paraId="022074E8" w14:textId="77777777" w:rsidR="009003C8" w:rsidRPr="009003C8" w:rsidRDefault="009003C8" w:rsidP="009003C8">
      <w:pPr>
        <w:widowControl/>
        <w:tabs>
          <w:tab w:val="left" w:pos="0"/>
          <w:tab w:val="left" w:pos="567"/>
        </w:tabs>
        <w:autoSpaceDE/>
        <w:autoSpaceDN/>
        <w:spacing w:line="260" w:lineRule="exact"/>
        <w:ind w:right="567"/>
        <w:rPr>
          <w:i/>
          <w:snapToGrid w:val="0"/>
          <w:szCs w:val="24"/>
          <w:lang w:val="lt-LT"/>
        </w:rPr>
      </w:pPr>
    </w:p>
    <w:p w14:paraId="374334DA" w14:textId="77777777" w:rsidR="009003C8" w:rsidRPr="009003C8" w:rsidRDefault="009003C8" w:rsidP="009003C8">
      <w:pPr>
        <w:widowControl/>
        <w:tabs>
          <w:tab w:val="left" w:pos="567"/>
        </w:tabs>
        <w:autoSpaceDE/>
        <w:autoSpaceDN/>
        <w:spacing w:line="260" w:lineRule="exact"/>
        <w:ind w:right="-1"/>
        <w:rPr>
          <w:i/>
          <w:noProof/>
          <w:snapToGrid w:val="0"/>
          <w:szCs w:val="24"/>
          <w:u w:val="single"/>
          <w:lang w:val="lt-LT"/>
        </w:rPr>
      </w:pPr>
    </w:p>
    <w:p w14:paraId="284F607F" w14:textId="55350741" w:rsidR="009003C8" w:rsidRPr="009003C8" w:rsidRDefault="009003C8" w:rsidP="009003C8">
      <w:pPr>
        <w:widowControl/>
        <w:tabs>
          <w:tab w:val="left" w:pos="567"/>
        </w:tabs>
        <w:autoSpaceDE/>
        <w:autoSpaceDN/>
        <w:spacing w:line="260" w:lineRule="exact"/>
        <w:ind w:left="567" w:hanging="567"/>
        <w:rPr>
          <w:b/>
          <w:snapToGrid w:val="0"/>
          <w:szCs w:val="24"/>
          <w:lang w:val="lt-LT"/>
        </w:rPr>
      </w:pPr>
      <w:r w:rsidRPr="009003C8">
        <w:rPr>
          <w:b/>
          <w:noProof/>
          <w:snapToGrid w:val="0"/>
          <w:szCs w:val="24"/>
          <w:lang w:val="lt-LT"/>
        </w:rPr>
        <w:t>D.</w:t>
      </w:r>
      <w:r w:rsidRPr="009003C8">
        <w:rPr>
          <w:b/>
          <w:snapToGrid w:val="0"/>
          <w:szCs w:val="24"/>
          <w:lang w:val="lt-LT"/>
        </w:rPr>
        <w:tab/>
      </w:r>
      <w:r w:rsidRPr="009003C8">
        <w:rPr>
          <w:b/>
          <w:noProof/>
          <w:snapToGrid w:val="0"/>
          <w:szCs w:val="24"/>
          <w:lang w:val="lt-LT"/>
        </w:rPr>
        <w:t>SĄLYGOS AR APRIBOJIMAI, SKIRTI SAUGIAM IR VEIKSMINGAM VAISTINIO PREPARATO VARTOJIMUI UŽTIKRINTI</w:t>
      </w:r>
    </w:p>
    <w:p w14:paraId="08359EB0" w14:textId="77777777" w:rsidR="009003C8" w:rsidRPr="009003C8" w:rsidRDefault="009003C8" w:rsidP="009003C8">
      <w:pPr>
        <w:widowControl/>
        <w:tabs>
          <w:tab w:val="left" w:pos="567"/>
        </w:tabs>
        <w:autoSpaceDE/>
        <w:autoSpaceDN/>
        <w:spacing w:line="260" w:lineRule="exact"/>
        <w:ind w:right="-1"/>
        <w:rPr>
          <w:i/>
          <w:noProof/>
          <w:snapToGrid w:val="0"/>
          <w:szCs w:val="24"/>
          <w:u w:val="single"/>
          <w:lang w:val="lt-LT"/>
        </w:rPr>
      </w:pPr>
    </w:p>
    <w:p w14:paraId="0C158268" w14:textId="77777777" w:rsidR="009003C8" w:rsidRPr="009003C8" w:rsidRDefault="009003C8" w:rsidP="009003C8">
      <w:pPr>
        <w:widowControl/>
        <w:numPr>
          <w:ilvl w:val="0"/>
          <w:numId w:val="14"/>
        </w:numPr>
        <w:tabs>
          <w:tab w:val="left" w:pos="567"/>
        </w:tabs>
        <w:autoSpaceDE/>
        <w:autoSpaceDN/>
        <w:spacing w:line="260" w:lineRule="exact"/>
        <w:ind w:right="-1" w:hanging="720"/>
        <w:rPr>
          <w:b/>
          <w:snapToGrid w:val="0"/>
          <w:szCs w:val="24"/>
          <w:lang w:val="lt-LT"/>
        </w:rPr>
      </w:pPr>
      <w:r w:rsidRPr="009003C8">
        <w:rPr>
          <w:b/>
          <w:snapToGrid w:val="0"/>
          <w:szCs w:val="20"/>
          <w:lang w:val="lt-LT"/>
        </w:rPr>
        <w:t>Rizikos valdymo planas (RVP)</w:t>
      </w:r>
    </w:p>
    <w:p w14:paraId="303899A9" w14:textId="77777777" w:rsidR="009003C8" w:rsidRPr="009003C8" w:rsidRDefault="009003C8" w:rsidP="009003C8">
      <w:pPr>
        <w:widowControl/>
        <w:tabs>
          <w:tab w:val="left" w:pos="567"/>
        </w:tabs>
        <w:autoSpaceDE/>
        <w:autoSpaceDN/>
        <w:spacing w:line="260" w:lineRule="exact"/>
        <w:ind w:left="720" w:right="-1"/>
        <w:rPr>
          <w:b/>
          <w:snapToGrid w:val="0"/>
          <w:szCs w:val="24"/>
          <w:lang w:val="lt-LT"/>
        </w:rPr>
      </w:pPr>
    </w:p>
    <w:p w14:paraId="066BC5FC" w14:textId="77777777" w:rsidR="009003C8" w:rsidRPr="009003C8" w:rsidRDefault="009003C8" w:rsidP="009003C8">
      <w:pPr>
        <w:widowControl/>
        <w:tabs>
          <w:tab w:val="left" w:pos="0"/>
          <w:tab w:val="left" w:pos="567"/>
        </w:tabs>
        <w:autoSpaceDE/>
        <w:autoSpaceDN/>
        <w:spacing w:line="260" w:lineRule="exact"/>
        <w:rPr>
          <w:snapToGrid w:val="0"/>
          <w:szCs w:val="20"/>
          <w:lang w:val="lt-LT"/>
        </w:rPr>
      </w:pPr>
      <w:r w:rsidRPr="009003C8">
        <w:rPr>
          <w:snapToGrid w:val="0"/>
          <w:szCs w:val="20"/>
          <w:lang w:val="lt-LT"/>
        </w:rPr>
        <w:t xml:space="preserve">Registruotojas atlieka reikalaujamą farmakologinio budrumo veiklą ir veiksmus, kurie išsamiai aprašyti </w:t>
      </w:r>
      <w:r w:rsidRPr="009003C8">
        <w:rPr>
          <w:snapToGrid w:val="0"/>
          <w:szCs w:val="24"/>
          <w:lang w:val="lt-LT"/>
        </w:rPr>
        <w:t xml:space="preserve"> </w:t>
      </w:r>
      <w:r w:rsidRPr="009003C8">
        <w:rPr>
          <w:snapToGrid w:val="0"/>
          <w:szCs w:val="20"/>
          <w:lang w:val="lt-LT"/>
        </w:rPr>
        <w:t>registracijos bylos 1.8.2 modulyje pateiktame RVP ir suderintose tolesnėse jo versijose.</w:t>
      </w:r>
    </w:p>
    <w:p w14:paraId="6F970300" w14:textId="77777777" w:rsidR="009003C8" w:rsidRPr="009003C8" w:rsidRDefault="009003C8" w:rsidP="009003C8">
      <w:pPr>
        <w:widowControl/>
        <w:tabs>
          <w:tab w:val="left" w:pos="567"/>
        </w:tabs>
        <w:autoSpaceDE/>
        <w:autoSpaceDN/>
        <w:spacing w:line="260" w:lineRule="exact"/>
        <w:rPr>
          <w:snapToGrid w:val="0"/>
          <w:color w:val="008000"/>
          <w:szCs w:val="20"/>
          <w:lang w:val="lt-LT"/>
        </w:rPr>
      </w:pPr>
    </w:p>
    <w:p w14:paraId="0F5B0885" w14:textId="77777777" w:rsidR="009003C8" w:rsidRPr="009003C8" w:rsidRDefault="009003C8" w:rsidP="009003C8">
      <w:pPr>
        <w:widowControl/>
        <w:tabs>
          <w:tab w:val="left" w:pos="567"/>
        </w:tabs>
        <w:autoSpaceDE/>
        <w:autoSpaceDN/>
        <w:spacing w:line="260" w:lineRule="exact"/>
        <w:ind w:right="-1"/>
        <w:rPr>
          <w:i/>
          <w:snapToGrid w:val="0"/>
          <w:szCs w:val="20"/>
          <w:lang w:val="lt-LT"/>
        </w:rPr>
      </w:pPr>
      <w:r w:rsidRPr="009003C8">
        <w:rPr>
          <w:snapToGrid w:val="0"/>
          <w:szCs w:val="24"/>
          <w:lang w:val="lt-LT"/>
        </w:rPr>
        <w:t>Atnaujintas rizikos valdymo planas turi būti pateiktas</w:t>
      </w:r>
      <w:r w:rsidRPr="009003C8">
        <w:rPr>
          <w:snapToGrid w:val="0"/>
          <w:szCs w:val="20"/>
          <w:lang w:val="lt-LT"/>
        </w:rPr>
        <w:t>:</w:t>
      </w:r>
    </w:p>
    <w:p w14:paraId="326290FD" w14:textId="77777777" w:rsidR="009003C8" w:rsidRPr="009003C8" w:rsidRDefault="009003C8" w:rsidP="009003C8">
      <w:pPr>
        <w:widowControl/>
        <w:numPr>
          <w:ilvl w:val="0"/>
          <w:numId w:val="13"/>
        </w:numPr>
        <w:tabs>
          <w:tab w:val="left" w:pos="567"/>
        </w:tabs>
        <w:autoSpaceDE/>
        <w:autoSpaceDN/>
        <w:spacing w:line="260" w:lineRule="exact"/>
        <w:ind w:right="-1"/>
        <w:rPr>
          <w:i/>
          <w:noProof/>
          <w:snapToGrid w:val="0"/>
          <w:szCs w:val="24"/>
          <w:lang w:val="lt-LT"/>
        </w:rPr>
      </w:pPr>
      <w:r w:rsidRPr="009003C8">
        <w:rPr>
          <w:snapToGrid w:val="0"/>
          <w:szCs w:val="24"/>
          <w:lang w:val="lt-LT"/>
        </w:rPr>
        <w:t>pareikalavus Valstybinei vaistų kontrolės tarnybai prie Lietuvos Respublikos sveikatos apsaugos ministerijos</w:t>
      </w:r>
      <w:r w:rsidRPr="009003C8">
        <w:rPr>
          <w:i/>
          <w:noProof/>
          <w:snapToGrid w:val="0"/>
          <w:szCs w:val="24"/>
          <w:lang w:val="lt-LT"/>
        </w:rPr>
        <w:t>;</w:t>
      </w:r>
    </w:p>
    <w:p w14:paraId="0A60F602" w14:textId="77777777" w:rsidR="009003C8" w:rsidRPr="009003C8" w:rsidRDefault="009003C8" w:rsidP="009003C8">
      <w:pPr>
        <w:widowControl/>
        <w:numPr>
          <w:ilvl w:val="0"/>
          <w:numId w:val="13"/>
        </w:numPr>
        <w:tabs>
          <w:tab w:val="left" w:pos="567"/>
        </w:tabs>
        <w:autoSpaceDE/>
        <w:autoSpaceDN/>
        <w:spacing w:line="260" w:lineRule="exact"/>
        <w:ind w:left="567" w:right="-1" w:hanging="207"/>
        <w:rPr>
          <w:snapToGrid w:val="0"/>
          <w:szCs w:val="20"/>
          <w:lang w:val="lt-LT"/>
        </w:rPr>
      </w:pPr>
      <w:r w:rsidRPr="009003C8">
        <w:rPr>
          <w:snapToGrid w:val="0"/>
          <w:szCs w:val="20"/>
          <w:lang w:val="lt-LT"/>
        </w:rPr>
        <w:t>kai keičiama rizikos valdymo sistema, ypač gavus naujos informacijos, kuri gali lemti didelį naudos ir rizikos santykio pokytį arba pasiekus svarbų (farmakologinio budrumo ar rizikos mažinimo) etapą.</w:t>
      </w:r>
    </w:p>
    <w:p w14:paraId="61AFE1AF" w14:textId="77777777" w:rsidR="009003C8" w:rsidRPr="009003C8" w:rsidRDefault="009003C8" w:rsidP="009003C8">
      <w:pPr>
        <w:widowControl/>
        <w:tabs>
          <w:tab w:val="left" w:pos="567"/>
        </w:tabs>
        <w:autoSpaceDE/>
        <w:autoSpaceDN/>
        <w:spacing w:line="260" w:lineRule="exact"/>
        <w:ind w:right="-1"/>
        <w:rPr>
          <w:i/>
          <w:snapToGrid w:val="0"/>
          <w:szCs w:val="20"/>
          <w:lang w:val="lt-LT"/>
        </w:rPr>
      </w:pPr>
    </w:p>
    <w:p w14:paraId="3371D283" w14:textId="7AA73C05" w:rsidR="009003C8" w:rsidRPr="009003C8" w:rsidRDefault="009003C8" w:rsidP="009003C8">
      <w:pPr>
        <w:widowControl/>
        <w:numPr>
          <w:ilvl w:val="0"/>
          <w:numId w:val="14"/>
        </w:numPr>
        <w:tabs>
          <w:tab w:val="left" w:pos="567"/>
        </w:tabs>
        <w:autoSpaceDE/>
        <w:autoSpaceDN/>
        <w:spacing w:line="260" w:lineRule="exact"/>
        <w:ind w:right="-1" w:hanging="720"/>
        <w:rPr>
          <w:i/>
          <w:noProof/>
          <w:snapToGrid w:val="0"/>
          <w:szCs w:val="24"/>
          <w:lang w:val="lt-LT"/>
        </w:rPr>
      </w:pPr>
      <w:r w:rsidRPr="009003C8">
        <w:rPr>
          <w:b/>
          <w:snapToGrid w:val="0"/>
          <w:szCs w:val="20"/>
          <w:lang w:val="lt-LT"/>
        </w:rPr>
        <w:t>Papildomos rizikos mažinimo priemonės</w:t>
      </w:r>
    </w:p>
    <w:p w14:paraId="30A5C08F" w14:textId="77777777" w:rsidR="009003C8" w:rsidRPr="009003C8" w:rsidRDefault="009003C8" w:rsidP="009003C8">
      <w:pPr>
        <w:widowControl/>
        <w:tabs>
          <w:tab w:val="left" w:pos="567"/>
        </w:tabs>
        <w:autoSpaceDE/>
        <w:autoSpaceDN/>
        <w:spacing w:line="260" w:lineRule="exact"/>
        <w:ind w:right="-1"/>
        <w:rPr>
          <w:i/>
          <w:noProof/>
          <w:snapToGrid w:val="0"/>
          <w:szCs w:val="24"/>
          <w:lang w:val="lt-LT"/>
        </w:rPr>
      </w:pPr>
    </w:p>
    <w:p w14:paraId="169D0C97" w14:textId="48FD07F2" w:rsidR="004B6B19" w:rsidRPr="007C37E3" w:rsidRDefault="004B6B19" w:rsidP="004B6B19">
      <w:pPr>
        <w:ind w:right="567"/>
        <w:rPr>
          <w:lang w:val="lt-LT"/>
        </w:rPr>
      </w:pPr>
      <w:r w:rsidRPr="007C37E3">
        <w:rPr>
          <w:lang w:val="lt-LT"/>
        </w:rPr>
        <w:t>R</w:t>
      </w:r>
      <w:r>
        <w:rPr>
          <w:lang w:val="lt-LT"/>
        </w:rPr>
        <w:t>egistruotojas</w:t>
      </w:r>
      <w:r w:rsidRPr="007C37E3">
        <w:rPr>
          <w:lang w:val="lt-LT"/>
        </w:rPr>
        <w:t xml:space="preserve"> prieš išleidžiant vaistinį preparatą į šalies rinką įsipareigoja gydytojo </w:t>
      </w:r>
      <w:r w:rsidR="00433739">
        <w:rPr>
          <w:lang w:val="lt-LT"/>
        </w:rPr>
        <w:t>ir paciento mokomosios medžiagos</w:t>
      </w:r>
      <w:r w:rsidRPr="007C37E3">
        <w:rPr>
          <w:lang w:val="lt-LT"/>
        </w:rPr>
        <w:t xml:space="preserve"> formatą</w:t>
      </w:r>
      <w:r w:rsidR="00433739">
        <w:rPr>
          <w:lang w:val="lt-LT"/>
        </w:rPr>
        <w:t>,</w:t>
      </w:r>
      <w:r w:rsidRPr="007C37E3">
        <w:rPr>
          <w:lang w:val="lt-LT"/>
        </w:rPr>
        <w:t xml:space="preserve"> turinį </w:t>
      </w:r>
      <w:r w:rsidR="00433739">
        <w:rPr>
          <w:lang w:val="lt-LT"/>
        </w:rPr>
        <w:t xml:space="preserve">ir platinimo būdus </w:t>
      </w:r>
      <w:r w:rsidRPr="007C37E3">
        <w:rPr>
          <w:lang w:val="lt-LT"/>
        </w:rPr>
        <w:t>suderinti su konkrečios šalies kompete</w:t>
      </w:r>
      <w:r>
        <w:rPr>
          <w:lang w:val="lt-LT"/>
        </w:rPr>
        <w:t>n</w:t>
      </w:r>
      <w:r w:rsidRPr="007C37E3">
        <w:rPr>
          <w:lang w:val="lt-LT"/>
        </w:rPr>
        <w:t>tingomis institucijomis.</w:t>
      </w:r>
    </w:p>
    <w:p w14:paraId="5DEFE359" w14:textId="625D1955" w:rsidR="009003C8" w:rsidRDefault="009003C8" w:rsidP="009003C8">
      <w:pPr>
        <w:widowControl/>
        <w:tabs>
          <w:tab w:val="left" w:pos="567"/>
        </w:tabs>
        <w:autoSpaceDE/>
        <w:autoSpaceDN/>
        <w:spacing w:line="260" w:lineRule="exact"/>
        <w:ind w:right="-1"/>
        <w:rPr>
          <w:b/>
          <w:snapToGrid w:val="0"/>
          <w:szCs w:val="24"/>
          <w:lang w:val="lt-LT"/>
        </w:rPr>
      </w:pPr>
    </w:p>
    <w:p w14:paraId="606A5F4D" w14:textId="5D3D517C" w:rsidR="004B6B19" w:rsidRDefault="004B6B19" w:rsidP="004B6B19">
      <w:pPr>
        <w:ind w:right="567"/>
        <w:rPr>
          <w:lang w:val="lt-LT"/>
        </w:rPr>
      </w:pPr>
      <w:r w:rsidRPr="007C37E3">
        <w:rPr>
          <w:lang w:val="lt-LT"/>
        </w:rPr>
        <w:t xml:space="preserve">Gydytojo </w:t>
      </w:r>
      <w:r>
        <w:rPr>
          <w:lang w:val="lt-LT"/>
        </w:rPr>
        <w:t xml:space="preserve">mokomojoje medžiagoje (t. y. </w:t>
      </w:r>
      <w:r w:rsidRPr="007C37E3">
        <w:rPr>
          <w:lang w:val="lt-LT"/>
        </w:rPr>
        <w:t>vaisto skyrimo vadove</w:t>
      </w:r>
      <w:r>
        <w:rPr>
          <w:lang w:val="lt-LT"/>
        </w:rPr>
        <w:t>)</w:t>
      </w:r>
      <w:r w:rsidRPr="007C37E3">
        <w:rPr>
          <w:lang w:val="lt-LT"/>
        </w:rPr>
        <w:t xml:space="preserve"> turi būti </w:t>
      </w:r>
      <w:r>
        <w:rPr>
          <w:lang w:val="lt-LT"/>
        </w:rPr>
        <w:t xml:space="preserve">pateikta </w:t>
      </w:r>
      <w:r w:rsidRPr="007C37E3">
        <w:rPr>
          <w:lang w:val="lt-LT"/>
        </w:rPr>
        <w:t xml:space="preserve">ši </w:t>
      </w:r>
      <w:r w:rsidRPr="00824300">
        <w:rPr>
          <w:lang w:val="lt-LT"/>
        </w:rPr>
        <w:t>esminė informacija</w:t>
      </w:r>
      <w:r w:rsidRPr="007C37E3">
        <w:rPr>
          <w:lang w:val="lt-LT"/>
        </w:rPr>
        <w:t>:</w:t>
      </w:r>
    </w:p>
    <w:p w14:paraId="08248D8C" w14:textId="18D7A394" w:rsidR="004B6B19" w:rsidRPr="007C37E3" w:rsidRDefault="004B6B19" w:rsidP="00590ABF">
      <w:pPr>
        <w:widowControl/>
        <w:numPr>
          <w:ilvl w:val="0"/>
          <w:numId w:val="18"/>
        </w:numPr>
        <w:autoSpaceDE/>
        <w:autoSpaceDN/>
        <w:ind w:left="567" w:right="567" w:hanging="207"/>
        <w:rPr>
          <w:lang w:val="lt-LT"/>
        </w:rPr>
      </w:pPr>
      <w:r w:rsidRPr="007C37E3">
        <w:rPr>
          <w:lang w:val="lt-LT"/>
        </w:rPr>
        <w:t xml:space="preserve">būtinybė informuoti pacientus apie galimą </w:t>
      </w:r>
      <w:proofErr w:type="spellStart"/>
      <w:r w:rsidRPr="007C37E3">
        <w:rPr>
          <w:lang w:val="lt-LT"/>
        </w:rPr>
        <w:t>transaminazių</w:t>
      </w:r>
      <w:proofErr w:type="spellEnd"/>
      <w:r w:rsidRPr="007C37E3">
        <w:rPr>
          <w:lang w:val="lt-LT"/>
        </w:rPr>
        <w:t xml:space="preserve"> kiekio padidėjimo</w:t>
      </w:r>
      <w:r>
        <w:rPr>
          <w:lang w:val="lt-LT"/>
        </w:rPr>
        <w:t>, kepenų pažeidimo</w:t>
      </w:r>
      <w:r w:rsidRPr="007C37E3">
        <w:rPr>
          <w:lang w:val="lt-LT"/>
        </w:rPr>
        <w:t xml:space="preserve"> ir sąveikos su stipriais CYP 1A2 inhibitoriais (pvz., </w:t>
      </w:r>
      <w:proofErr w:type="spellStart"/>
      <w:r w:rsidRPr="007C37E3">
        <w:rPr>
          <w:lang w:val="lt-LT"/>
        </w:rPr>
        <w:t>fluvoksaminu</w:t>
      </w:r>
      <w:proofErr w:type="spellEnd"/>
      <w:r w:rsidRPr="007C37E3">
        <w:rPr>
          <w:lang w:val="lt-LT"/>
        </w:rPr>
        <w:t xml:space="preserve">, </w:t>
      </w:r>
      <w:proofErr w:type="spellStart"/>
      <w:r w:rsidRPr="007C37E3">
        <w:rPr>
          <w:lang w:val="lt-LT"/>
        </w:rPr>
        <w:t>ciprofloksacinu</w:t>
      </w:r>
      <w:proofErr w:type="spellEnd"/>
      <w:r w:rsidRPr="007C37E3">
        <w:rPr>
          <w:lang w:val="lt-LT"/>
        </w:rPr>
        <w:t>) riziką;</w:t>
      </w:r>
    </w:p>
    <w:p w14:paraId="7D56E635" w14:textId="23AB10C0" w:rsidR="004B6B19" w:rsidRDefault="004B6B19" w:rsidP="000F31B0">
      <w:pPr>
        <w:widowControl/>
        <w:numPr>
          <w:ilvl w:val="0"/>
          <w:numId w:val="18"/>
        </w:numPr>
        <w:autoSpaceDE/>
        <w:autoSpaceDN/>
        <w:ind w:right="567"/>
        <w:rPr>
          <w:lang w:val="lt-LT"/>
        </w:rPr>
      </w:pPr>
      <w:r w:rsidRPr="007C37E3">
        <w:rPr>
          <w:lang w:val="lt-LT"/>
        </w:rPr>
        <w:t xml:space="preserve">būtinybė atlikti kepenų funkcijos tyrimus visiems pacientams </w:t>
      </w:r>
      <w:r>
        <w:rPr>
          <w:lang w:val="lt-LT"/>
        </w:rPr>
        <w:t xml:space="preserve">prieš pradedant </w:t>
      </w:r>
      <w:r w:rsidRPr="007C37E3">
        <w:rPr>
          <w:lang w:val="lt-LT"/>
        </w:rPr>
        <w:t>gydym</w:t>
      </w:r>
      <w:r>
        <w:rPr>
          <w:lang w:val="lt-LT"/>
        </w:rPr>
        <w:t>ą</w:t>
      </w:r>
      <w:r w:rsidRPr="007C37E3">
        <w:rPr>
          <w:lang w:val="lt-LT"/>
        </w:rPr>
        <w:t xml:space="preserve"> ir periodiškai vėliau maždaug po trijų, šešių (ūminės fazės pabaigoje), dvylikos ir dvidešimt keturių savaičių (palaikomosios fazės pabaigoje), ir vėliau, </w:t>
      </w:r>
      <w:r w:rsidR="00EE65CC" w:rsidRPr="00EE65CC">
        <w:rPr>
          <w:lang w:val="lt-LT"/>
        </w:rPr>
        <w:t xml:space="preserve">jeigu </w:t>
      </w:r>
      <w:r w:rsidR="002F4C64">
        <w:rPr>
          <w:lang w:val="lt-LT"/>
        </w:rPr>
        <w:t>kliniškai reikalinga</w:t>
      </w:r>
      <w:r w:rsidRPr="007C37E3">
        <w:rPr>
          <w:lang w:val="lt-LT"/>
        </w:rPr>
        <w:t>;</w:t>
      </w:r>
    </w:p>
    <w:p w14:paraId="09CA81DC" w14:textId="77777777" w:rsidR="004B6B19" w:rsidRPr="007C37E3" w:rsidRDefault="004B6B19" w:rsidP="00590ABF">
      <w:pPr>
        <w:widowControl/>
        <w:numPr>
          <w:ilvl w:val="0"/>
          <w:numId w:val="18"/>
        </w:numPr>
        <w:autoSpaceDE/>
        <w:autoSpaceDN/>
        <w:ind w:left="567" w:right="567" w:hanging="207"/>
        <w:rPr>
          <w:lang w:val="lt-LT"/>
        </w:rPr>
      </w:pPr>
      <w:r>
        <w:rPr>
          <w:lang w:val="lt-LT"/>
        </w:rPr>
        <w:lastRenderedPageBreak/>
        <w:t xml:space="preserve">būtinybė visiems pacientams, kuriems dozė yra didinama, </w:t>
      </w:r>
      <w:r w:rsidRPr="00985534">
        <w:rPr>
          <w:lang w:val="lt-LT"/>
        </w:rPr>
        <w:t>atlikti kepenų funkcijos tyrimus</w:t>
      </w:r>
      <w:r>
        <w:rPr>
          <w:lang w:val="lt-LT"/>
        </w:rPr>
        <w:t xml:space="preserve"> </w:t>
      </w:r>
      <w:r w:rsidRPr="00985534">
        <w:rPr>
          <w:lang w:val="lt-LT"/>
        </w:rPr>
        <w:t>tokiu pa</w:t>
      </w:r>
      <w:r>
        <w:rPr>
          <w:lang w:val="lt-LT"/>
        </w:rPr>
        <w:t>t</w:t>
      </w:r>
      <w:r w:rsidRPr="00985534">
        <w:rPr>
          <w:lang w:val="lt-LT"/>
        </w:rPr>
        <w:t xml:space="preserve"> dažniu kaip ir pradedant gydymą</w:t>
      </w:r>
      <w:r>
        <w:rPr>
          <w:lang w:val="lt-LT"/>
        </w:rPr>
        <w:t>;</w:t>
      </w:r>
    </w:p>
    <w:p w14:paraId="38E4791D" w14:textId="77777777" w:rsidR="004B6B19" w:rsidRDefault="004B6B19" w:rsidP="00590ABF">
      <w:pPr>
        <w:pStyle w:val="bulletlist-1dsdouble-spaced"/>
        <w:numPr>
          <w:ilvl w:val="0"/>
          <w:numId w:val="18"/>
        </w:numPr>
        <w:spacing w:before="0" w:beforeAutospacing="0" w:after="0" w:afterAutospacing="0"/>
        <w:ind w:left="567" w:hanging="207"/>
        <w:rPr>
          <w:rFonts w:ascii="Times New Roman" w:hAnsi="Times New Roman" w:cs="Times New Roman"/>
          <w:sz w:val="22"/>
          <w:szCs w:val="22"/>
        </w:rPr>
      </w:pPr>
      <w:r w:rsidRPr="007C37E3">
        <w:rPr>
          <w:rFonts w:ascii="Times New Roman" w:hAnsi="Times New Roman" w:cs="Times New Roman"/>
          <w:sz w:val="22"/>
          <w:szCs w:val="22"/>
        </w:rPr>
        <w:t xml:space="preserve">nurodymai esant klinikiniams </w:t>
      </w:r>
      <w:r>
        <w:rPr>
          <w:rFonts w:ascii="Times New Roman" w:hAnsi="Times New Roman" w:cs="Times New Roman"/>
          <w:sz w:val="22"/>
          <w:szCs w:val="22"/>
        </w:rPr>
        <w:t xml:space="preserve">sutrikusios kepenų veiklos </w:t>
      </w:r>
      <w:r w:rsidRPr="007C37E3">
        <w:rPr>
          <w:rFonts w:ascii="Times New Roman" w:hAnsi="Times New Roman" w:cs="Times New Roman"/>
          <w:sz w:val="22"/>
          <w:szCs w:val="22"/>
        </w:rPr>
        <w:t>simptomams</w:t>
      </w:r>
      <w:r>
        <w:rPr>
          <w:rFonts w:ascii="Times New Roman" w:hAnsi="Times New Roman" w:cs="Times New Roman"/>
          <w:sz w:val="22"/>
          <w:szCs w:val="22"/>
        </w:rPr>
        <w:t>;</w:t>
      </w:r>
    </w:p>
    <w:p w14:paraId="30071D1C" w14:textId="77777777" w:rsidR="004B6B19" w:rsidRPr="007C37E3" w:rsidRDefault="004B6B19" w:rsidP="00590ABF">
      <w:pPr>
        <w:pStyle w:val="bulletlist-1dsdouble-spaced"/>
        <w:numPr>
          <w:ilvl w:val="0"/>
          <w:numId w:val="18"/>
        </w:numPr>
        <w:spacing w:before="0" w:beforeAutospacing="0" w:after="0" w:afterAutospacing="0"/>
        <w:ind w:left="567" w:hanging="207"/>
        <w:rPr>
          <w:rFonts w:ascii="Times New Roman" w:hAnsi="Times New Roman" w:cs="Times New Roman"/>
          <w:sz w:val="22"/>
          <w:szCs w:val="22"/>
        </w:rPr>
      </w:pPr>
      <w:r>
        <w:rPr>
          <w:rFonts w:ascii="Times New Roman" w:hAnsi="Times New Roman" w:cs="Times New Roman"/>
          <w:sz w:val="22"/>
          <w:szCs w:val="22"/>
        </w:rPr>
        <w:t>nurodymai esant</w:t>
      </w:r>
      <w:r w:rsidRPr="007C37E3">
        <w:rPr>
          <w:rFonts w:ascii="Times New Roman" w:hAnsi="Times New Roman" w:cs="Times New Roman"/>
          <w:sz w:val="22"/>
          <w:szCs w:val="22"/>
        </w:rPr>
        <w:t xml:space="preserve"> </w:t>
      </w:r>
      <w:r>
        <w:rPr>
          <w:rFonts w:ascii="Times New Roman" w:hAnsi="Times New Roman" w:cs="Times New Roman"/>
          <w:sz w:val="22"/>
          <w:szCs w:val="22"/>
        </w:rPr>
        <w:t>pakitusiems</w:t>
      </w:r>
      <w:r w:rsidRPr="00136A3F">
        <w:rPr>
          <w:rFonts w:ascii="Times New Roman" w:hAnsi="Times New Roman" w:cs="Times New Roman"/>
          <w:sz w:val="22"/>
          <w:szCs w:val="22"/>
        </w:rPr>
        <w:t xml:space="preserve"> </w:t>
      </w:r>
      <w:r w:rsidRPr="007C37E3">
        <w:rPr>
          <w:rFonts w:ascii="Times New Roman" w:hAnsi="Times New Roman" w:cs="Times New Roman"/>
          <w:sz w:val="22"/>
          <w:szCs w:val="22"/>
        </w:rPr>
        <w:t>kepenų funkcijos tyrimams;</w:t>
      </w:r>
    </w:p>
    <w:p w14:paraId="1BF49144" w14:textId="4CBFD09C" w:rsidR="004B6B19" w:rsidRPr="007C37E3" w:rsidRDefault="004B6B19" w:rsidP="00590ABF">
      <w:pPr>
        <w:widowControl/>
        <w:numPr>
          <w:ilvl w:val="0"/>
          <w:numId w:val="18"/>
        </w:numPr>
        <w:autoSpaceDE/>
        <w:autoSpaceDN/>
        <w:ind w:left="567" w:right="567" w:hanging="207"/>
        <w:rPr>
          <w:lang w:val="lt-LT"/>
        </w:rPr>
      </w:pPr>
      <w:r w:rsidRPr="007C37E3">
        <w:rPr>
          <w:lang w:val="lt-LT"/>
        </w:rPr>
        <w:t xml:space="preserve">reikiamos atsargumo priemonės, kai gydymas yra skiriamas pacientams, kuriems prieš gydymo pradžią </w:t>
      </w:r>
      <w:proofErr w:type="spellStart"/>
      <w:r w:rsidRPr="007C37E3">
        <w:rPr>
          <w:lang w:val="lt-LT"/>
        </w:rPr>
        <w:t>transaminazių</w:t>
      </w:r>
      <w:proofErr w:type="spellEnd"/>
      <w:r w:rsidRPr="007C37E3">
        <w:rPr>
          <w:lang w:val="lt-LT"/>
        </w:rPr>
        <w:t xml:space="preserve"> </w:t>
      </w:r>
      <w:r w:rsidR="002F4C64">
        <w:rPr>
          <w:lang w:val="lt-LT"/>
        </w:rPr>
        <w:t>aktyvumas</w:t>
      </w:r>
      <w:r w:rsidRPr="007C37E3">
        <w:rPr>
          <w:lang w:val="lt-LT"/>
        </w:rPr>
        <w:t xml:space="preserve"> yra padidėjęs (</w:t>
      </w:r>
      <w:r w:rsidR="002F4C64">
        <w:rPr>
          <w:lang w:val="lt-LT"/>
        </w:rPr>
        <w:t>didesnis</w:t>
      </w:r>
      <w:r w:rsidRPr="007C37E3">
        <w:rPr>
          <w:lang w:val="lt-LT"/>
        </w:rPr>
        <w:t xml:space="preserve"> už viršutinę normalaus lygio ribą ir &lt;</w:t>
      </w:r>
      <w:r w:rsidR="00EE65CC">
        <w:rPr>
          <w:lang w:val="lt-LT"/>
        </w:rPr>
        <w:t> </w:t>
      </w:r>
      <w:r w:rsidRPr="007C37E3">
        <w:rPr>
          <w:lang w:val="lt-LT"/>
        </w:rPr>
        <w:t xml:space="preserve">3 kartus </w:t>
      </w:r>
      <w:r>
        <w:rPr>
          <w:lang w:val="lt-LT"/>
        </w:rPr>
        <w:t>didesnis</w:t>
      </w:r>
      <w:r w:rsidRPr="00136A3F">
        <w:rPr>
          <w:lang w:val="lt-LT"/>
        </w:rPr>
        <w:t xml:space="preserve"> </w:t>
      </w:r>
      <w:r w:rsidRPr="007C37E3">
        <w:rPr>
          <w:lang w:val="lt-LT"/>
        </w:rPr>
        <w:t>už viršutinę normalaus lygio ribą);</w:t>
      </w:r>
    </w:p>
    <w:p w14:paraId="1075AC3B" w14:textId="77777777" w:rsidR="004B6B19" w:rsidRPr="007C37E3" w:rsidRDefault="004B6B19" w:rsidP="00590ABF">
      <w:pPr>
        <w:widowControl/>
        <w:numPr>
          <w:ilvl w:val="0"/>
          <w:numId w:val="18"/>
        </w:numPr>
        <w:autoSpaceDE/>
        <w:autoSpaceDN/>
        <w:ind w:left="567" w:right="567" w:hanging="207"/>
        <w:rPr>
          <w:lang w:val="lt-LT"/>
        </w:rPr>
      </w:pPr>
      <w:r w:rsidRPr="007C37E3">
        <w:rPr>
          <w:lang w:val="lt-LT"/>
        </w:rPr>
        <w:t xml:space="preserve">reikiamos atsargumo priemonės, kai gydymas yra skiriamas pacientams, kuriems yra kepenų pažeidimo rizikos </w:t>
      </w:r>
      <w:r>
        <w:rPr>
          <w:lang w:val="lt-LT"/>
        </w:rPr>
        <w:t>veiksnių</w:t>
      </w:r>
      <w:r w:rsidRPr="007C37E3">
        <w:rPr>
          <w:lang w:val="lt-LT"/>
        </w:rPr>
        <w:t>, pvz.</w:t>
      </w:r>
      <w:r>
        <w:rPr>
          <w:lang w:val="lt-LT"/>
        </w:rPr>
        <w:t>:</w:t>
      </w:r>
      <w:r w:rsidRPr="007C37E3">
        <w:rPr>
          <w:lang w:val="lt-LT"/>
        </w:rPr>
        <w:t xml:space="preserve"> nutukimas</w:t>
      </w:r>
      <w:r>
        <w:rPr>
          <w:lang w:val="lt-LT"/>
        </w:rPr>
        <w:t>,</w:t>
      </w:r>
      <w:r w:rsidRPr="007C37E3">
        <w:rPr>
          <w:lang w:val="lt-LT"/>
        </w:rPr>
        <w:t xml:space="preserve"> </w:t>
      </w:r>
      <w:r>
        <w:rPr>
          <w:lang w:val="lt-LT"/>
        </w:rPr>
        <w:t>ant</w:t>
      </w:r>
      <w:r w:rsidRPr="007C37E3">
        <w:rPr>
          <w:lang w:val="lt-LT"/>
        </w:rPr>
        <w:t>svoris</w:t>
      </w:r>
      <w:r>
        <w:rPr>
          <w:lang w:val="lt-LT"/>
        </w:rPr>
        <w:t>,</w:t>
      </w:r>
      <w:r w:rsidRPr="007C37E3">
        <w:rPr>
          <w:lang w:val="lt-LT"/>
        </w:rPr>
        <w:t xml:space="preserve"> nealkoholinės kilmės suriebėjusių kepenų liga, </w:t>
      </w:r>
      <w:r>
        <w:rPr>
          <w:lang w:val="lt-LT"/>
        </w:rPr>
        <w:t xml:space="preserve">diabetas, alkoholio vartojimo sutrikimas ir (arba) </w:t>
      </w:r>
      <w:r w:rsidRPr="007C37E3">
        <w:rPr>
          <w:lang w:val="lt-LT"/>
        </w:rPr>
        <w:t xml:space="preserve">žymus alkoholio </w:t>
      </w:r>
      <w:r>
        <w:rPr>
          <w:lang w:val="lt-LT"/>
        </w:rPr>
        <w:t>su</w:t>
      </w:r>
      <w:r w:rsidRPr="007C37E3">
        <w:rPr>
          <w:lang w:val="lt-LT"/>
        </w:rPr>
        <w:t>vartojimas arba kartu vartojami vaistiniai preparatai, susiję su kepenų pažeidimo rizika;</w:t>
      </w:r>
    </w:p>
    <w:p w14:paraId="0D5D14B3" w14:textId="5B0A3C6E" w:rsidR="004B6B19" w:rsidRDefault="004B6B19" w:rsidP="00590ABF">
      <w:pPr>
        <w:pStyle w:val="bulletlist-1dsdouble-spaced"/>
        <w:numPr>
          <w:ilvl w:val="0"/>
          <w:numId w:val="18"/>
        </w:numPr>
        <w:spacing w:before="0" w:beforeAutospacing="0" w:after="0" w:afterAutospacing="0"/>
        <w:ind w:left="567" w:hanging="207"/>
        <w:rPr>
          <w:rFonts w:ascii="Times New Roman" w:hAnsi="Times New Roman" w:cs="Times New Roman"/>
          <w:sz w:val="22"/>
          <w:szCs w:val="22"/>
        </w:rPr>
      </w:pPr>
      <w:r w:rsidRPr="007C37E3">
        <w:rPr>
          <w:rFonts w:ascii="Times New Roman" w:hAnsi="Times New Roman" w:cs="Times New Roman"/>
          <w:sz w:val="22"/>
          <w:szCs w:val="22"/>
        </w:rPr>
        <w:t xml:space="preserve">kontraindikacijos skirti pacientams, </w:t>
      </w:r>
      <w:r w:rsidR="002F4C64">
        <w:rPr>
          <w:rFonts w:ascii="Times New Roman" w:hAnsi="Times New Roman" w:cs="Times New Roman"/>
          <w:sz w:val="22"/>
          <w:szCs w:val="22"/>
        </w:rPr>
        <w:t>kurių kepenų funkcija sutrikusi</w:t>
      </w:r>
      <w:r w:rsidRPr="007C37E3">
        <w:rPr>
          <w:rFonts w:ascii="Times New Roman" w:hAnsi="Times New Roman" w:cs="Times New Roman"/>
          <w:sz w:val="22"/>
          <w:szCs w:val="22"/>
        </w:rPr>
        <w:t xml:space="preserve"> (pvz., sergantiems ciroze ar aktyvia kepenų liga);</w:t>
      </w:r>
    </w:p>
    <w:p w14:paraId="46EFD285" w14:textId="77777777" w:rsidR="004B6B19" w:rsidRPr="007C37E3" w:rsidRDefault="004B6B19" w:rsidP="00590ABF">
      <w:pPr>
        <w:pStyle w:val="bulletlist-1dsdouble-spaced"/>
        <w:numPr>
          <w:ilvl w:val="0"/>
          <w:numId w:val="18"/>
        </w:numPr>
        <w:spacing w:before="0" w:beforeAutospacing="0" w:after="0" w:afterAutospacing="0"/>
        <w:ind w:left="567" w:hanging="207"/>
        <w:rPr>
          <w:rFonts w:ascii="Times New Roman" w:hAnsi="Times New Roman" w:cs="Times New Roman"/>
          <w:sz w:val="22"/>
          <w:szCs w:val="22"/>
        </w:rPr>
      </w:pPr>
      <w:r>
        <w:rPr>
          <w:rFonts w:ascii="Times New Roman" w:hAnsi="Times New Roman" w:cs="Times New Roman"/>
          <w:sz w:val="22"/>
          <w:szCs w:val="22"/>
        </w:rPr>
        <w:t xml:space="preserve">kontraindikacijos skirti pacientams, kurių serumo </w:t>
      </w:r>
      <w:proofErr w:type="spellStart"/>
      <w:r>
        <w:rPr>
          <w:rFonts w:ascii="Times New Roman" w:hAnsi="Times New Roman" w:cs="Times New Roman"/>
          <w:sz w:val="22"/>
          <w:szCs w:val="22"/>
        </w:rPr>
        <w:t>transaminazių</w:t>
      </w:r>
      <w:proofErr w:type="spellEnd"/>
      <w:r>
        <w:rPr>
          <w:rFonts w:ascii="Times New Roman" w:hAnsi="Times New Roman" w:cs="Times New Roman"/>
          <w:sz w:val="22"/>
          <w:szCs w:val="22"/>
        </w:rPr>
        <w:t xml:space="preserve"> </w:t>
      </w:r>
      <w:r w:rsidRPr="008770C7">
        <w:rPr>
          <w:rFonts w:ascii="Times New Roman" w:hAnsi="Times New Roman" w:cs="Times New Roman"/>
          <w:sz w:val="22"/>
          <w:szCs w:val="22"/>
        </w:rPr>
        <w:t>aktyvumas daugiau kaip 3 kartus viršija viršutinę norm</w:t>
      </w:r>
      <w:r>
        <w:rPr>
          <w:rFonts w:ascii="Times New Roman" w:hAnsi="Times New Roman" w:cs="Times New Roman"/>
          <w:sz w:val="22"/>
          <w:szCs w:val="22"/>
        </w:rPr>
        <w:t>alių reikšmių</w:t>
      </w:r>
      <w:r w:rsidRPr="008770C7">
        <w:rPr>
          <w:rFonts w:ascii="Times New Roman" w:hAnsi="Times New Roman" w:cs="Times New Roman"/>
          <w:sz w:val="22"/>
          <w:szCs w:val="22"/>
        </w:rPr>
        <w:t xml:space="preserve"> ribą</w:t>
      </w:r>
      <w:r>
        <w:rPr>
          <w:rFonts w:ascii="Times New Roman" w:hAnsi="Times New Roman" w:cs="Times New Roman"/>
          <w:sz w:val="22"/>
          <w:szCs w:val="22"/>
        </w:rPr>
        <w:t>;</w:t>
      </w:r>
    </w:p>
    <w:p w14:paraId="796C1AB2" w14:textId="77777777" w:rsidR="004B6B19" w:rsidRPr="00620E37" w:rsidRDefault="004B6B19" w:rsidP="00590ABF">
      <w:pPr>
        <w:widowControl/>
        <w:numPr>
          <w:ilvl w:val="0"/>
          <w:numId w:val="18"/>
        </w:numPr>
        <w:autoSpaceDE/>
        <w:autoSpaceDN/>
        <w:ind w:left="567" w:hanging="207"/>
        <w:rPr>
          <w:lang w:val="lt-LT"/>
        </w:rPr>
      </w:pPr>
      <w:r w:rsidRPr="00620E37">
        <w:rPr>
          <w:lang w:val="lt-LT"/>
        </w:rPr>
        <w:t>kontraindikacijos skirti pacientams, kuriems kartu yra skiriami stiprūs CYP1A2 inhibitoriai.</w:t>
      </w:r>
    </w:p>
    <w:p w14:paraId="146BD705" w14:textId="00A96DD1" w:rsidR="004B6B19" w:rsidRDefault="004B6B19" w:rsidP="004B6B19">
      <w:pPr>
        <w:ind w:right="567"/>
        <w:rPr>
          <w:lang w:val="lt-LT"/>
        </w:rPr>
      </w:pPr>
    </w:p>
    <w:p w14:paraId="4A7D1047" w14:textId="4EE24145" w:rsidR="004B6B19" w:rsidRPr="00824300" w:rsidRDefault="004B6B19" w:rsidP="004B6B19">
      <w:pPr>
        <w:ind w:right="567"/>
        <w:rPr>
          <w:lang w:val="lt-LT"/>
        </w:rPr>
      </w:pPr>
      <w:r w:rsidRPr="00824300">
        <w:rPr>
          <w:lang w:val="lt-LT"/>
        </w:rPr>
        <w:t>R</w:t>
      </w:r>
      <w:r>
        <w:rPr>
          <w:lang w:val="lt-LT"/>
        </w:rPr>
        <w:t>egistruotojas</w:t>
      </w:r>
      <w:r w:rsidRPr="00824300">
        <w:rPr>
          <w:lang w:val="lt-LT"/>
        </w:rPr>
        <w:t xml:space="preserve"> turi užtikrinti, kad visi gydytojai, kurie </w:t>
      </w:r>
      <w:r>
        <w:rPr>
          <w:lang w:val="lt-LT"/>
        </w:rPr>
        <w:t xml:space="preserve">tikėtina </w:t>
      </w:r>
      <w:r w:rsidRPr="00824300">
        <w:rPr>
          <w:lang w:val="lt-LT"/>
        </w:rPr>
        <w:t>gal</w:t>
      </w:r>
      <w:r>
        <w:rPr>
          <w:lang w:val="lt-LT"/>
        </w:rPr>
        <w:t>ės</w:t>
      </w:r>
      <w:r w:rsidRPr="00824300">
        <w:rPr>
          <w:lang w:val="lt-LT"/>
        </w:rPr>
        <w:t xml:space="preserve"> išrašyti ar skirti </w:t>
      </w:r>
      <w:proofErr w:type="spellStart"/>
      <w:r>
        <w:rPr>
          <w:lang w:val="lt-LT"/>
        </w:rPr>
        <w:t>Zilbea</w:t>
      </w:r>
      <w:proofErr w:type="spellEnd"/>
      <w:r>
        <w:rPr>
          <w:lang w:val="lt-LT"/>
        </w:rPr>
        <w:t xml:space="preserve"> 25 mg plėvele dengtos tabletės</w:t>
      </w:r>
      <w:r w:rsidRPr="00824300">
        <w:rPr>
          <w:lang w:val="lt-LT"/>
        </w:rPr>
        <w:t>, būtų aprūpinti pacientams skirtomis brošiūromis, kad jas dalytų pacientams, kuriems skirtas šis vaistinis preparatas.</w:t>
      </w:r>
    </w:p>
    <w:p w14:paraId="7EE694CF" w14:textId="77777777" w:rsidR="004B6B19" w:rsidRPr="007C37E3" w:rsidRDefault="004B6B19" w:rsidP="004B6B19">
      <w:pPr>
        <w:ind w:right="567"/>
        <w:rPr>
          <w:lang w:val="lt-LT"/>
        </w:rPr>
      </w:pPr>
    </w:p>
    <w:p w14:paraId="1FFE8C56" w14:textId="77777777" w:rsidR="004B6B19" w:rsidRPr="00824300" w:rsidRDefault="004B6B19" w:rsidP="004B6B19">
      <w:pPr>
        <w:ind w:right="567"/>
        <w:rPr>
          <w:lang w:val="lt-LT"/>
        </w:rPr>
      </w:pPr>
      <w:r w:rsidRPr="00824300">
        <w:rPr>
          <w:lang w:val="lt-LT"/>
        </w:rPr>
        <w:t>Pacientams skirtoje brošiūroje turi būti pateikta ši esminė informacija:</w:t>
      </w:r>
    </w:p>
    <w:p w14:paraId="035A8621" w14:textId="77777777" w:rsidR="004B6B19" w:rsidRPr="00824300" w:rsidRDefault="004B6B19" w:rsidP="004B6B19">
      <w:pPr>
        <w:pStyle w:val="bulletlist-1dsdouble-spaced"/>
        <w:numPr>
          <w:ilvl w:val="0"/>
          <w:numId w:val="18"/>
        </w:numPr>
        <w:spacing w:before="0" w:beforeAutospacing="0" w:after="0" w:afterAutospacing="0"/>
        <w:rPr>
          <w:rFonts w:ascii="Times New Roman" w:hAnsi="Times New Roman" w:cs="Times New Roman"/>
          <w:sz w:val="22"/>
          <w:szCs w:val="22"/>
        </w:rPr>
      </w:pPr>
      <w:r w:rsidRPr="00824300">
        <w:rPr>
          <w:rFonts w:ascii="Times New Roman" w:hAnsi="Times New Roman" w:cs="Times New Roman"/>
          <w:sz w:val="22"/>
          <w:szCs w:val="22"/>
        </w:rPr>
        <w:t xml:space="preserve">informacija apie kepenų reakcijų </w:t>
      </w:r>
      <w:r>
        <w:rPr>
          <w:rFonts w:ascii="Times New Roman" w:hAnsi="Times New Roman" w:cs="Times New Roman"/>
          <w:sz w:val="22"/>
          <w:szCs w:val="22"/>
        </w:rPr>
        <w:t xml:space="preserve">pasireiškimo </w:t>
      </w:r>
      <w:r w:rsidRPr="00824300">
        <w:rPr>
          <w:rFonts w:ascii="Times New Roman" w:hAnsi="Times New Roman" w:cs="Times New Roman"/>
          <w:sz w:val="22"/>
          <w:szCs w:val="22"/>
        </w:rPr>
        <w:t xml:space="preserve">riziką ir kepenų </w:t>
      </w:r>
      <w:r>
        <w:rPr>
          <w:rFonts w:ascii="Times New Roman" w:hAnsi="Times New Roman" w:cs="Times New Roman"/>
          <w:sz w:val="22"/>
          <w:szCs w:val="22"/>
        </w:rPr>
        <w:t>sutrikimų</w:t>
      </w:r>
      <w:r w:rsidRPr="00824300">
        <w:rPr>
          <w:rFonts w:ascii="Times New Roman" w:hAnsi="Times New Roman" w:cs="Times New Roman"/>
          <w:sz w:val="22"/>
          <w:szCs w:val="22"/>
        </w:rPr>
        <w:t xml:space="preserve"> klinikinius požymius;</w:t>
      </w:r>
    </w:p>
    <w:p w14:paraId="42D84D05" w14:textId="77777777" w:rsidR="004B6B19" w:rsidRPr="00824300" w:rsidRDefault="004B6B19" w:rsidP="004B6B19">
      <w:pPr>
        <w:pStyle w:val="bulletlist-1dsdouble-spaced"/>
        <w:numPr>
          <w:ilvl w:val="0"/>
          <w:numId w:val="18"/>
        </w:numPr>
        <w:spacing w:before="0" w:beforeAutospacing="0" w:after="0" w:afterAutospacing="0"/>
        <w:rPr>
          <w:rFonts w:ascii="Times New Roman" w:hAnsi="Times New Roman" w:cs="Times New Roman"/>
          <w:sz w:val="22"/>
          <w:szCs w:val="22"/>
        </w:rPr>
      </w:pPr>
      <w:r w:rsidRPr="00824300">
        <w:rPr>
          <w:rFonts w:ascii="Times New Roman" w:hAnsi="Times New Roman" w:cs="Times New Roman"/>
          <w:sz w:val="22"/>
          <w:szCs w:val="22"/>
        </w:rPr>
        <w:t>kepenų funkcijos stebė</w:t>
      </w:r>
      <w:r>
        <w:rPr>
          <w:rFonts w:ascii="Times New Roman" w:hAnsi="Times New Roman" w:cs="Times New Roman"/>
          <w:sz w:val="22"/>
          <w:szCs w:val="22"/>
        </w:rPr>
        <w:t>senos schemos nurodymai</w:t>
      </w:r>
      <w:r w:rsidRPr="00824300">
        <w:rPr>
          <w:rFonts w:ascii="Times New Roman" w:hAnsi="Times New Roman" w:cs="Times New Roman"/>
          <w:sz w:val="22"/>
          <w:szCs w:val="22"/>
        </w:rPr>
        <w:t>;</w:t>
      </w:r>
    </w:p>
    <w:p w14:paraId="7F0F9905" w14:textId="77777777" w:rsidR="004B6B19" w:rsidRPr="00824300" w:rsidRDefault="004B6B19" w:rsidP="004B6B19">
      <w:pPr>
        <w:pStyle w:val="bulletlist-1dsdouble-spaced"/>
        <w:numPr>
          <w:ilvl w:val="0"/>
          <w:numId w:val="1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kraujo tyrimų skyrimo priminimas</w:t>
      </w:r>
      <w:r w:rsidRPr="00824300">
        <w:rPr>
          <w:rFonts w:ascii="Times New Roman" w:hAnsi="Times New Roman" w:cs="Times New Roman"/>
          <w:sz w:val="22"/>
          <w:szCs w:val="22"/>
        </w:rPr>
        <w:t>.</w:t>
      </w:r>
    </w:p>
    <w:p w14:paraId="28A1C0B3" w14:textId="77777777" w:rsidR="004B6B19" w:rsidRPr="009003C8" w:rsidRDefault="004B6B19" w:rsidP="009003C8">
      <w:pPr>
        <w:widowControl/>
        <w:tabs>
          <w:tab w:val="left" w:pos="567"/>
        </w:tabs>
        <w:autoSpaceDE/>
        <w:autoSpaceDN/>
        <w:spacing w:line="260" w:lineRule="exact"/>
        <w:ind w:right="-1"/>
        <w:rPr>
          <w:b/>
          <w:snapToGrid w:val="0"/>
          <w:szCs w:val="24"/>
          <w:lang w:val="lt-LT"/>
        </w:rPr>
      </w:pPr>
    </w:p>
    <w:p w14:paraId="212E6156" w14:textId="77777777" w:rsidR="003F6BC7" w:rsidRPr="003F6BC7" w:rsidRDefault="003F6BC7" w:rsidP="003F6BC7">
      <w:pPr>
        <w:jc w:val="both"/>
        <w:rPr>
          <w:position w:val="6"/>
          <w:lang w:val="lt-LT"/>
        </w:rPr>
      </w:pPr>
    </w:p>
    <w:p w14:paraId="0B58DCB6" w14:textId="77777777" w:rsidR="003F6BC7" w:rsidRPr="003F6BC7" w:rsidRDefault="003F6BC7" w:rsidP="003F6BC7">
      <w:pPr>
        <w:rPr>
          <w:lang w:val="lt-LT"/>
        </w:rPr>
      </w:pPr>
      <w:r w:rsidRPr="003F6BC7">
        <w:rPr>
          <w:position w:val="6"/>
          <w:lang w:val="lt-LT"/>
        </w:rPr>
        <w:br w:type="page"/>
      </w:r>
    </w:p>
    <w:p w14:paraId="6B17FBFF" w14:textId="77777777" w:rsidR="003F6BC7" w:rsidRPr="003F6BC7" w:rsidRDefault="003F6BC7" w:rsidP="003F6BC7">
      <w:pPr>
        <w:rPr>
          <w:lang w:val="lt-LT"/>
        </w:rPr>
      </w:pPr>
    </w:p>
    <w:p w14:paraId="122B433A" w14:textId="77777777" w:rsidR="003F6BC7" w:rsidRPr="003F6BC7" w:rsidRDefault="003F6BC7" w:rsidP="003F6BC7">
      <w:pPr>
        <w:rPr>
          <w:lang w:val="lt-LT"/>
        </w:rPr>
      </w:pPr>
    </w:p>
    <w:p w14:paraId="20BEB69A" w14:textId="77777777" w:rsidR="003F6BC7" w:rsidRPr="003F6BC7" w:rsidRDefault="003F6BC7" w:rsidP="003F6BC7">
      <w:pPr>
        <w:rPr>
          <w:lang w:val="lt-LT"/>
        </w:rPr>
      </w:pPr>
    </w:p>
    <w:p w14:paraId="4F700411" w14:textId="77777777" w:rsidR="003F6BC7" w:rsidRPr="003F6BC7" w:rsidRDefault="003F6BC7" w:rsidP="003F6BC7">
      <w:pPr>
        <w:rPr>
          <w:lang w:val="lt-LT"/>
        </w:rPr>
      </w:pPr>
    </w:p>
    <w:p w14:paraId="1758DD04" w14:textId="77777777" w:rsidR="003F6BC7" w:rsidRPr="003F6BC7" w:rsidRDefault="003F6BC7" w:rsidP="003F6BC7">
      <w:pPr>
        <w:rPr>
          <w:lang w:val="lt-LT"/>
        </w:rPr>
      </w:pPr>
    </w:p>
    <w:p w14:paraId="472397F4" w14:textId="77777777" w:rsidR="003F6BC7" w:rsidRPr="003F6BC7" w:rsidRDefault="003F6BC7" w:rsidP="003F6BC7">
      <w:pPr>
        <w:rPr>
          <w:lang w:val="lt-LT"/>
        </w:rPr>
      </w:pPr>
    </w:p>
    <w:p w14:paraId="3B8939A4" w14:textId="77777777" w:rsidR="003F6BC7" w:rsidRPr="003F6BC7" w:rsidRDefault="003F6BC7" w:rsidP="003F6BC7">
      <w:pPr>
        <w:rPr>
          <w:lang w:val="lt-LT"/>
        </w:rPr>
      </w:pPr>
    </w:p>
    <w:p w14:paraId="1A7525CB" w14:textId="77777777" w:rsidR="003F6BC7" w:rsidRPr="003F6BC7" w:rsidRDefault="003F6BC7" w:rsidP="003F6BC7">
      <w:pPr>
        <w:rPr>
          <w:lang w:val="lt-LT"/>
        </w:rPr>
      </w:pPr>
    </w:p>
    <w:p w14:paraId="1B378EBA" w14:textId="77777777" w:rsidR="003F6BC7" w:rsidRPr="003F6BC7" w:rsidRDefault="003F6BC7" w:rsidP="003F6BC7">
      <w:pPr>
        <w:rPr>
          <w:lang w:val="lt-LT"/>
        </w:rPr>
      </w:pPr>
    </w:p>
    <w:p w14:paraId="3D6B2EF7" w14:textId="77777777" w:rsidR="003F6BC7" w:rsidRPr="003F6BC7" w:rsidRDefault="003F6BC7" w:rsidP="003F6BC7">
      <w:pPr>
        <w:rPr>
          <w:lang w:val="lt-LT"/>
        </w:rPr>
      </w:pPr>
    </w:p>
    <w:p w14:paraId="53F598D0" w14:textId="77777777" w:rsidR="003F6BC7" w:rsidRPr="003F6BC7" w:rsidRDefault="003F6BC7" w:rsidP="003F6BC7">
      <w:pPr>
        <w:rPr>
          <w:lang w:val="lt-LT"/>
        </w:rPr>
      </w:pPr>
    </w:p>
    <w:p w14:paraId="0FF450A9" w14:textId="77777777" w:rsidR="003F6BC7" w:rsidRPr="003F6BC7" w:rsidRDefault="003F6BC7" w:rsidP="003F6BC7">
      <w:pPr>
        <w:jc w:val="center"/>
        <w:rPr>
          <w:b/>
          <w:kern w:val="28"/>
          <w:lang w:val="lt-LT" w:eastAsia="x-none"/>
        </w:rPr>
      </w:pPr>
    </w:p>
    <w:p w14:paraId="2AC728DB" w14:textId="77777777" w:rsidR="003F6BC7" w:rsidRPr="003F6BC7" w:rsidRDefault="003F6BC7" w:rsidP="003F6BC7">
      <w:pPr>
        <w:jc w:val="center"/>
        <w:rPr>
          <w:b/>
          <w:kern w:val="28"/>
          <w:lang w:val="lt-LT" w:eastAsia="x-none"/>
        </w:rPr>
      </w:pPr>
    </w:p>
    <w:p w14:paraId="35771BA5" w14:textId="77777777" w:rsidR="003F6BC7" w:rsidRPr="003F6BC7" w:rsidRDefault="003F6BC7" w:rsidP="003F6BC7">
      <w:pPr>
        <w:jc w:val="center"/>
        <w:rPr>
          <w:b/>
          <w:kern w:val="28"/>
          <w:lang w:val="lt-LT" w:eastAsia="x-none"/>
        </w:rPr>
      </w:pPr>
    </w:p>
    <w:p w14:paraId="356C6AB9" w14:textId="77777777" w:rsidR="003F6BC7" w:rsidRPr="003F6BC7" w:rsidRDefault="003F6BC7" w:rsidP="003F6BC7">
      <w:pPr>
        <w:jc w:val="center"/>
        <w:rPr>
          <w:b/>
          <w:kern w:val="28"/>
          <w:lang w:val="lt-LT" w:eastAsia="x-none"/>
        </w:rPr>
      </w:pPr>
    </w:p>
    <w:p w14:paraId="1B47169F" w14:textId="77777777" w:rsidR="003F6BC7" w:rsidRPr="003F6BC7" w:rsidRDefault="003F6BC7" w:rsidP="003F6BC7">
      <w:pPr>
        <w:jc w:val="center"/>
        <w:rPr>
          <w:b/>
          <w:kern w:val="28"/>
          <w:lang w:val="lt-LT" w:eastAsia="x-none"/>
        </w:rPr>
      </w:pPr>
    </w:p>
    <w:p w14:paraId="113B9C52" w14:textId="77777777" w:rsidR="003F6BC7" w:rsidRPr="003F6BC7" w:rsidRDefault="003F6BC7" w:rsidP="003F6BC7">
      <w:pPr>
        <w:jc w:val="center"/>
        <w:rPr>
          <w:b/>
          <w:kern w:val="28"/>
          <w:lang w:val="lt-LT" w:eastAsia="x-none"/>
        </w:rPr>
      </w:pPr>
    </w:p>
    <w:p w14:paraId="36E89F00" w14:textId="77777777" w:rsidR="003F6BC7" w:rsidRPr="003F6BC7" w:rsidRDefault="003F6BC7" w:rsidP="003F6BC7">
      <w:pPr>
        <w:jc w:val="center"/>
        <w:rPr>
          <w:b/>
          <w:kern w:val="28"/>
          <w:lang w:val="lt-LT" w:eastAsia="x-none"/>
        </w:rPr>
      </w:pPr>
    </w:p>
    <w:p w14:paraId="15289918" w14:textId="77777777" w:rsidR="003F6BC7" w:rsidRPr="003F6BC7" w:rsidRDefault="003F6BC7" w:rsidP="003F6BC7">
      <w:pPr>
        <w:jc w:val="center"/>
        <w:rPr>
          <w:b/>
          <w:kern w:val="28"/>
          <w:lang w:val="lt-LT" w:eastAsia="x-none"/>
        </w:rPr>
      </w:pPr>
    </w:p>
    <w:p w14:paraId="5185FC3E" w14:textId="77777777" w:rsidR="003F6BC7" w:rsidRPr="003F6BC7" w:rsidRDefault="003F6BC7" w:rsidP="003F6BC7">
      <w:pPr>
        <w:jc w:val="center"/>
        <w:rPr>
          <w:b/>
          <w:kern w:val="28"/>
          <w:lang w:val="lt-LT" w:eastAsia="x-none"/>
        </w:rPr>
      </w:pPr>
    </w:p>
    <w:p w14:paraId="1C2ABE27" w14:textId="77777777" w:rsidR="003F6BC7" w:rsidRPr="003F6BC7" w:rsidRDefault="003F6BC7" w:rsidP="003F6BC7">
      <w:pPr>
        <w:jc w:val="center"/>
        <w:rPr>
          <w:b/>
          <w:kern w:val="28"/>
          <w:lang w:val="lt-LT" w:eastAsia="x-none"/>
        </w:rPr>
      </w:pPr>
    </w:p>
    <w:p w14:paraId="2ECD99AA" w14:textId="77777777" w:rsidR="003F6BC7" w:rsidRPr="003F6BC7" w:rsidRDefault="003F6BC7" w:rsidP="003F6BC7">
      <w:pPr>
        <w:jc w:val="center"/>
        <w:rPr>
          <w:b/>
          <w:kern w:val="28"/>
          <w:lang w:val="lt-LT" w:eastAsia="x-none"/>
        </w:rPr>
      </w:pPr>
    </w:p>
    <w:p w14:paraId="208CCAC7" w14:textId="77777777" w:rsidR="003F6BC7" w:rsidRPr="003F6BC7" w:rsidRDefault="003F6BC7" w:rsidP="003F6BC7">
      <w:pPr>
        <w:jc w:val="center"/>
        <w:rPr>
          <w:b/>
          <w:kern w:val="28"/>
          <w:lang w:val="lt-LT" w:eastAsia="x-none"/>
        </w:rPr>
      </w:pPr>
    </w:p>
    <w:p w14:paraId="544BFABA" w14:textId="77777777" w:rsidR="003F6BC7" w:rsidRPr="003F6BC7" w:rsidRDefault="003F6BC7" w:rsidP="003F6BC7">
      <w:pPr>
        <w:jc w:val="center"/>
        <w:rPr>
          <w:b/>
          <w:kern w:val="28"/>
          <w:lang w:val="lt-LT" w:eastAsia="x-none"/>
        </w:rPr>
      </w:pPr>
      <w:r w:rsidRPr="003F6BC7">
        <w:rPr>
          <w:b/>
          <w:kern w:val="28"/>
          <w:lang w:val="lt-LT" w:eastAsia="x-none"/>
        </w:rPr>
        <w:t>III PRIEDAS</w:t>
      </w:r>
    </w:p>
    <w:p w14:paraId="01DE8186" w14:textId="77777777" w:rsidR="003F6BC7" w:rsidRPr="003F6BC7" w:rsidRDefault="003F6BC7" w:rsidP="003F6BC7">
      <w:pPr>
        <w:rPr>
          <w:lang w:val="lt-LT"/>
        </w:rPr>
      </w:pPr>
    </w:p>
    <w:p w14:paraId="501B9DE3" w14:textId="77777777" w:rsidR="003F6BC7" w:rsidRPr="003F6BC7" w:rsidRDefault="003F6BC7" w:rsidP="003F6BC7">
      <w:pPr>
        <w:jc w:val="center"/>
        <w:rPr>
          <w:b/>
          <w:position w:val="6"/>
          <w:lang w:val="lt-LT"/>
        </w:rPr>
      </w:pPr>
      <w:r w:rsidRPr="003F6BC7">
        <w:rPr>
          <w:b/>
          <w:position w:val="6"/>
          <w:lang w:val="lt-LT"/>
        </w:rPr>
        <w:t>ŽENKLINIMAS IR PAKUOTĖS LAPELIS</w:t>
      </w:r>
    </w:p>
    <w:p w14:paraId="4E84EDC0" w14:textId="77777777" w:rsidR="003F6BC7" w:rsidRPr="003F6BC7" w:rsidRDefault="003F6BC7" w:rsidP="003F6BC7">
      <w:pPr>
        <w:rPr>
          <w:lang w:val="lt-LT"/>
        </w:rPr>
      </w:pPr>
      <w:r w:rsidRPr="003F6BC7">
        <w:rPr>
          <w:lang w:val="lt-LT"/>
        </w:rPr>
        <w:br w:type="page"/>
      </w:r>
    </w:p>
    <w:p w14:paraId="5CA1B8E3" w14:textId="77777777" w:rsidR="003F6BC7" w:rsidRPr="003F6BC7" w:rsidRDefault="003F6BC7" w:rsidP="003F6BC7">
      <w:pPr>
        <w:rPr>
          <w:lang w:val="lt-LT"/>
        </w:rPr>
      </w:pPr>
    </w:p>
    <w:p w14:paraId="433ECA03" w14:textId="77777777" w:rsidR="003F6BC7" w:rsidRPr="003F6BC7" w:rsidRDefault="003F6BC7" w:rsidP="003F6BC7">
      <w:pPr>
        <w:rPr>
          <w:lang w:val="lt-LT"/>
        </w:rPr>
      </w:pPr>
    </w:p>
    <w:p w14:paraId="5AD89DFE" w14:textId="77777777" w:rsidR="003F6BC7" w:rsidRPr="003F6BC7" w:rsidRDefault="003F6BC7" w:rsidP="003F6BC7">
      <w:pPr>
        <w:rPr>
          <w:lang w:val="lt-LT"/>
        </w:rPr>
      </w:pPr>
    </w:p>
    <w:p w14:paraId="43320F5C" w14:textId="77777777" w:rsidR="003F6BC7" w:rsidRPr="003F6BC7" w:rsidRDefault="003F6BC7" w:rsidP="003F6BC7">
      <w:pPr>
        <w:rPr>
          <w:lang w:val="lt-LT"/>
        </w:rPr>
      </w:pPr>
    </w:p>
    <w:p w14:paraId="72842073" w14:textId="77777777" w:rsidR="003F6BC7" w:rsidRPr="003F6BC7" w:rsidRDefault="003F6BC7" w:rsidP="003F6BC7">
      <w:pPr>
        <w:rPr>
          <w:lang w:val="lt-LT"/>
        </w:rPr>
      </w:pPr>
    </w:p>
    <w:p w14:paraId="51DDC86C" w14:textId="77777777" w:rsidR="003F6BC7" w:rsidRPr="003F6BC7" w:rsidRDefault="003F6BC7" w:rsidP="003F6BC7">
      <w:pPr>
        <w:rPr>
          <w:lang w:val="lt-LT"/>
        </w:rPr>
      </w:pPr>
    </w:p>
    <w:p w14:paraId="445EBFC2" w14:textId="77777777" w:rsidR="003F6BC7" w:rsidRPr="003F6BC7" w:rsidRDefault="003F6BC7" w:rsidP="003F6BC7">
      <w:pPr>
        <w:rPr>
          <w:lang w:val="lt-LT"/>
        </w:rPr>
      </w:pPr>
    </w:p>
    <w:p w14:paraId="01EF5E3B" w14:textId="77777777" w:rsidR="003F6BC7" w:rsidRPr="003F6BC7" w:rsidRDefault="003F6BC7" w:rsidP="003F6BC7">
      <w:pPr>
        <w:rPr>
          <w:lang w:val="lt-LT"/>
        </w:rPr>
      </w:pPr>
    </w:p>
    <w:p w14:paraId="56FEAE5C" w14:textId="77777777" w:rsidR="003F6BC7" w:rsidRPr="003F6BC7" w:rsidRDefault="003F6BC7" w:rsidP="003F6BC7">
      <w:pPr>
        <w:rPr>
          <w:lang w:val="lt-LT"/>
        </w:rPr>
      </w:pPr>
    </w:p>
    <w:p w14:paraId="0373F0B8" w14:textId="77777777" w:rsidR="003F6BC7" w:rsidRPr="003F6BC7" w:rsidRDefault="003F6BC7" w:rsidP="003F6BC7">
      <w:pPr>
        <w:rPr>
          <w:lang w:val="lt-LT"/>
        </w:rPr>
      </w:pPr>
    </w:p>
    <w:p w14:paraId="11E67F8A" w14:textId="77777777" w:rsidR="003F6BC7" w:rsidRPr="003F6BC7" w:rsidRDefault="003F6BC7" w:rsidP="003F6BC7">
      <w:pPr>
        <w:rPr>
          <w:lang w:val="lt-LT"/>
        </w:rPr>
      </w:pPr>
    </w:p>
    <w:p w14:paraId="52B7898E" w14:textId="77777777" w:rsidR="003F6BC7" w:rsidRPr="003F6BC7" w:rsidRDefault="003F6BC7" w:rsidP="003F6BC7">
      <w:pPr>
        <w:rPr>
          <w:lang w:val="lt-LT"/>
        </w:rPr>
      </w:pPr>
    </w:p>
    <w:p w14:paraId="6624DDCE" w14:textId="77777777" w:rsidR="003F6BC7" w:rsidRPr="003F6BC7" w:rsidRDefault="003F6BC7" w:rsidP="003F6BC7">
      <w:pPr>
        <w:rPr>
          <w:lang w:val="lt-LT"/>
        </w:rPr>
      </w:pPr>
    </w:p>
    <w:p w14:paraId="2F5E2425" w14:textId="77777777" w:rsidR="003F6BC7" w:rsidRPr="003F6BC7" w:rsidRDefault="003F6BC7" w:rsidP="003F6BC7">
      <w:pPr>
        <w:rPr>
          <w:lang w:val="lt-LT"/>
        </w:rPr>
      </w:pPr>
    </w:p>
    <w:p w14:paraId="499D6008" w14:textId="77777777" w:rsidR="003F6BC7" w:rsidRPr="003F6BC7" w:rsidRDefault="003F6BC7" w:rsidP="003F6BC7">
      <w:pPr>
        <w:rPr>
          <w:lang w:val="lt-LT"/>
        </w:rPr>
      </w:pPr>
    </w:p>
    <w:p w14:paraId="3579DC69" w14:textId="77777777" w:rsidR="003F6BC7" w:rsidRPr="003F6BC7" w:rsidRDefault="003F6BC7" w:rsidP="003F6BC7">
      <w:pPr>
        <w:rPr>
          <w:lang w:val="lt-LT"/>
        </w:rPr>
      </w:pPr>
    </w:p>
    <w:p w14:paraId="1F098941" w14:textId="77777777" w:rsidR="003F6BC7" w:rsidRPr="003F6BC7" w:rsidRDefault="003F6BC7" w:rsidP="003F6BC7">
      <w:pPr>
        <w:rPr>
          <w:lang w:val="lt-LT"/>
        </w:rPr>
      </w:pPr>
    </w:p>
    <w:p w14:paraId="4BE345AC" w14:textId="77777777" w:rsidR="003F6BC7" w:rsidRPr="003F6BC7" w:rsidRDefault="003F6BC7" w:rsidP="003F6BC7">
      <w:pPr>
        <w:rPr>
          <w:lang w:val="lt-LT"/>
        </w:rPr>
      </w:pPr>
    </w:p>
    <w:p w14:paraId="68F4C720" w14:textId="77777777" w:rsidR="003F6BC7" w:rsidRPr="003F6BC7" w:rsidRDefault="003F6BC7" w:rsidP="003F6BC7">
      <w:pPr>
        <w:rPr>
          <w:lang w:val="lt-LT"/>
        </w:rPr>
      </w:pPr>
    </w:p>
    <w:p w14:paraId="11880932" w14:textId="77777777" w:rsidR="003F6BC7" w:rsidRPr="003F6BC7" w:rsidRDefault="003F6BC7" w:rsidP="003F6BC7">
      <w:pPr>
        <w:rPr>
          <w:lang w:val="lt-LT"/>
        </w:rPr>
      </w:pPr>
    </w:p>
    <w:p w14:paraId="2AD56C3A" w14:textId="77777777" w:rsidR="003F6BC7" w:rsidRPr="003F6BC7" w:rsidRDefault="003F6BC7" w:rsidP="003F6BC7">
      <w:pPr>
        <w:rPr>
          <w:lang w:val="lt-LT"/>
        </w:rPr>
      </w:pPr>
    </w:p>
    <w:p w14:paraId="58A5B53A" w14:textId="77777777" w:rsidR="003F6BC7" w:rsidRPr="003F6BC7" w:rsidRDefault="003F6BC7" w:rsidP="003F6BC7">
      <w:pPr>
        <w:rPr>
          <w:lang w:val="lt-LT"/>
        </w:rPr>
      </w:pPr>
    </w:p>
    <w:p w14:paraId="682648D6" w14:textId="77777777" w:rsidR="003F6BC7" w:rsidRPr="003F6BC7" w:rsidRDefault="003F6BC7" w:rsidP="003F6BC7">
      <w:pPr>
        <w:jc w:val="center"/>
        <w:outlineLvl w:val="0"/>
        <w:rPr>
          <w:b/>
          <w:lang w:val="lt-LT"/>
        </w:rPr>
      </w:pPr>
      <w:bookmarkStart w:id="5" w:name="_Toc129243261"/>
      <w:bookmarkStart w:id="6" w:name="_Toc129243136"/>
    </w:p>
    <w:p w14:paraId="1FC5209F" w14:textId="77777777" w:rsidR="003F6BC7" w:rsidRPr="003F6BC7" w:rsidRDefault="003F6BC7" w:rsidP="003F6BC7">
      <w:pPr>
        <w:jc w:val="center"/>
        <w:outlineLvl w:val="0"/>
        <w:rPr>
          <w:b/>
          <w:lang w:val="lt-LT"/>
        </w:rPr>
      </w:pPr>
      <w:r w:rsidRPr="003F6BC7">
        <w:rPr>
          <w:b/>
          <w:lang w:val="lt-LT"/>
        </w:rPr>
        <w:t>A. ŽENKLINIMAS</w:t>
      </w:r>
      <w:bookmarkEnd w:id="5"/>
      <w:bookmarkEnd w:id="6"/>
    </w:p>
    <w:p w14:paraId="6881364C" w14:textId="77777777" w:rsidR="003F6BC7" w:rsidRPr="003F6BC7" w:rsidRDefault="003F6BC7" w:rsidP="003F6BC7">
      <w:pPr>
        <w:pBdr>
          <w:top w:val="single" w:sz="4" w:space="1" w:color="auto"/>
          <w:left w:val="single" w:sz="4" w:space="4" w:color="auto"/>
          <w:bottom w:val="single" w:sz="4" w:space="1" w:color="auto"/>
          <w:right w:val="single" w:sz="4" w:space="4" w:color="auto"/>
        </w:pBdr>
        <w:rPr>
          <w:lang w:val="lt-LT"/>
        </w:rPr>
      </w:pPr>
      <w:r w:rsidRPr="003F6BC7">
        <w:rPr>
          <w:lang w:val="lt-LT"/>
        </w:rPr>
        <w:br w:type="page"/>
      </w:r>
      <w:bookmarkStart w:id="7" w:name="OLE_LINK4"/>
    </w:p>
    <w:bookmarkEnd w:id="7"/>
    <w:p w14:paraId="400CE6D6" w14:textId="77777777" w:rsidR="00027E14" w:rsidRDefault="00027E14" w:rsidP="0090581D">
      <w:pPr>
        <w:rPr>
          <w:sz w:val="10"/>
          <w:szCs w:val="10"/>
          <w:lang w:val="lt-LT"/>
        </w:rPr>
      </w:pPr>
    </w:p>
    <w:p w14:paraId="4A0088CB" w14:textId="77777777" w:rsidR="00027E14" w:rsidRPr="00AF632D" w:rsidRDefault="00027E14" w:rsidP="00027E14">
      <w:pPr>
        <w:pBdr>
          <w:top w:val="single" w:sz="4" w:space="1" w:color="auto"/>
          <w:left w:val="single" w:sz="4" w:space="4" w:color="auto"/>
          <w:bottom w:val="single" w:sz="4" w:space="1" w:color="auto"/>
          <w:right w:val="single" w:sz="4" w:space="4" w:color="auto"/>
        </w:pBdr>
        <w:rPr>
          <w:b/>
          <w:lang w:val="lt-LT"/>
        </w:rPr>
      </w:pPr>
      <w:r w:rsidRPr="00AF632D">
        <w:rPr>
          <w:b/>
          <w:lang w:val="lt-LT"/>
        </w:rPr>
        <w:t>INFORMACIJA ANT IŠORINĖS PAKUOTĖS</w:t>
      </w:r>
    </w:p>
    <w:p w14:paraId="118CA08D"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rPr>
          <w:b/>
          <w:lang w:val="lt-LT"/>
        </w:rPr>
      </w:pPr>
    </w:p>
    <w:p w14:paraId="5AF7FBAA" w14:textId="77777777" w:rsidR="00027E14" w:rsidRPr="00AF632D" w:rsidRDefault="00027E14" w:rsidP="00027E14">
      <w:pPr>
        <w:pBdr>
          <w:top w:val="single" w:sz="4" w:space="1" w:color="auto"/>
          <w:left w:val="single" w:sz="4" w:space="4" w:color="auto"/>
          <w:bottom w:val="single" w:sz="4" w:space="1" w:color="auto"/>
          <w:right w:val="single" w:sz="4" w:space="4" w:color="auto"/>
        </w:pBdr>
        <w:rPr>
          <w:b/>
          <w:lang w:val="lt-LT"/>
        </w:rPr>
      </w:pPr>
      <w:r>
        <w:rPr>
          <w:b/>
          <w:lang w:val="lt-LT"/>
        </w:rPr>
        <w:t xml:space="preserve">KARTONO </w:t>
      </w:r>
      <w:r w:rsidRPr="00AF632D">
        <w:rPr>
          <w:b/>
          <w:lang w:val="lt-LT"/>
        </w:rPr>
        <w:t>DĖŽUTĖ</w:t>
      </w:r>
    </w:p>
    <w:p w14:paraId="767E9CAB" w14:textId="77777777" w:rsidR="00027E14" w:rsidRPr="00AF632D" w:rsidRDefault="00027E14" w:rsidP="00027E14">
      <w:pPr>
        <w:rPr>
          <w:lang w:val="lt-LT"/>
        </w:rPr>
      </w:pPr>
    </w:p>
    <w:p w14:paraId="724D4C3F" w14:textId="77777777" w:rsidR="00027E14" w:rsidRPr="00AF632D" w:rsidRDefault="00027E14" w:rsidP="00027E14">
      <w:pPr>
        <w:rPr>
          <w:lang w:val="lt-LT"/>
        </w:rPr>
      </w:pPr>
    </w:p>
    <w:p w14:paraId="1A72FE1B"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1.</w:t>
      </w:r>
      <w:r w:rsidRPr="00AF632D">
        <w:rPr>
          <w:b/>
          <w:lang w:val="lt-LT"/>
        </w:rPr>
        <w:tab/>
      </w:r>
      <w:r w:rsidRPr="00AF632D">
        <w:rPr>
          <w:b/>
          <w:caps/>
          <w:lang w:val="lt-LT"/>
        </w:rPr>
        <w:t>VAISTINIO</w:t>
      </w:r>
      <w:r w:rsidRPr="00AF632D">
        <w:rPr>
          <w:b/>
          <w:lang w:val="lt-LT"/>
        </w:rPr>
        <w:t xml:space="preserve"> PREPARATO PAVADINIMAS</w:t>
      </w:r>
    </w:p>
    <w:p w14:paraId="488B16F8" w14:textId="77777777" w:rsidR="00027E14" w:rsidRPr="00AF632D" w:rsidRDefault="00027E14" w:rsidP="00027E14">
      <w:pPr>
        <w:rPr>
          <w:lang w:val="lt-LT"/>
        </w:rPr>
      </w:pPr>
    </w:p>
    <w:p w14:paraId="1AFCF4AC" w14:textId="32BD2BC4" w:rsidR="00027E14" w:rsidRPr="00AF632D" w:rsidRDefault="00027E14" w:rsidP="00027E14">
      <w:pPr>
        <w:rPr>
          <w:lang w:val="lt-LT"/>
        </w:rPr>
      </w:pPr>
      <w:proofErr w:type="spellStart"/>
      <w:r>
        <w:rPr>
          <w:lang w:val="lt-LT"/>
        </w:rPr>
        <w:t>Zilbea</w:t>
      </w:r>
      <w:proofErr w:type="spellEnd"/>
      <w:r w:rsidRPr="00AF632D">
        <w:rPr>
          <w:lang w:val="lt-LT"/>
        </w:rPr>
        <w:t xml:space="preserve"> 25</w:t>
      </w:r>
      <w:r w:rsidR="00227E03">
        <w:rPr>
          <w:lang w:val="lt-LT"/>
        </w:rPr>
        <w:t> </w:t>
      </w:r>
      <w:r w:rsidRPr="00AF632D">
        <w:rPr>
          <w:lang w:val="lt-LT"/>
        </w:rPr>
        <w:t>mg plėvele dengtos tabletės</w:t>
      </w:r>
    </w:p>
    <w:p w14:paraId="75433662" w14:textId="77777777" w:rsidR="00027E14" w:rsidRPr="00AF632D" w:rsidRDefault="00027E14" w:rsidP="00027E14">
      <w:pPr>
        <w:rPr>
          <w:lang w:val="lt-LT"/>
        </w:rPr>
      </w:pPr>
      <w:proofErr w:type="spellStart"/>
      <w:r w:rsidRPr="00AF632D">
        <w:rPr>
          <w:lang w:val="lt-LT"/>
        </w:rPr>
        <w:t>agomelatinas</w:t>
      </w:r>
      <w:proofErr w:type="spellEnd"/>
    </w:p>
    <w:p w14:paraId="2E8A4DE1" w14:textId="77777777" w:rsidR="00027E14" w:rsidRPr="00AF632D" w:rsidRDefault="00027E14" w:rsidP="00027E14">
      <w:pPr>
        <w:rPr>
          <w:lang w:val="lt-LT"/>
        </w:rPr>
      </w:pPr>
    </w:p>
    <w:p w14:paraId="0ADA8962" w14:textId="77777777" w:rsidR="00027E14" w:rsidRPr="00AF632D" w:rsidRDefault="00027E14" w:rsidP="00027E14">
      <w:pPr>
        <w:rPr>
          <w:lang w:val="lt-LT"/>
        </w:rPr>
      </w:pPr>
    </w:p>
    <w:p w14:paraId="7CD52381"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b/>
          <w:lang w:val="lt-LT"/>
        </w:rPr>
      </w:pPr>
      <w:r w:rsidRPr="00AF632D">
        <w:rPr>
          <w:b/>
          <w:lang w:val="lt-LT"/>
        </w:rPr>
        <w:t>2.</w:t>
      </w:r>
      <w:r w:rsidRPr="00AF632D">
        <w:rPr>
          <w:b/>
          <w:lang w:val="lt-LT"/>
        </w:rPr>
        <w:tab/>
        <w:t>VEIKLIOJI (-IOS) MEDŽIAGA (-OS) IR JOS (-Ų) KIEKIS (-IAI)</w:t>
      </w:r>
    </w:p>
    <w:p w14:paraId="17C000D4" w14:textId="77777777" w:rsidR="00027E14" w:rsidRPr="00AF632D" w:rsidRDefault="00027E14" w:rsidP="00027E14">
      <w:pPr>
        <w:rPr>
          <w:lang w:val="lt-LT"/>
        </w:rPr>
      </w:pPr>
    </w:p>
    <w:p w14:paraId="3BEC8D52" w14:textId="44E3B792" w:rsidR="005A19C2" w:rsidRPr="003F6BC7" w:rsidRDefault="00027E14" w:rsidP="005A19C2">
      <w:pPr>
        <w:rPr>
          <w:lang w:val="lt-LT"/>
        </w:rPr>
      </w:pPr>
      <w:r w:rsidRPr="00AF632D">
        <w:rPr>
          <w:lang w:val="lt-LT"/>
        </w:rPr>
        <w:t xml:space="preserve">Kiekvienoje plėvele dengtoje tabletėje yra </w:t>
      </w:r>
      <w:r w:rsidR="005A19C2" w:rsidRPr="003F6BC7">
        <w:rPr>
          <w:lang w:val="lt-LT"/>
        </w:rPr>
        <w:t>44,74</w:t>
      </w:r>
      <w:r w:rsidR="003A71DE">
        <w:rPr>
          <w:lang w:val="lt-LT"/>
        </w:rPr>
        <w:t> </w:t>
      </w:r>
      <w:r w:rsidR="005A19C2" w:rsidRPr="003F6BC7">
        <w:rPr>
          <w:lang w:val="lt-LT"/>
        </w:rPr>
        <w:t xml:space="preserve">mg </w:t>
      </w:r>
      <w:proofErr w:type="spellStart"/>
      <w:r w:rsidR="005A19C2" w:rsidRPr="003F6BC7">
        <w:rPr>
          <w:lang w:val="lt-LT"/>
        </w:rPr>
        <w:t>agomelatino</w:t>
      </w:r>
      <w:proofErr w:type="spellEnd"/>
      <w:r w:rsidR="005A19C2" w:rsidRPr="003F6BC7">
        <w:rPr>
          <w:lang w:val="lt-LT"/>
        </w:rPr>
        <w:t xml:space="preserve"> citrinų rūgšties </w:t>
      </w:r>
      <w:proofErr w:type="spellStart"/>
      <w:r w:rsidR="00E060E0">
        <w:rPr>
          <w:lang w:val="lt-LT"/>
        </w:rPr>
        <w:t>ko</w:t>
      </w:r>
      <w:r w:rsidR="005A19C2" w:rsidRPr="003F6BC7">
        <w:rPr>
          <w:lang w:val="lt-LT"/>
        </w:rPr>
        <w:t>kristalų</w:t>
      </w:r>
      <w:proofErr w:type="spellEnd"/>
      <w:r w:rsidR="005A19C2" w:rsidRPr="003F6BC7">
        <w:rPr>
          <w:lang w:val="lt-LT"/>
        </w:rPr>
        <w:t>, atitinkančių 25</w:t>
      </w:r>
      <w:r w:rsidR="003A71DE">
        <w:rPr>
          <w:lang w:val="lt-LT"/>
        </w:rPr>
        <w:t> </w:t>
      </w:r>
      <w:r w:rsidR="005A19C2" w:rsidRPr="003F6BC7">
        <w:rPr>
          <w:lang w:val="lt-LT"/>
        </w:rPr>
        <w:t xml:space="preserve">mg </w:t>
      </w:r>
      <w:proofErr w:type="spellStart"/>
      <w:r w:rsidR="005A19C2" w:rsidRPr="003F6BC7">
        <w:rPr>
          <w:lang w:val="lt-LT"/>
        </w:rPr>
        <w:t>agomelatino</w:t>
      </w:r>
      <w:proofErr w:type="spellEnd"/>
      <w:r w:rsidR="005A19C2" w:rsidRPr="003F6BC7">
        <w:rPr>
          <w:lang w:val="lt-LT"/>
        </w:rPr>
        <w:t>.</w:t>
      </w:r>
    </w:p>
    <w:p w14:paraId="7CF6677D" w14:textId="77777777" w:rsidR="00027E14" w:rsidRPr="00AF632D" w:rsidRDefault="00027E14" w:rsidP="00027E14">
      <w:pPr>
        <w:rPr>
          <w:lang w:val="lt-LT"/>
        </w:rPr>
      </w:pPr>
    </w:p>
    <w:p w14:paraId="13ED2B69" w14:textId="77777777" w:rsidR="00027E14" w:rsidRPr="00AF632D" w:rsidRDefault="00027E14" w:rsidP="00027E14">
      <w:pPr>
        <w:rPr>
          <w:lang w:val="lt-LT"/>
        </w:rPr>
      </w:pPr>
    </w:p>
    <w:p w14:paraId="0CA71E82"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3.</w:t>
      </w:r>
      <w:r w:rsidRPr="00AF632D">
        <w:rPr>
          <w:b/>
          <w:lang w:val="lt-LT"/>
        </w:rPr>
        <w:tab/>
        <w:t>PAGALBINIŲ MEDŽIAGŲ SĄRAŠAS</w:t>
      </w:r>
    </w:p>
    <w:p w14:paraId="024A2005" w14:textId="77777777" w:rsidR="00027E14" w:rsidRPr="00AF632D" w:rsidRDefault="00027E14" w:rsidP="00027E14">
      <w:pPr>
        <w:rPr>
          <w:lang w:val="lt-LT"/>
        </w:rPr>
      </w:pPr>
    </w:p>
    <w:p w14:paraId="70BB1B88" w14:textId="20F12242" w:rsidR="00027E14" w:rsidRPr="00AF632D" w:rsidRDefault="00027E14" w:rsidP="00027E14">
      <w:pPr>
        <w:rPr>
          <w:lang w:val="lt-LT"/>
        </w:rPr>
      </w:pPr>
    </w:p>
    <w:p w14:paraId="551C27B2" w14:textId="77777777" w:rsidR="00027E14" w:rsidRPr="00AF632D" w:rsidRDefault="00027E14" w:rsidP="00027E14">
      <w:pPr>
        <w:rPr>
          <w:lang w:val="lt-LT"/>
        </w:rPr>
      </w:pPr>
    </w:p>
    <w:p w14:paraId="342BA8D0"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4.</w:t>
      </w:r>
      <w:r w:rsidRPr="00AF632D">
        <w:rPr>
          <w:b/>
          <w:lang w:val="lt-LT"/>
        </w:rPr>
        <w:tab/>
        <w:t>FARMACINĖ FORMA IR KIEKIS PAKUOTĖJE</w:t>
      </w:r>
    </w:p>
    <w:p w14:paraId="09F8028A" w14:textId="77777777" w:rsidR="00027E14" w:rsidRPr="00AF632D" w:rsidRDefault="00027E14" w:rsidP="00027E14">
      <w:pPr>
        <w:rPr>
          <w:lang w:val="lt-LT"/>
        </w:rPr>
      </w:pPr>
    </w:p>
    <w:p w14:paraId="0A862CD8" w14:textId="77777777" w:rsidR="00027E14" w:rsidRPr="00AF632D" w:rsidRDefault="00027E14" w:rsidP="00027E14">
      <w:pPr>
        <w:rPr>
          <w:lang w:val="lt-LT"/>
        </w:rPr>
      </w:pPr>
      <w:r w:rsidRPr="00AF632D">
        <w:rPr>
          <w:highlight w:val="lightGray"/>
          <w:lang w:val="lt-LT"/>
        </w:rPr>
        <w:t>Plėvele dengta tabletė</w:t>
      </w:r>
    </w:p>
    <w:p w14:paraId="58732399" w14:textId="77777777" w:rsidR="00027E14" w:rsidRPr="00AF632D" w:rsidRDefault="00027E14" w:rsidP="00027E14">
      <w:pPr>
        <w:rPr>
          <w:lang w:val="lt-LT"/>
        </w:rPr>
      </w:pPr>
    </w:p>
    <w:p w14:paraId="54298936" w14:textId="77777777" w:rsidR="00027E14" w:rsidRPr="00AF632D" w:rsidRDefault="00027E14" w:rsidP="00027E14">
      <w:pPr>
        <w:rPr>
          <w:lang w:val="lt-LT"/>
        </w:rPr>
      </w:pPr>
      <w:r w:rsidRPr="00AF632D">
        <w:rPr>
          <w:lang w:val="lt-LT"/>
        </w:rPr>
        <w:t xml:space="preserve">28 </w:t>
      </w:r>
      <w:r w:rsidRPr="005A19C2">
        <w:rPr>
          <w:lang w:val="lt-LT"/>
        </w:rPr>
        <w:t>plėvele dengtos</w:t>
      </w:r>
      <w:r w:rsidRPr="00AF632D">
        <w:rPr>
          <w:lang w:val="lt-LT"/>
        </w:rPr>
        <w:t xml:space="preserve"> tabletės</w:t>
      </w:r>
    </w:p>
    <w:p w14:paraId="0AD8389E" w14:textId="17FB3E03" w:rsidR="000D1AAD" w:rsidRPr="000D1AAD" w:rsidRDefault="000D1AAD" w:rsidP="00027E14">
      <w:pPr>
        <w:rPr>
          <w:highlight w:val="lightGray"/>
          <w:lang w:val="lt-LT"/>
        </w:rPr>
      </w:pPr>
      <w:r w:rsidRPr="0067310F">
        <w:rPr>
          <w:highlight w:val="lightGray"/>
          <w:lang w:val="lt-LT"/>
        </w:rPr>
        <w:t>56 plėvele dengtos tabletės</w:t>
      </w:r>
      <w:r w:rsidRPr="000D1AAD">
        <w:rPr>
          <w:highlight w:val="lightGray"/>
          <w:lang w:val="lt-LT"/>
        </w:rPr>
        <w:t xml:space="preserve"> </w:t>
      </w:r>
    </w:p>
    <w:p w14:paraId="5881B448" w14:textId="1EA3BEB7" w:rsidR="00027E14" w:rsidRPr="00AF632D" w:rsidRDefault="00027E14" w:rsidP="00027E14">
      <w:pPr>
        <w:rPr>
          <w:highlight w:val="lightGray"/>
          <w:lang w:val="lt-LT"/>
        </w:rPr>
      </w:pPr>
      <w:r w:rsidRPr="00AF632D">
        <w:rPr>
          <w:highlight w:val="lightGray"/>
          <w:lang w:val="lt-LT"/>
        </w:rPr>
        <w:t>84 plėvele dengtos tabletės</w:t>
      </w:r>
    </w:p>
    <w:p w14:paraId="02EE1BEE" w14:textId="2F89DF2B" w:rsidR="00027E14" w:rsidRPr="004B6992" w:rsidRDefault="000D1AAD" w:rsidP="00027E14">
      <w:pPr>
        <w:rPr>
          <w:lang w:val="lt-LT"/>
        </w:rPr>
      </w:pPr>
      <w:r w:rsidRPr="0067310F">
        <w:rPr>
          <w:highlight w:val="lightGray"/>
          <w:lang w:val="lt-LT"/>
        </w:rPr>
        <w:t>98 plėvele dengtos tabletės</w:t>
      </w:r>
    </w:p>
    <w:p w14:paraId="574337AE" w14:textId="77777777" w:rsidR="000D1AAD" w:rsidRPr="00AF632D" w:rsidRDefault="000D1AAD" w:rsidP="00027E14">
      <w:pPr>
        <w:rPr>
          <w:lang w:val="lt-LT"/>
        </w:rPr>
      </w:pPr>
    </w:p>
    <w:p w14:paraId="03B230E9" w14:textId="77777777" w:rsidR="00027E14" w:rsidRPr="00AF632D" w:rsidRDefault="00027E14" w:rsidP="00027E14">
      <w:pPr>
        <w:rPr>
          <w:lang w:val="lt-LT"/>
        </w:rPr>
      </w:pPr>
    </w:p>
    <w:p w14:paraId="660B1E01"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5.</w:t>
      </w:r>
      <w:r w:rsidRPr="00AF632D">
        <w:rPr>
          <w:b/>
          <w:lang w:val="lt-LT"/>
        </w:rPr>
        <w:tab/>
        <w:t>VARTOJIMO METODAS IR BŪDAS (-AI)</w:t>
      </w:r>
    </w:p>
    <w:p w14:paraId="538B0882" w14:textId="77777777" w:rsidR="00027E14" w:rsidRPr="00AF632D" w:rsidRDefault="00027E14" w:rsidP="00027E14">
      <w:pPr>
        <w:rPr>
          <w:lang w:val="lt-LT"/>
        </w:rPr>
      </w:pPr>
    </w:p>
    <w:p w14:paraId="17D25352" w14:textId="77777777" w:rsidR="005A19C2" w:rsidRPr="00EF5356" w:rsidRDefault="005A19C2" w:rsidP="005A19C2">
      <w:pPr>
        <w:rPr>
          <w:lang w:val="lt-LT"/>
        </w:rPr>
      </w:pPr>
      <w:r w:rsidRPr="00EF5356">
        <w:rPr>
          <w:lang w:val="lt-LT"/>
        </w:rPr>
        <w:t>Vartoti per burną.</w:t>
      </w:r>
    </w:p>
    <w:p w14:paraId="7AD3406F" w14:textId="77777777" w:rsidR="00027E14" w:rsidRPr="00AF632D" w:rsidRDefault="00027E14" w:rsidP="00027E14">
      <w:pPr>
        <w:rPr>
          <w:lang w:val="lt-LT"/>
        </w:rPr>
      </w:pPr>
      <w:r w:rsidRPr="00AF632D">
        <w:rPr>
          <w:lang w:val="lt-LT"/>
        </w:rPr>
        <w:t>Prieš vartojimą perskaitykite pakuotės lapelį.</w:t>
      </w:r>
    </w:p>
    <w:p w14:paraId="155BE5C0" w14:textId="77777777" w:rsidR="00027E14" w:rsidRPr="00AF632D" w:rsidRDefault="00027E14" w:rsidP="00027E14">
      <w:pPr>
        <w:rPr>
          <w:lang w:val="lt-LT"/>
        </w:rPr>
      </w:pPr>
    </w:p>
    <w:p w14:paraId="0189C14F" w14:textId="77777777" w:rsidR="00027E14" w:rsidRPr="00AF632D" w:rsidRDefault="00027E14" w:rsidP="00027E14">
      <w:pPr>
        <w:rPr>
          <w:lang w:val="lt-LT"/>
        </w:rPr>
      </w:pPr>
    </w:p>
    <w:p w14:paraId="1CC99CEA"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6.</w:t>
      </w:r>
      <w:r w:rsidRPr="00AF632D">
        <w:rPr>
          <w:b/>
          <w:lang w:val="lt-LT"/>
        </w:rPr>
        <w:tab/>
        <w:t>SPECIALUS ĮSPĖJIMAS, KAD VAISTINĮ PREPARATĄ BŪTINA LAIKYTI VAIKAMS NEPASTEBIMOJE IR NEPASIEKIAMOJE VIETOJE</w:t>
      </w:r>
    </w:p>
    <w:p w14:paraId="7D956CBC" w14:textId="77777777" w:rsidR="00027E14" w:rsidRPr="00AF632D" w:rsidRDefault="00027E14" w:rsidP="00027E14">
      <w:pPr>
        <w:rPr>
          <w:lang w:val="lt-LT"/>
        </w:rPr>
      </w:pPr>
    </w:p>
    <w:p w14:paraId="687968AF" w14:textId="77777777" w:rsidR="00027E14" w:rsidRPr="00AF632D" w:rsidRDefault="00027E14" w:rsidP="00027E14">
      <w:pPr>
        <w:rPr>
          <w:lang w:val="lt-LT"/>
        </w:rPr>
      </w:pPr>
      <w:r w:rsidRPr="00AF632D">
        <w:rPr>
          <w:lang w:val="lt-LT"/>
        </w:rPr>
        <w:t>Laikyti vaikams nepastebimoje ir nepasiekiamoje vietoje.</w:t>
      </w:r>
    </w:p>
    <w:p w14:paraId="14B1F7E4" w14:textId="77777777" w:rsidR="00027E14" w:rsidRPr="00AF632D" w:rsidRDefault="00027E14" w:rsidP="00027E14">
      <w:pPr>
        <w:rPr>
          <w:lang w:val="lt-LT"/>
        </w:rPr>
      </w:pPr>
    </w:p>
    <w:p w14:paraId="0A7F920A" w14:textId="77777777" w:rsidR="00027E14" w:rsidRPr="00AF632D" w:rsidRDefault="00027E14" w:rsidP="00027E14">
      <w:pPr>
        <w:rPr>
          <w:lang w:val="lt-LT"/>
        </w:rPr>
      </w:pPr>
    </w:p>
    <w:p w14:paraId="5B12438D"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7.</w:t>
      </w:r>
      <w:r w:rsidRPr="00AF632D">
        <w:rPr>
          <w:b/>
          <w:lang w:val="lt-LT"/>
        </w:rPr>
        <w:tab/>
        <w:t>KITAS (-I) SPECIALUS (-ŪS) ĮSPĖJIMAS (-AI) (JEI REIKIA)</w:t>
      </w:r>
    </w:p>
    <w:p w14:paraId="66B661B8" w14:textId="77777777" w:rsidR="00027E14" w:rsidRPr="00AF632D" w:rsidRDefault="00027E14" w:rsidP="00027E14">
      <w:pPr>
        <w:rPr>
          <w:lang w:val="lt-LT"/>
        </w:rPr>
      </w:pPr>
    </w:p>
    <w:p w14:paraId="7DCFC674" w14:textId="77777777" w:rsidR="00027E14" w:rsidRPr="00AF632D" w:rsidRDefault="00027E14" w:rsidP="00027E14">
      <w:pPr>
        <w:rPr>
          <w:lang w:val="lt-LT"/>
        </w:rPr>
      </w:pPr>
    </w:p>
    <w:p w14:paraId="26FD3E96"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8.</w:t>
      </w:r>
      <w:r w:rsidRPr="00AF632D">
        <w:rPr>
          <w:b/>
          <w:lang w:val="lt-LT"/>
        </w:rPr>
        <w:tab/>
        <w:t>TINKAMUMO LAIKAS</w:t>
      </w:r>
    </w:p>
    <w:p w14:paraId="5C56D070" w14:textId="77777777" w:rsidR="00027E14" w:rsidRPr="00AF632D" w:rsidRDefault="00027E14" w:rsidP="00027E14">
      <w:pPr>
        <w:rPr>
          <w:lang w:val="lt-LT"/>
        </w:rPr>
      </w:pPr>
    </w:p>
    <w:p w14:paraId="098751A0" w14:textId="77777777" w:rsidR="00027E14" w:rsidRPr="00AF632D" w:rsidRDefault="00027E14" w:rsidP="00027E14">
      <w:pPr>
        <w:rPr>
          <w:lang w:val="lt-LT" w:eastAsia="sl-SI"/>
        </w:rPr>
      </w:pPr>
      <w:r w:rsidRPr="00AF632D">
        <w:rPr>
          <w:lang w:val="lt-LT" w:eastAsia="sl-SI"/>
        </w:rPr>
        <w:t xml:space="preserve">EXP </w:t>
      </w:r>
      <w:r w:rsidR="005A19C2">
        <w:rPr>
          <w:lang w:val="lt-LT" w:eastAsia="sl-SI"/>
        </w:rPr>
        <w:t>{</w:t>
      </w:r>
      <w:r w:rsidRPr="00AF632D">
        <w:rPr>
          <w:lang w:val="lt-LT" w:eastAsia="sl-SI"/>
        </w:rPr>
        <w:t>mm/MMMM</w:t>
      </w:r>
      <w:r w:rsidR="005A19C2">
        <w:rPr>
          <w:lang w:val="lt-LT" w:eastAsia="sl-SI"/>
        </w:rPr>
        <w:t>}</w:t>
      </w:r>
    </w:p>
    <w:p w14:paraId="2753210C" w14:textId="77777777" w:rsidR="00027E14" w:rsidRPr="00AF632D" w:rsidRDefault="00027E14" w:rsidP="00027E14">
      <w:pPr>
        <w:rPr>
          <w:lang w:val="lt-LT"/>
        </w:rPr>
      </w:pPr>
    </w:p>
    <w:p w14:paraId="3B278C7F" w14:textId="77777777" w:rsidR="00027E14" w:rsidRPr="00AF632D" w:rsidRDefault="00027E14" w:rsidP="00027E14">
      <w:pPr>
        <w:rPr>
          <w:lang w:val="lt-LT"/>
        </w:rPr>
      </w:pPr>
    </w:p>
    <w:p w14:paraId="7745B462"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lang w:val="lt-LT"/>
        </w:rPr>
      </w:pPr>
      <w:r w:rsidRPr="00AF632D">
        <w:rPr>
          <w:b/>
          <w:lang w:val="lt-LT"/>
        </w:rPr>
        <w:t>9.</w:t>
      </w:r>
      <w:r w:rsidRPr="00AF632D">
        <w:rPr>
          <w:b/>
          <w:lang w:val="lt-LT"/>
        </w:rPr>
        <w:tab/>
        <w:t>SPECIALIOS LAIKYMO SĄLYGOS</w:t>
      </w:r>
    </w:p>
    <w:p w14:paraId="4826020C" w14:textId="77777777" w:rsidR="00027E14" w:rsidRPr="00AF632D" w:rsidRDefault="00027E14" w:rsidP="00027E14">
      <w:pPr>
        <w:rPr>
          <w:lang w:val="lt-LT"/>
        </w:rPr>
      </w:pPr>
    </w:p>
    <w:p w14:paraId="7529564E" w14:textId="77777777" w:rsidR="00027E14" w:rsidRPr="00AF632D" w:rsidRDefault="00027E14" w:rsidP="00027E14">
      <w:pPr>
        <w:rPr>
          <w:lang w:val="lt-LT"/>
        </w:rPr>
      </w:pPr>
      <w:r w:rsidRPr="00AF632D">
        <w:rPr>
          <w:lang w:val="lt-LT"/>
        </w:rPr>
        <w:t>Laikyti gamintojo pakuotėje, kad vaistas būtų apsaugotas nuo drėgmės.</w:t>
      </w:r>
    </w:p>
    <w:p w14:paraId="4DE0E745" w14:textId="77777777" w:rsidR="00027E14" w:rsidRPr="00AF632D" w:rsidRDefault="00027E14" w:rsidP="00027E14">
      <w:pPr>
        <w:rPr>
          <w:lang w:val="lt-LT"/>
        </w:rPr>
      </w:pPr>
    </w:p>
    <w:p w14:paraId="48152280" w14:textId="77777777" w:rsidR="00027E14" w:rsidRPr="00AF632D" w:rsidRDefault="00027E14" w:rsidP="00027E14">
      <w:pPr>
        <w:rPr>
          <w:lang w:val="lt-LT"/>
        </w:rPr>
      </w:pPr>
    </w:p>
    <w:p w14:paraId="6DD95992" w14:textId="77777777" w:rsidR="00027E14" w:rsidRPr="00AF632D" w:rsidRDefault="00027E14" w:rsidP="00027E14">
      <w:pPr>
        <w:pBdr>
          <w:top w:val="single" w:sz="4" w:space="1" w:color="auto"/>
          <w:left w:val="single" w:sz="4" w:space="4" w:color="auto"/>
          <w:bottom w:val="single" w:sz="4" w:space="1" w:color="auto"/>
          <w:right w:val="single" w:sz="4" w:space="4" w:color="auto"/>
        </w:pBdr>
        <w:ind w:left="567" w:hanging="567"/>
        <w:outlineLvl w:val="0"/>
        <w:rPr>
          <w:b/>
          <w:lang w:val="lt-LT"/>
        </w:rPr>
      </w:pPr>
      <w:r w:rsidRPr="00AF632D">
        <w:rPr>
          <w:b/>
          <w:lang w:val="lt-LT"/>
        </w:rPr>
        <w:t>10.</w:t>
      </w:r>
      <w:r w:rsidRPr="00AF632D">
        <w:rPr>
          <w:b/>
          <w:lang w:val="lt-LT"/>
        </w:rPr>
        <w:tab/>
        <w:t>SPECIALIOS ATSARGUMO PRIEMONĖS DĖL NESUVARTOTO VAISTINIO PREPARATO AR JO ATLIEKŲ TVARKYMO (JEI REIKIA)</w:t>
      </w:r>
    </w:p>
    <w:p w14:paraId="464E2469" w14:textId="77777777" w:rsidR="00027E14" w:rsidRPr="00AF632D" w:rsidRDefault="00027E14" w:rsidP="00027E14">
      <w:pPr>
        <w:rPr>
          <w:lang w:val="lt-LT"/>
        </w:rPr>
      </w:pPr>
    </w:p>
    <w:p w14:paraId="3ED7990D" w14:textId="77777777" w:rsidR="00027E14" w:rsidRPr="00AF632D" w:rsidRDefault="00027E14" w:rsidP="00027E14">
      <w:pPr>
        <w:rPr>
          <w:lang w:val="lt-LT"/>
        </w:rPr>
      </w:pPr>
    </w:p>
    <w:p w14:paraId="70175772" w14:textId="77777777" w:rsidR="00027E14" w:rsidRPr="00AF632D" w:rsidRDefault="00027E14" w:rsidP="00027E14">
      <w:pPr>
        <w:pBdr>
          <w:top w:val="single" w:sz="4" w:space="1" w:color="auto"/>
          <w:left w:val="single" w:sz="4" w:space="4" w:color="auto"/>
          <w:bottom w:val="single" w:sz="4" w:space="1" w:color="auto"/>
          <w:right w:val="single" w:sz="4" w:space="4" w:color="auto"/>
        </w:pBdr>
        <w:outlineLvl w:val="0"/>
        <w:rPr>
          <w:b/>
          <w:lang w:val="lt-LT"/>
        </w:rPr>
      </w:pPr>
      <w:r w:rsidRPr="00AF632D">
        <w:rPr>
          <w:b/>
          <w:lang w:val="lt-LT"/>
        </w:rPr>
        <w:t>11.</w:t>
      </w:r>
      <w:r w:rsidRPr="00AF632D">
        <w:rPr>
          <w:b/>
          <w:lang w:val="lt-LT"/>
        </w:rPr>
        <w:tab/>
      </w:r>
      <w:r w:rsidRPr="00AF632D">
        <w:rPr>
          <w:b/>
          <w:caps/>
          <w:lang w:val="lt-LT"/>
        </w:rPr>
        <w:t xml:space="preserve"> REGISTRUOTOJO PAVADINIMAS IR ADRESAS</w:t>
      </w:r>
    </w:p>
    <w:p w14:paraId="4A829471" w14:textId="77777777" w:rsidR="00027E14" w:rsidRPr="00AF632D" w:rsidRDefault="00027E14" w:rsidP="00027E14">
      <w:pPr>
        <w:rPr>
          <w:lang w:val="lt-LT"/>
        </w:rPr>
      </w:pPr>
    </w:p>
    <w:p w14:paraId="0E859FC6" w14:textId="77777777" w:rsidR="006B5252" w:rsidRPr="003F6BC7" w:rsidRDefault="006B5252" w:rsidP="006B5252">
      <w:pPr>
        <w:rPr>
          <w:lang w:val="lt-LT"/>
        </w:rPr>
      </w:pPr>
      <w:proofErr w:type="spellStart"/>
      <w:r w:rsidRPr="003F6BC7">
        <w:rPr>
          <w:lang w:val="lt-LT"/>
        </w:rPr>
        <w:t>Zentiva</w:t>
      </w:r>
      <w:proofErr w:type="spellEnd"/>
      <w:r w:rsidRPr="003F6BC7">
        <w:rPr>
          <w:lang w:val="lt-LT"/>
        </w:rPr>
        <w:t xml:space="preserve">, </w:t>
      </w:r>
      <w:proofErr w:type="spellStart"/>
      <w:r w:rsidRPr="003F6BC7">
        <w:rPr>
          <w:lang w:val="lt-LT"/>
        </w:rPr>
        <w:t>k.s</w:t>
      </w:r>
      <w:proofErr w:type="spellEnd"/>
      <w:r w:rsidRPr="003F6BC7">
        <w:rPr>
          <w:lang w:val="lt-LT"/>
        </w:rPr>
        <w:t>.</w:t>
      </w:r>
    </w:p>
    <w:p w14:paraId="374F37E9" w14:textId="77777777" w:rsidR="006B5252" w:rsidRPr="003F6BC7" w:rsidRDefault="006B5252" w:rsidP="006B5252">
      <w:pPr>
        <w:rPr>
          <w:lang w:val="lt-LT"/>
        </w:rPr>
      </w:pPr>
      <w:r w:rsidRPr="003F6BC7">
        <w:rPr>
          <w:lang w:val="lt-LT"/>
        </w:rPr>
        <w:t xml:space="preserve">U </w:t>
      </w:r>
      <w:proofErr w:type="spellStart"/>
      <w:r w:rsidRPr="003F6BC7">
        <w:rPr>
          <w:lang w:val="lt-LT"/>
        </w:rPr>
        <w:t>kabelovny</w:t>
      </w:r>
      <w:proofErr w:type="spellEnd"/>
      <w:r w:rsidRPr="003F6BC7">
        <w:rPr>
          <w:lang w:val="lt-LT"/>
        </w:rPr>
        <w:t xml:space="preserve"> 130</w:t>
      </w:r>
    </w:p>
    <w:p w14:paraId="7520BC55" w14:textId="77777777" w:rsidR="006B5252" w:rsidRPr="003F6BC7" w:rsidRDefault="006B5252" w:rsidP="006B5252">
      <w:pPr>
        <w:rPr>
          <w:lang w:val="lt-LT"/>
        </w:rPr>
      </w:pPr>
      <w:proofErr w:type="spellStart"/>
      <w:r w:rsidRPr="003F6BC7">
        <w:rPr>
          <w:lang w:val="lt-LT"/>
        </w:rPr>
        <w:t>Dolní</w:t>
      </w:r>
      <w:proofErr w:type="spellEnd"/>
      <w:r w:rsidRPr="003F6BC7">
        <w:rPr>
          <w:lang w:val="lt-LT"/>
        </w:rPr>
        <w:t xml:space="preserve"> </w:t>
      </w:r>
      <w:proofErr w:type="spellStart"/>
      <w:r w:rsidRPr="003F6BC7">
        <w:rPr>
          <w:lang w:val="lt-LT"/>
        </w:rPr>
        <w:t>Měcholupy</w:t>
      </w:r>
      <w:proofErr w:type="spellEnd"/>
    </w:p>
    <w:p w14:paraId="03E60F28" w14:textId="77777777" w:rsidR="006B5252" w:rsidRPr="003F6BC7" w:rsidRDefault="006B5252" w:rsidP="006B5252">
      <w:pPr>
        <w:rPr>
          <w:lang w:val="lt-LT"/>
        </w:rPr>
      </w:pPr>
      <w:r w:rsidRPr="003F6BC7">
        <w:rPr>
          <w:lang w:val="lt-LT"/>
        </w:rPr>
        <w:t>102 37 Praha 10</w:t>
      </w:r>
    </w:p>
    <w:p w14:paraId="2BE011D4" w14:textId="77777777" w:rsidR="006B5252" w:rsidRPr="003F6BC7" w:rsidRDefault="006B5252" w:rsidP="006B5252">
      <w:pPr>
        <w:rPr>
          <w:lang w:val="lt-LT"/>
        </w:rPr>
      </w:pPr>
      <w:r w:rsidRPr="003F6BC7">
        <w:rPr>
          <w:lang w:val="lt-LT"/>
        </w:rPr>
        <w:t>Čekija</w:t>
      </w:r>
    </w:p>
    <w:p w14:paraId="4E18B081" w14:textId="77777777" w:rsidR="00027E14" w:rsidRPr="00AF632D" w:rsidRDefault="00027E14" w:rsidP="00027E14">
      <w:pPr>
        <w:rPr>
          <w:lang w:val="lt-LT" w:eastAsia="sl-SI"/>
        </w:rPr>
      </w:pPr>
    </w:p>
    <w:p w14:paraId="24383170" w14:textId="77777777" w:rsidR="00027E14" w:rsidRPr="00AF632D" w:rsidRDefault="00027E14" w:rsidP="00027E14">
      <w:pPr>
        <w:rPr>
          <w:lang w:val="lt-LT"/>
        </w:rPr>
      </w:pPr>
    </w:p>
    <w:p w14:paraId="1ACD50BC" w14:textId="77777777" w:rsidR="00027E14" w:rsidRPr="00AF632D" w:rsidRDefault="00027E14" w:rsidP="00027E14">
      <w:pPr>
        <w:pBdr>
          <w:top w:val="single" w:sz="4" w:space="1" w:color="auto"/>
          <w:left w:val="single" w:sz="4" w:space="4" w:color="auto"/>
          <w:bottom w:val="single" w:sz="4" w:space="1" w:color="auto"/>
          <w:right w:val="single" w:sz="4" w:space="4" w:color="auto"/>
        </w:pBdr>
        <w:outlineLvl w:val="0"/>
        <w:rPr>
          <w:b/>
          <w:lang w:val="lt-LT"/>
        </w:rPr>
      </w:pPr>
      <w:r w:rsidRPr="00AF632D">
        <w:rPr>
          <w:b/>
          <w:lang w:val="lt-LT"/>
        </w:rPr>
        <w:t>12.</w:t>
      </w:r>
      <w:r w:rsidRPr="00AF632D">
        <w:rPr>
          <w:b/>
          <w:lang w:val="lt-LT"/>
        </w:rPr>
        <w:tab/>
        <w:t>REGISTRACIJOS PAŽYMĖJIMO NUMERIS (-IAI)</w:t>
      </w:r>
    </w:p>
    <w:p w14:paraId="519EF4DE" w14:textId="77777777" w:rsidR="00027E14" w:rsidRPr="00AF632D" w:rsidRDefault="00027E14" w:rsidP="00027E14">
      <w:pPr>
        <w:rPr>
          <w:lang w:val="lt-LT"/>
        </w:rPr>
      </w:pPr>
    </w:p>
    <w:p w14:paraId="3DC9CA85" w14:textId="4CA8E3DC" w:rsidR="00EF58EA" w:rsidRDefault="00EF58EA" w:rsidP="00EF58EA">
      <w:pPr>
        <w:rPr>
          <w:bCs/>
          <w:lang w:val="lt-LT"/>
        </w:rPr>
      </w:pPr>
      <w:r>
        <w:rPr>
          <w:lang w:val="lt-LT"/>
        </w:rPr>
        <w:t>LT/1/21/4722</w:t>
      </w:r>
      <w:r w:rsidRPr="00F44299">
        <w:rPr>
          <w:lang w:val="lt-LT"/>
        </w:rPr>
        <w:t>/001</w:t>
      </w:r>
      <w:r>
        <w:rPr>
          <w:lang w:val="lt-LT"/>
        </w:rPr>
        <w:t xml:space="preserve"> </w:t>
      </w:r>
      <w:r w:rsidRPr="008C45B6">
        <w:rPr>
          <w:rFonts w:eastAsia="Calibri"/>
          <w:shd w:val="clear" w:color="auto" w:fill="D9D9D9" w:themeFill="background1" w:themeFillShade="D9"/>
          <w:lang w:val="lt-LT" w:eastAsia="lt-LT"/>
        </w:rPr>
        <w:t>– N28</w:t>
      </w:r>
      <w:r>
        <w:rPr>
          <w:rFonts w:eastAsia="Calibri"/>
          <w:lang w:val="lt-LT" w:eastAsia="lt-LT"/>
        </w:rPr>
        <w:t xml:space="preserve">  </w:t>
      </w:r>
    </w:p>
    <w:p w14:paraId="50121DE6" w14:textId="46FABBCA" w:rsidR="00027E14" w:rsidRDefault="00EF58EA" w:rsidP="00EF58EA">
      <w:pPr>
        <w:rPr>
          <w:rFonts w:eastAsia="Calibri"/>
          <w:shd w:val="clear" w:color="auto" w:fill="D9D9D9" w:themeFill="background1" w:themeFillShade="D9"/>
          <w:lang w:val="lt-LT" w:eastAsia="lt-LT"/>
        </w:rPr>
      </w:pPr>
      <w:r>
        <w:rPr>
          <w:lang w:val="lt-LT"/>
        </w:rPr>
        <w:t>LT/1/21/4722</w:t>
      </w:r>
      <w:r w:rsidRPr="00F44299">
        <w:rPr>
          <w:lang w:val="lt-LT"/>
        </w:rPr>
        <w:t>/00</w:t>
      </w:r>
      <w:r>
        <w:rPr>
          <w:lang w:val="lt-LT"/>
        </w:rPr>
        <w:t xml:space="preserve">2 </w:t>
      </w:r>
      <w:r w:rsidRPr="00EF58EA">
        <w:rPr>
          <w:rFonts w:eastAsia="Calibri"/>
          <w:shd w:val="clear" w:color="auto" w:fill="D9D9D9" w:themeFill="background1" w:themeFillShade="D9"/>
          <w:lang w:val="lt-LT" w:eastAsia="lt-LT"/>
        </w:rPr>
        <w:t>–</w:t>
      </w:r>
      <w:r w:rsidR="00027E14" w:rsidRPr="008C45B6">
        <w:rPr>
          <w:rFonts w:eastAsia="Calibri"/>
          <w:shd w:val="clear" w:color="auto" w:fill="D9D9D9" w:themeFill="background1" w:themeFillShade="D9"/>
          <w:lang w:val="lt-LT" w:eastAsia="lt-LT"/>
        </w:rPr>
        <w:t xml:space="preserve"> N84</w:t>
      </w:r>
    </w:p>
    <w:p w14:paraId="5AFDC277" w14:textId="501C3A0D" w:rsidR="0067310F" w:rsidRPr="0067310F" w:rsidRDefault="0067310F" w:rsidP="0067310F">
      <w:pPr>
        <w:rPr>
          <w:rFonts w:eastAsia="Calibri"/>
          <w:bCs/>
          <w:shd w:val="clear" w:color="auto" w:fill="D9D9D9" w:themeFill="background1" w:themeFillShade="D9"/>
          <w:lang w:val="lt-LT" w:eastAsia="lt-LT"/>
        </w:rPr>
      </w:pPr>
      <w:r w:rsidRPr="0067310F">
        <w:rPr>
          <w:rFonts w:eastAsia="Calibri"/>
          <w:shd w:val="clear" w:color="auto" w:fill="D9D9D9" w:themeFill="background1" w:themeFillShade="D9"/>
          <w:lang w:val="lt-LT" w:eastAsia="lt-LT"/>
        </w:rPr>
        <w:t>LT/1/21/4722</w:t>
      </w:r>
      <w:r>
        <w:rPr>
          <w:rFonts w:eastAsia="Calibri"/>
          <w:shd w:val="clear" w:color="auto" w:fill="D9D9D9" w:themeFill="background1" w:themeFillShade="D9"/>
          <w:lang w:val="lt-LT" w:eastAsia="lt-LT"/>
        </w:rPr>
        <w:t>/00</w:t>
      </w:r>
      <w:r w:rsidR="002F3F05">
        <w:rPr>
          <w:rFonts w:eastAsia="Calibri"/>
          <w:shd w:val="clear" w:color="auto" w:fill="D9D9D9" w:themeFill="background1" w:themeFillShade="D9"/>
          <w:lang w:val="lt-LT" w:eastAsia="lt-LT"/>
        </w:rPr>
        <w:t>3</w:t>
      </w:r>
      <w:r w:rsidRPr="0067310F">
        <w:rPr>
          <w:rFonts w:eastAsia="Calibri"/>
          <w:shd w:val="clear" w:color="auto" w:fill="D9D9D9" w:themeFill="background1" w:themeFillShade="D9"/>
          <w:lang w:val="lt-LT" w:eastAsia="lt-LT"/>
        </w:rPr>
        <w:t xml:space="preserve"> – N</w:t>
      </w:r>
      <w:r>
        <w:rPr>
          <w:rFonts w:eastAsia="Calibri"/>
          <w:shd w:val="clear" w:color="auto" w:fill="D9D9D9" w:themeFill="background1" w:themeFillShade="D9"/>
          <w:lang w:val="lt-LT" w:eastAsia="lt-LT"/>
        </w:rPr>
        <w:t>56</w:t>
      </w:r>
      <w:r w:rsidRPr="0067310F">
        <w:rPr>
          <w:rFonts w:eastAsia="Calibri"/>
          <w:shd w:val="clear" w:color="auto" w:fill="D9D9D9" w:themeFill="background1" w:themeFillShade="D9"/>
          <w:lang w:val="lt-LT" w:eastAsia="lt-LT"/>
        </w:rPr>
        <w:t xml:space="preserve">  </w:t>
      </w:r>
    </w:p>
    <w:p w14:paraId="541A2EC3" w14:textId="4FB35FBE" w:rsidR="0067310F" w:rsidRPr="0067310F" w:rsidRDefault="0067310F" w:rsidP="0067310F">
      <w:pPr>
        <w:rPr>
          <w:rFonts w:eastAsia="Calibri"/>
          <w:shd w:val="clear" w:color="auto" w:fill="D9D9D9" w:themeFill="background1" w:themeFillShade="D9"/>
          <w:lang w:val="lt-LT" w:eastAsia="lt-LT"/>
        </w:rPr>
      </w:pPr>
      <w:r w:rsidRPr="0067310F">
        <w:rPr>
          <w:rFonts w:eastAsia="Calibri"/>
          <w:shd w:val="clear" w:color="auto" w:fill="D9D9D9" w:themeFill="background1" w:themeFillShade="D9"/>
          <w:lang w:val="lt-LT" w:eastAsia="lt-LT"/>
        </w:rPr>
        <w:t>LT/1/21/4722/00</w:t>
      </w:r>
      <w:r w:rsidR="002F3F05">
        <w:rPr>
          <w:rFonts w:eastAsia="Calibri"/>
          <w:shd w:val="clear" w:color="auto" w:fill="D9D9D9" w:themeFill="background1" w:themeFillShade="D9"/>
          <w:lang w:val="lt-LT" w:eastAsia="lt-LT"/>
        </w:rPr>
        <w:t>4</w:t>
      </w:r>
      <w:r w:rsidRPr="0067310F">
        <w:rPr>
          <w:rFonts w:eastAsia="Calibri"/>
          <w:shd w:val="clear" w:color="auto" w:fill="D9D9D9" w:themeFill="background1" w:themeFillShade="D9"/>
          <w:lang w:val="lt-LT" w:eastAsia="lt-LT"/>
        </w:rPr>
        <w:t xml:space="preserve"> – N</w:t>
      </w:r>
      <w:r>
        <w:rPr>
          <w:rFonts w:eastAsia="Calibri"/>
          <w:shd w:val="clear" w:color="auto" w:fill="D9D9D9" w:themeFill="background1" w:themeFillShade="D9"/>
          <w:lang w:val="lt-LT" w:eastAsia="lt-LT"/>
        </w:rPr>
        <w:t>98</w:t>
      </w:r>
    </w:p>
    <w:p w14:paraId="1C03109F" w14:textId="77777777" w:rsidR="0067310F" w:rsidRPr="008C45B6" w:rsidRDefault="0067310F" w:rsidP="00EF58EA">
      <w:pPr>
        <w:rPr>
          <w:rFonts w:eastAsia="Calibri"/>
          <w:shd w:val="clear" w:color="auto" w:fill="D9D9D9" w:themeFill="background1" w:themeFillShade="D9"/>
          <w:lang w:val="lt-LT" w:eastAsia="lt-LT"/>
        </w:rPr>
      </w:pPr>
    </w:p>
    <w:p w14:paraId="6211E841" w14:textId="77777777" w:rsidR="00027E14" w:rsidRDefault="00027E14" w:rsidP="00027E14">
      <w:pPr>
        <w:rPr>
          <w:lang w:val="lt-LT"/>
        </w:rPr>
      </w:pPr>
    </w:p>
    <w:p w14:paraId="6407EE70" w14:textId="77777777" w:rsidR="00027E14" w:rsidRPr="00AF632D" w:rsidRDefault="00027E14" w:rsidP="00027E14">
      <w:pPr>
        <w:rPr>
          <w:lang w:val="lt-LT"/>
        </w:rPr>
      </w:pPr>
    </w:p>
    <w:p w14:paraId="1F531CF3" w14:textId="77777777" w:rsidR="00027E14" w:rsidRPr="00AF632D" w:rsidRDefault="00027E14" w:rsidP="00027E14">
      <w:pPr>
        <w:pBdr>
          <w:top w:val="single" w:sz="4" w:space="1" w:color="auto"/>
          <w:left w:val="single" w:sz="4" w:space="4" w:color="auto"/>
          <w:bottom w:val="single" w:sz="4" w:space="1" w:color="auto"/>
          <w:right w:val="single" w:sz="4" w:space="4" w:color="auto"/>
        </w:pBdr>
        <w:outlineLvl w:val="0"/>
        <w:rPr>
          <w:b/>
          <w:lang w:val="lt-LT"/>
        </w:rPr>
      </w:pPr>
      <w:r w:rsidRPr="00AF632D">
        <w:rPr>
          <w:b/>
          <w:lang w:val="lt-LT"/>
        </w:rPr>
        <w:t>13.</w:t>
      </w:r>
      <w:r w:rsidRPr="00AF632D">
        <w:rPr>
          <w:b/>
          <w:lang w:val="lt-LT"/>
        </w:rPr>
        <w:tab/>
        <w:t>SERIJOS NUMERIS</w:t>
      </w:r>
    </w:p>
    <w:p w14:paraId="528A5D15" w14:textId="77777777" w:rsidR="00027E14" w:rsidRPr="00AF632D" w:rsidRDefault="00027E14" w:rsidP="00027E14">
      <w:pPr>
        <w:rPr>
          <w:lang w:val="lt-LT"/>
        </w:rPr>
      </w:pPr>
    </w:p>
    <w:p w14:paraId="2121E16C" w14:textId="77777777" w:rsidR="00027E14" w:rsidRPr="00AF632D" w:rsidRDefault="00027E14" w:rsidP="00027E14">
      <w:pPr>
        <w:rPr>
          <w:rFonts w:eastAsia="Calibri"/>
          <w:lang w:val="lt-LT" w:eastAsia="sl-SI"/>
        </w:rPr>
      </w:pPr>
      <w:r w:rsidRPr="00AF632D">
        <w:rPr>
          <w:lang w:val="lt-LT" w:eastAsia="sl-SI"/>
        </w:rPr>
        <w:t>Lot</w:t>
      </w:r>
      <w:r w:rsidR="005A19C2">
        <w:rPr>
          <w:lang w:val="lt-LT" w:eastAsia="sl-SI"/>
        </w:rPr>
        <w:t xml:space="preserve"> </w:t>
      </w:r>
      <w:r w:rsidR="005A19C2" w:rsidRPr="00590ABF">
        <w:rPr>
          <w:lang w:val="pt-PT"/>
        </w:rPr>
        <w:t>{numeris}</w:t>
      </w:r>
    </w:p>
    <w:p w14:paraId="2BD1AA34" w14:textId="77777777" w:rsidR="00027E14" w:rsidRPr="00AF632D" w:rsidRDefault="00027E14" w:rsidP="00027E14">
      <w:pPr>
        <w:rPr>
          <w:lang w:val="lt-LT"/>
        </w:rPr>
      </w:pPr>
    </w:p>
    <w:p w14:paraId="257B48AF" w14:textId="77777777" w:rsidR="00027E14" w:rsidRPr="00AF632D" w:rsidRDefault="00027E14" w:rsidP="00027E14">
      <w:pPr>
        <w:rPr>
          <w:lang w:val="lt-LT"/>
        </w:rPr>
      </w:pPr>
    </w:p>
    <w:p w14:paraId="05A03978" w14:textId="77777777" w:rsidR="00027E14" w:rsidRPr="00AF632D" w:rsidRDefault="00027E14" w:rsidP="00027E14">
      <w:pPr>
        <w:pBdr>
          <w:top w:val="single" w:sz="4" w:space="1" w:color="auto"/>
          <w:left w:val="single" w:sz="4" w:space="4" w:color="auto"/>
          <w:bottom w:val="single" w:sz="4" w:space="1" w:color="auto"/>
          <w:right w:val="single" w:sz="4" w:space="4" w:color="auto"/>
        </w:pBdr>
        <w:outlineLvl w:val="0"/>
        <w:rPr>
          <w:lang w:val="lt-LT"/>
        </w:rPr>
      </w:pPr>
      <w:r w:rsidRPr="00AF632D">
        <w:rPr>
          <w:b/>
          <w:lang w:val="lt-LT"/>
        </w:rPr>
        <w:t>14.</w:t>
      </w:r>
      <w:r w:rsidRPr="00AF632D">
        <w:rPr>
          <w:b/>
          <w:lang w:val="lt-LT"/>
        </w:rPr>
        <w:tab/>
        <w:t>PARDAVIMO (IŠDAVIMO) TVARKA</w:t>
      </w:r>
    </w:p>
    <w:p w14:paraId="6EC9668A" w14:textId="77777777" w:rsidR="00027E14" w:rsidRPr="00AF632D" w:rsidRDefault="00027E14" w:rsidP="00027E14">
      <w:pPr>
        <w:rPr>
          <w:lang w:val="lt-LT"/>
        </w:rPr>
      </w:pPr>
    </w:p>
    <w:p w14:paraId="3F6FB3F2" w14:textId="77777777" w:rsidR="00027E14" w:rsidRPr="00AF632D" w:rsidRDefault="00027E14" w:rsidP="00027E14">
      <w:pPr>
        <w:rPr>
          <w:lang w:val="lt-LT"/>
        </w:rPr>
      </w:pPr>
      <w:r w:rsidRPr="00AF632D">
        <w:rPr>
          <w:lang w:val="lt-LT"/>
        </w:rPr>
        <w:t>Receptinis vaistas.</w:t>
      </w:r>
    </w:p>
    <w:p w14:paraId="3B570F79" w14:textId="77777777" w:rsidR="00027E14" w:rsidRPr="00AF632D" w:rsidRDefault="00027E14" w:rsidP="00027E14">
      <w:pPr>
        <w:rPr>
          <w:lang w:val="lt-LT"/>
        </w:rPr>
      </w:pPr>
    </w:p>
    <w:p w14:paraId="15F97684" w14:textId="77777777" w:rsidR="00027E14" w:rsidRPr="00AF632D" w:rsidRDefault="00027E14" w:rsidP="00027E14">
      <w:pPr>
        <w:rPr>
          <w:lang w:val="lt-LT"/>
        </w:rPr>
      </w:pPr>
    </w:p>
    <w:p w14:paraId="1E446C77" w14:textId="77777777" w:rsidR="00027E14" w:rsidRPr="00AF632D" w:rsidRDefault="00027E14" w:rsidP="00027E14">
      <w:pPr>
        <w:pBdr>
          <w:top w:val="single" w:sz="4" w:space="2" w:color="auto"/>
          <w:left w:val="single" w:sz="4" w:space="4" w:color="auto"/>
          <w:bottom w:val="single" w:sz="4" w:space="1" w:color="auto"/>
          <w:right w:val="single" w:sz="4" w:space="4" w:color="auto"/>
        </w:pBdr>
        <w:outlineLvl w:val="0"/>
        <w:rPr>
          <w:lang w:val="lt-LT"/>
        </w:rPr>
      </w:pPr>
      <w:r w:rsidRPr="00AF632D">
        <w:rPr>
          <w:b/>
          <w:lang w:val="lt-LT"/>
        </w:rPr>
        <w:t>15.</w:t>
      </w:r>
      <w:r w:rsidRPr="00AF632D">
        <w:rPr>
          <w:b/>
          <w:lang w:val="lt-LT"/>
        </w:rPr>
        <w:tab/>
        <w:t>VARTOJIMO INSTRUKCIJA</w:t>
      </w:r>
    </w:p>
    <w:p w14:paraId="4201C1C9" w14:textId="77777777" w:rsidR="00027E14" w:rsidRPr="00AF632D" w:rsidRDefault="00027E14" w:rsidP="00027E14">
      <w:pPr>
        <w:rPr>
          <w:lang w:val="lt-LT"/>
        </w:rPr>
      </w:pPr>
    </w:p>
    <w:p w14:paraId="58740A78" w14:textId="77777777" w:rsidR="00027E14" w:rsidRPr="00AF632D" w:rsidRDefault="00027E14" w:rsidP="00027E14">
      <w:pPr>
        <w:rPr>
          <w:lang w:val="lt-LT"/>
        </w:rPr>
      </w:pPr>
    </w:p>
    <w:p w14:paraId="76C27E40" w14:textId="77777777" w:rsidR="00027E14" w:rsidRPr="00AF632D" w:rsidRDefault="00027E14" w:rsidP="00027E14">
      <w:pPr>
        <w:pBdr>
          <w:top w:val="single" w:sz="4" w:space="1" w:color="auto"/>
          <w:left w:val="single" w:sz="4" w:space="4" w:color="auto"/>
          <w:bottom w:val="single" w:sz="4" w:space="0" w:color="auto"/>
          <w:right w:val="single" w:sz="4" w:space="4" w:color="auto"/>
        </w:pBdr>
        <w:rPr>
          <w:lang w:val="lt-LT"/>
        </w:rPr>
      </w:pPr>
      <w:r w:rsidRPr="00AF632D">
        <w:rPr>
          <w:b/>
          <w:lang w:val="lt-LT"/>
        </w:rPr>
        <w:t>16.</w:t>
      </w:r>
      <w:r w:rsidRPr="00AF632D">
        <w:rPr>
          <w:b/>
          <w:lang w:val="lt-LT"/>
        </w:rPr>
        <w:tab/>
        <w:t>INFORMACIJA BRAILIO RAŠTU</w:t>
      </w:r>
    </w:p>
    <w:p w14:paraId="1E72433B" w14:textId="77777777" w:rsidR="00027E14" w:rsidRPr="00AF632D" w:rsidRDefault="00027E14" w:rsidP="00027E14">
      <w:pPr>
        <w:rPr>
          <w:lang w:val="lt-LT"/>
        </w:rPr>
      </w:pPr>
    </w:p>
    <w:p w14:paraId="2089EA27" w14:textId="1A61081E" w:rsidR="00027E14" w:rsidRPr="00AF632D" w:rsidRDefault="006B5252" w:rsidP="00027E14">
      <w:pPr>
        <w:rPr>
          <w:lang w:val="lt-LT"/>
        </w:rPr>
      </w:pPr>
      <w:proofErr w:type="spellStart"/>
      <w:r>
        <w:rPr>
          <w:lang w:val="lt-LT"/>
        </w:rPr>
        <w:t>Zilbea</w:t>
      </w:r>
      <w:proofErr w:type="spellEnd"/>
      <w:r w:rsidR="00027E14" w:rsidRPr="00AF632D">
        <w:rPr>
          <w:lang w:val="lt-LT"/>
        </w:rPr>
        <w:t xml:space="preserve"> 25 mg</w:t>
      </w:r>
    </w:p>
    <w:p w14:paraId="65E8AB17" w14:textId="77777777" w:rsidR="00027E14" w:rsidRPr="00AF632D" w:rsidRDefault="00027E14" w:rsidP="00027E14">
      <w:pPr>
        <w:rPr>
          <w:lang w:val="lt-LT"/>
        </w:rPr>
      </w:pPr>
    </w:p>
    <w:p w14:paraId="29F871CA" w14:textId="77777777" w:rsidR="00027E14" w:rsidRPr="00AF632D" w:rsidRDefault="00027E14" w:rsidP="00590ABF">
      <w:pPr>
        <w:tabs>
          <w:tab w:val="left" w:pos="567"/>
        </w:tabs>
        <w:rPr>
          <w:shd w:val="clear" w:color="auto" w:fill="CCCCCC"/>
          <w:lang w:val="lt-LT" w:eastAsia="lt-LT" w:bidi="lt-LT"/>
        </w:rPr>
      </w:pPr>
    </w:p>
    <w:p w14:paraId="3B322375" w14:textId="77777777" w:rsidR="00027E14" w:rsidRPr="00AF632D" w:rsidRDefault="00027E14" w:rsidP="00590ABF">
      <w:pPr>
        <w:pBdr>
          <w:top w:val="single" w:sz="4" w:space="1" w:color="auto"/>
          <w:left w:val="single" w:sz="4" w:space="4" w:color="auto"/>
          <w:bottom w:val="single" w:sz="4" w:space="1" w:color="auto"/>
          <w:right w:val="single" w:sz="4" w:space="4" w:color="auto"/>
        </w:pBdr>
        <w:tabs>
          <w:tab w:val="left" w:pos="567"/>
        </w:tabs>
        <w:ind w:left="1077" w:hanging="1077"/>
        <w:outlineLvl w:val="0"/>
        <w:rPr>
          <w:i/>
          <w:lang w:val="lt-LT" w:eastAsia="lt-LT" w:bidi="lt-LT"/>
        </w:rPr>
      </w:pPr>
      <w:r w:rsidRPr="00AF632D">
        <w:rPr>
          <w:b/>
          <w:lang w:val="lt-LT" w:eastAsia="lt-LT" w:bidi="lt-LT"/>
        </w:rPr>
        <w:t>17.</w:t>
      </w:r>
      <w:r w:rsidRPr="00AF632D">
        <w:rPr>
          <w:b/>
          <w:lang w:val="lt-LT" w:eastAsia="lt-LT" w:bidi="lt-LT"/>
        </w:rPr>
        <w:tab/>
        <w:t>UNIKALUS IDENTIFIKATORIUS – 2D BRŪKŠNINIS KODAS</w:t>
      </w:r>
    </w:p>
    <w:p w14:paraId="0D870783" w14:textId="77777777" w:rsidR="00027E14" w:rsidRPr="00AF632D" w:rsidRDefault="00027E14" w:rsidP="00590ABF">
      <w:pPr>
        <w:tabs>
          <w:tab w:val="left" w:pos="567"/>
        </w:tabs>
        <w:rPr>
          <w:lang w:val="lt-LT" w:eastAsia="lt-LT" w:bidi="lt-LT"/>
        </w:rPr>
      </w:pPr>
    </w:p>
    <w:p w14:paraId="1037F56C" w14:textId="77777777" w:rsidR="00027E14" w:rsidRPr="00AF632D" w:rsidRDefault="00027E14" w:rsidP="00590ABF">
      <w:pPr>
        <w:tabs>
          <w:tab w:val="left" w:pos="567"/>
        </w:tabs>
        <w:rPr>
          <w:lang w:val="lt-LT" w:eastAsia="lt-LT" w:bidi="lt-LT"/>
        </w:rPr>
      </w:pPr>
      <w:r w:rsidRPr="00AF632D">
        <w:rPr>
          <w:highlight w:val="lightGray"/>
          <w:lang w:val="lt-LT" w:eastAsia="lt-LT" w:bidi="lt-LT"/>
        </w:rPr>
        <w:t>2D brūkšninis kodas su nurodytu unikaliu identifikatoriumi.</w:t>
      </w:r>
    </w:p>
    <w:p w14:paraId="4DCEF8FD" w14:textId="77777777" w:rsidR="00027E14" w:rsidRPr="00AF632D" w:rsidRDefault="00027E14" w:rsidP="00590ABF">
      <w:pPr>
        <w:tabs>
          <w:tab w:val="left" w:pos="567"/>
        </w:tabs>
        <w:rPr>
          <w:highlight w:val="lightGray"/>
          <w:lang w:val="lt-LT" w:eastAsia="lt-LT" w:bidi="lt-LT"/>
        </w:rPr>
      </w:pPr>
    </w:p>
    <w:p w14:paraId="1832EA10" w14:textId="77777777" w:rsidR="00027E14" w:rsidRPr="00AF632D" w:rsidRDefault="00027E14" w:rsidP="00590ABF">
      <w:pPr>
        <w:tabs>
          <w:tab w:val="left" w:pos="567"/>
        </w:tabs>
        <w:rPr>
          <w:lang w:val="lt-LT" w:eastAsia="lt-LT" w:bidi="lt-LT"/>
        </w:rPr>
      </w:pPr>
    </w:p>
    <w:p w14:paraId="744A2DB8" w14:textId="77777777" w:rsidR="00027E14" w:rsidRPr="00AF632D" w:rsidRDefault="00027E14" w:rsidP="00590ABF">
      <w:pPr>
        <w:pBdr>
          <w:top w:val="single" w:sz="4" w:space="1" w:color="auto"/>
          <w:left w:val="single" w:sz="4" w:space="4" w:color="auto"/>
          <w:bottom w:val="single" w:sz="4" w:space="1" w:color="auto"/>
          <w:right w:val="single" w:sz="4" w:space="4" w:color="auto"/>
        </w:pBdr>
        <w:tabs>
          <w:tab w:val="left" w:pos="567"/>
        </w:tabs>
        <w:ind w:left="1077" w:hanging="1077"/>
        <w:outlineLvl w:val="0"/>
        <w:rPr>
          <w:i/>
          <w:lang w:val="lt-LT" w:eastAsia="lt-LT" w:bidi="lt-LT"/>
        </w:rPr>
      </w:pPr>
      <w:r w:rsidRPr="00AF632D">
        <w:rPr>
          <w:b/>
          <w:lang w:val="lt-LT" w:eastAsia="lt-LT" w:bidi="lt-LT"/>
        </w:rPr>
        <w:t>18.</w:t>
      </w:r>
      <w:r w:rsidRPr="00AF632D">
        <w:rPr>
          <w:b/>
          <w:lang w:val="lt-LT" w:eastAsia="lt-LT" w:bidi="lt-LT"/>
        </w:rPr>
        <w:tab/>
        <w:t>UNIKALUS IDENTIFIKATORIUS – ŽMONĖMS SUPRANTAMI DUOMENYS</w:t>
      </w:r>
    </w:p>
    <w:p w14:paraId="5CC8D7BD" w14:textId="77777777" w:rsidR="00027E14" w:rsidRPr="00AF632D" w:rsidRDefault="00027E14" w:rsidP="00027E14">
      <w:pPr>
        <w:rPr>
          <w:lang w:val="lt-LT" w:eastAsia="lt-LT" w:bidi="lt-LT"/>
        </w:rPr>
      </w:pPr>
    </w:p>
    <w:p w14:paraId="20095D15" w14:textId="77777777" w:rsidR="00027E14" w:rsidRPr="00AF632D" w:rsidRDefault="00027E14" w:rsidP="00027E14">
      <w:pPr>
        <w:rPr>
          <w:lang w:val="lt-LT" w:eastAsia="lt-LT" w:bidi="lt-LT"/>
        </w:rPr>
      </w:pPr>
      <w:r w:rsidRPr="00AF632D">
        <w:rPr>
          <w:lang w:val="lt-LT" w:eastAsia="lt-LT" w:bidi="lt-LT"/>
        </w:rPr>
        <w:t>PC</w:t>
      </w:r>
    </w:p>
    <w:p w14:paraId="2244A5EE" w14:textId="77777777" w:rsidR="00027E14" w:rsidRPr="00AF632D" w:rsidRDefault="00027E14" w:rsidP="00027E14">
      <w:pPr>
        <w:rPr>
          <w:lang w:val="lt-LT" w:eastAsia="lt-LT" w:bidi="lt-LT"/>
        </w:rPr>
      </w:pPr>
      <w:r w:rsidRPr="00AF632D">
        <w:rPr>
          <w:lang w:val="lt-LT" w:eastAsia="lt-LT" w:bidi="lt-LT"/>
        </w:rPr>
        <w:t>SN</w:t>
      </w:r>
    </w:p>
    <w:p w14:paraId="3E9E50E3" w14:textId="77777777" w:rsidR="00027E14" w:rsidRPr="006B5252" w:rsidRDefault="00027E14" w:rsidP="00027E14">
      <w:pPr>
        <w:rPr>
          <w:lang w:val="lt-LT" w:eastAsia="lt-LT" w:bidi="lt-LT"/>
        </w:rPr>
      </w:pPr>
      <w:r w:rsidRPr="00590ABF">
        <w:rPr>
          <w:highlight w:val="lightGray"/>
          <w:lang w:val="lt-LT" w:eastAsia="lt-LT" w:bidi="lt-LT"/>
        </w:rPr>
        <w:t>NN</w:t>
      </w:r>
    </w:p>
    <w:p w14:paraId="5A91DB7F" w14:textId="77777777" w:rsidR="00027E14" w:rsidRPr="00AF632D" w:rsidRDefault="00027E14" w:rsidP="00027E14">
      <w:pPr>
        <w:pBdr>
          <w:top w:val="single" w:sz="4" w:space="1" w:color="auto"/>
          <w:left w:val="single" w:sz="4" w:space="4" w:color="auto"/>
          <w:bottom w:val="single" w:sz="4" w:space="1" w:color="auto"/>
          <w:right w:val="single" w:sz="4" w:space="4" w:color="auto"/>
        </w:pBdr>
        <w:rPr>
          <w:b/>
          <w:lang w:val="lt-LT" w:eastAsia="lt-LT"/>
        </w:rPr>
      </w:pPr>
      <w:r w:rsidRPr="00AF632D">
        <w:rPr>
          <w:lang w:val="lt-LT"/>
        </w:rPr>
        <w:br w:type="page"/>
      </w:r>
      <w:r w:rsidRPr="00AF632D">
        <w:rPr>
          <w:b/>
          <w:lang w:val="lt-LT" w:eastAsia="lt-LT"/>
        </w:rPr>
        <w:lastRenderedPageBreak/>
        <w:t>MINIMALI INFORMACIJA ANT LIZDINIŲ PLOKŠTELIŲ ARBA DVISLUOKSNIŲ JUOSTELIŲ</w:t>
      </w:r>
    </w:p>
    <w:p w14:paraId="289E7878" w14:textId="77777777" w:rsidR="00027E14" w:rsidRPr="00AF632D" w:rsidRDefault="00027E14" w:rsidP="00027E14">
      <w:pPr>
        <w:pBdr>
          <w:top w:val="single" w:sz="4" w:space="1" w:color="auto"/>
          <w:left w:val="single" w:sz="4" w:space="4" w:color="auto"/>
          <w:bottom w:val="single" w:sz="4" w:space="1" w:color="auto"/>
          <w:right w:val="single" w:sz="4" w:space="4" w:color="auto"/>
        </w:pBdr>
        <w:rPr>
          <w:b/>
          <w:lang w:val="lt-LT" w:eastAsia="lt-LT"/>
        </w:rPr>
      </w:pPr>
    </w:p>
    <w:p w14:paraId="62806B8F" w14:textId="77777777" w:rsidR="00027E14" w:rsidRPr="00AF632D" w:rsidRDefault="00027E14" w:rsidP="00027E14">
      <w:pPr>
        <w:pBdr>
          <w:top w:val="single" w:sz="4" w:space="1" w:color="auto"/>
          <w:left w:val="single" w:sz="4" w:space="4" w:color="auto"/>
          <w:bottom w:val="single" w:sz="4" w:space="1" w:color="auto"/>
          <w:right w:val="single" w:sz="4" w:space="4" w:color="auto"/>
        </w:pBdr>
        <w:rPr>
          <w:lang w:val="lt-LT" w:eastAsia="lt-LT"/>
        </w:rPr>
      </w:pPr>
      <w:r w:rsidRPr="00AF632D">
        <w:rPr>
          <w:b/>
          <w:lang w:val="lt-LT" w:eastAsia="lt-LT"/>
        </w:rPr>
        <w:t>LIZDINĖ PLOKŠTELĖ</w:t>
      </w:r>
    </w:p>
    <w:p w14:paraId="73AB303A" w14:textId="77777777" w:rsidR="00027E14" w:rsidRPr="00AF632D" w:rsidRDefault="00027E14" w:rsidP="00027E14">
      <w:pPr>
        <w:rPr>
          <w:lang w:val="lt-LT" w:eastAsia="lt-LT"/>
        </w:rPr>
      </w:pPr>
    </w:p>
    <w:p w14:paraId="096614C3" w14:textId="77777777" w:rsidR="00027E14" w:rsidRPr="00AF632D" w:rsidRDefault="00027E14" w:rsidP="00027E14">
      <w:pPr>
        <w:rPr>
          <w:lang w:val="lt-LT" w:eastAsia="lt-LT"/>
        </w:rPr>
      </w:pPr>
    </w:p>
    <w:p w14:paraId="2C3741B3" w14:textId="77777777" w:rsidR="00027E14" w:rsidRPr="00AF632D" w:rsidRDefault="00027E14" w:rsidP="00027E14">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AF632D">
        <w:rPr>
          <w:b/>
          <w:caps/>
          <w:kern w:val="28"/>
          <w:lang w:val="lt-LT" w:eastAsia="lt-LT"/>
        </w:rPr>
        <w:t>1.</w:t>
      </w:r>
      <w:r w:rsidRPr="00AF632D">
        <w:rPr>
          <w:b/>
          <w:caps/>
          <w:kern w:val="28"/>
          <w:lang w:val="lt-LT" w:eastAsia="lt-LT"/>
        </w:rPr>
        <w:tab/>
        <w:t>VAISTINIO PREPARATO PAVADINIMAS</w:t>
      </w:r>
    </w:p>
    <w:p w14:paraId="5EE04718" w14:textId="77777777" w:rsidR="00027E14" w:rsidRPr="00AF632D" w:rsidRDefault="00027E14" w:rsidP="00027E14">
      <w:pPr>
        <w:rPr>
          <w:lang w:val="lt-LT" w:eastAsia="lt-LT"/>
        </w:rPr>
      </w:pPr>
    </w:p>
    <w:p w14:paraId="5D14401B" w14:textId="6F064623" w:rsidR="00027E14" w:rsidRPr="00AF632D" w:rsidRDefault="006B5252" w:rsidP="00027E14">
      <w:pPr>
        <w:rPr>
          <w:lang w:val="lt-LT"/>
        </w:rPr>
      </w:pPr>
      <w:proofErr w:type="spellStart"/>
      <w:r>
        <w:rPr>
          <w:lang w:val="lt-LT"/>
        </w:rPr>
        <w:t>Zilbea</w:t>
      </w:r>
      <w:proofErr w:type="spellEnd"/>
      <w:r w:rsidR="00027E14" w:rsidRPr="00AF632D">
        <w:rPr>
          <w:lang w:val="lt-LT"/>
        </w:rPr>
        <w:t xml:space="preserve"> 25</w:t>
      </w:r>
      <w:r w:rsidR="00227E03">
        <w:rPr>
          <w:lang w:val="lt-LT"/>
        </w:rPr>
        <w:t> </w:t>
      </w:r>
      <w:r w:rsidR="00027E14" w:rsidRPr="006B5252">
        <w:rPr>
          <w:lang w:val="lt-LT"/>
        </w:rPr>
        <w:t>mg plėvele dengtos</w:t>
      </w:r>
      <w:r w:rsidR="00027E14" w:rsidRPr="00AF632D">
        <w:rPr>
          <w:lang w:val="lt-LT"/>
        </w:rPr>
        <w:t xml:space="preserve"> tabletės</w:t>
      </w:r>
    </w:p>
    <w:p w14:paraId="6CEC2439" w14:textId="77777777" w:rsidR="00027E14" w:rsidRPr="00AF632D" w:rsidRDefault="00027E14" w:rsidP="00027E14">
      <w:pPr>
        <w:rPr>
          <w:lang w:val="lt-LT"/>
        </w:rPr>
      </w:pPr>
      <w:proofErr w:type="spellStart"/>
      <w:r w:rsidRPr="00AF632D">
        <w:rPr>
          <w:lang w:val="lt-LT"/>
        </w:rPr>
        <w:t>agomelatinas</w:t>
      </w:r>
      <w:proofErr w:type="spellEnd"/>
    </w:p>
    <w:p w14:paraId="3A36856F" w14:textId="77777777" w:rsidR="00027E14" w:rsidRPr="00AF632D" w:rsidRDefault="00027E14" w:rsidP="00027E14">
      <w:pPr>
        <w:rPr>
          <w:lang w:val="lt-LT" w:eastAsia="lt-LT"/>
        </w:rPr>
      </w:pPr>
    </w:p>
    <w:p w14:paraId="58A9CE5C" w14:textId="77777777" w:rsidR="00027E14" w:rsidRPr="00AF632D" w:rsidRDefault="00027E14" w:rsidP="00027E14">
      <w:pPr>
        <w:rPr>
          <w:lang w:val="lt-LT" w:eastAsia="lt-LT"/>
        </w:rPr>
      </w:pPr>
    </w:p>
    <w:p w14:paraId="055E93DD" w14:textId="77777777" w:rsidR="00027E14" w:rsidRDefault="00027E14" w:rsidP="00027E14">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AF632D">
        <w:rPr>
          <w:b/>
          <w:caps/>
          <w:kern w:val="28"/>
          <w:lang w:val="lt-LT" w:eastAsia="lt-LT"/>
        </w:rPr>
        <w:t>2.</w:t>
      </w:r>
      <w:r w:rsidRPr="00AF632D">
        <w:rPr>
          <w:b/>
          <w:caps/>
          <w:kern w:val="28"/>
          <w:lang w:val="lt-LT" w:eastAsia="lt-LT"/>
        </w:rPr>
        <w:tab/>
      </w:r>
      <w:r w:rsidRPr="00AF632D">
        <w:rPr>
          <w:b/>
          <w:kern w:val="28"/>
          <w:lang w:val="lt-LT" w:eastAsia="lt-LT"/>
        </w:rPr>
        <w:t>REGISTRUOTOJO</w:t>
      </w:r>
      <w:r w:rsidRPr="00AF632D">
        <w:rPr>
          <w:kern w:val="28"/>
          <w:lang w:val="lt-LT" w:eastAsia="lt-LT"/>
        </w:rPr>
        <w:t xml:space="preserve"> </w:t>
      </w:r>
      <w:r w:rsidRPr="00AF632D">
        <w:rPr>
          <w:b/>
          <w:caps/>
          <w:kern w:val="28"/>
          <w:lang w:val="lt-LT" w:eastAsia="lt-LT"/>
        </w:rPr>
        <w:t>PAVADINIMAS</w:t>
      </w:r>
    </w:p>
    <w:p w14:paraId="185B431B" w14:textId="77777777" w:rsidR="00027E14" w:rsidRPr="00AF632D" w:rsidRDefault="00027E14" w:rsidP="00027E14">
      <w:pPr>
        <w:rPr>
          <w:lang w:val="lt-LT" w:eastAsia="lt-LT"/>
        </w:rPr>
      </w:pPr>
    </w:p>
    <w:p w14:paraId="002A10AB" w14:textId="31E819AE" w:rsidR="00027E14" w:rsidRPr="00AF632D" w:rsidRDefault="006B5252" w:rsidP="00027E14">
      <w:pPr>
        <w:rPr>
          <w:lang w:val="lt-LT" w:eastAsia="lt-LT"/>
        </w:rPr>
      </w:pPr>
      <w:proofErr w:type="spellStart"/>
      <w:r>
        <w:rPr>
          <w:lang w:val="lt-LT" w:eastAsia="lt-LT"/>
        </w:rPr>
        <w:t>Zentiva</w:t>
      </w:r>
      <w:proofErr w:type="spellEnd"/>
      <w:r>
        <w:rPr>
          <w:lang w:val="lt-LT" w:eastAsia="lt-LT"/>
        </w:rPr>
        <w:t xml:space="preserve"> [logo</w:t>
      </w:r>
      <w:r w:rsidR="003A71DE">
        <w:rPr>
          <w:lang w:val="lt-LT" w:eastAsia="lt-LT"/>
        </w:rPr>
        <w:t>tipas</w:t>
      </w:r>
      <w:r>
        <w:rPr>
          <w:lang w:val="lt-LT" w:eastAsia="lt-LT"/>
        </w:rPr>
        <w:t>]</w:t>
      </w:r>
    </w:p>
    <w:p w14:paraId="68CE29E3" w14:textId="77777777" w:rsidR="00027E14" w:rsidRPr="00AF632D" w:rsidRDefault="00027E14" w:rsidP="00027E14">
      <w:pPr>
        <w:rPr>
          <w:lang w:val="lt-LT" w:eastAsia="lt-LT"/>
        </w:rPr>
      </w:pPr>
    </w:p>
    <w:p w14:paraId="4829EB64" w14:textId="77777777" w:rsidR="00027E14" w:rsidRPr="00AF632D" w:rsidRDefault="00027E14" w:rsidP="00027E14">
      <w:pPr>
        <w:rPr>
          <w:lang w:val="lt-LT" w:eastAsia="lt-LT"/>
        </w:rPr>
      </w:pPr>
    </w:p>
    <w:p w14:paraId="0B384235" w14:textId="77777777" w:rsidR="00027E14" w:rsidRPr="00AF632D" w:rsidRDefault="00027E14" w:rsidP="00027E14">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AF632D">
        <w:rPr>
          <w:b/>
          <w:caps/>
          <w:kern w:val="28"/>
          <w:lang w:val="lt-LT" w:eastAsia="lt-LT"/>
        </w:rPr>
        <w:t>3.</w:t>
      </w:r>
      <w:r w:rsidRPr="00AF632D">
        <w:rPr>
          <w:b/>
          <w:caps/>
          <w:kern w:val="28"/>
          <w:lang w:val="lt-LT" w:eastAsia="lt-LT"/>
        </w:rPr>
        <w:tab/>
        <w:t>TINKAMUMO LAIKAS</w:t>
      </w:r>
    </w:p>
    <w:p w14:paraId="0850ADCB" w14:textId="77777777" w:rsidR="00027E14" w:rsidRPr="00AF632D" w:rsidRDefault="00027E14" w:rsidP="00027E14">
      <w:pPr>
        <w:rPr>
          <w:lang w:val="lt-LT" w:eastAsia="lt-LT"/>
        </w:rPr>
      </w:pPr>
    </w:p>
    <w:p w14:paraId="1A28039D" w14:textId="77777777" w:rsidR="00027E14" w:rsidRPr="00AF632D" w:rsidRDefault="00027E14" w:rsidP="00027E14">
      <w:pPr>
        <w:rPr>
          <w:lang w:val="lt-LT" w:eastAsia="lt-LT"/>
        </w:rPr>
      </w:pPr>
      <w:r w:rsidRPr="00AF632D">
        <w:rPr>
          <w:lang w:val="lt-LT" w:eastAsia="lt-LT"/>
        </w:rPr>
        <w:t xml:space="preserve">EXP </w:t>
      </w:r>
      <w:r w:rsidR="006B5252">
        <w:rPr>
          <w:lang w:val="lt-LT" w:eastAsia="lt-LT"/>
        </w:rPr>
        <w:t>{</w:t>
      </w:r>
      <w:r w:rsidRPr="00AF632D">
        <w:rPr>
          <w:lang w:val="lt-LT" w:eastAsia="sl-SI"/>
        </w:rPr>
        <w:t>mm/MMMM</w:t>
      </w:r>
      <w:r w:rsidR="006B5252">
        <w:rPr>
          <w:lang w:val="lt-LT" w:eastAsia="sl-SI"/>
        </w:rPr>
        <w:t>}</w:t>
      </w:r>
    </w:p>
    <w:p w14:paraId="0C1F60BA" w14:textId="77777777" w:rsidR="00027E14" w:rsidRPr="00AF632D" w:rsidRDefault="00027E14" w:rsidP="00027E14">
      <w:pPr>
        <w:rPr>
          <w:lang w:val="lt-LT" w:eastAsia="lt-LT"/>
        </w:rPr>
      </w:pPr>
    </w:p>
    <w:p w14:paraId="2ACE6603" w14:textId="77777777" w:rsidR="00027E14" w:rsidRPr="00AF632D" w:rsidRDefault="00027E14" w:rsidP="00027E14">
      <w:pPr>
        <w:rPr>
          <w:lang w:val="lt-LT" w:eastAsia="lt-LT"/>
        </w:rPr>
      </w:pPr>
    </w:p>
    <w:p w14:paraId="4B2C3B89" w14:textId="77777777" w:rsidR="00027E14" w:rsidRDefault="00027E14" w:rsidP="00027E14">
      <w:pPr>
        <w:pBdr>
          <w:top w:val="single" w:sz="4" w:space="1" w:color="auto"/>
          <w:left w:val="single" w:sz="4" w:space="4" w:color="auto"/>
          <w:bottom w:val="single" w:sz="4" w:space="1" w:color="auto"/>
          <w:right w:val="single" w:sz="4" w:space="4" w:color="auto"/>
        </w:pBdr>
        <w:suppressAutoHyphens/>
        <w:ind w:left="567" w:hanging="567"/>
        <w:outlineLvl w:val="0"/>
        <w:rPr>
          <w:b/>
          <w:caps/>
          <w:kern w:val="28"/>
          <w:lang w:val="lt-LT" w:eastAsia="lt-LT"/>
        </w:rPr>
      </w:pPr>
      <w:r w:rsidRPr="00AF632D">
        <w:rPr>
          <w:b/>
          <w:caps/>
          <w:kern w:val="28"/>
          <w:lang w:val="lt-LT" w:eastAsia="lt-LT"/>
        </w:rPr>
        <w:t>4.</w:t>
      </w:r>
      <w:r w:rsidRPr="00AF632D">
        <w:rPr>
          <w:b/>
          <w:caps/>
          <w:kern w:val="28"/>
          <w:lang w:val="lt-LT" w:eastAsia="lt-LT"/>
        </w:rPr>
        <w:tab/>
        <w:t>SERIJOS NUMERIS</w:t>
      </w:r>
    </w:p>
    <w:p w14:paraId="7AF4C451" w14:textId="77777777" w:rsidR="00027E14" w:rsidRPr="00AF632D" w:rsidRDefault="00027E14" w:rsidP="00027E14">
      <w:pPr>
        <w:rPr>
          <w:lang w:val="lt-LT" w:eastAsia="lt-LT"/>
        </w:rPr>
      </w:pPr>
    </w:p>
    <w:p w14:paraId="1B1C578E" w14:textId="77777777" w:rsidR="00027E14" w:rsidRPr="00AF632D" w:rsidRDefault="00027E14" w:rsidP="00027E14">
      <w:pPr>
        <w:rPr>
          <w:lang w:val="lt-LT" w:eastAsia="lt-LT"/>
        </w:rPr>
      </w:pPr>
      <w:r w:rsidRPr="00AF632D">
        <w:rPr>
          <w:lang w:val="lt-LT" w:eastAsia="lt-LT"/>
        </w:rPr>
        <w:t>Lot</w:t>
      </w:r>
    </w:p>
    <w:p w14:paraId="2957AD71" w14:textId="77777777" w:rsidR="00027E14" w:rsidRPr="00AF632D" w:rsidRDefault="00027E14" w:rsidP="00027E14">
      <w:pPr>
        <w:rPr>
          <w:lang w:val="lt-LT" w:eastAsia="lt-LT"/>
        </w:rPr>
      </w:pPr>
    </w:p>
    <w:p w14:paraId="23A58D23" w14:textId="77777777" w:rsidR="00027E14" w:rsidRPr="00AF632D" w:rsidRDefault="00027E14" w:rsidP="00027E14">
      <w:pPr>
        <w:rPr>
          <w:lang w:val="lt-LT" w:eastAsia="lt-LT"/>
        </w:rPr>
      </w:pPr>
    </w:p>
    <w:p w14:paraId="21243D53" w14:textId="77777777" w:rsidR="00027E14" w:rsidRPr="00AF632D" w:rsidRDefault="00027E14" w:rsidP="00027E14">
      <w:pPr>
        <w:pBdr>
          <w:top w:val="single" w:sz="4" w:space="1" w:color="auto"/>
          <w:left w:val="single" w:sz="4" w:space="4" w:color="auto"/>
          <w:bottom w:val="single" w:sz="4" w:space="1" w:color="auto"/>
          <w:right w:val="single" w:sz="4" w:space="4" w:color="auto"/>
        </w:pBdr>
        <w:outlineLvl w:val="0"/>
        <w:rPr>
          <w:b/>
          <w:lang w:val="lt-LT" w:eastAsia="lt-LT"/>
        </w:rPr>
      </w:pPr>
      <w:r w:rsidRPr="00AF632D">
        <w:rPr>
          <w:b/>
          <w:lang w:val="lt-LT" w:eastAsia="lt-LT"/>
        </w:rPr>
        <w:t>5.</w:t>
      </w:r>
      <w:r w:rsidRPr="00AF632D">
        <w:rPr>
          <w:b/>
          <w:lang w:val="lt-LT" w:eastAsia="lt-LT"/>
        </w:rPr>
        <w:tab/>
        <w:t>KITA</w:t>
      </w:r>
    </w:p>
    <w:p w14:paraId="0651692E" w14:textId="77777777" w:rsidR="00027E14" w:rsidRPr="00AF632D" w:rsidRDefault="00027E14" w:rsidP="00027E14">
      <w:pPr>
        <w:jc w:val="center"/>
        <w:outlineLvl w:val="0"/>
        <w:rPr>
          <w:b/>
          <w:lang w:val="lt-LT"/>
        </w:rPr>
      </w:pPr>
      <w:r w:rsidRPr="00AF632D">
        <w:rPr>
          <w:lang w:val="lt-LT"/>
        </w:rPr>
        <w:br w:type="page"/>
      </w:r>
    </w:p>
    <w:p w14:paraId="7C3CBCE2" w14:textId="77777777" w:rsidR="00027E14" w:rsidRPr="00AF632D" w:rsidRDefault="00027E14" w:rsidP="00027E14">
      <w:pPr>
        <w:jc w:val="center"/>
        <w:outlineLvl w:val="0"/>
        <w:rPr>
          <w:b/>
          <w:lang w:val="lt-LT"/>
        </w:rPr>
      </w:pPr>
    </w:p>
    <w:p w14:paraId="41272CA0" w14:textId="77777777" w:rsidR="00027E14" w:rsidRPr="00AF632D" w:rsidRDefault="00027E14" w:rsidP="00027E14">
      <w:pPr>
        <w:jc w:val="center"/>
        <w:outlineLvl w:val="0"/>
        <w:rPr>
          <w:b/>
          <w:lang w:val="lt-LT"/>
        </w:rPr>
      </w:pPr>
    </w:p>
    <w:p w14:paraId="16E7E027" w14:textId="77777777" w:rsidR="00027E14" w:rsidRPr="00AF632D" w:rsidRDefault="00027E14" w:rsidP="00027E14">
      <w:pPr>
        <w:jc w:val="center"/>
        <w:outlineLvl w:val="0"/>
        <w:rPr>
          <w:b/>
          <w:lang w:val="lt-LT"/>
        </w:rPr>
      </w:pPr>
    </w:p>
    <w:p w14:paraId="588EEC77" w14:textId="77777777" w:rsidR="00027E14" w:rsidRPr="00AF632D" w:rsidRDefault="00027E14" w:rsidP="00027E14">
      <w:pPr>
        <w:jc w:val="center"/>
        <w:outlineLvl w:val="0"/>
        <w:rPr>
          <w:b/>
          <w:lang w:val="lt-LT"/>
        </w:rPr>
      </w:pPr>
    </w:p>
    <w:p w14:paraId="7E128930" w14:textId="77777777" w:rsidR="00027E14" w:rsidRPr="00AF632D" w:rsidRDefault="00027E14" w:rsidP="00027E14">
      <w:pPr>
        <w:jc w:val="center"/>
        <w:outlineLvl w:val="0"/>
        <w:rPr>
          <w:b/>
          <w:lang w:val="lt-LT"/>
        </w:rPr>
      </w:pPr>
    </w:p>
    <w:p w14:paraId="2825EF39" w14:textId="77777777" w:rsidR="00027E14" w:rsidRPr="00AF632D" w:rsidRDefault="00027E14" w:rsidP="00027E14">
      <w:pPr>
        <w:jc w:val="center"/>
        <w:outlineLvl w:val="0"/>
        <w:rPr>
          <w:b/>
          <w:lang w:val="lt-LT"/>
        </w:rPr>
      </w:pPr>
    </w:p>
    <w:p w14:paraId="5257300D" w14:textId="77777777" w:rsidR="00027E14" w:rsidRPr="00AF632D" w:rsidRDefault="00027E14" w:rsidP="00027E14">
      <w:pPr>
        <w:jc w:val="center"/>
        <w:outlineLvl w:val="0"/>
        <w:rPr>
          <w:b/>
          <w:lang w:val="lt-LT"/>
        </w:rPr>
      </w:pPr>
    </w:p>
    <w:p w14:paraId="75DB5476" w14:textId="77777777" w:rsidR="00027E14" w:rsidRPr="00AF632D" w:rsidRDefault="00027E14" w:rsidP="00027E14">
      <w:pPr>
        <w:jc w:val="center"/>
        <w:outlineLvl w:val="0"/>
        <w:rPr>
          <w:b/>
          <w:lang w:val="lt-LT"/>
        </w:rPr>
      </w:pPr>
    </w:p>
    <w:p w14:paraId="7A4428BA" w14:textId="77777777" w:rsidR="00027E14" w:rsidRPr="00AF632D" w:rsidRDefault="00027E14" w:rsidP="00027E14">
      <w:pPr>
        <w:jc w:val="center"/>
        <w:outlineLvl w:val="0"/>
        <w:rPr>
          <w:b/>
          <w:lang w:val="lt-LT"/>
        </w:rPr>
      </w:pPr>
    </w:p>
    <w:p w14:paraId="23DB5D23" w14:textId="77777777" w:rsidR="00027E14" w:rsidRPr="00AF632D" w:rsidRDefault="00027E14" w:rsidP="00027E14">
      <w:pPr>
        <w:jc w:val="center"/>
        <w:outlineLvl w:val="0"/>
        <w:rPr>
          <w:b/>
          <w:lang w:val="lt-LT"/>
        </w:rPr>
      </w:pPr>
    </w:p>
    <w:p w14:paraId="3190BB0B" w14:textId="77777777" w:rsidR="00027E14" w:rsidRPr="00AF632D" w:rsidRDefault="00027E14" w:rsidP="00027E14">
      <w:pPr>
        <w:jc w:val="center"/>
        <w:outlineLvl w:val="0"/>
        <w:rPr>
          <w:b/>
          <w:lang w:val="lt-LT"/>
        </w:rPr>
      </w:pPr>
    </w:p>
    <w:p w14:paraId="186458BC" w14:textId="77777777" w:rsidR="00027E14" w:rsidRPr="00AF632D" w:rsidRDefault="00027E14" w:rsidP="00027E14">
      <w:pPr>
        <w:jc w:val="center"/>
        <w:outlineLvl w:val="0"/>
        <w:rPr>
          <w:b/>
          <w:lang w:val="lt-LT"/>
        </w:rPr>
      </w:pPr>
    </w:p>
    <w:p w14:paraId="5CACDF90" w14:textId="77777777" w:rsidR="00027E14" w:rsidRPr="00AF632D" w:rsidRDefault="00027E14" w:rsidP="00027E14">
      <w:pPr>
        <w:jc w:val="center"/>
        <w:outlineLvl w:val="0"/>
        <w:rPr>
          <w:b/>
          <w:lang w:val="lt-LT"/>
        </w:rPr>
      </w:pPr>
    </w:p>
    <w:p w14:paraId="6F098B26" w14:textId="77777777" w:rsidR="00027E14" w:rsidRPr="00AF632D" w:rsidRDefault="00027E14" w:rsidP="00027E14">
      <w:pPr>
        <w:jc w:val="center"/>
        <w:outlineLvl w:val="0"/>
        <w:rPr>
          <w:b/>
          <w:lang w:val="lt-LT"/>
        </w:rPr>
      </w:pPr>
    </w:p>
    <w:p w14:paraId="5C2C29F6" w14:textId="77777777" w:rsidR="00027E14" w:rsidRPr="00AF632D" w:rsidRDefault="00027E14" w:rsidP="00027E14">
      <w:pPr>
        <w:jc w:val="center"/>
        <w:outlineLvl w:val="0"/>
        <w:rPr>
          <w:b/>
          <w:lang w:val="lt-LT"/>
        </w:rPr>
      </w:pPr>
    </w:p>
    <w:p w14:paraId="2552B7A2" w14:textId="77777777" w:rsidR="00027E14" w:rsidRPr="00AF632D" w:rsidRDefault="00027E14" w:rsidP="00027E14">
      <w:pPr>
        <w:jc w:val="center"/>
        <w:outlineLvl w:val="0"/>
        <w:rPr>
          <w:b/>
          <w:lang w:val="lt-LT"/>
        </w:rPr>
      </w:pPr>
    </w:p>
    <w:p w14:paraId="715B7F97" w14:textId="77777777" w:rsidR="00027E14" w:rsidRPr="00AF632D" w:rsidRDefault="00027E14" w:rsidP="00027E14">
      <w:pPr>
        <w:jc w:val="center"/>
        <w:outlineLvl w:val="0"/>
        <w:rPr>
          <w:b/>
          <w:lang w:val="lt-LT"/>
        </w:rPr>
      </w:pPr>
    </w:p>
    <w:p w14:paraId="5E3AB778" w14:textId="77777777" w:rsidR="00027E14" w:rsidRPr="00AF632D" w:rsidRDefault="00027E14" w:rsidP="00027E14">
      <w:pPr>
        <w:jc w:val="center"/>
        <w:outlineLvl w:val="0"/>
        <w:rPr>
          <w:b/>
          <w:lang w:val="lt-LT"/>
        </w:rPr>
      </w:pPr>
    </w:p>
    <w:p w14:paraId="0D9D5AED" w14:textId="77777777" w:rsidR="00027E14" w:rsidRPr="00AF632D" w:rsidRDefault="00027E14" w:rsidP="00027E14">
      <w:pPr>
        <w:jc w:val="center"/>
        <w:outlineLvl w:val="0"/>
        <w:rPr>
          <w:b/>
          <w:lang w:val="lt-LT"/>
        </w:rPr>
      </w:pPr>
    </w:p>
    <w:p w14:paraId="68B5F1E3" w14:textId="77777777" w:rsidR="00027E14" w:rsidRPr="00AF632D" w:rsidRDefault="00027E14" w:rsidP="00027E14">
      <w:pPr>
        <w:jc w:val="center"/>
        <w:outlineLvl w:val="0"/>
        <w:rPr>
          <w:b/>
          <w:lang w:val="lt-LT"/>
        </w:rPr>
      </w:pPr>
    </w:p>
    <w:p w14:paraId="270D8FB9" w14:textId="77777777" w:rsidR="00027E14" w:rsidRPr="00AF632D" w:rsidRDefault="00027E14" w:rsidP="00027E14">
      <w:pPr>
        <w:jc w:val="center"/>
        <w:outlineLvl w:val="0"/>
        <w:rPr>
          <w:b/>
          <w:lang w:val="lt-LT"/>
        </w:rPr>
      </w:pPr>
    </w:p>
    <w:p w14:paraId="4E4F6228" w14:textId="77777777" w:rsidR="00027E14" w:rsidRPr="00AF632D" w:rsidRDefault="00027E14" w:rsidP="00027E14">
      <w:pPr>
        <w:jc w:val="center"/>
        <w:outlineLvl w:val="0"/>
        <w:rPr>
          <w:b/>
          <w:lang w:val="lt-LT"/>
        </w:rPr>
      </w:pPr>
    </w:p>
    <w:p w14:paraId="6F11A9E7" w14:textId="77777777" w:rsidR="003A71DE" w:rsidRDefault="003A71DE" w:rsidP="00027E14">
      <w:pPr>
        <w:jc w:val="center"/>
        <w:outlineLvl w:val="0"/>
        <w:rPr>
          <w:b/>
          <w:lang w:val="lt-LT"/>
        </w:rPr>
      </w:pPr>
    </w:p>
    <w:p w14:paraId="567569FA" w14:textId="302DFB62" w:rsidR="00027E14" w:rsidRPr="00AF632D" w:rsidRDefault="00027E14" w:rsidP="00027E14">
      <w:pPr>
        <w:jc w:val="center"/>
        <w:outlineLvl w:val="0"/>
        <w:rPr>
          <w:b/>
          <w:lang w:val="lt-LT"/>
        </w:rPr>
      </w:pPr>
      <w:r w:rsidRPr="00AF632D">
        <w:rPr>
          <w:b/>
          <w:lang w:val="lt-LT"/>
        </w:rPr>
        <w:t>B. PAKUOTĖS LAPELIS</w:t>
      </w:r>
    </w:p>
    <w:p w14:paraId="716F86AA" w14:textId="77777777" w:rsidR="00027E14" w:rsidRPr="00AF632D" w:rsidRDefault="00027E14" w:rsidP="00027E14">
      <w:pPr>
        <w:jc w:val="center"/>
        <w:outlineLvl w:val="1"/>
        <w:rPr>
          <w:b/>
          <w:lang w:val="lt-LT" w:eastAsia="lt-LT"/>
        </w:rPr>
      </w:pPr>
      <w:r w:rsidRPr="00AF632D">
        <w:rPr>
          <w:b/>
          <w:bCs/>
          <w:iCs/>
          <w:lang w:val="lt-LT" w:eastAsia="lt-LT"/>
        </w:rPr>
        <w:br w:type="page"/>
      </w:r>
      <w:r w:rsidRPr="00AF632D">
        <w:rPr>
          <w:b/>
          <w:bCs/>
          <w:iCs/>
          <w:lang w:val="lt-LT" w:eastAsia="lt-LT"/>
        </w:rPr>
        <w:lastRenderedPageBreak/>
        <w:t>Pakuotės lapelis:</w:t>
      </w:r>
      <w:r w:rsidRPr="00AF632D">
        <w:rPr>
          <w:b/>
          <w:lang w:val="lt-LT" w:eastAsia="lt-LT"/>
        </w:rPr>
        <w:t xml:space="preserve"> </w:t>
      </w:r>
      <w:r w:rsidRPr="00AF632D">
        <w:rPr>
          <w:b/>
          <w:bCs/>
          <w:iCs/>
          <w:lang w:val="lt-LT" w:eastAsia="lt-LT"/>
        </w:rPr>
        <w:t>informacija pacientui</w:t>
      </w:r>
    </w:p>
    <w:p w14:paraId="5E8E28B5" w14:textId="77777777" w:rsidR="00027E14" w:rsidRPr="00AF632D" w:rsidRDefault="00027E14" w:rsidP="00027E14">
      <w:pPr>
        <w:numPr>
          <w:ilvl w:val="12"/>
          <w:numId w:val="0"/>
        </w:numPr>
        <w:shd w:val="clear" w:color="auto" w:fill="FFFFFF"/>
        <w:jc w:val="center"/>
        <w:rPr>
          <w:lang w:val="lt-LT"/>
        </w:rPr>
      </w:pPr>
    </w:p>
    <w:p w14:paraId="0EBC98D3" w14:textId="77777777" w:rsidR="00027E14" w:rsidRPr="00AF632D" w:rsidRDefault="006B5252" w:rsidP="00027E14">
      <w:pPr>
        <w:jc w:val="center"/>
        <w:rPr>
          <w:b/>
          <w:lang w:val="lt-LT"/>
        </w:rPr>
      </w:pPr>
      <w:proofErr w:type="spellStart"/>
      <w:r>
        <w:rPr>
          <w:b/>
          <w:lang w:val="lt-LT"/>
        </w:rPr>
        <w:t>Zilbea</w:t>
      </w:r>
      <w:proofErr w:type="spellEnd"/>
      <w:r w:rsidR="00027E14" w:rsidRPr="00AF632D">
        <w:rPr>
          <w:b/>
          <w:lang w:val="lt-LT"/>
        </w:rPr>
        <w:t xml:space="preserve"> 25 mg plėvele dengtos tabletės</w:t>
      </w:r>
    </w:p>
    <w:p w14:paraId="743F8DCC" w14:textId="77777777" w:rsidR="00027E14" w:rsidRPr="00AF632D" w:rsidRDefault="00027E14" w:rsidP="00027E14">
      <w:pPr>
        <w:jc w:val="center"/>
        <w:rPr>
          <w:lang w:val="lt-LT"/>
        </w:rPr>
      </w:pPr>
      <w:proofErr w:type="spellStart"/>
      <w:r w:rsidRPr="00AF632D">
        <w:rPr>
          <w:lang w:val="lt-LT"/>
        </w:rPr>
        <w:t>agomelatinas</w:t>
      </w:r>
      <w:proofErr w:type="spellEnd"/>
    </w:p>
    <w:p w14:paraId="452FBF53" w14:textId="77777777" w:rsidR="00027E14" w:rsidRPr="00AF632D" w:rsidRDefault="00027E14" w:rsidP="00027E14">
      <w:pPr>
        <w:jc w:val="center"/>
        <w:rPr>
          <w:lang w:val="lt-LT"/>
        </w:rPr>
      </w:pPr>
    </w:p>
    <w:p w14:paraId="53CBA280" w14:textId="77777777" w:rsidR="00027E14" w:rsidRPr="00AF632D" w:rsidRDefault="00027E14" w:rsidP="00027E14">
      <w:pPr>
        <w:rPr>
          <w:lang w:val="lt-LT"/>
        </w:rPr>
      </w:pPr>
      <w:r w:rsidRPr="00AF632D">
        <w:rPr>
          <w:b/>
          <w:lang w:val="lt-LT"/>
        </w:rPr>
        <w:t>Atidžiai perskaitykite visą šį lapelį, prieš pradėdami vartoti vaistą, nes jame pateikiama Jums svarbi informacija.</w:t>
      </w:r>
    </w:p>
    <w:p w14:paraId="4625F00D" w14:textId="77777777" w:rsidR="00027E14" w:rsidRPr="00AF632D" w:rsidRDefault="00027E14" w:rsidP="00151B1E">
      <w:pPr>
        <w:numPr>
          <w:ilvl w:val="0"/>
          <w:numId w:val="19"/>
        </w:numPr>
        <w:autoSpaceDE/>
        <w:autoSpaceDN/>
        <w:ind w:left="567" w:right="-2" w:hanging="567"/>
        <w:rPr>
          <w:lang w:val="lt-LT"/>
        </w:rPr>
      </w:pPr>
      <w:r w:rsidRPr="00AF632D">
        <w:rPr>
          <w:lang w:val="lt-LT"/>
        </w:rPr>
        <w:t>Neišmeskite šio lapelio, nes vėl gali prireikti jį perskaityti.</w:t>
      </w:r>
    </w:p>
    <w:p w14:paraId="3876FD9D" w14:textId="77777777" w:rsidR="00027E14" w:rsidRPr="00AF632D" w:rsidRDefault="00027E14" w:rsidP="00151B1E">
      <w:pPr>
        <w:numPr>
          <w:ilvl w:val="0"/>
          <w:numId w:val="19"/>
        </w:numPr>
        <w:autoSpaceDE/>
        <w:autoSpaceDN/>
        <w:ind w:left="567" w:right="-2" w:hanging="567"/>
        <w:rPr>
          <w:lang w:val="lt-LT"/>
        </w:rPr>
      </w:pPr>
      <w:r w:rsidRPr="00AF632D">
        <w:rPr>
          <w:lang w:val="lt-LT"/>
        </w:rPr>
        <w:t>Jeigu kiltų daugiau klausimų, kreipkitės į gydytoją arba vaistininką.</w:t>
      </w:r>
    </w:p>
    <w:p w14:paraId="47EC302C" w14:textId="77777777" w:rsidR="00027E14" w:rsidRPr="00AF632D" w:rsidRDefault="00027E14" w:rsidP="00151B1E">
      <w:pPr>
        <w:numPr>
          <w:ilvl w:val="0"/>
          <w:numId w:val="19"/>
        </w:numPr>
        <w:autoSpaceDE/>
        <w:autoSpaceDN/>
        <w:ind w:left="567" w:right="-2" w:hanging="567"/>
        <w:rPr>
          <w:lang w:val="lt-LT"/>
        </w:rPr>
      </w:pPr>
      <w:r w:rsidRPr="00AF632D">
        <w:rPr>
          <w:lang w:val="lt-LT"/>
        </w:rPr>
        <w:t>Šis vaistas skirtas tik Jums, todėl kitiems žmonėms jo duoti negalima. Vaistas gali jiems pakenkti (net tiems, kurių ligos požymiai yra tokie patys kaip Jūsų).</w:t>
      </w:r>
    </w:p>
    <w:p w14:paraId="4B00F468" w14:textId="77777777" w:rsidR="00027E14" w:rsidRPr="00AF632D" w:rsidRDefault="00027E14" w:rsidP="00151B1E">
      <w:pPr>
        <w:numPr>
          <w:ilvl w:val="0"/>
          <w:numId w:val="19"/>
        </w:numPr>
        <w:autoSpaceDE/>
        <w:autoSpaceDN/>
        <w:ind w:left="567" w:hanging="567"/>
        <w:rPr>
          <w:lang w:val="lt-LT"/>
        </w:rPr>
      </w:pPr>
      <w:r w:rsidRPr="00AF632D">
        <w:rPr>
          <w:lang w:val="lt-LT"/>
        </w:rPr>
        <w:t>Jeigu pasireiškė šalutinis poveikis (net jeigu jis šiame lapelyje nenurodytas), kreipkitės į gydytoją arba vaistininką. Žr. 4 skyrių.</w:t>
      </w:r>
    </w:p>
    <w:p w14:paraId="7EAD0D3F" w14:textId="77777777" w:rsidR="00027E14" w:rsidRPr="00AF632D" w:rsidRDefault="00027E14" w:rsidP="00027E14">
      <w:pPr>
        <w:ind w:right="-2"/>
        <w:rPr>
          <w:lang w:val="lt-LT"/>
        </w:rPr>
      </w:pPr>
    </w:p>
    <w:p w14:paraId="4FE2376D" w14:textId="77777777" w:rsidR="00027E14" w:rsidRPr="00AF632D" w:rsidRDefault="00027E14" w:rsidP="00524CFE">
      <w:pPr>
        <w:keepNext/>
        <w:jc w:val="both"/>
        <w:outlineLvl w:val="3"/>
        <w:rPr>
          <w:b/>
          <w:bCs/>
          <w:lang w:val="lt-LT" w:eastAsia="lt-LT"/>
        </w:rPr>
      </w:pPr>
      <w:r w:rsidRPr="00AF632D">
        <w:rPr>
          <w:b/>
          <w:bCs/>
          <w:lang w:val="lt-LT" w:eastAsia="lt-LT"/>
        </w:rPr>
        <w:t>Apie ką rašoma šiame lapelyje?</w:t>
      </w:r>
    </w:p>
    <w:p w14:paraId="34752F15" w14:textId="77777777" w:rsidR="00027E14" w:rsidRPr="00AF632D" w:rsidRDefault="00027E14" w:rsidP="00524CFE">
      <w:pPr>
        <w:keepNext/>
        <w:jc w:val="both"/>
        <w:outlineLvl w:val="3"/>
        <w:rPr>
          <w:b/>
          <w:bCs/>
          <w:lang w:val="lt-LT" w:eastAsia="lt-LT"/>
        </w:rPr>
      </w:pPr>
    </w:p>
    <w:p w14:paraId="0E9C1458" w14:textId="77777777" w:rsidR="00027E14" w:rsidRPr="00AF632D" w:rsidRDefault="00027E14" w:rsidP="00027E14">
      <w:pPr>
        <w:numPr>
          <w:ilvl w:val="12"/>
          <w:numId w:val="0"/>
        </w:numPr>
        <w:ind w:left="567" w:right="-2" w:hanging="567"/>
        <w:rPr>
          <w:lang w:val="lt-LT"/>
        </w:rPr>
      </w:pPr>
      <w:r w:rsidRPr="00AF632D">
        <w:rPr>
          <w:lang w:val="lt-LT"/>
        </w:rPr>
        <w:t>1.</w:t>
      </w:r>
      <w:r w:rsidRPr="00AF632D">
        <w:rPr>
          <w:lang w:val="lt-LT"/>
        </w:rPr>
        <w:tab/>
        <w:t xml:space="preserve">Kas yra </w:t>
      </w:r>
      <w:proofErr w:type="spellStart"/>
      <w:r w:rsidR="005736EB">
        <w:rPr>
          <w:lang w:val="lt-LT"/>
        </w:rPr>
        <w:t>Zilbea</w:t>
      </w:r>
      <w:proofErr w:type="spellEnd"/>
      <w:r w:rsidRPr="00AF632D">
        <w:rPr>
          <w:lang w:val="lt-LT"/>
        </w:rPr>
        <w:t xml:space="preserve"> ir kam jis vartojamas</w:t>
      </w:r>
    </w:p>
    <w:p w14:paraId="14C53409" w14:textId="77777777" w:rsidR="00027E14" w:rsidRPr="00AF632D" w:rsidRDefault="00027E14" w:rsidP="00027E14">
      <w:pPr>
        <w:numPr>
          <w:ilvl w:val="12"/>
          <w:numId w:val="0"/>
        </w:numPr>
        <w:ind w:left="567" w:right="-2" w:hanging="567"/>
        <w:rPr>
          <w:lang w:val="lt-LT"/>
        </w:rPr>
      </w:pPr>
      <w:r w:rsidRPr="00AF632D">
        <w:rPr>
          <w:lang w:val="lt-LT"/>
        </w:rPr>
        <w:t>2.</w:t>
      </w:r>
      <w:r w:rsidRPr="00AF632D">
        <w:rPr>
          <w:lang w:val="lt-LT"/>
        </w:rPr>
        <w:tab/>
        <w:t xml:space="preserve">Kas žinotina prieš vartojant </w:t>
      </w:r>
      <w:proofErr w:type="spellStart"/>
      <w:r w:rsidR="005736EB">
        <w:rPr>
          <w:lang w:val="lt-LT"/>
        </w:rPr>
        <w:t>Zilbea</w:t>
      </w:r>
      <w:proofErr w:type="spellEnd"/>
    </w:p>
    <w:p w14:paraId="6C69FC5B" w14:textId="77777777" w:rsidR="00027E14" w:rsidRPr="00AF632D" w:rsidRDefault="00027E14" w:rsidP="00027E14">
      <w:pPr>
        <w:numPr>
          <w:ilvl w:val="12"/>
          <w:numId w:val="0"/>
        </w:numPr>
        <w:ind w:left="567" w:right="-2" w:hanging="567"/>
        <w:rPr>
          <w:lang w:val="lt-LT"/>
        </w:rPr>
      </w:pPr>
      <w:r w:rsidRPr="00AF632D">
        <w:rPr>
          <w:lang w:val="lt-LT"/>
        </w:rPr>
        <w:t>3.</w:t>
      </w:r>
      <w:r w:rsidRPr="00AF632D">
        <w:rPr>
          <w:lang w:val="lt-LT"/>
        </w:rPr>
        <w:tab/>
        <w:t xml:space="preserve">Kaip vartoti </w:t>
      </w:r>
      <w:proofErr w:type="spellStart"/>
      <w:r w:rsidR="005736EB">
        <w:rPr>
          <w:lang w:val="lt-LT"/>
        </w:rPr>
        <w:t>Zilbea</w:t>
      </w:r>
      <w:proofErr w:type="spellEnd"/>
    </w:p>
    <w:p w14:paraId="39032D04" w14:textId="77777777" w:rsidR="00027E14" w:rsidRPr="00AF632D" w:rsidRDefault="00027E14" w:rsidP="00027E14">
      <w:pPr>
        <w:numPr>
          <w:ilvl w:val="12"/>
          <w:numId w:val="0"/>
        </w:numPr>
        <w:ind w:left="567" w:right="-2" w:hanging="567"/>
        <w:rPr>
          <w:lang w:val="lt-LT"/>
        </w:rPr>
      </w:pPr>
      <w:r w:rsidRPr="00AF632D">
        <w:rPr>
          <w:lang w:val="lt-LT"/>
        </w:rPr>
        <w:t>4.</w:t>
      </w:r>
      <w:r w:rsidRPr="00AF632D">
        <w:rPr>
          <w:lang w:val="lt-LT"/>
        </w:rPr>
        <w:tab/>
        <w:t>Galimas šalutinis poveikis</w:t>
      </w:r>
    </w:p>
    <w:p w14:paraId="49E2B2F7" w14:textId="77777777" w:rsidR="00027E14" w:rsidRPr="00AF632D" w:rsidRDefault="00027E14" w:rsidP="00027E14">
      <w:pPr>
        <w:numPr>
          <w:ilvl w:val="12"/>
          <w:numId w:val="0"/>
        </w:numPr>
        <w:tabs>
          <w:tab w:val="left" w:pos="709"/>
        </w:tabs>
        <w:ind w:left="567" w:right="-2" w:hanging="567"/>
        <w:rPr>
          <w:lang w:val="lt-LT"/>
        </w:rPr>
      </w:pPr>
      <w:r w:rsidRPr="00AF632D">
        <w:rPr>
          <w:lang w:val="lt-LT"/>
        </w:rPr>
        <w:t>5.</w:t>
      </w:r>
      <w:r w:rsidRPr="00AF632D">
        <w:rPr>
          <w:lang w:val="lt-LT"/>
        </w:rPr>
        <w:tab/>
        <w:t xml:space="preserve">Kaip laikyti </w:t>
      </w:r>
      <w:proofErr w:type="spellStart"/>
      <w:r w:rsidR="005736EB">
        <w:rPr>
          <w:lang w:val="lt-LT"/>
        </w:rPr>
        <w:t>Zilbea</w:t>
      </w:r>
      <w:proofErr w:type="spellEnd"/>
    </w:p>
    <w:p w14:paraId="18F896A2" w14:textId="77777777" w:rsidR="00027E14" w:rsidRPr="00AF632D" w:rsidRDefault="00027E14" w:rsidP="00027E14">
      <w:pPr>
        <w:numPr>
          <w:ilvl w:val="12"/>
          <w:numId w:val="0"/>
        </w:numPr>
        <w:ind w:left="567" w:right="-2" w:hanging="567"/>
        <w:rPr>
          <w:lang w:val="lt-LT"/>
        </w:rPr>
      </w:pPr>
      <w:r w:rsidRPr="00AF632D">
        <w:rPr>
          <w:lang w:val="lt-LT"/>
        </w:rPr>
        <w:t>6.</w:t>
      </w:r>
      <w:r w:rsidRPr="00AF632D">
        <w:rPr>
          <w:lang w:val="lt-LT"/>
        </w:rPr>
        <w:tab/>
        <w:t>Pakuotės turinys ir kita informacija</w:t>
      </w:r>
    </w:p>
    <w:p w14:paraId="13B783B8" w14:textId="77777777" w:rsidR="00027E14" w:rsidRPr="00AF632D" w:rsidRDefault="00027E14" w:rsidP="00027E14">
      <w:pPr>
        <w:numPr>
          <w:ilvl w:val="12"/>
          <w:numId w:val="0"/>
        </w:numPr>
        <w:ind w:right="-2"/>
        <w:rPr>
          <w:lang w:val="lt-LT"/>
        </w:rPr>
      </w:pPr>
    </w:p>
    <w:p w14:paraId="0244EC89" w14:textId="77777777" w:rsidR="00027E14" w:rsidRPr="00AF632D" w:rsidRDefault="00027E14" w:rsidP="00027E14">
      <w:pPr>
        <w:numPr>
          <w:ilvl w:val="12"/>
          <w:numId w:val="0"/>
        </w:numPr>
        <w:ind w:right="-2"/>
        <w:rPr>
          <w:lang w:val="lt-LT"/>
        </w:rPr>
      </w:pPr>
    </w:p>
    <w:p w14:paraId="2932EA36" w14:textId="77777777" w:rsidR="00027E14" w:rsidRPr="00AF632D" w:rsidRDefault="00027E14" w:rsidP="00524CFE">
      <w:pPr>
        <w:keepNext/>
        <w:jc w:val="both"/>
        <w:outlineLvl w:val="3"/>
        <w:rPr>
          <w:b/>
          <w:bCs/>
          <w:lang w:val="lt-LT" w:eastAsia="lt-LT"/>
        </w:rPr>
      </w:pPr>
      <w:r w:rsidRPr="00AF632D">
        <w:rPr>
          <w:b/>
          <w:bCs/>
          <w:lang w:val="lt-LT" w:eastAsia="lt-LT"/>
        </w:rPr>
        <w:t>1.</w:t>
      </w:r>
      <w:r w:rsidRPr="00AF632D">
        <w:rPr>
          <w:b/>
          <w:bCs/>
          <w:lang w:val="lt-LT" w:eastAsia="lt-LT"/>
        </w:rPr>
        <w:tab/>
        <w:t xml:space="preserve">Kas yra </w:t>
      </w:r>
      <w:proofErr w:type="spellStart"/>
      <w:r w:rsidR="005736EB">
        <w:rPr>
          <w:b/>
          <w:bCs/>
          <w:lang w:val="lt-LT" w:eastAsia="lt-LT"/>
        </w:rPr>
        <w:t>Zilbea</w:t>
      </w:r>
      <w:proofErr w:type="spellEnd"/>
      <w:r w:rsidRPr="00AF632D">
        <w:rPr>
          <w:b/>
          <w:bCs/>
          <w:lang w:val="lt-LT" w:eastAsia="lt-LT"/>
        </w:rPr>
        <w:t xml:space="preserve"> ir kam jis vartojamas</w:t>
      </w:r>
    </w:p>
    <w:p w14:paraId="214FD411" w14:textId="77777777" w:rsidR="00027E14" w:rsidRDefault="00027E14" w:rsidP="00524CFE">
      <w:pPr>
        <w:keepNext/>
        <w:rPr>
          <w:lang w:val="lt-LT"/>
        </w:rPr>
      </w:pPr>
    </w:p>
    <w:p w14:paraId="0E874E5F" w14:textId="77777777" w:rsidR="00EF1A5D" w:rsidRPr="00AF632D" w:rsidRDefault="00D738B0" w:rsidP="00EF1A5D">
      <w:pPr>
        <w:adjustRightInd w:val="0"/>
        <w:rPr>
          <w:color w:val="000000"/>
          <w:lang w:val="lt-LT" w:eastAsia="sl-SI"/>
        </w:rPr>
      </w:pPr>
      <w:proofErr w:type="spellStart"/>
      <w:r>
        <w:rPr>
          <w:color w:val="000000"/>
          <w:lang w:val="lt-LT" w:eastAsia="sl-SI"/>
        </w:rPr>
        <w:t>Zilbea</w:t>
      </w:r>
      <w:proofErr w:type="spellEnd"/>
      <w:r w:rsidR="00EF1A5D" w:rsidRPr="00AF632D">
        <w:rPr>
          <w:color w:val="000000"/>
          <w:lang w:val="lt-LT" w:eastAsia="sl-SI"/>
        </w:rPr>
        <w:t xml:space="preserve"> sudėtyje yra veikliosios medžiagos </w:t>
      </w:r>
      <w:proofErr w:type="spellStart"/>
      <w:r w:rsidR="00EF1A5D" w:rsidRPr="00AF632D">
        <w:rPr>
          <w:color w:val="000000"/>
          <w:lang w:val="lt-LT" w:eastAsia="sl-SI"/>
        </w:rPr>
        <w:t>agomelatino</w:t>
      </w:r>
      <w:proofErr w:type="spellEnd"/>
      <w:r w:rsidR="00EF1A5D" w:rsidRPr="00AF632D">
        <w:rPr>
          <w:color w:val="000000"/>
          <w:lang w:val="lt-LT" w:eastAsia="sl-SI"/>
        </w:rPr>
        <w:t xml:space="preserve">. Jis priklauso vaistų, vadinamų antidepresantais, grupei. Jums </w:t>
      </w:r>
      <w:proofErr w:type="spellStart"/>
      <w:r>
        <w:rPr>
          <w:color w:val="000000"/>
          <w:lang w:val="lt-LT" w:eastAsia="sl-SI"/>
        </w:rPr>
        <w:t>Zilbea</w:t>
      </w:r>
      <w:proofErr w:type="spellEnd"/>
      <w:r w:rsidR="00EF1A5D" w:rsidRPr="00AF632D">
        <w:rPr>
          <w:color w:val="000000"/>
          <w:lang w:val="lt-LT" w:eastAsia="sl-SI"/>
        </w:rPr>
        <w:t xml:space="preserve"> yra skiriamas depresijai gydyti.</w:t>
      </w:r>
    </w:p>
    <w:p w14:paraId="77D63CD8" w14:textId="77777777" w:rsidR="00EF1A5D" w:rsidRPr="00AF632D" w:rsidRDefault="00EF1A5D" w:rsidP="00EF1A5D">
      <w:pPr>
        <w:adjustRightInd w:val="0"/>
        <w:rPr>
          <w:color w:val="000000"/>
          <w:lang w:val="lt-LT" w:eastAsia="sl-SI"/>
        </w:rPr>
      </w:pPr>
    </w:p>
    <w:p w14:paraId="70E91C5B" w14:textId="77777777" w:rsidR="00EF1A5D" w:rsidRPr="00AF632D" w:rsidRDefault="00D738B0" w:rsidP="00EF1A5D">
      <w:pPr>
        <w:adjustRightInd w:val="0"/>
        <w:rPr>
          <w:color w:val="000000"/>
          <w:lang w:val="lt-LT" w:eastAsia="sl-SI"/>
        </w:rPr>
      </w:pPr>
      <w:proofErr w:type="spellStart"/>
      <w:r>
        <w:rPr>
          <w:color w:val="000000"/>
          <w:lang w:val="lt-LT" w:eastAsia="sl-SI"/>
        </w:rPr>
        <w:t>Zilbea</w:t>
      </w:r>
      <w:proofErr w:type="spellEnd"/>
      <w:r w:rsidR="00EF1A5D" w:rsidRPr="00AF632D">
        <w:rPr>
          <w:color w:val="000000"/>
          <w:lang w:val="lt-LT" w:eastAsia="sl-SI"/>
        </w:rPr>
        <w:t xml:space="preserve"> yra vartojamas suaugusiesiems.</w:t>
      </w:r>
    </w:p>
    <w:p w14:paraId="39F1D2DC" w14:textId="77777777" w:rsidR="00EF1A5D" w:rsidRPr="00AF632D" w:rsidRDefault="00EF1A5D" w:rsidP="00EF1A5D">
      <w:pPr>
        <w:adjustRightInd w:val="0"/>
        <w:rPr>
          <w:color w:val="000000"/>
          <w:lang w:val="lt-LT" w:eastAsia="sl-SI"/>
        </w:rPr>
      </w:pPr>
    </w:p>
    <w:p w14:paraId="0D3308E2" w14:textId="5EBD8E58" w:rsidR="00EF1A5D" w:rsidRPr="00AF632D" w:rsidRDefault="00EF1A5D" w:rsidP="00EF1A5D">
      <w:pPr>
        <w:adjustRightInd w:val="0"/>
        <w:rPr>
          <w:color w:val="000000"/>
          <w:lang w:val="lt-LT" w:eastAsia="sl-SI"/>
        </w:rPr>
      </w:pPr>
      <w:r w:rsidRPr="00AF632D">
        <w:rPr>
          <w:color w:val="000000"/>
          <w:lang w:val="lt-LT" w:eastAsia="sl-SI"/>
        </w:rPr>
        <w:t xml:space="preserve">Depresija yra besitęsiantis nuotaikos sutrikimas, kuris trikdo kasdienį gyvenimą. Depresijos simptomai kiekvienam asmeniui skiriasi, bet dažnai pasireiškia didelis liūdesys, apima jausmas, kad esate nieko nevertas, nebedomina mėgstama veikla, sutrinka miegas, pasireiškia </w:t>
      </w:r>
      <w:r w:rsidR="003578E1">
        <w:rPr>
          <w:color w:val="000000"/>
          <w:lang w:val="lt-LT" w:eastAsia="sl-SI"/>
        </w:rPr>
        <w:t>vangumas (sulėtėjusi veikla)</w:t>
      </w:r>
      <w:r w:rsidRPr="00AF632D">
        <w:rPr>
          <w:color w:val="000000"/>
          <w:lang w:val="lt-LT" w:eastAsia="sl-SI"/>
        </w:rPr>
        <w:t>, nerimas, pakinta kūno svoris.</w:t>
      </w:r>
    </w:p>
    <w:p w14:paraId="79E87A19" w14:textId="77777777" w:rsidR="00EF1A5D" w:rsidRPr="00AF632D" w:rsidRDefault="00EF1A5D" w:rsidP="00EF1A5D">
      <w:pPr>
        <w:adjustRightInd w:val="0"/>
        <w:rPr>
          <w:color w:val="000000"/>
          <w:lang w:val="lt-LT" w:eastAsia="sl-SI"/>
        </w:rPr>
      </w:pPr>
      <w:r w:rsidRPr="00AF632D">
        <w:rPr>
          <w:color w:val="000000"/>
          <w:lang w:val="lt-LT" w:eastAsia="sl-SI"/>
        </w:rPr>
        <w:t xml:space="preserve">Tikėtina </w:t>
      </w:r>
      <w:proofErr w:type="spellStart"/>
      <w:r w:rsidR="00D738B0">
        <w:rPr>
          <w:color w:val="000000"/>
          <w:lang w:val="lt-LT" w:eastAsia="sl-SI"/>
        </w:rPr>
        <w:t>Zilbea</w:t>
      </w:r>
      <w:proofErr w:type="spellEnd"/>
      <w:r w:rsidRPr="00AF632D">
        <w:rPr>
          <w:color w:val="000000"/>
          <w:lang w:val="lt-LT" w:eastAsia="sl-SI"/>
        </w:rPr>
        <w:t xml:space="preserve"> vartojimo nauda yra su depresija susijusių simptomų palengvinimas ir laipsniškas pašalinimas.</w:t>
      </w:r>
    </w:p>
    <w:p w14:paraId="66A11388" w14:textId="77777777" w:rsidR="00EF1A5D" w:rsidRPr="00AF632D" w:rsidRDefault="00EF1A5D" w:rsidP="00EF1A5D">
      <w:pPr>
        <w:adjustRightInd w:val="0"/>
        <w:rPr>
          <w:b/>
          <w:bCs/>
          <w:color w:val="000000"/>
          <w:lang w:val="lt-LT" w:eastAsia="sl-SI"/>
        </w:rPr>
      </w:pPr>
    </w:p>
    <w:p w14:paraId="4C772B63" w14:textId="77777777" w:rsidR="00EF1A5D" w:rsidRPr="00AF632D" w:rsidRDefault="00EF1A5D" w:rsidP="00EF1A5D">
      <w:pPr>
        <w:adjustRightInd w:val="0"/>
        <w:rPr>
          <w:b/>
          <w:bCs/>
          <w:color w:val="000000"/>
          <w:lang w:val="lt-LT" w:eastAsia="sl-SI"/>
        </w:rPr>
      </w:pPr>
    </w:p>
    <w:p w14:paraId="12C84CC9" w14:textId="77777777" w:rsidR="00EF1A5D" w:rsidRPr="00AF632D" w:rsidRDefault="00EF1A5D" w:rsidP="00524CFE">
      <w:pPr>
        <w:keepNext/>
        <w:adjustRightInd w:val="0"/>
        <w:rPr>
          <w:color w:val="000000"/>
          <w:lang w:val="lt-LT" w:eastAsia="sl-SI"/>
        </w:rPr>
      </w:pPr>
      <w:r w:rsidRPr="00AF632D">
        <w:rPr>
          <w:b/>
          <w:bCs/>
          <w:color w:val="000000"/>
          <w:lang w:val="lt-LT" w:eastAsia="sl-SI"/>
        </w:rPr>
        <w:t>2.</w:t>
      </w:r>
      <w:r w:rsidRPr="00AF632D">
        <w:rPr>
          <w:b/>
          <w:bCs/>
          <w:color w:val="000000"/>
          <w:lang w:val="lt-LT" w:eastAsia="sl-SI"/>
        </w:rPr>
        <w:tab/>
        <w:t xml:space="preserve">Kas žinotina prieš vartojant </w:t>
      </w:r>
      <w:proofErr w:type="spellStart"/>
      <w:r w:rsidR="00D738B0">
        <w:rPr>
          <w:b/>
          <w:bCs/>
          <w:color w:val="000000"/>
          <w:lang w:val="lt-LT" w:eastAsia="sl-SI"/>
        </w:rPr>
        <w:t>Zilbea</w:t>
      </w:r>
      <w:proofErr w:type="spellEnd"/>
    </w:p>
    <w:p w14:paraId="29366A00" w14:textId="77777777" w:rsidR="00EF1A5D" w:rsidRPr="00AF632D" w:rsidRDefault="00EF1A5D" w:rsidP="00524CFE">
      <w:pPr>
        <w:keepNext/>
        <w:adjustRightInd w:val="0"/>
        <w:rPr>
          <w:b/>
          <w:bCs/>
          <w:color w:val="000000"/>
          <w:lang w:val="lt-LT" w:eastAsia="sl-SI"/>
        </w:rPr>
      </w:pPr>
    </w:p>
    <w:p w14:paraId="278D5792" w14:textId="565DDE63" w:rsidR="00EF1A5D" w:rsidRPr="00AF632D" w:rsidRDefault="00D738B0" w:rsidP="00524CFE">
      <w:pPr>
        <w:keepNext/>
        <w:adjustRightInd w:val="0"/>
        <w:rPr>
          <w:color w:val="000000"/>
          <w:lang w:val="lt-LT" w:eastAsia="sl-SI"/>
        </w:rPr>
      </w:pPr>
      <w:proofErr w:type="spellStart"/>
      <w:r>
        <w:rPr>
          <w:b/>
          <w:bCs/>
          <w:color w:val="000000"/>
          <w:lang w:val="lt-LT" w:eastAsia="sl-SI"/>
        </w:rPr>
        <w:t>Zilbea</w:t>
      </w:r>
      <w:proofErr w:type="spellEnd"/>
      <w:r w:rsidR="00EF1A5D" w:rsidRPr="00AF632D">
        <w:rPr>
          <w:b/>
          <w:bCs/>
          <w:color w:val="000000"/>
          <w:lang w:val="lt-LT" w:eastAsia="sl-SI"/>
        </w:rPr>
        <w:t xml:space="preserve"> vartoti </w:t>
      </w:r>
      <w:r w:rsidR="002D46E0">
        <w:rPr>
          <w:b/>
          <w:bCs/>
          <w:color w:val="000000"/>
          <w:lang w:val="lt-LT" w:eastAsia="sl-SI"/>
        </w:rPr>
        <w:t>draudžiama</w:t>
      </w:r>
      <w:r w:rsidR="00EF1A5D" w:rsidRPr="00AF632D">
        <w:rPr>
          <w:b/>
          <w:bCs/>
          <w:color w:val="000000"/>
          <w:lang w:val="lt-LT" w:eastAsia="sl-SI"/>
        </w:rPr>
        <w:t>:</w:t>
      </w:r>
    </w:p>
    <w:p w14:paraId="74654025" w14:textId="290AB9E2"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 xml:space="preserve">jeigu yra alergija </w:t>
      </w:r>
      <w:proofErr w:type="spellStart"/>
      <w:r w:rsidRPr="00AF632D">
        <w:rPr>
          <w:color w:val="000000"/>
          <w:lang w:val="lt-LT" w:eastAsia="sl-SI"/>
        </w:rPr>
        <w:t>agomelatinui</w:t>
      </w:r>
      <w:proofErr w:type="spellEnd"/>
      <w:r w:rsidRPr="00AF632D">
        <w:rPr>
          <w:color w:val="000000"/>
          <w:lang w:val="lt-LT" w:eastAsia="sl-SI"/>
        </w:rPr>
        <w:t xml:space="preserve"> arba bet kuriai pagalbinei šio vaisto medžiagai (jos išvardytos 6</w:t>
      </w:r>
      <w:r w:rsidR="004779D2">
        <w:rPr>
          <w:color w:val="000000"/>
          <w:lang w:val="lt-LT" w:eastAsia="sl-SI"/>
        </w:rPr>
        <w:t xml:space="preserve"> </w:t>
      </w:r>
      <w:r w:rsidRPr="00AF632D">
        <w:rPr>
          <w:color w:val="000000"/>
          <w:lang w:val="lt-LT" w:eastAsia="sl-SI"/>
        </w:rPr>
        <w:t>skyriuje);</w:t>
      </w:r>
    </w:p>
    <w:p w14:paraId="6B5ACFEA" w14:textId="1550CB5B" w:rsidR="00EF1A5D" w:rsidRPr="00D738B0" w:rsidRDefault="00EF1A5D" w:rsidP="00EF1A5D">
      <w:pPr>
        <w:widowControl/>
        <w:numPr>
          <w:ilvl w:val="0"/>
          <w:numId w:val="10"/>
        </w:numPr>
        <w:adjustRightInd w:val="0"/>
        <w:ind w:left="567" w:hanging="567"/>
        <w:rPr>
          <w:color w:val="000000"/>
          <w:lang w:val="lt-LT" w:eastAsia="sl-SI"/>
        </w:rPr>
      </w:pPr>
      <w:r w:rsidRPr="00D738B0">
        <w:rPr>
          <w:color w:val="000000"/>
          <w:lang w:val="lt-LT" w:eastAsia="sl-SI"/>
        </w:rPr>
        <w:t>jeigu Jūsų kepenys neveikia tinkamai (</w:t>
      </w:r>
      <w:r w:rsidR="003578E1">
        <w:rPr>
          <w:color w:val="000000"/>
          <w:lang w:val="lt-LT" w:eastAsia="sl-SI"/>
        </w:rPr>
        <w:t>sutrikusi</w:t>
      </w:r>
      <w:r w:rsidR="003578E1" w:rsidRPr="00D738B0">
        <w:rPr>
          <w:color w:val="000000"/>
          <w:lang w:val="lt-LT" w:eastAsia="sl-SI"/>
        </w:rPr>
        <w:t xml:space="preserve"> </w:t>
      </w:r>
      <w:r w:rsidRPr="00D738B0">
        <w:rPr>
          <w:color w:val="000000"/>
          <w:lang w:val="lt-LT" w:eastAsia="sl-SI"/>
        </w:rPr>
        <w:t>kepenų funkcij</w:t>
      </w:r>
      <w:r w:rsidR="003578E1">
        <w:rPr>
          <w:color w:val="000000"/>
          <w:lang w:val="lt-LT" w:eastAsia="sl-SI"/>
        </w:rPr>
        <w:t>a</w:t>
      </w:r>
      <w:r w:rsidRPr="00D738B0">
        <w:rPr>
          <w:color w:val="000000"/>
          <w:lang w:val="lt-LT" w:eastAsia="sl-SI"/>
        </w:rPr>
        <w:t>);</w:t>
      </w:r>
    </w:p>
    <w:p w14:paraId="15E7233F" w14:textId="7777777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 xml:space="preserve">jeigu vartojate </w:t>
      </w:r>
      <w:proofErr w:type="spellStart"/>
      <w:r w:rsidRPr="00AF632D">
        <w:rPr>
          <w:color w:val="000000"/>
          <w:lang w:val="lt-LT" w:eastAsia="sl-SI"/>
        </w:rPr>
        <w:t>fluvoksamino</w:t>
      </w:r>
      <w:proofErr w:type="spellEnd"/>
      <w:r w:rsidRPr="00AF632D">
        <w:rPr>
          <w:color w:val="000000"/>
          <w:lang w:val="lt-LT" w:eastAsia="sl-SI"/>
        </w:rPr>
        <w:t xml:space="preserve"> (kito vaisto, skirto depresijai gydyti) arba </w:t>
      </w:r>
      <w:proofErr w:type="spellStart"/>
      <w:r w:rsidRPr="00AF632D">
        <w:rPr>
          <w:color w:val="000000"/>
          <w:lang w:val="lt-LT" w:eastAsia="sl-SI"/>
        </w:rPr>
        <w:t>ciprofloksacino</w:t>
      </w:r>
      <w:proofErr w:type="spellEnd"/>
      <w:r w:rsidRPr="00AF632D">
        <w:rPr>
          <w:color w:val="000000"/>
          <w:lang w:val="lt-LT" w:eastAsia="sl-SI"/>
        </w:rPr>
        <w:t xml:space="preserve"> (antibiotiko).</w:t>
      </w:r>
    </w:p>
    <w:p w14:paraId="5F3FD644" w14:textId="77777777" w:rsidR="00EF1A5D" w:rsidRPr="00AF632D" w:rsidRDefault="00EF1A5D" w:rsidP="00EF1A5D">
      <w:pPr>
        <w:adjustRightInd w:val="0"/>
        <w:rPr>
          <w:color w:val="000000"/>
          <w:lang w:val="lt-LT" w:eastAsia="sl-SI"/>
        </w:rPr>
      </w:pPr>
    </w:p>
    <w:p w14:paraId="2F0BD941" w14:textId="77777777" w:rsidR="00EF1A5D" w:rsidRPr="00AF632D" w:rsidRDefault="00EF1A5D" w:rsidP="00524CFE">
      <w:pPr>
        <w:keepNext/>
        <w:adjustRightInd w:val="0"/>
        <w:rPr>
          <w:color w:val="000000"/>
          <w:lang w:val="lt-LT" w:eastAsia="sl-SI"/>
        </w:rPr>
      </w:pPr>
      <w:r w:rsidRPr="00AF632D">
        <w:rPr>
          <w:b/>
          <w:bCs/>
          <w:color w:val="000000"/>
          <w:lang w:val="lt-LT" w:eastAsia="sl-SI"/>
        </w:rPr>
        <w:t>Įspėjimai ir atsargumo priemonės</w:t>
      </w:r>
    </w:p>
    <w:p w14:paraId="749A5153" w14:textId="57961934" w:rsidR="00EF1A5D" w:rsidRPr="00AF632D" w:rsidRDefault="00EF1A5D" w:rsidP="00524CFE">
      <w:pPr>
        <w:keepNext/>
        <w:adjustRightInd w:val="0"/>
        <w:rPr>
          <w:color w:val="000000"/>
          <w:lang w:val="lt-LT" w:eastAsia="sl-SI"/>
        </w:rPr>
      </w:pPr>
      <w:r w:rsidRPr="00AF632D">
        <w:rPr>
          <w:color w:val="000000"/>
          <w:lang w:val="lt-LT" w:eastAsia="sl-SI"/>
        </w:rPr>
        <w:t xml:space="preserve">Pasitarkite su gydytoju prieš pradėdami vartoti </w:t>
      </w:r>
      <w:proofErr w:type="spellStart"/>
      <w:r w:rsidR="00D738B0">
        <w:rPr>
          <w:color w:val="000000"/>
          <w:lang w:val="lt-LT" w:eastAsia="sl-SI"/>
        </w:rPr>
        <w:t>Zilbea</w:t>
      </w:r>
      <w:proofErr w:type="spellEnd"/>
      <w:r w:rsidR="00D738B0">
        <w:rPr>
          <w:color w:val="000000"/>
          <w:lang w:val="lt-LT" w:eastAsia="sl-SI"/>
        </w:rPr>
        <w:t>:</w:t>
      </w:r>
    </w:p>
    <w:p w14:paraId="5F2EDEA0" w14:textId="7777777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jeigu vartojate vaistų, kurie gali paveikti kepenis</w:t>
      </w:r>
      <w:r w:rsidR="00D738B0">
        <w:rPr>
          <w:color w:val="000000"/>
          <w:lang w:val="lt-LT" w:eastAsia="sl-SI"/>
        </w:rPr>
        <w:t>;</w:t>
      </w:r>
    </w:p>
    <w:p w14:paraId="241F9B89" w14:textId="7777777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jeigu esate nutukęs arba turite viršsvorio</w:t>
      </w:r>
      <w:r w:rsidR="00D738B0">
        <w:rPr>
          <w:color w:val="000000"/>
          <w:lang w:val="lt-LT" w:eastAsia="sl-SI"/>
        </w:rPr>
        <w:t>;</w:t>
      </w:r>
    </w:p>
    <w:p w14:paraId="6B9E9076" w14:textId="7777777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jeigu sergate cukriniu diabetu</w:t>
      </w:r>
      <w:r w:rsidR="00D738B0">
        <w:rPr>
          <w:color w:val="000000"/>
          <w:lang w:val="lt-LT" w:eastAsia="sl-SI"/>
        </w:rPr>
        <w:t>;</w:t>
      </w:r>
    </w:p>
    <w:p w14:paraId="3D18F9D3" w14:textId="7777777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 xml:space="preserve">jeigu prieš gydymą Jums yra padidėjęs kepenų fermentų aktyvumas, Jūsų gydytojas nuspręs, ar </w:t>
      </w:r>
      <w:proofErr w:type="spellStart"/>
      <w:r w:rsidR="00D738B0">
        <w:rPr>
          <w:color w:val="000000"/>
          <w:lang w:val="lt-LT" w:eastAsia="sl-SI"/>
        </w:rPr>
        <w:t>Zilbea</w:t>
      </w:r>
      <w:proofErr w:type="spellEnd"/>
      <w:r w:rsidRPr="00AF632D">
        <w:rPr>
          <w:color w:val="000000"/>
          <w:lang w:val="lt-LT" w:eastAsia="sl-SI"/>
        </w:rPr>
        <w:t xml:space="preserve"> Jums tinka;</w:t>
      </w:r>
    </w:p>
    <w:p w14:paraId="0234F058" w14:textId="1A75093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 xml:space="preserve">jeigu Jums yra </w:t>
      </w:r>
      <w:proofErr w:type="spellStart"/>
      <w:r w:rsidRPr="00AF632D">
        <w:rPr>
          <w:color w:val="000000"/>
          <w:lang w:val="lt-LT" w:eastAsia="sl-SI"/>
        </w:rPr>
        <w:t>bipolinis</w:t>
      </w:r>
      <w:proofErr w:type="spellEnd"/>
      <w:r w:rsidR="006A6EEF">
        <w:rPr>
          <w:color w:val="000000"/>
          <w:lang w:val="lt-LT" w:eastAsia="sl-SI"/>
        </w:rPr>
        <w:t xml:space="preserve"> </w:t>
      </w:r>
      <w:proofErr w:type="spellStart"/>
      <w:r w:rsidR="006A6EEF">
        <w:rPr>
          <w:color w:val="000000"/>
          <w:lang w:val="lt-LT" w:eastAsia="sl-SI"/>
        </w:rPr>
        <w:t>afektinis</w:t>
      </w:r>
      <w:proofErr w:type="spellEnd"/>
      <w:r w:rsidRPr="00AF632D">
        <w:rPr>
          <w:color w:val="000000"/>
          <w:lang w:val="lt-LT" w:eastAsia="sl-SI"/>
        </w:rPr>
        <w:t xml:space="preserve"> sutrikimas, anksčiau buvo arba yra manijos simptomų (nenormaliai didelio jaudrumo ir emocingumo laikotarpis)</w:t>
      </w:r>
      <w:r w:rsidR="005C4D93">
        <w:rPr>
          <w:color w:val="000000"/>
          <w:lang w:val="lt-LT" w:eastAsia="sl-SI"/>
        </w:rPr>
        <w:t>, pasitarkite su</w:t>
      </w:r>
      <w:r w:rsidRPr="00AF632D">
        <w:rPr>
          <w:color w:val="000000"/>
          <w:lang w:val="lt-LT" w:eastAsia="sl-SI"/>
        </w:rPr>
        <w:t xml:space="preserve"> gydytoju prieš </w:t>
      </w:r>
      <w:r w:rsidRPr="00AF632D">
        <w:rPr>
          <w:color w:val="000000"/>
          <w:lang w:val="lt-LT" w:eastAsia="sl-SI"/>
        </w:rPr>
        <w:lastRenderedPageBreak/>
        <w:t>pradėdami vartoti šio vaisto ar prieš tęsdami šio vaisto vartojimą (taip pat žr. 4 skyrių „Galimas šalutinis poveikis“);</w:t>
      </w:r>
    </w:p>
    <w:p w14:paraId="43F50788" w14:textId="77777777" w:rsidR="00EF1A5D" w:rsidRPr="00AF632D" w:rsidRDefault="00EF1A5D" w:rsidP="00EF1A5D">
      <w:pPr>
        <w:widowControl/>
        <w:numPr>
          <w:ilvl w:val="0"/>
          <w:numId w:val="10"/>
        </w:numPr>
        <w:adjustRightInd w:val="0"/>
        <w:ind w:left="567" w:hanging="567"/>
        <w:rPr>
          <w:color w:val="000000"/>
          <w:lang w:val="lt-LT" w:eastAsia="sl-SI"/>
        </w:rPr>
      </w:pPr>
      <w:r w:rsidRPr="00AF632D">
        <w:rPr>
          <w:color w:val="000000"/>
          <w:lang w:val="lt-LT" w:eastAsia="sl-SI"/>
        </w:rPr>
        <w:t>jeigu Jums yra demencija</w:t>
      </w:r>
      <w:r w:rsidR="00D738B0">
        <w:rPr>
          <w:color w:val="000000"/>
          <w:lang w:val="lt-LT" w:eastAsia="sl-SI"/>
        </w:rPr>
        <w:t>.</w:t>
      </w:r>
      <w:r w:rsidRPr="00AF632D">
        <w:rPr>
          <w:color w:val="000000"/>
          <w:lang w:val="lt-LT" w:eastAsia="sl-SI"/>
        </w:rPr>
        <w:t xml:space="preserve"> </w:t>
      </w:r>
      <w:r w:rsidR="00D738B0">
        <w:rPr>
          <w:color w:val="000000"/>
          <w:lang w:val="lt-LT" w:eastAsia="sl-SI"/>
        </w:rPr>
        <w:t>G</w:t>
      </w:r>
      <w:r w:rsidRPr="00AF632D">
        <w:rPr>
          <w:color w:val="000000"/>
          <w:lang w:val="lt-LT" w:eastAsia="sl-SI"/>
        </w:rPr>
        <w:t xml:space="preserve">ydytojas kiekvienu atveju nuspręs, ar Jums tinka vartoti </w:t>
      </w:r>
      <w:proofErr w:type="spellStart"/>
      <w:r w:rsidR="00D738B0">
        <w:rPr>
          <w:color w:val="000000"/>
          <w:lang w:val="lt-LT" w:eastAsia="sl-SI"/>
        </w:rPr>
        <w:t>Zilbea</w:t>
      </w:r>
      <w:proofErr w:type="spellEnd"/>
      <w:r w:rsidRPr="00AF632D">
        <w:rPr>
          <w:color w:val="000000"/>
          <w:lang w:val="lt-LT" w:eastAsia="sl-SI"/>
        </w:rPr>
        <w:t>.</w:t>
      </w:r>
    </w:p>
    <w:p w14:paraId="2A2EC2A7" w14:textId="77777777" w:rsidR="00EF1A5D" w:rsidRPr="00AF632D" w:rsidRDefault="00EF1A5D" w:rsidP="00EF1A5D">
      <w:pPr>
        <w:adjustRightInd w:val="0"/>
        <w:rPr>
          <w:color w:val="000000"/>
          <w:lang w:val="lt-LT" w:eastAsia="sl-SI"/>
        </w:rPr>
      </w:pPr>
    </w:p>
    <w:p w14:paraId="5EEE4DC5" w14:textId="77777777" w:rsidR="00EF1A5D" w:rsidRPr="00AF632D" w:rsidRDefault="00EF1A5D" w:rsidP="00EF1A5D">
      <w:pPr>
        <w:adjustRightInd w:val="0"/>
        <w:rPr>
          <w:color w:val="000000"/>
          <w:lang w:val="lt-LT" w:eastAsia="sl-SI"/>
        </w:rPr>
      </w:pPr>
      <w:r w:rsidRPr="00AF632D">
        <w:rPr>
          <w:color w:val="000000"/>
          <w:lang w:val="lt-LT" w:eastAsia="sl-SI"/>
        </w:rPr>
        <w:t xml:space="preserve">Gydymo </w:t>
      </w:r>
      <w:proofErr w:type="spellStart"/>
      <w:r w:rsidR="00D738B0">
        <w:rPr>
          <w:color w:val="000000"/>
          <w:lang w:val="lt-LT" w:eastAsia="sl-SI"/>
        </w:rPr>
        <w:t>Zilbea</w:t>
      </w:r>
      <w:proofErr w:type="spellEnd"/>
      <w:r w:rsidRPr="00AF632D">
        <w:rPr>
          <w:color w:val="000000"/>
          <w:lang w:val="lt-LT" w:eastAsia="sl-SI"/>
        </w:rPr>
        <w:t xml:space="preserve"> metu:</w:t>
      </w:r>
    </w:p>
    <w:p w14:paraId="772A54E1" w14:textId="77777777" w:rsidR="00EF1A5D" w:rsidRPr="00AF632D" w:rsidRDefault="00EF1A5D" w:rsidP="00EF1A5D">
      <w:pPr>
        <w:adjustRightInd w:val="0"/>
        <w:rPr>
          <w:i/>
          <w:iCs/>
          <w:color w:val="000000"/>
          <w:lang w:val="lt-LT" w:eastAsia="sl-SI"/>
        </w:rPr>
      </w:pPr>
    </w:p>
    <w:p w14:paraId="2E074588" w14:textId="77777777" w:rsidR="00EF1A5D" w:rsidRPr="00AF632D" w:rsidRDefault="00EF1A5D" w:rsidP="00524CFE">
      <w:pPr>
        <w:keepNext/>
        <w:adjustRightInd w:val="0"/>
        <w:rPr>
          <w:i/>
          <w:color w:val="000000"/>
          <w:lang w:val="lt-LT" w:eastAsia="sl-SI"/>
        </w:rPr>
      </w:pPr>
      <w:r w:rsidRPr="00AF632D">
        <w:rPr>
          <w:i/>
          <w:iCs/>
          <w:color w:val="000000"/>
          <w:lang w:val="lt-LT" w:eastAsia="sl-SI"/>
        </w:rPr>
        <w:t>Ką daryti, kad išvengtumėte galimų sunkių kepenų sutrikimų</w:t>
      </w:r>
    </w:p>
    <w:p w14:paraId="68034DBE" w14:textId="77777777" w:rsidR="00EF1A5D" w:rsidRPr="00AF632D" w:rsidRDefault="00EF1A5D" w:rsidP="00EF1A5D">
      <w:pPr>
        <w:widowControl/>
        <w:numPr>
          <w:ilvl w:val="0"/>
          <w:numId w:val="11"/>
        </w:numPr>
        <w:adjustRightInd w:val="0"/>
        <w:ind w:left="567" w:hanging="567"/>
        <w:rPr>
          <w:color w:val="000000"/>
          <w:lang w:val="lt-LT" w:eastAsia="sl-SI"/>
        </w:rPr>
      </w:pPr>
      <w:r w:rsidRPr="00AF632D">
        <w:rPr>
          <w:b/>
          <w:bCs/>
          <w:color w:val="000000"/>
          <w:lang w:val="lt-LT" w:eastAsia="sl-SI"/>
        </w:rPr>
        <w:t xml:space="preserve">Prieš pradedant gydymą </w:t>
      </w:r>
      <w:r w:rsidRPr="00AF632D">
        <w:rPr>
          <w:color w:val="000000"/>
          <w:lang w:val="lt-LT" w:eastAsia="sl-SI"/>
        </w:rPr>
        <w:t xml:space="preserve">Jūsų gydytojas turi patikrinti, ar Jūsų kepenys veikia tinkamai. Kai kuriems </w:t>
      </w:r>
      <w:proofErr w:type="spellStart"/>
      <w:r w:rsidR="00D738B0">
        <w:rPr>
          <w:color w:val="000000"/>
          <w:lang w:val="lt-LT" w:eastAsia="sl-SI"/>
        </w:rPr>
        <w:t>Zilbea</w:t>
      </w:r>
      <w:proofErr w:type="spellEnd"/>
      <w:r w:rsidRPr="00AF632D">
        <w:rPr>
          <w:color w:val="000000"/>
          <w:lang w:val="lt-LT" w:eastAsia="sl-SI"/>
        </w:rPr>
        <w:t xml:space="preserve"> gydomiems pacientams gali padidėti kepenų fermentų aktyvumas kraujyje. Todėl toliau nurodytais laiko taškais turi būti atliekami stebėjimo tyrimai</w:t>
      </w:r>
      <w:r w:rsidR="00D738B0">
        <w:rPr>
          <w:color w:val="000000"/>
          <w:lang w:val="lt-LT" w:eastAsia="sl-SI"/>
        </w:rPr>
        <w:t>:</w:t>
      </w:r>
    </w:p>
    <w:p w14:paraId="61CA5BF8" w14:textId="77777777" w:rsidR="00EF1A5D" w:rsidRPr="00AF632D" w:rsidRDefault="00EF1A5D" w:rsidP="00EF1A5D">
      <w:pPr>
        <w:adjustRightInd w:val="0"/>
        <w:rPr>
          <w:color w:val="000000"/>
          <w:lang w:val="lt-LT" w:eastAsia="sl-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1417"/>
        <w:gridCol w:w="1418"/>
        <w:gridCol w:w="1417"/>
        <w:gridCol w:w="1418"/>
      </w:tblGrid>
      <w:tr w:rsidR="00EF1A5D" w:rsidRPr="00AF632D" w14:paraId="1C2E8E3F" w14:textId="77777777" w:rsidTr="00D738B0">
        <w:trPr>
          <w:trHeight w:val="398"/>
        </w:trPr>
        <w:tc>
          <w:tcPr>
            <w:tcW w:w="1838" w:type="dxa"/>
          </w:tcPr>
          <w:p w14:paraId="2B373327" w14:textId="77777777" w:rsidR="00EF1A5D" w:rsidRPr="00AF632D" w:rsidRDefault="00EF1A5D" w:rsidP="00522ED5">
            <w:pPr>
              <w:adjustRightInd w:val="0"/>
              <w:rPr>
                <w:color w:val="000000"/>
                <w:lang w:val="lt-LT" w:eastAsia="sl-SI"/>
              </w:rPr>
            </w:pPr>
          </w:p>
        </w:tc>
        <w:tc>
          <w:tcPr>
            <w:tcW w:w="2410" w:type="dxa"/>
          </w:tcPr>
          <w:p w14:paraId="7FB234E2" w14:textId="77777777" w:rsidR="00EF1A5D" w:rsidRPr="00AF632D" w:rsidRDefault="00EF1A5D" w:rsidP="00522ED5">
            <w:pPr>
              <w:adjustRightInd w:val="0"/>
              <w:rPr>
                <w:color w:val="000000"/>
                <w:lang w:val="lt-LT" w:eastAsia="sl-SI"/>
              </w:rPr>
            </w:pPr>
            <w:r w:rsidRPr="00AF632D">
              <w:rPr>
                <w:color w:val="000000"/>
                <w:lang w:val="lt-LT" w:eastAsia="sl-SI"/>
              </w:rPr>
              <w:t xml:space="preserve">Prieš pradedant gydymą ar padidinus dozę </w:t>
            </w:r>
          </w:p>
        </w:tc>
        <w:tc>
          <w:tcPr>
            <w:tcW w:w="1417" w:type="dxa"/>
          </w:tcPr>
          <w:p w14:paraId="72A3BA82" w14:textId="77777777" w:rsidR="00EF1A5D" w:rsidRPr="00AF632D" w:rsidRDefault="00EF1A5D" w:rsidP="00522ED5">
            <w:pPr>
              <w:adjustRightInd w:val="0"/>
              <w:rPr>
                <w:color w:val="000000"/>
                <w:lang w:val="lt-LT" w:eastAsia="sl-SI"/>
              </w:rPr>
            </w:pPr>
            <w:r w:rsidRPr="00AF632D">
              <w:rPr>
                <w:color w:val="000000"/>
                <w:lang w:val="lt-LT" w:eastAsia="sl-SI"/>
              </w:rPr>
              <w:t xml:space="preserve">Maždaug po 3 savaičių </w:t>
            </w:r>
          </w:p>
        </w:tc>
        <w:tc>
          <w:tcPr>
            <w:tcW w:w="1418" w:type="dxa"/>
          </w:tcPr>
          <w:p w14:paraId="0E370989" w14:textId="77777777" w:rsidR="00EF1A5D" w:rsidRPr="00AF632D" w:rsidRDefault="00EF1A5D" w:rsidP="00522ED5">
            <w:pPr>
              <w:adjustRightInd w:val="0"/>
              <w:rPr>
                <w:color w:val="000000"/>
                <w:lang w:val="lt-LT" w:eastAsia="sl-SI"/>
              </w:rPr>
            </w:pPr>
            <w:r w:rsidRPr="00AF632D">
              <w:rPr>
                <w:color w:val="000000"/>
                <w:lang w:val="lt-LT" w:eastAsia="sl-SI"/>
              </w:rPr>
              <w:t xml:space="preserve">Maždaug po 6 savaičių </w:t>
            </w:r>
          </w:p>
        </w:tc>
        <w:tc>
          <w:tcPr>
            <w:tcW w:w="1417" w:type="dxa"/>
          </w:tcPr>
          <w:p w14:paraId="70758D6E" w14:textId="77777777" w:rsidR="00EF1A5D" w:rsidRPr="00AF632D" w:rsidRDefault="00EF1A5D" w:rsidP="00522ED5">
            <w:pPr>
              <w:adjustRightInd w:val="0"/>
              <w:rPr>
                <w:color w:val="000000"/>
                <w:lang w:val="lt-LT" w:eastAsia="sl-SI"/>
              </w:rPr>
            </w:pPr>
            <w:r w:rsidRPr="00AF632D">
              <w:rPr>
                <w:color w:val="000000"/>
                <w:lang w:val="lt-LT" w:eastAsia="sl-SI"/>
              </w:rPr>
              <w:t xml:space="preserve">Maždaug po 12 savaičių </w:t>
            </w:r>
          </w:p>
        </w:tc>
        <w:tc>
          <w:tcPr>
            <w:tcW w:w="1418" w:type="dxa"/>
          </w:tcPr>
          <w:p w14:paraId="68BFABCC" w14:textId="77777777" w:rsidR="00EF1A5D" w:rsidRPr="00AF632D" w:rsidRDefault="00EF1A5D" w:rsidP="00522ED5">
            <w:pPr>
              <w:adjustRightInd w:val="0"/>
              <w:rPr>
                <w:color w:val="000000"/>
                <w:lang w:val="lt-LT" w:eastAsia="sl-SI"/>
              </w:rPr>
            </w:pPr>
            <w:r w:rsidRPr="00AF632D">
              <w:rPr>
                <w:color w:val="000000"/>
                <w:lang w:val="lt-LT" w:eastAsia="sl-SI"/>
              </w:rPr>
              <w:t xml:space="preserve">Maždaug po 24 savaičių </w:t>
            </w:r>
          </w:p>
        </w:tc>
      </w:tr>
      <w:tr w:rsidR="00EF1A5D" w:rsidRPr="00AF632D" w14:paraId="51D448F5" w14:textId="77777777" w:rsidTr="00D738B0">
        <w:trPr>
          <w:trHeight w:val="145"/>
        </w:trPr>
        <w:tc>
          <w:tcPr>
            <w:tcW w:w="1838" w:type="dxa"/>
          </w:tcPr>
          <w:p w14:paraId="4113D842" w14:textId="77777777" w:rsidR="00EF1A5D" w:rsidRPr="00AF632D" w:rsidRDefault="00EF1A5D" w:rsidP="00522ED5">
            <w:pPr>
              <w:adjustRightInd w:val="0"/>
              <w:rPr>
                <w:color w:val="000000"/>
                <w:lang w:val="lt-LT" w:eastAsia="sl-SI"/>
              </w:rPr>
            </w:pPr>
            <w:r w:rsidRPr="00AF632D">
              <w:rPr>
                <w:color w:val="000000"/>
                <w:lang w:val="lt-LT" w:eastAsia="sl-SI"/>
              </w:rPr>
              <w:t>Kraujo tyrimai</w:t>
            </w:r>
          </w:p>
        </w:tc>
        <w:tc>
          <w:tcPr>
            <w:tcW w:w="2410" w:type="dxa"/>
          </w:tcPr>
          <w:p w14:paraId="315C3FDB" w14:textId="77777777" w:rsidR="00EF1A5D" w:rsidRPr="00AF632D" w:rsidRDefault="00D738B0" w:rsidP="00522ED5">
            <w:pPr>
              <w:adjustRightInd w:val="0"/>
              <w:jc w:val="center"/>
              <w:rPr>
                <w:color w:val="000000"/>
                <w:lang w:val="lt-LT" w:eastAsia="sl-SI"/>
              </w:rPr>
            </w:pPr>
            <w:r>
              <w:rPr>
                <w:color w:val="000000"/>
                <w:lang w:val="lt-LT" w:eastAsia="sl-SI"/>
              </w:rPr>
              <w:t>taip</w:t>
            </w:r>
          </w:p>
        </w:tc>
        <w:tc>
          <w:tcPr>
            <w:tcW w:w="1417" w:type="dxa"/>
          </w:tcPr>
          <w:p w14:paraId="3B0A9345" w14:textId="77777777" w:rsidR="00EF1A5D" w:rsidRPr="00AF632D" w:rsidRDefault="00D738B0" w:rsidP="00522ED5">
            <w:pPr>
              <w:adjustRightInd w:val="0"/>
              <w:jc w:val="center"/>
              <w:rPr>
                <w:color w:val="000000"/>
                <w:lang w:val="lt-LT" w:eastAsia="sl-SI"/>
              </w:rPr>
            </w:pPr>
            <w:r>
              <w:rPr>
                <w:color w:val="000000"/>
                <w:lang w:val="lt-LT" w:eastAsia="sl-SI"/>
              </w:rPr>
              <w:t>taip</w:t>
            </w:r>
          </w:p>
        </w:tc>
        <w:tc>
          <w:tcPr>
            <w:tcW w:w="1418" w:type="dxa"/>
          </w:tcPr>
          <w:p w14:paraId="1FC08853" w14:textId="77777777" w:rsidR="00EF1A5D" w:rsidRPr="00AF632D" w:rsidRDefault="00D738B0" w:rsidP="00522ED5">
            <w:pPr>
              <w:adjustRightInd w:val="0"/>
              <w:jc w:val="center"/>
              <w:rPr>
                <w:color w:val="000000"/>
                <w:lang w:val="lt-LT" w:eastAsia="sl-SI"/>
              </w:rPr>
            </w:pPr>
            <w:r>
              <w:rPr>
                <w:color w:val="000000"/>
                <w:lang w:val="lt-LT" w:eastAsia="sl-SI"/>
              </w:rPr>
              <w:t>taip</w:t>
            </w:r>
          </w:p>
        </w:tc>
        <w:tc>
          <w:tcPr>
            <w:tcW w:w="1417" w:type="dxa"/>
          </w:tcPr>
          <w:p w14:paraId="383A8BDB" w14:textId="77777777" w:rsidR="00EF1A5D" w:rsidRPr="00AF632D" w:rsidRDefault="00D738B0" w:rsidP="00522ED5">
            <w:pPr>
              <w:adjustRightInd w:val="0"/>
              <w:jc w:val="center"/>
              <w:rPr>
                <w:color w:val="000000"/>
                <w:lang w:val="lt-LT" w:eastAsia="sl-SI"/>
              </w:rPr>
            </w:pPr>
            <w:r>
              <w:rPr>
                <w:color w:val="000000"/>
                <w:lang w:val="lt-LT" w:eastAsia="sl-SI"/>
              </w:rPr>
              <w:t>taip</w:t>
            </w:r>
          </w:p>
        </w:tc>
        <w:tc>
          <w:tcPr>
            <w:tcW w:w="1418" w:type="dxa"/>
          </w:tcPr>
          <w:p w14:paraId="391410C6" w14:textId="77777777" w:rsidR="00EF1A5D" w:rsidRPr="00AF632D" w:rsidRDefault="00D738B0" w:rsidP="00522ED5">
            <w:pPr>
              <w:adjustRightInd w:val="0"/>
              <w:jc w:val="center"/>
              <w:rPr>
                <w:color w:val="000000"/>
                <w:lang w:val="lt-LT" w:eastAsia="sl-SI"/>
              </w:rPr>
            </w:pPr>
            <w:r>
              <w:rPr>
                <w:color w:val="000000"/>
                <w:lang w:val="lt-LT" w:eastAsia="sl-SI"/>
              </w:rPr>
              <w:t>taip</w:t>
            </w:r>
          </w:p>
        </w:tc>
      </w:tr>
    </w:tbl>
    <w:p w14:paraId="57FFAE5A" w14:textId="77777777" w:rsidR="00EF1A5D" w:rsidRPr="00AF632D" w:rsidRDefault="00EF1A5D" w:rsidP="00EF1A5D">
      <w:pPr>
        <w:numPr>
          <w:ilvl w:val="12"/>
          <w:numId w:val="0"/>
        </w:numPr>
        <w:ind w:right="-2"/>
        <w:rPr>
          <w:lang w:val="lt-LT"/>
        </w:rPr>
      </w:pPr>
    </w:p>
    <w:p w14:paraId="06D09A40" w14:textId="77777777" w:rsidR="00EF1A5D" w:rsidRPr="00AF632D" w:rsidRDefault="00EF1A5D" w:rsidP="00EF1A5D">
      <w:pPr>
        <w:adjustRightInd w:val="0"/>
        <w:rPr>
          <w:color w:val="000000"/>
          <w:lang w:val="lt-LT" w:eastAsia="sl-SI"/>
        </w:rPr>
      </w:pPr>
      <w:r w:rsidRPr="00AF632D">
        <w:rPr>
          <w:color w:val="000000"/>
          <w:lang w:val="lt-LT" w:eastAsia="sl-SI"/>
        </w:rPr>
        <w:t xml:space="preserve">Remdamasis šiais tyrimais, gydytojas nuspręs, ar Jums turi būti skiriamas arba tęsiamas gydymas </w:t>
      </w:r>
      <w:proofErr w:type="spellStart"/>
      <w:r w:rsidR="00D738B0">
        <w:rPr>
          <w:color w:val="000000"/>
          <w:lang w:val="lt-LT" w:eastAsia="sl-SI"/>
        </w:rPr>
        <w:t>Zilbea</w:t>
      </w:r>
      <w:proofErr w:type="spellEnd"/>
      <w:r w:rsidRPr="00AF632D">
        <w:rPr>
          <w:color w:val="000000"/>
          <w:lang w:val="lt-LT" w:eastAsia="sl-SI"/>
        </w:rPr>
        <w:t xml:space="preserve"> (taip pat žr. 3 skyrių „Kaip vartoti </w:t>
      </w:r>
      <w:proofErr w:type="spellStart"/>
      <w:r w:rsidR="00D738B0">
        <w:rPr>
          <w:color w:val="000000"/>
          <w:lang w:val="lt-LT" w:eastAsia="sl-SI"/>
        </w:rPr>
        <w:t>Zilbea</w:t>
      </w:r>
      <w:proofErr w:type="spellEnd"/>
      <w:r w:rsidRPr="00AF632D">
        <w:rPr>
          <w:color w:val="000000"/>
          <w:lang w:val="lt-LT" w:eastAsia="sl-SI"/>
        </w:rPr>
        <w:t>“).</w:t>
      </w:r>
    </w:p>
    <w:p w14:paraId="0BBA3DC7" w14:textId="77777777" w:rsidR="00EF1A5D" w:rsidRPr="00AF632D" w:rsidRDefault="00EF1A5D" w:rsidP="00EF1A5D">
      <w:pPr>
        <w:adjustRightInd w:val="0"/>
        <w:rPr>
          <w:i/>
          <w:iCs/>
          <w:color w:val="000000"/>
          <w:lang w:val="lt-LT" w:eastAsia="sl-SI"/>
        </w:rPr>
      </w:pPr>
    </w:p>
    <w:p w14:paraId="02E0BB70" w14:textId="77777777" w:rsidR="00EF1A5D" w:rsidRPr="00AF632D" w:rsidRDefault="00EF1A5D" w:rsidP="00524CFE">
      <w:pPr>
        <w:keepNext/>
        <w:adjustRightInd w:val="0"/>
        <w:rPr>
          <w:i/>
          <w:color w:val="000000"/>
          <w:lang w:val="lt-LT" w:eastAsia="sl-SI"/>
        </w:rPr>
      </w:pPr>
      <w:r w:rsidRPr="00AF632D">
        <w:rPr>
          <w:i/>
          <w:iCs/>
          <w:color w:val="000000"/>
          <w:lang w:val="lt-LT" w:eastAsia="sl-SI"/>
        </w:rPr>
        <w:t>Budriai stebėkite požymius ir simptomus, kurie rodo, kad Jūsų kepenys gali veikti nepakankamai gerai</w:t>
      </w:r>
    </w:p>
    <w:p w14:paraId="02835763" w14:textId="77777777" w:rsidR="00EF1A5D" w:rsidRPr="00AF632D" w:rsidRDefault="00EF1A5D" w:rsidP="00EF1A5D">
      <w:pPr>
        <w:widowControl/>
        <w:numPr>
          <w:ilvl w:val="0"/>
          <w:numId w:val="11"/>
        </w:numPr>
        <w:adjustRightInd w:val="0"/>
        <w:ind w:left="567" w:hanging="567"/>
        <w:rPr>
          <w:color w:val="000000"/>
          <w:lang w:val="lt-LT" w:eastAsia="sl-SI"/>
        </w:rPr>
      </w:pPr>
      <w:r w:rsidRPr="00AF632D">
        <w:rPr>
          <w:b/>
          <w:bCs/>
          <w:color w:val="000000"/>
          <w:lang w:val="lt-LT" w:eastAsia="sl-SI"/>
        </w:rPr>
        <w:t xml:space="preserve">Jeigu Jūs pastebėjote </w:t>
      </w:r>
      <w:r w:rsidRPr="00AF632D">
        <w:rPr>
          <w:color w:val="000000"/>
          <w:lang w:val="lt-LT" w:eastAsia="sl-SI"/>
        </w:rPr>
        <w:t xml:space="preserve">bet kurį iš šių kepenų sutrikimo požymių ar simptomų – </w:t>
      </w:r>
      <w:r w:rsidRPr="00AF632D">
        <w:rPr>
          <w:b/>
          <w:bCs/>
          <w:color w:val="000000"/>
          <w:lang w:val="lt-LT" w:eastAsia="sl-SI"/>
        </w:rPr>
        <w:t xml:space="preserve">neįprastas šlapimo patamsėjimas, šviesios spalvos išmatos, pageltusi oda ar akys, skausmas viršutinėje dešinėje pilvo srityje, neįprastas nuovargis (ypač susijęs su prieš tai išvardytais kitais simptomais) - nedelsdami kreipkitės į savo gydytoją. Jis gali patarti Jums nutraukti </w:t>
      </w:r>
      <w:proofErr w:type="spellStart"/>
      <w:r w:rsidR="00843562">
        <w:rPr>
          <w:b/>
          <w:bCs/>
          <w:color w:val="000000"/>
          <w:lang w:val="lt-LT" w:eastAsia="sl-SI"/>
        </w:rPr>
        <w:t>Zilbea</w:t>
      </w:r>
      <w:proofErr w:type="spellEnd"/>
      <w:r w:rsidRPr="00AF632D">
        <w:rPr>
          <w:b/>
          <w:bCs/>
          <w:color w:val="000000"/>
          <w:lang w:val="lt-LT" w:eastAsia="sl-SI"/>
        </w:rPr>
        <w:t xml:space="preserve"> vartojimą.</w:t>
      </w:r>
    </w:p>
    <w:p w14:paraId="03BC1E14" w14:textId="77777777" w:rsidR="00EF1A5D" w:rsidRPr="00AF632D" w:rsidRDefault="00EF1A5D" w:rsidP="00EF1A5D">
      <w:pPr>
        <w:adjustRightInd w:val="0"/>
        <w:rPr>
          <w:color w:val="000000"/>
          <w:lang w:val="lt-LT" w:eastAsia="sl-SI"/>
        </w:rPr>
      </w:pPr>
    </w:p>
    <w:p w14:paraId="62DA96B6" w14:textId="77777777" w:rsidR="00EF1A5D" w:rsidRPr="00AF632D" w:rsidRDefault="005D2871" w:rsidP="00EF1A5D">
      <w:pPr>
        <w:adjustRightInd w:val="0"/>
        <w:rPr>
          <w:bCs/>
          <w:iCs/>
          <w:color w:val="000000"/>
          <w:lang w:val="lt-LT" w:eastAsia="sl-SI"/>
        </w:rPr>
      </w:pPr>
      <w:proofErr w:type="spellStart"/>
      <w:r>
        <w:rPr>
          <w:bCs/>
          <w:color w:val="000000"/>
          <w:lang w:val="lt-LT" w:eastAsia="sl-SI"/>
        </w:rPr>
        <w:t>Zilbea</w:t>
      </w:r>
      <w:proofErr w:type="spellEnd"/>
      <w:r w:rsidR="00EF1A5D" w:rsidRPr="00AF632D">
        <w:rPr>
          <w:bCs/>
          <w:color w:val="000000"/>
          <w:lang w:val="lt-LT" w:eastAsia="sl-SI"/>
        </w:rPr>
        <w:t xml:space="preserve"> </w:t>
      </w:r>
      <w:r w:rsidR="00EF1A5D" w:rsidRPr="00AF632D">
        <w:rPr>
          <w:bCs/>
          <w:iCs/>
          <w:color w:val="000000"/>
          <w:lang w:val="lt-LT" w:eastAsia="sl-SI"/>
        </w:rPr>
        <w:t xml:space="preserve">poveikis 75 metų ir vyresniems pacientams nėra dokumentuotas. Todėl šie pacientai neturėtų vartoti </w:t>
      </w:r>
      <w:proofErr w:type="spellStart"/>
      <w:r>
        <w:rPr>
          <w:bCs/>
          <w:color w:val="000000"/>
          <w:lang w:val="lt-LT" w:eastAsia="sl-SI"/>
        </w:rPr>
        <w:t>Zilbea</w:t>
      </w:r>
      <w:proofErr w:type="spellEnd"/>
      <w:r w:rsidR="00EF1A5D" w:rsidRPr="00AF632D">
        <w:rPr>
          <w:bCs/>
          <w:iCs/>
          <w:color w:val="000000"/>
          <w:lang w:val="lt-LT" w:eastAsia="sl-SI"/>
        </w:rPr>
        <w:t>.</w:t>
      </w:r>
    </w:p>
    <w:p w14:paraId="76D4B831" w14:textId="77777777" w:rsidR="00EF1A5D" w:rsidRPr="00AF632D" w:rsidRDefault="00EF1A5D" w:rsidP="00EF1A5D">
      <w:pPr>
        <w:adjustRightInd w:val="0"/>
        <w:rPr>
          <w:bCs/>
          <w:iCs/>
          <w:color w:val="000000"/>
          <w:lang w:val="lt-LT" w:eastAsia="sl-SI"/>
        </w:rPr>
      </w:pPr>
    </w:p>
    <w:p w14:paraId="59AB2E5A" w14:textId="77777777" w:rsidR="00EF1A5D" w:rsidRPr="00AF632D" w:rsidRDefault="00EF1A5D" w:rsidP="00524CFE">
      <w:pPr>
        <w:keepNext/>
        <w:adjustRightInd w:val="0"/>
        <w:rPr>
          <w:i/>
          <w:color w:val="000000"/>
          <w:lang w:val="lt-LT" w:eastAsia="sl-SI"/>
        </w:rPr>
      </w:pPr>
      <w:r w:rsidRPr="00AF632D">
        <w:rPr>
          <w:bCs/>
          <w:i/>
          <w:iCs/>
          <w:color w:val="000000"/>
          <w:lang w:val="lt-LT" w:eastAsia="sl-SI"/>
        </w:rPr>
        <w:t>Mintys apie savižudybę ir depresijos pasunkėjimas</w:t>
      </w:r>
    </w:p>
    <w:p w14:paraId="171E2AF5" w14:textId="77777777" w:rsidR="00EF1A5D" w:rsidRPr="00AF632D" w:rsidRDefault="00EF1A5D" w:rsidP="00EF1A5D">
      <w:pPr>
        <w:adjustRightInd w:val="0"/>
        <w:rPr>
          <w:color w:val="000000"/>
          <w:lang w:val="lt-LT" w:eastAsia="sl-SI"/>
        </w:rPr>
      </w:pPr>
      <w:r w:rsidRPr="00AF632D">
        <w:rPr>
          <w:color w:val="000000"/>
          <w:lang w:val="lt-LT" w:eastAsia="sl-SI"/>
        </w:rPr>
        <w:t>Jeigu esate prislėgtas, kartais Jums gali kilti minčių apie savęs žalojimą ar savižudybę. Pradėjus pirmą kartą vartoti antidepresantų, tokių minčių gali kilti dažniau, nes turi praeiti šiek tiek laiko (paprastai apie dvi savaites, bet kartais ir ilgiau), kol šie vaistai pradės veikti.</w:t>
      </w:r>
    </w:p>
    <w:p w14:paraId="7B62C0EF" w14:textId="77777777" w:rsidR="00EF1A5D" w:rsidRPr="00AF632D" w:rsidRDefault="00EF1A5D" w:rsidP="00EF1A5D">
      <w:pPr>
        <w:adjustRightInd w:val="0"/>
        <w:rPr>
          <w:color w:val="000000"/>
          <w:lang w:val="lt-LT" w:eastAsia="sl-SI"/>
        </w:rPr>
      </w:pPr>
    </w:p>
    <w:p w14:paraId="1690790D" w14:textId="77777777" w:rsidR="00EF1A5D" w:rsidRPr="00AF632D" w:rsidRDefault="00EF1A5D" w:rsidP="00524CFE">
      <w:pPr>
        <w:keepNext/>
        <w:adjustRightInd w:val="0"/>
        <w:rPr>
          <w:color w:val="000000"/>
          <w:lang w:val="lt-LT" w:eastAsia="sl-SI"/>
        </w:rPr>
      </w:pPr>
      <w:r w:rsidRPr="00AF632D">
        <w:rPr>
          <w:color w:val="000000"/>
          <w:lang w:val="lt-LT" w:eastAsia="sl-SI"/>
        </w:rPr>
        <w:t>Tokių minčių atsiradimo tikimybė gali būti didesnė:</w:t>
      </w:r>
    </w:p>
    <w:p w14:paraId="3F80B4AD" w14:textId="77777777" w:rsidR="00EF1A5D" w:rsidRPr="00AF632D" w:rsidRDefault="00EF1A5D" w:rsidP="00EF1A5D">
      <w:pPr>
        <w:widowControl/>
        <w:numPr>
          <w:ilvl w:val="0"/>
          <w:numId w:val="11"/>
        </w:numPr>
        <w:adjustRightInd w:val="0"/>
        <w:ind w:left="567" w:hanging="567"/>
        <w:rPr>
          <w:color w:val="000000"/>
          <w:lang w:val="lt-LT" w:eastAsia="sl-SI"/>
        </w:rPr>
      </w:pPr>
      <w:r w:rsidRPr="00AF632D">
        <w:rPr>
          <w:color w:val="000000"/>
          <w:lang w:val="lt-LT" w:eastAsia="sl-SI"/>
        </w:rPr>
        <w:t>jeigu anksčiau mąstėte apie savižudybę arba savęs žalojimą;</w:t>
      </w:r>
    </w:p>
    <w:p w14:paraId="47A0193A" w14:textId="16EF3BA1" w:rsidR="00EF1A5D" w:rsidRDefault="00EF1A5D" w:rsidP="00EF1A5D">
      <w:pPr>
        <w:widowControl/>
        <w:numPr>
          <w:ilvl w:val="0"/>
          <w:numId w:val="11"/>
        </w:numPr>
        <w:adjustRightInd w:val="0"/>
        <w:ind w:left="567" w:hanging="567"/>
        <w:rPr>
          <w:color w:val="000000"/>
          <w:lang w:val="lt-LT" w:eastAsia="sl-SI"/>
        </w:rPr>
      </w:pPr>
      <w:r w:rsidRPr="00AF632D">
        <w:rPr>
          <w:color w:val="000000"/>
          <w:lang w:val="lt-LT" w:eastAsia="sl-SI"/>
        </w:rPr>
        <w:t>jeigu esate jaunas suaugęs žmogus. Klinikinių tyrimų duomenys parodė, kad psichikos sutrikimais sergantiems jauniems suaugusiems (jaunesniems kaip 25</w:t>
      </w:r>
      <w:r w:rsidR="00227E03">
        <w:rPr>
          <w:color w:val="000000"/>
          <w:lang w:val="lt-LT" w:eastAsia="sl-SI"/>
        </w:rPr>
        <w:t> </w:t>
      </w:r>
      <w:r w:rsidRPr="00AF632D">
        <w:rPr>
          <w:color w:val="000000"/>
          <w:lang w:val="lt-LT" w:eastAsia="sl-SI"/>
        </w:rPr>
        <w:t>metų) žmonėms, kurie gydomi antidepresantais, su savižudybe siejamo elgesio rizika yra didesnė.</w:t>
      </w:r>
    </w:p>
    <w:p w14:paraId="63F4B1BE" w14:textId="77777777" w:rsidR="008913A1" w:rsidRPr="00AF632D" w:rsidRDefault="008913A1" w:rsidP="001D44C5">
      <w:pPr>
        <w:widowControl/>
        <w:adjustRightInd w:val="0"/>
        <w:rPr>
          <w:color w:val="000000"/>
          <w:lang w:val="lt-LT" w:eastAsia="sl-SI"/>
        </w:rPr>
      </w:pPr>
    </w:p>
    <w:p w14:paraId="3D53A08A" w14:textId="77777777" w:rsidR="00EF1A5D" w:rsidRPr="00AF632D" w:rsidRDefault="00EF1A5D" w:rsidP="00EF1A5D">
      <w:pPr>
        <w:adjustRightInd w:val="0"/>
        <w:rPr>
          <w:color w:val="000000"/>
          <w:lang w:val="lt-LT" w:eastAsia="sl-SI"/>
        </w:rPr>
      </w:pPr>
      <w:r w:rsidRPr="00AF632D">
        <w:rPr>
          <w:color w:val="000000"/>
          <w:lang w:val="lt-LT" w:eastAsia="sl-SI"/>
        </w:rPr>
        <w:t>Jeigu bet kuriuo metu atsiranda minčių apie savižudybę arba savęs žalojimą, nedelsdami kreipkitės į savo gydytoją arba vykite tiesiai į ligoninę</w:t>
      </w:r>
      <w:r w:rsidRPr="00AF632D">
        <w:rPr>
          <w:i/>
          <w:iCs/>
          <w:color w:val="000000"/>
          <w:lang w:val="lt-LT" w:eastAsia="sl-SI"/>
        </w:rPr>
        <w:t>.</w:t>
      </w:r>
    </w:p>
    <w:p w14:paraId="4C4291CB" w14:textId="77777777" w:rsidR="00EF1A5D" w:rsidRPr="00AF632D" w:rsidRDefault="00EF1A5D" w:rsidP="00EF1A5D">
      <w:pPr>
        <w:numPr>
          <w:ilvl w:val="12"/>
          <w:numId w:val="0"/>
        </w:numPr>
        <w:ind w:right="-2"/>
        <w:rPr>
          <w:lang w:val="lt-LT" w:eastAsia="lt-LT"/>
        </w:rPr>
      </w:pPr>
    </w:p>
    <w:p w14:paraId="30DFF369" w14:textId="77777777" w:rsidR="00EF1A5D" w:rsidRPr="00AF632D" w:rsidRDefault="00EF1A5D" w:rsidP="00EF1A5D">
      <w:pPr>
        <w:numPr>
          <w:ilvl w:val="12"/>
          <w:numId w:val="0"/>
        </w:numPr>
        <w:ind w:right="-2"/>
        <w:rPr>
          <w:lang w:val="lt-LT"/>
        </w:rPr>
      </w:pPr>
      <w:r w:rsidRPr="00AF632D">
        <w:rPr>
          <w:lang w:val="lt-LT" w:eastAsia="lt-LT"/>
        </w:rPr>
        <w:t>Gali būti naudinga pasakyti giminaičiams ar artimiems draugams, kad esate prislėgtas, ir jų paprašyti paskaityti šį pakuotės lapelį. Galite jų paprašyti, kad Jus perspėtų, jeigu pastebės, kad Jūsų depresija pasunkėjo arba pradės nerimauti dėl Jūsų elgesio pokyčių.</w:t>
      </w:r>
    </w:p>
    <w:p w14:paraId="1A89D4BE" w14:textId="77777777" w:rsidR="00EF1A5D" w:rsidRPr="00AF632D" w:rsidRDefault="00EF1A5D" w:rsidP="00EF1A5D">
      <w:pPr>
        <w:numPr>
          <w:ilvl w:val="12"/>
          <w:numId w:val="0"/>
        </w:numPr>
        <w:ind w:right="-2"/>
        <w:rPr>
          <w:lang w:val="lt-LT"/>
        </w:rPr>
      </w:pPr>
    </w:p>
    <w:p w14:paraId="34B34F72" w14:textId="77777777" w:rsidR="00EF1A5D" w:rsidRPr="00AF632D" w:rsidRDefault="00EF1A5D" w:rsidP="00524CFE">
      <w:pPr>
        <w:keepNext/>
        <w:adjustRightInd w:val="0"/>
        <w:rPr>
          <w:color w:val="000000"/>
          <w:lang w:val="lt-LT" w:eastAsia="sl-SI"/>
        </w:rPr>
      </w:pPr>
      <w:r w:rsidRPr="00AF632D">
        <w:rPr>
          <w:b/>
          <w:bCs/>
          <w:color w:val="000000"/>
          <w:lang w:val="lt-LT" w:eastAsia="sl-SI"/>
        </w:rPr>
        <w:t>Vaikams ir paaugliams</w:t>
      </w:r>
    </w:p>
    <w:p w14:paraId="5DFB9AC2" w14:textId="1B2B3E68" w:rsidR="00EF1A5D" w:rsidRPr="00AF632D" w:rsidRDefault="00391CEE" w:rsidP="00EF1A5D">
      <w:pPr>
        <w:adjustRightInd w:val="0"/>
        <w:rPr>
          <w:color w:val="000000"/>
          <w:lang w:val="lt-LT" w:eastAsia="sl-SI"/>
        </w:rPr>
      </w:pPr>
      <w:proofErr w:type="spellStart"/>
      <w:r>
        <w:rPr>
          <w:color w:val="000000"/>
          <w:lang w:val="lt-LT" w:eastAsia="sl-SI"/>
        </w:rPr>
        <w:t>Zilbea</w:t>
      </w:r>
      <w:proofErr w:type="spellEnd"/>
      <w:r w:rsidR="00EF1A5D" w:rsidRPr="00AF632D">
        <w:rPr>
          <w:color w:val="000000"/>
          <w:lang w:val="lt-LT" w:eastAsia="sl-SI"/>
        </w:rPr>
        <w:t xml:space="preserve"> </w:t>
      </w:r>
      <w:r w:rsidR="00470342">
        <w:rPr>
          <w:color w:val="000000"/>
          <w:lang w:val="lt-LT" w:eastAsia="sl-SI"/>
        </w:rPr>
        <w:t>nerekomenduojama</w:t>
      </w:r>
      <w:r w:rsidR="00EF1A5D" w:rsidRPr="00AF632D">
        <w:rPr>
          <w:color w:val="000000"/>
          <w:lang w:val="lt-LT" w:eastAsia="sl-SI"/>
        </w:rPr>
        <w:t xml:space="preserve"> vartoti </w:t>
      </w:r>
      <w:r w:rsidR="00470342">
        <w:rPr>
          <w:color w:val="000000"/>
          <w:lang w:val="lt-LT" w:eastAsia="sl-SI"/>
        </w:rPr>
        <w:t xml:space="preserve">jaunesniems kaip </w:t>
      </w:r>
      <w:r w:rsidR="00470342" w:rsidRPr="00151B1E">
        <w:rPr>
          <w:color w:val="000000"/>
          <w:lang w:val="lt-LT" w:eastAsia="sl-SI"/>
        </w:rPr>
        <w:t>7</w:t>
      </w:r>
      <w:r w:rsidR="00470342">
        <w:rPr>
          <w:color w:val="000000"/>
          <w:lang w:val="lt-LT" w:eastAsia="sl-SI"/>
        </w:rPr>
        <w:t xml:space="preserve"> metų </w:t>
      </w:r>
      <w:r w:rsidR="00EF1A5D" w:rsidRPr="00AF632D">
        <w:rPr>
          <w:color w:val="000000"/>
          <w:lang w:val="lt-LT" w:eastAsia="sl-SI"/>
        </w:rPr>
        <w:t>vaikams</w:t>
      </w:r>
      <w:r w:rsidR="00470342">
        <w:rPr>
          <w:color w:val="000000"/>
          <w:lang w:val="lt-LT" w:eastAsia="sl-SI"/>
        </w:rPr>
        <w:t xml:space="preserve">, nes turimų duomenų nepakanka. </w:t>
      </w:r>
      <w:proofErr w:type="spellStart"/>
      <w:r w:rsidR="00470342">
        <w:rPr>
          <w:color w:val="000000"/>
          <w:lang w:val="lt-LT" w:eastAsia="sl-SI"/>
        </w:rPr>
        <w:t>Zilbea</w:t>
      </w:r>
      <w:proofErr w:type="spellEnd"/>
      <w:r w:rsidR="00470342">
        <w:rPr>
          <w:color w:val="000000"/>
          <w:lang w:val="lt-LT" w:eastAsia="sl-SI"/>
        </w:rPr>
        <w:t xml:space="preserve"> negalima vartoti </w:t>
      </w:r>
      <w:r w:rsidR="00470342" w:rsidRPr="00151B1E">
        <w:rPr>
          <w:color w:val="000000"/>
          <w:lang w:val="pt-PT" w:eastAsia="sl-SI"/>
        </w:rPr>
        <w:t>7</w:t>
      </w:r>
      <w:r w:rsidR="00470342" w:rsidRPr="00151B1E">
        <w:rPr>
          <w:color w:val="000000"/>
          <w:lang w:val="pt-PT" w:eastAsia="sl-SI"/>
        </w:rPr>
        <w:noBreakHyphen/>
        <w:t>17</w:t>
      </w:r>
      <w:r w:rsidR="00470342">
        <w:rPr>
          <w:color w:val="000000"/>
          <w:lang w:val="lt-LT" w:eastAsia="sl-SI"/>
        </w:rPr>
        <w:t> metų vaikams</w:t>
      </w:r>
      <w:r w:rsidR="00EF1A5D" w:rsidRPr="00AF632D">
        <w:rPr>
          <w:color w:val="000000"/>
          <w:lang w:val="lt-LT" w:eastAsia="sl-SI"/>
        </w:rPr>
        <w:t xml:space="preserve"> ir paaugliams</w:t>
      </w:r>
      <w:r w:rsidR="00470342">
        <w:rPr>
          <w:color w:val="000000"/>
          <w:lang w:val="lt-LT" w:eastAsia="sl-SI"/>
        </w:rPr>
        <w:t>, nes tokiems pacientams saugumas ir veiksmingumas neištirti</w:t>
      </w:r>
      <w:r w:rsidR="00EF1A5D" w:rsidRPr="00AF632D">
        <w:rPr>
          <w:color w:val="000000"/>
          <w:lang w:val="lt-LT" w:eastAsia="sl-SI"/>
        </w:rPr>
        <w:t>.</w:t>
      </w:r>
    </w:p>
    <w:p w14:paraId="186CF638" w14:textId="77777777" w:rsidR="00EF1A5D" w:rsidRPr="00AF632D" w:rsidRDefault="00EF1A5D" w:rsidP="00EF1A5D">
      <w:pPr>
        <w:adjustRightInd w:val="0"/>
        <w:rPr>
          <w:b/>
          <w:bCs/>
          <w:color w:val="000000"/>
          <w:lang w:val="lt-LT" w:eastAsia="sl-SI"/>
        </w:rPr>
      </w:pPr>
    </w:p>
    <w:p w14:paraId="272E91D8" w14:textId="77777777" w:rsidR="00EF1A5D" w:rsidRPr="00AF632D" w:rsidRDefault="00EF1A5D" w:rsidP="00524CFE">
      <w:pPr>
        <w:keepNext/>
        <w:adjustRightInd w:val="0"/>
        <w:rPr>
          <w:color w:val="000000"/>
          <w:lang w:val="lt-LT" w:eastAsia="sl-SI"/>
        </w:rPr>
      </w:pPr>
      <w:r w:rsidRPr="00AF632D">
        <w:rPr>
          <w:b/>
          <w:bCs/>
          <w:color w:val="000000"/>
          <w:lang w:val="lt-LT" w:eastAsia="sl-SI"/>
        </w:rPr>
        <w:t xml:space="preserve">Kiti vaistai ir </w:t>
      </w:r>
      <w:proofErr w:type="spellStart"/>
      <w:r w:rsidR="00391CEE">
        <w:rPr>
          <w:b/>
          <w:bCs/>
          <w:color w:val="000000"/>
          <w:lang w:val="lt-LT" w:eastAsia="sl-SI"/>
        </w:rPr>
        <w:t>Zilbea</w:t>
      </w:r>
      <w:proofErr w:type="spellEnd"/>
    </w:p>
    <w:p w14:paraId="409DDA98" w14:textId="77777777" w:rsidR="00EF1A5D" w:rsidRPr="00AF632D" w:rsidRDefault="00EF1A5D" w:rsidP="00EF1A5D">
      <w:pPr>
        <w:numPr>
          <w:ilvl w:val="12"/>
          <w:numId w:val="0"/>
        </w:numPr>
        <w:ind w:right="-2"/>
        <w:rPr>
          <w:lang w:val="lt-LT"/>
        </w:rPr>
      </w:pPr>
      <w:r w:rsidRPr="00AF632D">
        <w:rPr>
          <w:lang w:val="lt-LT" w:eastAsia="lt-LT"/>
        </w:rPr>
        <w:t>Jeigu vartojate ar neseniai vartojote kitų vaistų arba dėl to nesate tikri, apie tai pasakykite gydytojui arba vaistininkui.</w:t>
      </w:r>
    </w:p>
    <w:p w14:paraId="02D7CBDE" w14:textId="77777777" w:rsidR="00EF1A5D" w:rsidRPr="00AF632D" w:rsidRDefault="00EF1A5D" w:rsidP="00EF1A5D">
      <w:pPr>
        <w:numPr>
          <w:ilvl w:val="12"/>
          <w:numId w:val="0"/>
        </w:numPr>
        <w:ind w:right="-2"/>
        <w:rPr>
          <w:lang w:val="lt-LT"/>
        </w:rPr>
      </w:pPr>
    </w:p>
    <w:p w14:paraId="2BB4C48A" w14:textId="6A294EAF" w:rsidR="00391CEE" w:rsidRDefault="00391CEE" w:rsidP="00EF1A5D">
      <w:pPr>
        <w:adjustRightInd w:val="0"/>
        <w:rPr>
          <w:color w:val="000000"/>
          <w:lang w:val="lt-LT" w:eastAsia="sl-SI"/>
        </w:rPr>
      </w:pPr>
      <w:proofErr w:type="spellStart"/>
      <w:r>
        <w:rPr>
          <w:color w:val="000000"/>
          <w:lang w:val="lt-LT" w:eastAsia="sl-SI"/>
        </w:rPr>
        <w:t>Zilbea</w:t>
      </w:r>
      <w:proofErr w:type="spellEnd"/>
      <w:r w:rsidR="00EF1A5D" w:rsidRPr="00AF632D">
        <w:rPr>
          <w:color w:val="000000"/>
          <w:lang w:val="lt-LT" w:eastAsia="sl-SI"/>
        </w:rPr>
        <w:t xml:space="preserve"> negalima vartoti </w:t>
      </w:r>
      <w:r>
        <w:rPr>
          <w:color w:val="000000"/>
          <w:lang w:val="lt-LT" w:eastAsia="sl-SI"/>
        </w:rPr>
        <w:t>derinyje</w:t>
      </w:r>
      <w:r w:rsidR="00EF1A5D" w:rsidRPr="00AF632D">
        <w:rPr>
          <w:color w:val="000000"/>
          <w:lang w:val="lt-LT" w:eastAsia="sl-SI"/>
        </w:rPr>
        <w:t xml:space="preserve"> su kai kuriais vaistais (taip pat žr. 2 skyriaus poskyrį „</w:t>
      </w:r>
      <w:proofErr w:type="spellStart"/>
      <w:r>
        <w:rPr>
          <w:iCs/>
          <w:color w:val="000000"/>
          <w:lang w:val="lt-LT" w:eastAsia="sl-SI"/>
        </w:rPr>
        <w:t>Zilbea</w:t>
      </w:r>
      <w:proofErr w:type="spellEnd"/>
      <w:r w:rsidR="00EF1A5D" w:rsidRPr="00AF632D">
        <w:rPr>
          <w:iCs/>
          <w:color w:val="000000"/>
          <w:lang w:val="lt-LT" w:eastAsia="sl-SI"/>
        </w:rPr>
        <w:t xml:space="preserve"> vartoti </w:t>
      </w:r>
      <w:r w:rsidR="002D46E0">
        <w:rPr>
          <w:iCs/>
          <w:color w:val="000000"/>
          <w:lang w:val="lt-LT" w:eastAsia="sl-SI"/>
        </w:rPr>
        <w:t>draudžiama</w:t>
      </w:r>
      <w:r w:rsidR="00EF1A5D" w:rsidRPr="00AF632D">
        <w:rPr>
          <w:color w:val="000000"/>
          <w:lang w:val="lt-LT" w:eastAsia="sl-SI"/>
        </w:rPr>
        <w:t xml:space="preserve">“): </w:t>
      </w:r>
    </w:p>
    <w:p w14:paraId="50E4A126" w14:textId="77777777" w:rsidR="00391CEE" w:rsidRDefault="00EF1A5D" w:rsidP="00391CEE">
      <w:pPr>
        <w:pStyle w:val="Sraopastraipa"/>
        <w:numPr>
          <w:ilvl w:val="0"/>
          <w:numId w:val="6"/>
        </w:numPr>
        <w:adjustRightInd w:val="0"/>
        <w:ind w:left="567" w:hanging="567"/>
        <w:rPr>
          <w:color w:val="000000"/>
          <w:lang w:val="lt-LT" w:eastAsia="sl-SI"/>
        </w:rPr>
      </w:pPr>
      <w:proofErr w:type="spellStart"/>
      <w:r w:rsidRPr="00391CEE">
        <w:rPr>
          <w:b/>
          <w:bCs/>
          <w:color w:val="000000"/>
          <w:lang w:val="lt-LT" w:eastAsia="sl-SI"/>
        </w:rPr>
        <w:lastRenderedPageBreak/>
        <w:t>fluvoksaminas</w:t>
      </w:r>
      <w:proofErr w:type="spellEnd"/>
      <w:r w:rsidRPr="00391CEE">
        <w:rPr>
          <w:color w:val="000000"/>
          <w:lang w:val="lt-LT" w:eastAsia="sl-SI"/>
        </w:rPr>
        <w:t xml:space="preserve"> (kitas vaistas depresijai gydyti)</w:t>
      </w:r>
      <w:r w:rsidR="00391CEE">
        <w:rPr>
          <w:color w:val="000000"/>
          <w:lang w:val="lt-LT" w:eastAsia="sl-SI"/>
        </w:rPr>
        <w:t>;</w:t>
      </w:r>
    </w:p>
    <w:p w14:paraId="6E07166E" w14:textId="77777777" w:rsidR="00391CEE" w:rsidRDefault="00EF1A5D" w:rsidP="00391CEE">
      <w:pPr>
        <w:pStyle w:val="Sraopastraipa"/>
        <w:numPr>
          <w:ilvl w:val="0"/>
          <w:numId w:val="6"/>
        </w:numPr>
        <w:adjustRightInd w:val="0"/>
        <w:ind w:left="567" w:hanging="567"/>
        <w:rPr>
          <w:color w:val="000000"/>
          <w:lang w:val="lt-LT" w:eastAsia="sl-SI"/>
        </w:rPr>
      </w:pPr>
      <w:proofErr w:type="spellStart"/>
      <w:r w:rsidRPr="00391CEE">
        <w:rPr>
          <w:b/>
          <w:bCs/>
          <w:color w:val="000000"/>
          <w:lang w:val="lt-LT" w:eastAsia="sl-SI"/>
        </w:rPr>
        <w:t>ciprofloksacinas</w:t>
      </w:r>
      <w:proofErr w:type="spellEnd"/>
      <w:r w:rsidRPr="00391CEE">
        <w:rPr>
          <w:color w:val="000000"/>
          <w:lang w:val="lt-LT" w:eastAsia="sl-SI"/>
        </w:rPr>
        <w:t xml:space="preserve"> (antibiotikas)</w:t>
      </w:r>
      <w:r w:rsidR="00391CEE">
        <w:rPr>
          <w:color w:val="000000"/>
          <w:lang w:val="lt-LT" w:eastAsia="sl-SI"/>
        </w:rPr>
        <w:t>.</w:t>
      </w:r>
    </w:p>
    <w:p w14:paraId="20F45BD2" w14:textId="77777777" w:rsidR="00EF1A5D" w:rsidRDefault="00391CEE" w:rsidP="00391CEE">
      <w:pPr>
        <w:pStyle w:val="Sraopastraipa"/>
        <w:adjustRightInd w:val="0"/>
        <w:ind w:left="284"/>
        <w:rPr>
          <w:color w:val="000000"/>
          <w:lang w:val="lt-LT" w:eastAsia="sl-SI"/>
        </w:rPr>
      </w:pPr>
      <w:r>
        <w:rPr>
          <w:color w:val="000000"/>
          <w:lang w:val="lt-LT" w:eastAsia="sl-SI"/>
        </w:rPr>
        <w:t xml:space="preserve">Šie vaistai </w:t>
      </w:r>
      <w:r w:rsidR="00EF1A5D" w:rsidRPr="00391CEE">
        <w:rPr>
          <w:color w:val="000000"/>
          <w:lang w:val="lt-LT" w:eastAsia="sl-SI"/>
        </w:rPr>
        <w:t xml:space="preserve">gali keisti tikėtiną </w:t>
      </w:r>
      <w:proofErr w:type="spellStart"/>
      <w:r w:rsidR="00EF1A5D" w:rsidRPr="00391CEE">
        <w:rPr>
          <w:color w:val="000000"/>
          <w:lang w:val="lt-LT" w:eastAsia="sl-SI"/>
        </w:rPr>
        <w:t>agomelatino</w:t>
      </w:r>
      <w:proofErr w:type="spellEnd"/>
      <w:r w:rsidR="00EF1A5D" w:rsidRPr="00391CEE">
        <w:rPr>
          <w:color w:val="000000"/>
          <w:lang w:val="lt-LT" w:eastAsia="sl-SI"/>
        </w:rPr>
        <w:t xml:space="preserve"> kiekį Jūsų kraujyje.</w:t>
      </w:r>
    </w:p>
    <w:p w14:paraId="59734375" w14:textId="77777777" w:rsidR="00391CEE" w:rsidRPr="00391CEE" w:rsidRDefault="00391CEE" w:rsidP="00391CEE">
      <w:pPr>
        <w:pStyle w:val="Sraopastraipa"/>
        <w:adjustRightInd w:val="0"/>
        <w:ind w:left="284"/>
        <w:rPr>
          <w:color w:val="000000"/>
          <w:lang w:val="lt-LT" w:eastAsia="sl-SI"/>
        </w:rPr>
      </w:pPr>
    </w:p>
    <w:p w14:paraId="35EFB3E0" w14:textId="77777777" w:rsidR="00F90F9E" w:rsidRDefault="00391CEE" w:rsidP="00EF1A5D">
      <w:pPr>
        <w:adjustRightInd w:val="0"/>
        <w:rPr>
          <w:color w:val="000000"/>
          <w:lang w:val="lt-LT" w:eastAsia="sl-SI"/>
        </w:rPr>
      </w:pPr>
      <w:r>
        <w:rPr>
          <w:color w:val="000000"/>
          <w:lang w:val="lt-LT" w:eastAsia="sl-SI"/>
        </w:rPr>
        <w:t>Būtinai pasakykite</w:t>
      </w:r>
      <w:r w:rsidR="00EF1A5D" w:rsidRPr="00AF632D">
        <w:rPr>
          <w:color w:val="000000"/>
          <w:lang w:val="lt-LT" w:eastAsia="sl-SI"/>
        </w:rPr>
        <w:t xml:space="preserve"> savo gydytojui, kad vartojate bet kurio šių vaistų:</w:t>
      </w:r>
    </w:p>
    <w:p w14:paraId="47D46015" w14:textId="77777777" w:rsidR="00F90F9E" w:rsidRDefault="00EF1A5D" w:rsidP="00F90F9E">
      <w:pPr>
        <w:pStyle w:val="Sraopastraipa"/>
        <w:numPr>
          <w:ilvl w:val="0"/>
          <w:numId w:val="12"/>
        </w:numPr>
        <w:adjustRightInd w:val="0"/>
        <w:ind w:left="567" w:hanging="567"/>
        <w:rPr>
          <w:color w:val="000000"/>
          <w:lang w:val="lt-LT" w:eastAsia="sl-SI"/>
        </w:rPr>
      </w:pPr>
      <w:proofErr w:type="spellStart"/>
      <w:r w:rsidRPr="00F90F9E">
        <w:rPr>
          <w:b/>
          <w:bCs/>
          <w:color w:val="000000"/>
          <w:lang w:val="lt-LT" w:eastAsia="sl-SI"/>
        </w:rPr>
        <w:t>propranololio</w:t>
      </w:r>
      <w:proofErr w:type="spellEnd"/>
      <w:r w:rsidRPr="00F90F9E">
        <w:rPr>
          <w:color w:val="000000"/>
          <w:lang w:val="lt-LT" w:eastAsia="sl-SI"/>
        </w:rPr>
        <w:t xml:space="preserve"> (beta </w:t>
      </w:r>
      <w:proofErr w:type="spellStart"/>
      <w:r w:rsidRPr="00F90F9E">
        <w:rPr>
          <w:color w:val="000000"/>
          <w:lang w:val="lt-LT" w:eastAsia="sl-SI"/>
        </w:rPr>
        <w:t>adrenoreceptorių</w:t>
      </w:r>
      <w:proofErr w:type="spellEnd"/>
      <w:r w:rsidRPr="00F90F9E">
        <w:rPr>
          <w:color w:val="000000"/>
          <w:lang w:val="lt-LT" w:eastAsia="sl-SI"/>
        </w:rPr>
        <w:t xml:space="preserve"> blokatoriaus, vartojamo didelio kraujospūdžio ligai gydyti)</w:t>
      </w:r>
      <w:r w:rsidR="00F90F9E">
        <w:rPr>
          <w:color w:val="000000"/>
          <w:lang w:val="lt-LT" w:eastAsia="sl-SI"/>
        </w:rPr>
        <w:t>;</w:t>
      </w:r>
    </w:p>
    <w:p w14:paraId="3976D8F3" w14:textId="77777777" w:rsidR="00F90F9E" w:rsidRDefault="00EF1A5D" w:rsidP="00F90F9E">
      <w:pPr>
        <w:pStyle w:val="Sraopastraipa"/>
        <w:numPr>
          <w:ilvl w:val="0"/>
          <w:numId w:val="12"/>
        </w:numPr>
        <w:adjustRightInd w:val="0"/>
        <w:ind w:left="567" w:hanging="567"/>
        <w:rPr>
          <w:color w:val="000000"/>
          <w:lang w:val="lt-LT" w:eastAsia="sl-SI"/>
        </w:rPr>
      </w:pPr>
      <w:proofErr w:type="spellStart"/>
      <w:r w:rsidRPr="00F90F9E">
        <w:rPr>
          <w:b/>
          <w:bCs/>
          <w:color w:val="000000"/>
          <w:lang w:val="lt-LT" w:eastAsia="sl-SI"/>
        </w:rPr>
        <w:t>enoksacino</w:t>
      </w:r>
      <w:proofErr w:type="spellEnd"/>
      <w:r w:rsidRPr="00F90F9E">
        <w:rPr>
          <w:color w:val="000000"/>
          <w:lang w:val="lt-LT" w:eastAsia="sl-SI"/>
        </w:rPr>
        <w:t xml:space="preserve"> (antibiotikas)</w:t>
      </w:r>
      <w:r w:rsidR="00F90F9E">
        <w:rPr>
          <w:color w:val="000000"/>
          <w:lang w:val="lt-LT" w:eastAsia="sl-SI"/>
        </w:rPr>
        <w:t>;</w:t>
      </w:r>
    </w:p>
    <w:p w14:paraId="1F6DBB85" w14:textId="77777777" w:rsidR="00EF1A5D" w:rsidRPr="00F90F9E" w:rsidRDefault="00F90F9E" w:rsidP="00F90F9E">
      <w:pPr>
        <w:pStyle w:val="Sraopastraipa"/>
        <w:numPr>
          <w:ilvl w:val="0"/>
          <w:numId w:val="12"/>
        </w:numPr>
        <w:adjustRightInd w:val="0"/>
        <w:ind w:left="567" w:hanging="567"/>
        <w:rPr>
          <w:color w:val="000000"/>
          <w:lang w:val="lt-LT" w:eastAsia="sl-SI"/>
        </w:rPr>
      </w:pPr>
      <w:r>
        <w:rPr>
          <w:color w:val="000000"/>
          <w:lang w:val="lt-LT" w:eastAsia="sl-SI"/>
        </w:rPr>
        <w:t xml:space="preserve">ir </w:t>
      </w:r>
      <w:r w:rsidR="00EF1A5D" w:rsidRPr="00F90F9E">
        <w:rPr>
          <w:color w:val="000000"/>
          <w:lang w:val="lt-LT" w:eastAsia="sl-SI"/>
        </w:rPr>
        <w:t xml:space="preserve">jeigu </w:t>
      </w:r>
      <w:r w:rsidR="00EF1A5D" w:rsidRPr="00F90F9E">
        <w:rPr>
          <w:b/>
          <w:bCs/>
          <w:color w:val="000000"/>
          <w:lang w:val="lt-LT" w:eastAsia="sl-SI"/>
        </w:rPr>
        <w:t>surūkote</w:t>
      </w:r>
      <w:r w:rsidR="00EF1A5D" w:rsidRPr="00F90F9E">
        <w:rPr>
          <w:color w:val="000000"/>
          <w:lang w:val="lt-LT" w:eastAsia="sl-SI"/>
        </w:rPr>
        <w:t xml:space="preserve"> daugiau kaip 15 cigarečių per parą.</w:t>
      </w:r>
    </w:p>
    <w:p w14:paraId="4FBF9D9B" w14:textId="77777777" w:rsidR="00EF1A5D" w:rsidRPr="00AF632D" w:rsidRDefault="00EF1A5D" w:rsidP="00EF1A5D">
      <w:pPr>
        <w:adjustRightInd w:val="0"/>
        <w:rPr>
          <w:b/>
          <w:bCs/>
          <w:color w:val="000000"/>
          <w:lang w:val="lt-LT" w:eastAsia="sl-SI"/>
        </w:rPr>
      </w:pPr>
    </w:p>
    <w:p w14:paraId="050E174F" w14:textId="77777777" w:rsidR="00EF1A5D" w:rsidRPr="00AF632D" w:rsidRDefault="00F90F9E" w:rsidP="00524CFE">
      <w:pPr>
        <w:keepNext/>
        <w:adjustRightInd w:val="0"/>
        <w:rPr>
          <w:color w:val="000000"/>
          <w:lang w:val="lt-LT" w:eastAsia="sl-SI"/>
        </w:rPr>
      </w:pPr>
      <w:proofErr w:type="spellStart"/>
      <w:r>
        <w:rPr>
          <w:b/>
          <w:bCs/>
          <w:color w:val="000000"/>
          <w:lang w:val="lt-LT" w:eastAsia="sl-SI"/>
        </w:rPr>
        <w:t>Zilbea</w:t>
      </w:r>
      <w:proofErr w:type="spellEnd"/>
      <w:r w:rsidR="00EF1A5D" w:rsidRPr="00AF632D">
        <w:rPr>
          <w:b/>
          <w:bCs/>
          <w:color w:val="000000"/>
          <w:lang w:val="lt-LT" w:eastAsia="sl-SI"/>
        </w:rPr>
        <w:t xml:space="preserve"> vartojimas su alkoholiu</w:t>
      </w:r>
    </w:p>
    <w:p w14:paraId="08A0D691" w14:textId="77777777" w:rsidR="00EF1A5D" w:rsidRPr="00AF632D" w:rsidRDefault="00EF1A5D" w:rsidP="00EF1A5D">
      <w:pPr>
        <w:adjustRightInd w:val="0"/>
        <w:rPr>
          <w:color w:val="000000"/>
          <w:lang w:val="lt-LT" w:eastAsia="sl-SI"/>
        </w:rPr>
      </w:pPr>
      <w:r w:rsidRPr="00AF632D">
        <w:rPr>
          <w:color w:val="000000"/>
          <w:lang w:val="lt-LT" w:eastAsia="sl-SI"/>
        </w:rPr>
        <w:t xml:space="preserve">Gydymo </w:t>
      </w:r>
      <w:proofErr w:type="spellStart"/>
      <w:r w:rsidR="00F90F9E">
        <w:rPr>
          <w:color w:val="000000"/>
          <w:lang w:val="lt-LT" w:eastAsia="sl-SI"/>
        </w:rPr>
        <w:t>Zilbea</w:t>
      </w:r>
      <w:proofErr w:type="spellEnd"/>
      <w:r w:rsidRPr="00AF632D">
        <w:rPr>
          <w:color w:val="000000"/>
          <w:lang w:val="lt-LT" w:eastAsia="sl-SI"/>
        </w:rPr>
        <w:t xml:space="preserve"> metu alkoholio vartoti nerekomenduojama.</w:t>
      </w:r>
    </w:p>
    <w:p w14:paraId="1D543A3E" w14:textId="77777777" w:rsidR="00EF1A5D" w:rsidRPr="00AF632D" w:rsidRDefault="00EF1A5D" w:rsidP="00EF1A5D">
      <w:pPr>
        <w:adjustRightInd w:val="0"/>
        <w:rPr>
          <w:b/>
          <w:bCs/>
          <w:color w:val="000000"/>
          <w:lang w:val="lt-LT" w:eastAsia="sl-SI"/>
        </w:rPr>
      </w:pPr>
    </w:p>
    <w:p w14:paraId="434B0D87" w14:textId="77777777" w:rsidR="00EF1A5D" w:rsidRPr="00AF632D" w:rsidRDefault="00EF1A5D" w:rsidP="00524CFE">
      <w:pPr>
        <w:keepNext/>
        <w:adjustRightInd w:val="0"/>
        <w:rPr>
          <w:b/>
          <w:bCs/>
          <w:color w:val="000000"/>
          <w:lang w:val="lt-LT" w:eastAsia="sl-SI"/>
        </w:rPr>
      </w:pPr>
      <w:r w:rsidRPr="00AF632D">
        <w:rPr>
          <w:b/>
          <w:bCs/>
          <w:color w:val="000000"/>
          <w:lang w:val="lt-LT" w:eastAsia="sl-SI"/>
        </w:rPr>
        <w:t>Nėštumas</w:t>
      </w:r>
      <w:r w:rsidR="00F90F9E">
        <w:rPr>
          <w:b/>
          <w:bCs/>
          <w:color w:val="000000"/>
          <w:lang w:val="lt-LT" w:eastAsia="sl-SI"/>
        </w:rPr>
        <w:t xml:space="preserve"> ir žindymo laikotarpis</w:t>
      </w:r>
    </w:p>
    <w:p w14:paraId="3152C5F1" w14:textId="77777777" w:rsidR="00EF1A5D" w:rsidRPr="00AF632D" w:rsidRDefault="00EF1A5D" w:rsidP="00EF1A5D">
      <w:pPr>
        <w:adjustRightInd w:val="0"/>
        <w:rPr>
          <w:color w:val="000000"/>
          <w:lang w:val="lt-LT" w:eastAsia="sl-SI"/>
        </w:rPr>
      </w:pPr>
      <w:r w:rsidRPr="00AF632D">
        <w:rPr>
          <w:color w:val="000000"/>
          <w:lang w:val="lt-LT" w:eastAsia="sl-SI"/>
        </w:rPr>
        <w:t>Jeigu esate nėščia, žindote kūdikį, manote, kad galbūt esate nėščia arba planuojate pastoti, tai prieš vartodama šį vaistą pasitarkite su gydytoju arba vaistininku.</w:t>
      </w:r>
    </w:p>
    <w:p w14:paraId="4F80767B" w14:textId="77777777" w:rsidR="00EF1A5D" w:rsidRPr="00AF632D" w:rsidRDefault="00EF1A5D" w:rsidP="00EF1A5D">
      <w:pPr>
        <w:adjustRightInd w:val="0"/>
        <w:rPr>
          <w:b/>
          <w:bCs/>
          <w:color w:val="000000"/>
          <w:lang w:val="lt-LT" w:eastAsia="sl-SI"/>
        </w:rPr>
      </w:pPr>
    </w:p>
    <w:p w14:paraId="0E4E34EA" w14:textId="77777777" w:rsidR="00EF1A5D" w:rsidRPr="00F90F9E" w:rsidRDefault="00EF1A5D" w:rsidP="00524CFE">
      <w:pPr>
        <w:keepNext/>
        <w:adjustRightInd w:val="0"/>
        <w:rPr>
          <w:color w:val="000000"/>
          <w:u w:val="single"/>
          <w:lang w:val="lt-LT" w:eastAsia="sl-SI"/>
        </w:rPr>
      </w:pPr>
      <w:r w:rsidRPr="00F90F9E">
        <w:rPr>
          <w:color w:val="000000"/>
          <w:u w:val="single"/>
          <w:lang w:val="lt-LT" w:eastAsia="sl-SI"/>
        </w:rPr>
        <w:t>Žindymo laikotarpis</w:t>
      </w:r>
    </w:p>
    <w:p w14:paraId="69509B85" w14:textId="77777777" w:rsidR="00EF1A5D" w:rsidRPr="00AF632D" w:rsidRDefault="00EF1A5D" w:rsidP="00EF1A5D">
      <w:pPr>
        <w:adjustRightInd w:val="0"/>
        <w:rPr>
          <w:color w:val="000000"/>
          <w:lang w:val="lt-LT" w:eastAsia="sl-SI"/>
        </w:rPr>
      </w:pPr>
      <w:r w:rsidRPr="00AF632D">
        <w:rPr>
          <w:color w:val="000000"/>
          <w:lang w:val="lt-LT" w:eastAsia="sl-SI"/>
        </w:rPr>
        <w:t xml:space="preserve">Pasakykite savo gydytojui, jei žindote ar planuojate žindyti, nes gydymo </w:t>
      </w:r>
      <w:proofErr w:type="spellStart"/>
      <w:r w:rsidR="00F90F9E">
        <w:rPr>
          <w:color w:val="000000"/>
          <w:lang w:val="lt-LT" w:eastAsia="sl-SI"/>
        </w:rPr>
        <w:t>Zilbea</w:t>
      </w:r>
      <w:proofErr w:type="spellEnd"/>
      <w:r w:rsidRPr="00AF632D">
        <w:rPr>
          <w:color w:val="000000"/>
          <w:lang w:val="lt-LT" w:eastAsia="sl-SI"/>
        </w:rPr>
        <w:t xml:space="preserve"> metu žindymas turi būti nutrauktas.</w:t>
      </w:r>
    </w:p>
    <w:p w14:paraId="546B2517" w14:textId="77777777" w:rsidR="00F90F9E" w:rsidRPr="00AF632D" w:rsidRDefault="00F90F9E" w:rsidP="00EF1A5D">
      <w:pPr>
        <w:adjustRightInd w:val="0"/>
        <w:rPr>
          <w:color w:val="000000"/>
          <w:lang w:val="lt-LT" w:eastAsia="sl-SI"/>
        </w:rPr>
      </w:pPr>
    </w:p>
    <w:p w14:paraId="2D7AD326" w14:textId="77777777" w:rsidR="00EF1A5D" w:rsidRPr="00AF632D" w:rsidRDefault="00EF1A5D" w:rsidP="00524CFE">
      <w:pPr>
        <w:keepNext/>
        <w:adjustRightInd w:val="0"/>
        <w:rPr>
          <w:color w:val="000000"/>
          <w:lang w:val="lt-LT" w:eastAsia="sl-SI"/>
        </w:rPr>
      </w:pPr>
      <w:r w:rsidRPr="00AF632D">
        <w:rPr>
          <w:b/>
          <w:bCs/>
          <w:color w:val="000000"/>
          <w:lang w:val="lt-LT" w:eastAsia="sl-SI"/>
        </w:rPr>
        <w:t>Vairavimas ir mechanizmų valdymas</w:t>
      </w:r>
    </w:p>
    <w:p w14:paraId="5C0332F1" w14:textId="77777777" w:rsidR="00EF1A5D" w:rsidRPr="00AF632D" w:rsidRDefault="00EF1A5D" w:rsidP="00EF1A5D">
      <w:pPr>
        <w:adjustRightInd w:val="0"/>
        <w:rPr>
          <w:color w:val="000000"/>
          <w:lang w:val="lt-LT" w:eastAsia="sl-SI"/>
        </w:rPr>
      </w:pPr>
      <w:r w:rsidRPr="00AF632D">
        <w:rPr>
          <w:color w:val="000000"/>
          <w:lang w:val="lt-LT" w:eastAsia="sl-SI"/>
        </w:rPr>
        <w:t>Gali pasireikšti svaigulys ir mieguistumas, kurie gali paveikti gebėjimą vairuoti ar valdyti mechanizmus. Prieš vairuojant ar valdant mechanizmus įsitikinkite, kad Jūsų reakcija yra normali.</w:t>
      </w:r>
    </w:p>
    <w:p w14:paraId="01C6351A" w14:textId="77777777" w:rsidR="00EF1A5D" w:rsidRPr="00AF632D" w:rsidRDefault="00EF1A5D" w:rsidP="00EF1A5D">
      <w:pPr>
        <w:adjustRightInd w:val="0"/>
        <w:rPr>
          <w:b/>
          <w:bCs/>
          <w:color w:val="000000"/>
          <w:lang w:val="lt-LT" w:eastAsia="sl-SI"/>
        </w:rPr>
      </w:pPr>
    </w:p>
    <w:p w14:paraId="2BEFC8FD" w14:textId="77777777" w:rsidR="00EF1A5D" w:rsidRPr="00AF632D" w:rsidRDefault="00F90F9E" w:rsidP="00524CFE">
      <w:pPr>
        <w:keepNext/>
        <w:adjustRightInd w:val="0"/>
        <w:rPr>
          <w:color w:val="000000"/>
          <w:lang w:val="lt-LT" w:eastAsia="sl-SI"/>
        </w:rPr>
      </w:pPr>
      <w:proofErr w:type="spellStart"/>
      <w:r>
        <w:rPr>
          <w:b/>
          <w:bCs/>
          <w:color w:val="000000"/>
          <w:lang w:val="lt-LT" w:eastAsia="sl-SI"/>
        </w:rPr>
        <w:t>Zilbea</w:t>
      </w:r>
      <w:proofErr w:type="spellEnd"/>
      <w:r w:rsidR="00EF1A5D" w:rsidRPr="00AF632D">
        <w:rPr>
          <w:b/>
          <w:bCs/>
          <w:color w:val="000000"/>
          <w:lang w:val="lt-LT" w:eastAsia="sl-SI"/>
        </w:rPr>
        <w:t xml:space="preserve"> sudėtyje yra natrio</w:t>
      </w:r>
    </w:p>
    <w:p w14:paraId="28FE61A3" w14:textId="6D655206" w:rsidR="00EF1A5D" w:rsidRPr="00AF632D" w:rsidRDefault="00EF1A5D" w:rsidP="00EF1A5D">
      <w:pPr>
        <w:adjustRightInd w:val="0"/>
        <w:rPr>
          <w:color w:val="000000"/>
          <w:lang w:val="lt-LT" w:eastAsia="sl-SI"/>
        </w:rPr>
      </w:pPr>
      <w:r w:rsidRPr="00AF632D">
        <w:rPr>
          <w:color w:val="000000"/>
          <w:lang w:val="lt-LT" w:eastAsia="sl-SI"/>
        </w:rPr>
        <w:t>Šio vaisto tabletėje yra mažiau kaip 1</w:t>
      </w:r>
      <w:r w:rsidR="00F510F9">
        <w:rPr>
          <w:color w:val="000000"/>
          <w:lang w:val="lt-LT" w:eastAsia="sl-SI"/>
        </w:rPr>
        <w:t> </w:t>
      </w:r>
      <w:proofErr w:type="spellStart"/>
      <w:r w:rsidRPr="00AF632D">
        <w:rPr>
          <w:color w:val="000000"/>
          <w:lang w:val="lt-LT" w:eastAsia="sl-SI"/>
        </w:rPr>
        <w:t>mmol</w:t>
      </w:r>
      <w:proofErr w:type="spellEnd"/>
      <w:r w:rsidRPr="00AF632D">
        <w:rPr>
          <w:color w:val="000000"/>
          <w:lang w:val="lt-LT" w:eastAsia="sl-SI"/>
        </w:rPr>
        <w:t xml:space="preserve"> (23</w:t>
      </w:r>
      <w:r w:rsidR="00F510F9">
        <w:rPr>
          <w:color w:val="000000"/>
          <w:lang w:val="lt-LT" w:eastAsia="sl-SI"/>
        </w:rPr>
        <w:t> </w:t>
      </w:r>
      <w:r w:rsidRPr="00AF632D">
        <w:rPr>
          <w:color w:val="000000"/>
          <w:lang w:val="lt-LT" w:eastAsia="sl-SI"/>
        </w:rPr>
        <w:t>mg) natrio, t. y. jis beveik neturi reikšmės.</w:t>
      </w:r>
    </w:p>
    <w:p w14:paraId="41F47EE2" w14:textId="77777777" w:rsidR="00EF1A5D" w:rsidRPr="00AF632D" w:rsidRDefault="00EF1A5D" w:rsidP="00EF1A5D">
      <w:pPr>
        <w:adjustRightInd w:val="0"/>
        <w:rPr>
          <w:b/>
          <w:bCs/>
          <w:color w:val="000000"/>
          <w:lang w:val="lt-LT" w:eastAsia="sl-SI"/>
        </w:rPr>
      </w:pPr>
    </w:p>
    <w:p w14:paraId="5BB487AE" w14:textId="77777777" w:rsidR="00EF1A5D" w:rsidRPr="00AF632D" w:rsidRDefault="00EF1A5D" w:rsidP="00EF1A5D">
      <w:pPr>
        <w:adjustRightInd w:val="0"/>
        <w:rPr>
          <w:b/>
          <w:bCs/>
          <w:color w:val="000000"/>
          <w:lang w:val="lt-LT" w:eastAsia="sl-SI"/>
        </w:rPr>
      </w:pPr>
    </w:p>
    <w:p w14:paraId="37C60769" w14:textId="77777777" w:rsidR="00EF1A5D" w:rsidRPr="00AF632D" w:rsidRDefault="00EF1A5D" w:rsidP="00524CFE">
      <w:pPr>
        <w:keepNext/>
        <w:adjustRightInd w:val="0"/>
        <w:rPr>
          <w:color w:val="000000"/>
          <w:lang w:val="lt-LT" w:eastAsia="sl-SI"/>
        </w:rPr>
      </w:pPr>
      <w:r w:rsidRPr="00AF632D">
        <w:rPr>
          <w:b/>
          <w:bCs/>
          <w:color w:val="000000"/>
          <w:lang w:val="lt-LT" w:eastAsia="sl-SI"/>
        </w:rPr>
        <w:t>3.</w:t>
      </w:r>
      <w:r w:rsidRPr="00AF632D">
        <w:rPr>
          <w:b/>
          <w:bCs/>
          <w:color w:val="000000"/>
          <w:lang w:val="lt-LT" w:eastAsia="sl-SI"/>
        </w:rPr>
        <w:tab/>
        <w:t xml:space="preserve">Kaip vartoti </w:t>
      </w:r>
      <w:proofErr w:type="spellStart"/>
      <w:r w:rsidR="00F90F9E">
        <w:rPr>
          <w:b/>
          <w:bCs/>
          <w:color w:val="000000"/>
          <w:lang w:val="lt-LT" w:eastAsia="sl-SI"/>
        </w:rPr>
        <w:t>Zilbea</w:t>
      </w:r>
      <w:proofErr w:type="spellEnd"/>
    </w:p>
    <w:p w14:paraId="431721E2" w14:textId="77777777" w:rsidR="00EF1A5D" w:rsidRPr="00AF632D" w:rsidRDefault="00EF1A5D" w:rsidP="00524CFE">
      <w:pPr>
        <w:keepNext/>
        <w:adjustRightInd w:val="0"/>
        <w:rPr>
          <w:color w:val="000000"/>
          <w:lang w:val="lt-LT" w:eastAsia="sl-SI"/>
        </w:rPr>
      </w:pPr>
    </w:p>
    <w:p w14:paraId="697BB3AA" w14:textId="77777777" w:rsidR="00EF1A5D" w:rsidRPr="00AF632D" w:rsidRDefault="00EF1A5D" w:rsidP="00EF1A5D">
      <w:pPr>
        <w:adjustRightInd w:val="0"/>
        <w:rPr>
          <w:color w:val="000000"/>
          <w:lang w:val="lt-LT" w:eastAsia="sl-SI"/>
        </w:rPr>
      </w:pPr>
      <w:r w:rsidRPr="00AF632D">
        <w:rPr>
          <w:color w:val="000000"/>
          <w:lang w:val="lt-LT" w:eastAsia="sl-SI"/>
        </w:rPr>
        <w:t>Visada vartokite šį vaistą tiksliai kaip nurodė gydytojas arba vaistininkas. Jeigu abejojate, kreipkitės į gydytoją arba vaistininką.</w:t>
      </w:r>
    </w:p>
    <w:p w14:paraId="49A8756C" w14:textId="77777777" w:rsidR="00EF1A5D" w:rsidRPr="00AF632D" w:rsidRDefault="00EF1A5D" w:rsidP="00EF1A5D">
      <w:pPr>
        <w:numPr>
          <w:ilvl w:val="12"/>
          <w:numId w:val="0"/>
        </w:numPr>
        <w:ind w:right="-2"/>
        <w:rPr>
          <w:lang w:val="lt-LT" w:eastAsia="lt-LT"/>
        </w:rPr>
      </w:pPr>
    </w:p>
    <w:p w14:paraId="5EAD82F4" w14:textId="5D7227CC" w:rsidR="00EF1A5D" w:rsidRPr="00AF632D" w:rsidRDefault="00EF1A5D" w:rsidP="00EF1A5D">
      <w:pPr>
        <w:numPr>
          <w:ilvl w:val="12"/>
          <w:numId w:val="0"/>
        </w:numPr>
        <w:ind w:right="-2"/>
        <w:rPr>
          <w:lang w:val="lt-LT"/>
        </w:rPr>
      </w:pPr>
      <w:r w:rsidRPr="00AF632D">
        <w:rPr>
          <w:lang w:val="lt-LT" w:eastAsia="lt-LT"/>
        </w:rPr>
        <w:t xml:space="preserve">Rekomenduojama </w:t>
      </w:r>
      <w:proofErr w:type="spellStart"/>
      <w:r w:rsidR="00F90F9E">
        <w:rPr>
          <w:lang w:val="lt-LT" w:eastAsia="lt-LT"/>
        </w:rPr>
        <w:t>Zilbea</w:t>
      </w:r>
      <w:proofErr w:type="spellEnd"/>
      <w:r w:rsidRPr="00AF632D">
        <w:rPr>
          <w:lang w:val="lt-LT" w:eastAsia="lt-LT"/>
        </w:rPr>
        <w:t xml:space="preserve"> dozė yra viena tabletė (25</w:t>
      </w:r>
      <w:r w:rsidR="00227E03">
        <w:rPr>
          <w:lang w:val="lt-LT" w:eastAsia="lt-LT"/>
        </w:rPr>
        <w:t> </w:t>
      </w:r>
      <w:r w:rsidRPr="00AF632D">
        <w:rPr>
          <w:lang w:val="lt-LT" w:eastAsia="lt-LT"/>
        </w:rPr>
        <w:t>mg), ji vartojama einant miegoti. Tam tikrais atvejais gydytojas gali paskirti didesnę dozę (50</w:t>
      </w:r>
      <w:r w:rsidR="00227E03">
        <w:rPr>
          <w:lang w:val="lt-LT" w:eastAsia="lt-LT"/>
        </w:rPr>
        <w:t> </w:t>
      </w:r>
      <w:r w:rsidRPr="00AF632D">
        <w:rPr>
          <w:lang w:val="lt-LT" w:eastAsia="lt-LT"/>
        </w:rPr>
        <w:t>mg), t. y. einant miegoti reikia iš karto išgerti dvi tabletes.</w:t>
      </w:r>
    </w:p>
    <w:p w14:paraId="4185B8DC" w14:textId="77777777" w:rsidR="00EF1A5D" w:rsidRPr="00AF632D" w:rsidRDefault="00EF1A5D" w:rsidP="00EF1A5D">
      <w:pPr>
        <w:numPr>
          <w:ilvl w:val="12"/>
          <w:numId w:val="0"/>
        </w:numPr>
        <w:ind w:right="-2"/>
        <w:rPr>
          <w:lang w:val="lt-LT"/>
        </w:rPr>
      </w:pPr>
    </w:p>
    <w:p w14:paraId="4211B12E" w14:textId="77777777" w:rsidR="00EF1A5D" w:rsidRDefault="00EF1A5D" w:rsidP="00EF1A5D">
      <w:pPr>
        <w:adjustRightInd w:val="0"/>
        <w:rPr>
          <w:color w:val="000000"/>
          <w:lang w:val="lt-LT" w:eastAsia="sl-SI"/>
        </w:rPr>
      </w:pPr>
      <w:r w:rsidRPr="00AF632D">
        <w:rPr>
          <w:color w:val="000000"/>
          <w:lang w:val="lt-LT" w:eastAsia="sl-SI"/>
        </w:rPr>
        <w:t xml:space="preserve">Daugumai depresija sergančių žmonių </w:t>
      </w:r>
      <w:proofErr w:type="spellStart"/>
      <w:r w:rsidR="00F90F9E">
        <w:rPr>
          <w:color w:val="000000"/>
          <w:lang w:val="lt-LT" w:eastAsia="sl-SI"/>
        </w:rPr>
        <w:t>Zilbea</w:t>
      </w:r>
      <w:proofErr w:type="spellEnd"/>
      <w:r w:rsidRPr="00AF632D">
        <w:rPr>
          <w:color w:val="000000"/>
          <w:lang w:val="lt-LT" w:eastAsia="sl-SI"/>
        </w:rPr>
        <w:t xml:space="preserve"> poveikis depresijos simptomams pasireiškia per dvi savaites nuo gydymo pradžios. Kai pasijusite geriau, gydytojas gali ir toliau Jums skirti vartoti </w:t>
      </w:r>
      <w:proofErr w:type="spellStart"/>
      <w:r w:rsidR="00F90F9E">
        <w:rPr>
          <w:color w:val="000000"/>
          <w:lang w:val="lt-LT" w:eastAsia="sl-SI"/>
        </w:rPr>
        <w:t>Zilbea</w:t>
      </w:r>
      <w:proofErr w:type="spellEnd"/>
      <w:r w:rsidRPr="00AF632D">
        <w:rPr>
          <w:color w:val="000000"/>
          <w:lang w:val="lt-LT" w:eastAsia="sl-SI"/>
        </w:rPr>
        <w:t>, kad depresija nepasikartotų.</w:t>
      </w:r>
    </w:p>
    <w:p w14:paraId="3BC702B6" w14:textId="77777777" w:rsidR="00EF1A5D" w:rsidRPr="00AF632D" w:rsidRDefault="00EF1A5D" w:rsidP="00EF1A5D">
      <w:pPr>
        <w:adjustRightInd w:val="0"/>
        <w:rPr>
          <w:bCs/>
          <w:color w:val="000000"/>
          <w:lang w:val="lt-LT" w:eastAsia="sl-SI"/>
        </w:rPr>
      </w:pPr>
    </w:p>
    <w:p w14:paraId="5CBFC127" w14:textId="7F6D9479" w:rsidR="00EF1A5D" w:rsidRPr="00AF632D" w:rsidRDefault="00EF1A5D" w:rsidP="00524CFE">
      <w:pPr>
        <w:keepNext/>
        <w:adjustRightInd w:val="0"/>
        <w:rPr>
          <w:i/>
          <w:color w:val="000000"/>
          <w:lang w:val="lt-LT" w:eastAsia="sl-SI"/>
        </w:rPr>
      </w:pPr>
      <w:r w:rsidRPr="00AF632D">
        <w:rPr>
          <w:i/>
          <w:iCs/>
          <w:color w:val="000000"/>
          <w:lang w:val="lt-LT" w:eastAsia="sl-SI"/>
        </w:rPr>
        <w:t xml:space="preserve">Kaip gydymą antidepresantu (SSRI ar SNRI) pakeisti </w:t>
      </w:r>
      <w:proofErr w:type="spellStart"/>
      <w:r w:rsidR="00F90F9E">
        <w:rPr>
          <w:i/>
          <w:iCs/>
          <w:color w:val="000000"/>
          <w:lang w:val="lt-LT" w:eastAsia="sl-SI"/>
        </w:rPr>
        <w:t>Zilbea</w:t>
      </w:r>
      <w:proofErr w:type="spellEnd"/>
      <w:r w:rsidRPr="00AF632D">
        <w:rPr>
          <w:i/>
          <w:iCs/>
          <w:color w:val="000000"/>
          <w:lang w:val="lt-LT" w:eastAsia="sl-SI"/>
        </w:rPr>
        <w:t>?</w:t>
      </w:r>
    </w:p>
    <w:p w14:paraId="4361E87C" w14:textId="29E5DE38" w:rsidR="00EF1A5D" w:rsidRPr="00AF632D" w:rsidRDefault="00EF1A5D" w:rsidP="00EF1A5D">
      <w:pPr>
        <w:adjustRightInd w:val="0"/>
        <w:rPr>
          <w:color w:val="000000"/>
          <w:lang w:val="lt-LT" w:eastAsia="sl-SI"/>
        </w:rPr>
      </w:pPr>
      <w:r w:rsidRPr="00AF632D">
        <w:rPr>
          <w:color w:val="000000"/>
          <w:lang w:val="lt-LT" w:eastAsia="sl-SI"/>
        </w:rPr>
        <w:t xml:space="preserve">Jeigu Jūsų gydytojas keičia Jūsų anksčiau vartotą antidepresantą (SSRI ar SNRI) į </w:t>
      </w:r>
      <w:proofErr w:type="spellStart"/>
      <w:r w:rsidR="00F90F9E">
        <w:rPr>
          <w:color w:val="000000"/>
          <w:lang w:val="lt-LT" w:eastAsia="sl-SI"/>
        </w:rPr>
        <w:t>Zilbea</w:t>
      </w:r>
      <w:proofErr w:type="spellEnd"/>
      <w:r w:rsidRPr="00AF632D">
        <w:rPr>
          <w:color w:val="000000"/>
          <w:lang w:val="lt-LT" w:eastAsia="sl-SI"/>
        </w:rPr>
        <w:t xml:space="preserve">, jis Jums patars, kaip turite nutraukti savo ankstesnio vaisto vartojimą pradedant vartoti </w:t>
      </w:r>
      <w:proofErr w:type="spellStart"/>
      <w:r w:rsidR="00F90F9E">
        <w:rPr>
          <w:color w:val="000000"/>
          <w:lang w:val="lt-LT" w:eastAsia="sl-SI"/>
        </w:rPr>
        <w:t>Zilbea</w:t>
      </w:r>
      <w:proofErr w:type="spellEnd"/>
      <w:r w:rsidRPr="00AF632D">
        <w:rPr>
          <w:color w:val="000000"/>
          <w:lang w:val="lt-LT" w:eastAsia="sl-SI"/>
        </w:rPr>
        <w:t>.</w:t>
      </w:r>
    </w:p>
    <w:p w14:paraId="1E20A56E" w14:textId="77777777" w:rsidR="00EF1A5D" w:rsidRPr="00AF632D" w:rsidRDefault="00EF1A5D" w:rsidP="00EF1A5D">
      <w:pPr>
        <w:adjustRightInd w:val="0"/>
        <w:rPr>
          <w:color w:val="000000"/>
          <w:lang w:val="lt-LT" w:eastAsia="sl-SI"/>
        </w:rPr>
      </w:pPr>
      <w:r w:rsidRPr="00AF632D">
        <w:rPr>
          <w:color w:val="000000"/>
          <w:lang w:val="lt-LT" w:eastAsia="sl-SI"/>
        </w:rPr>
        <w:t>Net jei anksčiau vartoto antidepresanto dozę mažinsite laipsniškai, kelias savaites Jums gali pasireikšti nutraukimo simptomų, susijusių su ankstesnio vaisto vartojimo nutraukimu.</w:t>
      </w:r>
    </w:p>
    <w:p w14:paraId="65773245" w14:textId="77777777" w:rsidR="00EF1A5D" w:rsidRPr="00AF632D" w:rsidRDefault="00EF1A5D" w:rsidP="00EF1A5D">
      <w:pPr>
        <w:numPr>
          <w:ilvl w:val="12"/>
          <w:numId w:val="0"/>
        </w:numPr>
        <w:ind w:right="-2"/>
        <w:rPr>
          <w:lang w:val="lt-LT"/>
        </w:rPr>
      </w:pPr>
      <w:r w:rsidRPr="00AF632D">
        <w:rPr>
          <w:lang w:val="lt-LT" w:eastAsia="lt-LT"/>
        </w:rPr>
        <w:t>Galimi nutraukimo simptomai yra svaigulys, tirpulys, miego sutrikimai, susijaudinimas ar nerimas, galvos skausmas, pykinimas, vėmimas ir drebulys. Toks poveikis paprastai būna lengvas ar vidutinio sunkumo ir per keletą dienų išnyksta savaime.</w:t>
      </w:r>
    </w:p>
    <w:p w14:paraId="28D05B95" w14:textId="77777777" w:rsidR="00EF1A5D" w:rsidRPr="00AF632D" w:rsidRDefault="00EF1A5D" w:rsidP="00EF1A5D">
      <w:pPr>
        <w:adjustRightInd w:val="0"/>
        <w:rPr>
          <w:color w:val="000000"/>
          <w:lang w:val="lt-LT" w:eastAsia="sl-SI"/>
        </w:rPr>
      </w:pPr>
      <w:r w:rsidRPr="00AF632D">
        <w:rPr>
          <w:color w:val="000000"/>
          <w:lang w:val="lt-LT" w:eastAsia="sl-SI"/>
        </w:rPr>
        <w:t xml:space="preserve">Jeigu </w:t>
      </w:r>
      <w:proofErr w:type="spellStart"/>
      <w:r w:rsidR="00F90F9E">
        <w:rPr>
          <w:color w:val="000000"/>
          <w:lang w:val="lt-LT" w:eastAsia="sl-SI"/>
        </w:rPr>
        <w:t>Zilbea</w:t>
      </w:r>
      <w:proofErr w:type="spellEnd"/>
      <w:r w:rsidRPr="00AF632D">
        <w:rPr>
          <w:color w:val="000000"/>
          <w:lang w:val="lt-LT" w:eastAsia="sl-SI"/>
        </w:rPr>
        <w:t xml:space="preserve"> pradedama vartoti laipsniškai mažinant anksčiau vartoto vaisto dozę, galimų nutraukimo simptomų nereikėtų painioti su ankstyvojo </w:t>
      </w:r>
      <w:proofErr w:type="spellStart"/>
      <w:r w:rsidR="00F90F9E">
        <w:rPr>
          <w:color w:val="000000"/>
          <w:lang w:val="lt-LT" w:eastAsia="sl-SI"/>
        </w:rPr>
        <w:t>Zilbea</w:t>
      </w:r>
      <w:proofErr w:type="spellEnd"/>
      <w:r w:rsidRPr="00AF632D">
        <w:rPr>
          <w:color w:val="000000"/>
          <w:lang w:val="lt-LT" w:eastAsia="sl-SI"/>
        </w:rPr>
        <w:t xml:space="preserve"> poveikio nebuvimu.</w:t>
      </w:r>
    </w:p>
    <w:p w14:paraId="5C5626CA" w14:textId="65A927D0" w:rsidR="00EF1A5D" w:rsidRPr="00AF632D" w:rsidRDefault="00EF1A5D" w:rsidP="00EF1A5D">
      <w:pPr>
        <w:adjustRightInd w:val="0"/>
        <w:rPr>
          <w:color w:val="000000"/>
          <w:lang w:val="lt-LT" w:eastAsia="sl-SI"/>
        </w:rPr>
      </w:pPr>
      <w:r w:rsidRPr="00AF632D">
        <w:rPr>
          <w:color w:val="000000"/>
          <w:lang w:val="lt-LT" w:eastAsia="sl-SI"/>
        </w:rPr>
        <w:t xml:space="preserve">Su savo gydytoju turėtumėte aptarti, kaip, pradedant vartoti </w:t>
      </w:r>
      <w:proofErr w:type="spellStart"/>
      <w:r w:rsidR="00F90F9E">
        <w:rPr>
          <w:color w:val="000000"/>
          <w:lang w:val="lt-LT" w:eastAsia="sl-SI"/>
        </w:rPr>
        <w:t>Zilbea</w:t>
      </w:r>
      <w:proofErr w:type="spellEnd"/>
      <w:r w:rsidRPr="00AF632D">
        <w:rPr>
          <w:color w:val="000000"/>
          <w:lang w:val="lt-LT" w:eastAsia="sl-SI"/>
        </w:rPr>
        <w:t>, geriausia nutraukti ankstesnio vaisto nuo depresijos vartojimą.</w:t>
      </w:r>
    </w:p>
    <w:p w14:paraId="701AEE0B" w14:textId="77777777" w:rsidR="00EF1A5D" w:rsidRPr="00AF632D" w:rsidRDefault="00EF1A5D" w:rsidP="00EF1A5D">
      <w:pPr>
        <w:adjustRightInd w:val="0"/>
        <w:rPr>
          <w:i/>
          <w:iCs/>
          <w:color w:val="000000"/>
          <w:lang w:val="lt-LT" w:eastAsia="sl-SI"/>
        </w:rPr>
      </w:pPr>
    </w:p>
    <w:p w14:paraId="542B13F5" w14:textId="728AD259" w:rsidR="00EF1A5D" w:rsidRPr="00AF632D" w:rsidRDefault="00EF1A5D" w:rsidP="00524CFE">
      <w:pPr>
        <w:keepNext/>
        <w:adjustRightInd w:val="0"/>
        <w:rPr>
          <w:i/>
          <w:color w:val="000000"/>
          <w:lang w:val="lt-LT" w:eastAsia="sl-SI"/>
        </w:rPr>
      </w:pPr>
      <w:r w:rsidRPr="00AF632D">
        <w:rPr>
          <w:i/>
          <w:iCs/>
          <w:color w:val="000000"/>
          <w:lang w:val="lt-LT" w:eastAsia="sl-SI"/>
        </w:rPr>
        <w:t xml:space="preserve">Kepenų </w:t>
      </w:r>
      <w:r w:rsidR="009456B9">
        <w:rPr>
          <w:i/>
          <w:iCs/>
          <w:color w:val="000000"/>
          <w:lang w:val="lt-LT" w:eastAsia="sl-SI"/>
        </w:rPr>
        <w:t>funkcijos</w:t>
      </w:r>
      <w:r w:rsidR="009456B9" w:rsidRPr="00AF632D">
        <w:rPr>
          <w:i/>
          <w:iCs/>
          <w:color w:val="000000"/>
          <w:lang w:val="lt-LT" w:eastAsia="sl-SI"/>
        </w:rPr>
        <w:t xml:space="preserve"> </w:t>
      </w:r>
      <w:r w:rsidRPr="00AF632D">
        <w:rPr>
          <w:i/>
          <w:iCs/>
          <w:color w:val="000000"/>
          <w:lang w:val="lt-LT" w:eastAsia="sl-SI"/>
        </w:rPr>
        <w:t>stebėjimas (taip pat žr. 2 skyrių)</w:t>
      </w:r>
      <w:r w:rsidR="00241B3F">
        <w:rPr>
          <w:i/>
          <w:iCs/>
          <w:color w:val="000000"/>
          <w:lang w:val="lt-LT" w:eastAsia="sl-SI"/>
        </w:rPr>
        <w:t>:</w:t>
      </w:r>
    </w:p>
    <w:p w14:paraId="13A97081" w14:textId="77777777" w:rsidR="00EF1A5D" w:rsidRPr="00AF632D" w:rsidRDefault="00EF1A5D" w:rsidP="00EF1A5D">
      <w:pPr>
        <w:adjustRightInd w:val="0"/>
        <w:rPr>
          <w:color w:val="000000"/>
          <w:lang w:val="lt-LT" w:eastAsia="sl-SI"/>
        </w:rPr>
      </w:pPr>
      <w:r w:rsidRPr="00AF632D">
        <w:rPr>
          <w:color w:val="000000"/>
          <w:lang w:val="lt-LT" w:eastAsia="sl-SI"/>
        </w:rPr>
        <w:t xml:space="preserve">Jūsų gydytojas atliks laboratorinius tyrimus prieš pradėdamas gydymą ir periodiškai gydymo metu, </w:t>
      </w:r>
      <w:r w:rsidRPr="00AF632D">
        <w:rPr>
          <w:color w:val="000000"/>
          <w:lang w:val="lt-LT" w:eastAsia="sl-SI"/>
        </w:rPr>
        <w:lastRenderedPageBreak/>
        <w:t>paprastai po 3, 6, 12 ir 24 savaičių, kad įsitikintų, jog Jūsų kepenys veikia tinkamai.</w:t>
      </w:r>
    </w:p>
    <w:p w14:paraId="664DB7D0" w14:textId="73F2F6CC" w:rsidR="00EF1A5D" w:rsidRPr="00AF632D" w:rsidRDefault="00EF1A5D" w:rsidP="00EF1A5D">
      <w:pPr>
        <w:adjustRightInd w:val="0"/>
        <w:rPr>
          <w:color w:val="000000"/>
          <w:lang w:val="lt-LT" w:eastAsia="sl-SI"/>
        </w:rPr>
      </w:pPr>
      <w:r w:rsidRPr="00AF632D">
        <w:rPr>
          <w:color w:val="000000"/>
          <w:lang w:val="lt-LT" w:eastAsia="sl-SI"/>
        </w:rPr>
        <w:t>Jeigu Jūsų gydytojas padidina dozę iki 50</w:t>
      </w:r>
      <w:r w:rsidR="00227E03">
        <w:rPr>
          <w:color w:val="000000"/>
          <w:lang w:val="lt-LT" w:eastAsia="sl-SI"/>
        </w:rPr>
        <w:t> </w:t>
      </w:r>
      <w:r w:rsidRPr="00AF632D">
        <w:rPr>
          <w:color w:val="000000"/>
          <w:lang w:val="lt-LT" w:eastAsia="sl-SI"/>
        </w:rPr>
        <w:t>mg, laboratoriniai tyrimai turi būti atlikti šio padidinimo pradžioje ir vėliau periodiškai atliekami gydymo metu, paprastai po 3 savaičių, 6 savaičių, 12 savaičių ir 24 savaičių. Vėliau tyrimai bus daromi kai gydytojas nuspręs, kad jie reikalingi.</w:t>
      </w:r>
    </w:p>
    <w:p w14:paraId="4E91942F" w14:textId="744BF207" w:rsidR="00EF1A5D" w:rsidRPr="00AF632D" w:rsidRDefault="002A68E9" w:rsidP="00EF1A5D">
      <w:pPr>
        <w:adjustRightInd w:val="0"/>
        <w:rPr>
          <w:color w:val="000000"/>
          <w:lang w:val="lt-LT" w:eastAsia="sl-SI"/>
        </w:rPr>
      </w:pPr>
      <w:proofErr w:type="spellStart"/>
      <w:r>
        <w:rPr>
          <w:color w:val="000000"/>
          <w:lang w:val="lt-LT" w:eastAsia="sl-SI"/>
        </w:rPr>
        <w:t>Zilbea</w:t>
      </w:r>
      <w:proofErr w:type="spellEnd"/>
      <w:r w:rsidRPr="00AF632D">
        <w:rPr>
          <w:color w:val="000000"/>
          <w:lang w:val="lt-LT" w:eastAsia="sl-SI"/>
        </w:rPr>
        <w:t xml:space="preserve"> vartoti </w:t>
      </w:r>
      <w:r>
        <w:rPr>
          <w:color w:val="000000"/>
          <w:lang w:val="lt-LT" w:eastAsia="sl-SI"/>
        </w:rPr>
        <w:t>negalima</w:t>
      </w:r>
      <w:r w:rsidRPr="00AF632D">
        <w:rPr>
          <w:color w:val="000000"/>
          <w:lang w:val="lt-LT" w:eastAsia="sl-SI"/>
        </w:rPr>
        <w:t xml:space="preserve"> </w:t>
      </w:r>
      <w:r>
        <w:rPr>
          <w:color w:val="000000"/>
          <w:lang w:val="lt-LT" w:eastAsia="sl-SI"/>
        </w:rPr>
        <w:t>j</w:t>
      </w:r>
      <w:r w:rsidR="00EF1A5D" w:rsidRPr="00AF632D">
        <w:rPr>
          <w:color w:val="000000"/>
          <w:lang w:val="lt-LT" w:eastAsia="sl-SI"/>
        </w:rPr>
        <w:t>ei Jūsų kepenys neveikia tinkamai.</w:t>
      </w:r>
    </w:p>
    <w:p w14:paraId="41EE9EF3" w14:textId="77777777" w:rsidR="00EF1A5D" w:rsidRPr="00AF632D" w:rsidRDefault="00EF1A5D" w:rsidP="00EF1A5D">
      <w:pPr>
        <w:adjustRightInd w:val="0"/>
        <w:rPr>
          <w:color w:val="000000"/>
          <w:lang w:val="lt-LT" w:eastAsia="sl-SI"/>
        </w:rPr>
      </w:pPr>
    </w:p>
    <w:p w14:paraId="7A549BE0" w14:textId="77777777" w:rsidR="00EF1A5D" w:rsidRPr="00AF632D" w:rsidRDefault="00EF1A5D" w:rsidP="00EF1A5D">
      <w:pPr>
        <w:adjustRightInd w:val="0"/>
        <w:rPr>
          <w:color w:val="000000"/>
          <w:lang w:val="lt-LT" w:eastAsia="sl-SI"/>
        </w:rPr>
      </w:pPr>
      <w:r w:rsidRPr="00AF632D">
        <w:rPr>
          <w:color w:val="000000"/>
          <w:lang w:val="lt-LT" w:eastAsia="sl-SI"/>
        </w:rPr>
        <w:t xml:space="preserve">Jeigu Jums yra inkstų problemų, gydytojas kiekvienu atveju nuspręs, ar Jums saugu vartoti </w:t>
      </w:r>
      <w:proofErr w:type="spellStart"/>
      <w:r w:rsidR="00241B3F">
        <w:rPr>
          <w:color w:val="000000"/>
          <w:lang w:val="lt-LT" w:eastAsia="sl-SI"/>
        </w:rPr>
        <w:t>Zilbea</w:t>
      </w:r>
      <w:proofErr w:type="spellEnd"/>
      <w:r w:rsidRPr="00AF632D">
        <w:rPr>
          <w:color w:val="000000"/>
          <w:lang w:val="lt-LT" w:eastAsia="sl-SI"/>
        </w:rPr>
        <w:t>.</w:t>
      </w:r>
    </w:p>
    <w:p w14:paraId="1AECEB25" w14:textId="77777777" w:rsidR="00241B3F" w:rsidRDefault="00241B3F" w:rsidP="00F90F9E">
      <w:pPr>
        <w:adjustRightInd w:val="0"/>
        <w:rPr>
          <w:color w:val="000000"/>
          <w:lang w:val="lt-LT" w:eastAsia="sl-SI"/>
        </w:rPr>
      </w:pPr>
    </w:p>
    <w:p w14:paraId="0E05AD35" w14:textId="77777777" w:rsidR="00241B3F" w:rsidRPr="00241B3F" w:rsidRDefault="00241B3F" w:rsidP="00524CFE">
      <w:pPr>
        <w:keepNext/>
        <w:adjustRightInd w:val="0"/>
        <w:rPr>
          <w:color w:val="000000"/>
          <w:u w:val="single"/>
          <w:lang w:val="lt-LT" w:eastAsia="sl-SI"/>
        </w:rPr>
      </w:pPr>
      <w:r w:rsidRPr="00241B3F">
        <w:rPr>
          <w:color w:val="000000"/>
          <w:u w:val="single"/>
          <w:lang w:val="lt-LT" w:eastAsia="sl-SI"/>
        </w:rPr>
        <w:t>Vartojimo metodas</w:t>
      </w:r>
    </w:p>
    <w:p w14:paraId="4FEEC5AD" w14:textId="4934A1CA" w:rsidR="002A68E9" w:rsidRDefault="002A68E9" w:rsidP="00F90F9E">
      <w:pPr>
        <w:adjustRightInd w:val="0"/>
        <w:rPr>
          <w:bCs/>
          <w:color w:val="000000"/>
          <w:lang w:val="lt-LT" w:eastAsia="sl-SI"/>
        </w:rPr>
      </w:pPr>
      <w:r w:rsidRPr="00AF632D">
        <w:rPr>
          <w:bCs/>
          <w:color w:val="000000"/>
          <w:lang w:val="lt-LT" w:eastAsia="sl-SI"/>
        </w:rPr>
        <w:t>Nenutraukite savo vaisto vartojimo nepasitarę su gydyto</w:t>
      </w:r>
      <w:r>
        <w:rPr>
          <w:bCs/>
          <w:color w:val="000000"/>
          <w:lang w:val="lt-LT" w:eastAsia="sl-SI"/>
        </w:rPr>
        <w:t>ju, net jeigu jaučiatės geriau.</w:t>
      </w:r>
    </w:p>
    <w:p w14:paraId="0AD277AA" w14:textId="6A01538A" w:rsidR="00241B3F" w:rsidRDefault="00241B3F" w:rsidP="00F90F9E">
      <w:pPr>
        <w:adjustRightInd w:val="0"/>
        <w:rPr>
          <w:bCs/>
          <w:color w:val="000000"/>
          <w:lang w:val="lt-LT" w:eastAsia="sl-SI"/>
        </w:rPr>
      </w:pPr>
      <w:proofErr w:type="spellStart"/>
      <w:r>
        <w:rPr>
          <w:bCs/>
          <w:color w:val="000000"/>
          <w:lang w:val="lt-LT" w:eastAsia="sl-SI"/>
        </w:rPr>
        <w:t>Zilbea</w:t>
      </w:r>
      <w:proofErr w:type="spellEnd"/>
      <w:r w:rsidRPr="00AF632D">
        <w:rPr>
          <w:bCs/>
          <w:color w:val="000000"/>
          <w:lang w:val="lt-LT" w:eastAsia="sl-SI"/>
        </w:rPr>
        <w:t xml:space="preserve"> yra skirtas vartoti per burną. Tabletę turite nuryti užsigerdami vandeniu.</w:t>
      </w:r>
    </w:p>
    <w:p w14:paraId="47456B15" w14:textId="77777777" w:rsidR="00241B3F" w:rsidRDefault="00241B3F" w:rsidP="00241B3F">
      <w:pPr>
        <w:adjustRightInd w:val="0"/>
        <w:rPr>
          <w:bCs/>
          <w:color w:val="000000"/>
          <w:lang w:val="lt-LT" w:eastAsia="sl-SI"/>
        </w:rPr>
      </w:pPr>
      <w:proofErr w:type="spellStart"/>
      <w:r>
        <w:rPr>
          <w:color w:val="000000"/>
          <w:lang w:val="lt-LT" w:eastAsia="sl-SI"/>
        </w:rPr>
        <w:t>Zilbea</w:t>
      </w:r>
      <w:proofErr w:type="spellEnd"/>
      <w:r w:rsidRPr="00AF632D">
        <w:rPr>
          <w:bCs/>
          <w:color w:val="000000"/>
          <w:lang w:val="lt-LT" w:eastAsia="sl-SI"/>
        </w:rPr>
        <w:t xml:space="preserve"> galima vartoti valgant arba </w:t>
      </w:r>
      <w:r>
        <w:rPr>
          <w:bCs/>
          <w:color w:val="000000"/>
          <w:lang w:val="lt-LT" w:eastAsia="sl-SI"/>
        </w:rPr>
        <w:t>nevalgant</w:t>
      </w:r>
      <w:r w:rsidRPr="00AF632D">
        <w:rPr>
          <w:bCs/>
          <w:color w:val="000000"/>
          <w:lang w:val="lt-LT" w:eastAsia="sl-SI"/>
        </w:rPr>
        <w:t>.</w:t>
      </w:r>
    </w:p>
    <w:p w14:paraId="4D29D28E" w14:textId="77777777" w:rsidR="00241B3F" w:rsidRDefault="00241B3F" w:rsidP="00241B3F">
      <w:pPr>
        <w:adjustRightInd w:val="0"/>
        <w:rPr>
          <w:bCs/>
          <w:color w:val="000000"/>
          <w:lang w:val="lt-LT" w:eastAsia="sl-SI"/>
        </w:rPr>
      </w:pPr>
    </w:p>
    <w:p w14:paraId="587F67D4" w14:textId="77777777" w:rsidR="00241B3F" w:rsidRDefault="00241B3F" w:rsidP="00524CFE">
      <w:pPr>
        <w:keepNext/>
        <w:adjustRightInd w:val="0"/>
        <w:rPr>
          <w:bCs/>
          <w:color w:val="000000"/>
          <w:lang w:val="lt-LT" w:eastAsia="sl-SI"/>
        </w:rPr>
      </w:pPr>
      <w:r>
        <w:rPr>
          <w:bCs/>
          <w:color w:val="000000"/>
          <w:u w:val="single"/>
          <w:lang w:val="lt-LT" w:eastAsia="sl-SI"/>
        </w:rPr>
        <w:t>Gydymo trukmė</w:t>
      </w:r>
    </w:p>
    <w:p w14:paraId="2ABF0C7B" w14:textId="784542F7" w:rsidR="00F90F9E" w:rsidRPr="00AF632D" w:rsidRDefault="00F90F9E" w:rsidP="00F90F9E">
      <w:pPr>
        <w:adjustRightInd w:val="0"/>
        <w:rPr>
          <w:color w:val="000000"/>
          <w:lang w:val="lt-LT" w:eastAsia="sl-SI"/>
        </w:rPr>
      </w:pPr>
      <w:r w:rsidRPr="00AF632D">
        <w:rPr>
          <w:color w:val="000000"/>
          <w:lang w:val="lt-LT" w:eastAsia="sl-SI"/>
        </w:rPr>
        <w:t>Jūsų depresija turi būti gydoma pakankamą laikotarpį (mažiausiai 6 mėnesius), kad</w:t>
      </w:r>
      <w:r w:rsidR="002A68E9">
        <w:rPr>
          <w:color w:val="000000"/>
          <w:lang w:val="lt-LT" w:eastAsia="sl-SI"/>
        </w:rPr>
        <w:t xml:space="preserve"> užtikrinti, jog</w:t>
      </w:r>
      <w:r w:rsidRPr="00AF632D">
        <w:rPr>
          <w:color w:val="000000"/>
          <w:lang w:val="lt-LT" w:eastAsia="sl-SI"/>
        </w:rPr>
        <w:t xml:space="preserve"> simptomai išnyko.</w:t>
      </w:r>
    </w:p>
    <w:p w14:paraId="7E4E83B3" w14:textId="77777777" w:rsidR="00241B3F" w:rsidRPr="00AF632D" w:rsidRDefault="00241B3F" w:rsidP="00241B3F">
      <w:pPr>
        <w:adjustRightInd w:val="0"/>
        <w:rPr>
          <w:bCs/>
          <w:color w:val="000000"/>
          <w:lang w:val="lt-LT" w:eastAsia="sl-SI"/>
        </w:rPr>
      </w:pPr>
      <w:r w:rsidRPr="00AF632D">
        <w:rPr>
          <w:bCs/>
          <w:color w:val="000000"/>
          <w:lang w:val="lt-LT" w:eastAsia="sl-SI"/>
        </w:rPr>
        <w:t>Nenutraukite savo vaisto vartojimo nepasitarę su gydytoju, net jeigu jaučiatės geriau.</w:t>
      </w:r>
    </w:p>
    <w:p w14:paraId="251F7300" w14:textId="77777777" w:rsidR="00EF1A5D" w:rsidRPr="00AF632D" w:rsidRDefault="00EF1A5D" w:rsidP="00EF1A5D">
      <w:pPr>
        <w:adjustRightInd w:val="0"/>
        <w:rPr>
          <w:b/>
          <w:bCs/>
          <w:color w:val="000000"/>
          <w:lang w:val="lt-LT" w:eastAsia="sl-SI"/>
        </w:rPr>
      </w:pPr>
    </w:p>
    <w:p w14:paraId="428B7BF9" w14:textId="4DBC7DCB" w:rsidR="00EF1A5D" w:rsidRPr="00AF632D" w:rsidRDefault="00EF1A5D" w:rsidP="00524CFE">
      <w:pPr>
        <w:keepNext/>
        <w:adjustRightInd w:val="0"/>
        <w:rPr>
          <w:color w:val="000000"/>
          <w:lang w:val="lt-LT" w:eastAsia="sl-SI"/>
        </w:rPr>
      </w:pPr>
      <w:r w:rsidRPr="00AF632D">
        <w:rPr>
          <w:b/>
          <w:bCs/>
          <w:color w:val="000000"/>
          <w:lang w:val="lt-LT" w:eastAsia="sl-SI"/>
        </w:rPr>
        <w:t xml:space="preserve">Ką daryti pavartojus per didelę </w:t>
      </w:r>
      <w:proofErr w:type="spellStart"/>
      <w:r w:rsidR="00241B3F">
        <w:rPr>
          <w:b/>
          <w:bCs/>
          <w:color w:val="000000"/>
          <w:lang w:val="lt-LT" w:eastAsia="sl-SI"/>
        </w:rPr>
        <w:t>Zilbea</w:t>
      </w:r>
      <w:proofErr w:type="spellEnd"/>
      <w:r w:rsidRPr="00AF632D">
        <w:rPr>
          <w:b/>
          <w:bCs/>
          <w:color w:val="000000"/>
          <w:lang w:val="lt-LT" w:eastAsia="sl-SI"/>
        </w:rPr>
        <w:t xml:space="preserve"> dozę</w:t>
      </w:r>
    </w:p>
    <w:p w14:paraId="7C1FE967" w14:textId="77777777" w:rsidR="00EF1A5D" w:rsidRPr="00AF632D" w:rsidRDefault="00EF1A5D" w:rsidP="00EF1A5D">
      <w:pPr>
        <w:adjustRightInd w:val="0"/>
        <w:rPr>
          <w:color w:val="000000"/>
          <w:lang w:val="lt-LT" w:eastAsia="sl-SI"/>
        </w:rPr>
      </w:pPr>
      <w:r w:rsidRPr="00AF632D">
        <w:rPr>
          <w:color w:val="000000"/>
          <w:lang w:val="lt-LT" w:eastAsia="sl-SI"/>
        </w:rPr>
        <w:t xml:space="preserve">Jeigu išgėrėte daugiau </w:t>
      </w:r>
      <w:proofErr w:type="spellStart"/>
      <w:r w:rsidR="00241B3F">
        <w:rPr>
          <w:color w:val="000000"/>
          <w:lang w:val="lt-LT" w:eastAsia="sl-SI"/>
        </w:rPr>
        <w:t>Zilbea</w:t>
      </w:r>
      <w:proofErr w:type="spellEnd"/>
      <w:r w:rsidRPr="00AF632D">
        <w:rPr>
          <w:color w:val="000000"/>
          <w:lang w:val="lt-LT" w:eastAsia="sl-SI"/>
        </w:rPr>
        <w:t xml:space="preserve"> negu skirta, arba, pavyzdžiui, vaisto netyčia išgėrė vaikas, nedelsdami kreipkitės į gydytoją.</w:t>
      </w:r>
    </w:p>
    <w:p w14:paraId="6F4A0E79" w14:textId="3625145E" w:rsidR="00EF1A5D" w:rsidRPr="00AF632D" w:rsidRDefault="00EF1A5D" w:rsidP="00EF1A5D">
      <w:pPr>
        <w:adjustRightInd w:val="0"/>
        <w:rPr>
          <w:color w:val="000000"/>
          <w:lang w:val="lt-LT" w:eastAsia="sl-SI"/>
        </w:rPr>
      </w:pPr>
      <w:r w:rsidRPr="00AF632D">
        <w:rPr>
          <w:color w:val="000000"/>
          <w:lang w:val="lt-LT" w:eastAsia="sl-SI"/>
        </w:rPr>
        <w:t xml:space="preserve">Patirties apie </w:t>
      </w:r>
      <w:proofErr w:type="spellStart"/>
      <w:r w:rsidR="00241B3F">
        <w:rPr>
          <w:color w:val="000000"/>
          <w:lang w:val="lt-LT" w:eastAsia="sl-SI"/>
        </w:rPr>
        <w:t>Zilbea</w:t>
      </w:r>
      <w:proofErr w:type="spellEnd"/>
      <w:r w:rsidRPr="00AF632D">
        <w:rPr>
          <w:color w:val="000000"/>
          <w:lang w:val="lt-LT" w:eastAsia="sl-SI"/>
        </w:rPr>
        <w:t xml:space="preserve"> perdozavimą yra nedaug, tačiau gauta pranešimų apie tokius simptomus, kaip skausmas viršutinėje pilvo dalyje, mieguistumas, nuovargis, sujaudinimas, nerimas, įtampa, svaigulys, odos pamėlimas </w:t>
      </w:r>
      <w:r w:rsidR="009456B9">
        <w:rPr>
          <w:color w:val="000000"/>
          <w:lang w:val="lt-LT" w:eastAsia="sl-SI"/>
        </w:rPr>
        <w:t xml:space="preserve">(cianozė) </w:t>
      </w:r>
      <w:r w:rsidRPr="00AF632D">
        <w:rPr>
          <w:color w:val="000000"/>
          <w:lang w:val="lt-LT" w:eastAsia="sl-SI"/>
        </w:rPr>
        <w:t>ar negalavimas.</w:t>
      </w:r>
    </w:p>
    <w:p w14:paraId="071A341E" w14:textId="77777777" w:rsidR="00EF1A5D" w:rsidRPr="00AF632D" w:rsidRDefault="00EF1A5D" w:rsidP="00EF1A5D">
      <w:pPr>
        <w:adjustRightInd w:val="0"/>
        <w:rPr>
          <w:b/>
          <w:bCs/>
          <w:color w:val="000000"/>
          <w:lang w:val="lt-LT" w:eastAsia="sl-SI"/>
        </w:rPr>
      </w:pPr>
    </w:p>
    <w:p w14:paraId="134E15A1" w14:textId="77777777" w:rsidR="00EF1A5D" w:rsidRPr="00AF632D" w:rsidRDefault="00EF1A5D" w:rsidP="00524CFE">
      <w:pPr>
        <w:keepNext/>
        <w:adjustRightInd w:val="0"/>
        <w:rPr>
          <w:color w:val="000000"/>
          <w:lang w:val="lt-LT" w:eastAsia="sl-SI"/>
        </w:rPr>
      </w:pPr>
      <w:r w:rsidRPr="00AF632D">
        <w:rPr>
          <w:b/>
          <w:bCs/>
          <w:color w:val="000000"/>
          <w:lang w:val="lt-LT" w:eastAsia="sl-SI"/>
        </w:rPr>
        <w:t xml:space="preserve">Pamiršus pavartoti </w:t>
      </w:r>
      <w:proofErr w:type="spellStart"/>
      <w:r w:rsidR="00241B3F">
        <w:rPr>
          <w:b/>
          <w:bCs/>
          <w:color w:val="000000"/>
          <w:lang w:val="lt-LT" w:eastAsia="sl-SI"/>
        </w:rPr>
        <w:t>Zilbea</w:t>
      </w:r>
      <w:proofErr w:type="spellEnd"/>
    </w:p>
    <w:p w14:paraId="35A073D7" w14:textId="77777777" w:rsidR="00EF1A5D" w:rsidRPr="00AF632D" w:rsidRDefault="00EF1A5D" w:rsidP="00EF1A5D">
      <w:pPr>
        <w:adjustRightInd w:val="0"/>
        <w:rPr>
          <w:color w:val="000000"/>
          <w:lang w:val="lt-LT" w:eastAsia="sl-SI"/>
        </w:rPr>
      </w:pPr>
      <w:r w:rsidRPr="00AF632D">
        <w:rPr>
          <w:color w:val="000000"/>
          <w:lang w:val="lt-LT" w:eastAsia="sl-SI"/>
        </w:rPr>
        <w:t>Negalima vartoti dvigubos dozės norint kompensuoti praleistą dozę. Tiesiog išgerkite kitą dozę įprastu laiku.</w:t>
      </w:r>
    </w:p>
    <w:p w14:paraId="6788DB57" w14:textId="77777777" w:rsidR="00EF1A5D" w:rsidRPr="00AF632D" w:rsidRDefault="00EF1A5D" w:rsidP="00EF1A5D">
      <w:pPr>
        <w:adjustRightInd w:val="0"/>
        <w:rPr>
          <w:b/>
          <w:bCs/>
          <w:color w:val="000000"/>
          <w:lang w:val="lt-LT" w:eastAsia="sl-SI"/>
        </w:rPr>
      </w:pPr>
    </w:p>
    <w:p w14:paraId="08538974" w14:textId="77777777" w:rsidR="00EF1A5D" w:rsidRPr="00AF632D" w:rsidRDefault="00EF1A5D" w:rsidP="00524CFE">
      <w:pPr>
        <w:keepNext/>
        <w:adjustRightInd w:val="0"/>
        <w:rPr>
          <w:b/>
          <w:bCs/>
          <w:color w:val="000000"/>
          <w:lang w:val="lt-LT" w:eastAsia="sl-SI"/>
        </w:rPr>
      </w:pPr>
      <w:r w:rsidRPr="00AF632D">
        <w:rPr>
          <w:b/>
          <w:bCs/>
          <w:color w:val="000000"/>
          <w:lang w:val="lt-LT" w:eastAsia="sl-SI"/>
        </w:rPr>
        <w:t xml:space="preserve">Nustojus vartoti </w:t>
      </w:r>
      <w:proofErr w:type="spellStart"/>
      <w:r w:rsidR="00241B3F">
        <w:rPr>
          <w:b/>
          <w:bCs/>
          <w:color w:val="000000"/>
          <w:lang w:val="lt-LT" w:eastAsia="sl-SI"/>
        </w:rPr>
        <w:t>Zilbea</w:t>
      </w:r>
      <w:proofErr w:type="spellEnd"/>
    </w:p>
    <w:p w14:paraId="07CCC963" w14:textId="77777777" w:rsidR="00EF1A5D" w:rsidRPr="00AF632D" w:rsidRDefault="00EF1A5D" w:rsidP="00EF1A5D">
      <w:pPr>
        <w:adjustRightInd w:val="0"/>
        <w:rPr>
          <w:color w:val="000000"/>
          <w:lang w:val="lt-LT" w:eastAsia="sl-SI"/>
        </w:rPr>
      </w:pPr>
      <w:r w:rsidRPr="00AF632D">
        <w:rPr>
          <w:color w:val="000000"/>
          <w:lang w:val="lt-LT" w:eastAsia="sl-SI"/>
        </w:rPr>
        <w:t>Prieš nutraukdami šio vaisto vartojimą, turite pasitarti su savo gydytoju.</w:t>
      </w:r>
    </w:p>
    <w:p w14:paraId="56568ED0" w14:textId="77777777" w:rsidR="00241B3F" w:rsidRDefault="00EF1A5D" w:rsidP="00EF1A5D">
      <w:pPr>
        <w:adjustRightInd w:val="0"/>
        <w:rPr>
          <w:color w:val="000000"/>
          <w:lang w:val="lt-LT" w:eastAsia="sl-SI"/>
        </w:rPr>
      </w:pPr>
      <w:r w:rsidRPr="00AF632D">
        <w:rPr>
          <w:color w:val="000000"/>
          <w:lang w:val="lt-LT" w:eastAsia="sl-SI"/>
        </w:rPr>
        <w:t xml:space="preserve">Jeigu manote, kad </w:t>
      </w:r>
      <w:proofErr w:type="spellStart"/>
      <w:r w:rsidR="00241B3F">
        <w:rPr>
          <w:color w:val="000000"/>
          <w:lang w:val="lt-LT" w:eastAsia="sl-SI"/>
        </w:rPr>
        <w:t>Zilbea</w:t>
      </w:r>
      <w:proofErr w:type="spellEnd"/>
      <w:r w:rsidRPr="00AF632D">
        <w:rPr>
          <w:color w:val="000000"/>
          <w:lang w:val="lt-LT" w:eastAsia="sl-SI"/>
        </w:rPr>
        <w:t xml:space="preserve"> poveikis yra pernelyg stiprus arba pernelyg silpnas, kreipkitės į gydytoją arba vaistininką. </w:t>
      </w:r>
    </w:p>
    <w:p w14:paraId="51B1B613" w14:textId="77777777" w:rsidR="00241B3F" w:rsidRDefault="00241B3F" w:rsidP="00EF1A5D">
      <w:pPr>
        <w:adjustRightInd w:val="0"/>
        <w:rPr>
          <w:color w:val="000000"/>
          <w:lang w:val="lt-LT" w:eastAsia="sl-SI"/>
        </w:rPr>
      </w:pPr>
    </w:p>
    <w:p w14:paraId="29A2E20D" w14:textId="77777777" w:rsidR="00EF1A5D" w:rsidRPr="00AF632D" w:rsidRDefault="00EF1A5D" w:rsidP="00EF1A5D">
      <w:pPr>
        <w:adjustRightInd w:val="0"/>
        <w:rPr>
          <w:lang w:val="lt-LT"/>
        </w:rPr>
      </w:pPr>
      <w:r w:rsidRPr="00AF632D">
        <w:rPr>
          <w:lang w:val="lt-LT" w:eastAsia="lt-LT"/>
        </w:rPr>
        <w:t>Jeigu kiltų daugiau klausimų dėl šio vaisto vartojimo, kreipkitės į gydytoją arba vaistininką.</w:t>
      </w:r>
    </w:p>
    <w:p w14:paraId="68C6DCD2" w14:textId="77777777" w:rsidR="00EF1A5D" w:rsidRPr="00AF632D" w:rsidRDefault="00EF1A5D" w:rsidP="00EF1A5D">
      <w:pPr>
        <w:numPr>
          <w:ilvl w:val="12"/>
          <w:numId w:val="0"/>
        </w:numPr>
        <w:ind w:right="-29"/>
        <w:rPr>
          <w:lang w:val="lt-LT"/>
        </w:rPr>
      </w:pPr>
    </w:p>
    <w:p w14:paraId="301244CC" w14:textId="77777777" w:rsidR="00EF1A5D" w:rsidRPr="00AF632D" w:rsidRDefault="00EF1A5D" w:rsidP="00EF1A5D">
      <w:pPr>
        <w:numPr>
          <w:ilvl w:val="12"/>
          <w:numId w:val="0"/>
        </w:numPr>
        <w:rPr>
          <w:lang w:val="lt-LT"/>
        </w:rPr>
      </w:pPr>
    </w:p>
    <w:p w14:paraId="47E61E26" w14:textId="77777777" w:rsidR="00EF1A5D" w:rsidRPr="00AF632D" w:rsidRDefault="00EF1A5D" w:rsidP="00524CFE">
      <w:pPr>
        <w:keepNext/>
        <w:outlineLvl w:val="2"/>
        <w:rPr>
          <w:b/>
          <w:bCs/>
          <w:lang w:val="lt-LT" w:eastAsia="lt-LT"/>
        </w:rPr>
      </w:pPr>
      <w:r w:rsidRPr="00AF632D">
        <w:rPr>
          <w:b/>
          <w:bCs/>
          <w:lang w:val="lt-LT" w:eastAsia="lt-LT"/>
        </w:rPr>
        <w:t>4.</w:t>
      </w:r>
      <w:r w:rsidRPr="00AF632D">
        <w:rPr>
          <w:b/>
          <w:bCs/>
          <w:lang w:val="lt-LT" w:eastAsia="lt-LT"/>
        </w:rPr>
        <w:tab/>
        <w:t>Galimas šalutinis poveikis</w:t>
      </w:r>
    </w:p>
    <w:p w14:paraId="621F820D" w14:textId="77777777" w:rsidR="00EF1A5D" w:rsidRPr="00AF632D" w:rsidRDefault="00EF1A5D" w:rsidP="00524CFE">
      <w:pPr>
        <w:keepNext/>
        <w:numPr>
          <w:ilvl w:val="12"/>
          <w:numId w:val="0"/>
        </w:numPr>
        <w:rPr>
          <w:lang w:val="lt-LT"/>
        </w:rPr>
      </w:pPr>
    </w:p>
    <w:p w14:paraId="6DCD1C4A" w14:textId="77777777" w:rsidR="00EF1A5D" w:rsidRPr="00AF632D" w:rsidRDefault="00EF1A5D" w:rsidP="00EF1A5D">
      <w:pPr>
        <w:numPr>
          <w:ilvl w:val="12"/>
          <w:numId w:val="0"/>
        </w:numPr>
        <w:ind w:right="-29"/>
        <w:rPr>
          <w:lang w:val="lt-LT"/>
        </w:rPr>
      </w:pPr>
      <w:r w:rsidRPr="00AF632D">
        <w:rPr>
          <w:lang w:val="lt-LT"/>
        </w:rPr>
        <w:t>Šis vaistas, kaip ir visi kiti, gali sukelti šalutinį poveikį, nors jis pasireiškia ne visiems žmonėms.</w:t>
      </w:r>
    </w:p>
    <w:p w14:paraId="70C32E7A" w14:textId="77777777" w:rsidR="00EF1A5D" w:rsidRPr="00AF632D" w:rsidRDefault="00EF1A5D" w:rsidP="00EF1A5D">
      <w:pPr>
        <w:numPr>
          <w:ilvl w:val="12"/>
          <w:numId w:val="0"/>
        </w:numPr>
        <w:ind w:right="-29"/>
        <w:rPr>
          <w:lang w:val="lt-LT"/>
        </w:rPr>
      </w:pPr>
    </w:p>
    <w:p w14:paraId="0ADAF83B" w14:textId="77777777" w:rsidR="00EF1A5D" w:rsidRPr="00AF632D" w:rsidRDefault="00EF1A5D" w:rsidP="00EF1A5D">
      <w:pPr>
        <w:numPr>
          <w:ilvl w:val="12"/>
          <w:numId w:val="0"/>
        </w:numPr>
        <w:ind w:right="-29"/>
        <w:rPr>
          <w:lang w:val="lt-LT" w:eastAsia="lt-LT"/>
        </w:rPr>
      </w:pPr>
      <w:r w:rsidRPr="00AF632D">
        <w:rPr>
          <w:lang w:val="lt-LT"/>
        </w:rPr>
        <w:t>Dažniausiais šalutinis poveikis būna lengvas arba vidutinio sunkumo. Jis</w:t>
      </w:r>
      <w:r w:rsidRPr="00AF632D">
        <w:rPr>
          <w:lang w:val="lt-LT" w:eastAsia="lt-LT"/>
        </w:rPr>
        <w:t xml:space="preserve"> paprastai pasireiškia per pirmąsias dvi gydymo savaites ir paprastai būna laikinas.</w:t>
      </w:r>
    </w:p>
    <w:p w14:paraId="0D71B74B" w14:textId="77777777" w:rsidR="00EF1A5D" w:rsidRPr="00AF632D" w:rsidRDefault="00EF1A5D" w:rsidP="00EF1A5D">
      <w:pPr>
        <w:adjustRightInd w:val="0"/>
        <w:rPr>
          <w:color w:val="000000"/>
          <w:lang w:val="lt-LT" w:eastAsia="sl-SI"/>
        </w:rPr>
      </w:pPr>
    </w:p>
    <w:p w14:paraId="5E917323" w14:textId="77777777" w:rsidR="00EF1A5D" w:rsidRPr="00AF632D" w:rsidRDefault="00DE796A" w:rsidP="00EF1A5D">
      <w:pPr>
        <w:adjustRightInd w:val="0"/>
        <w:rPr>
          <w:color w:val="000000"/>
          <w:lang w:val="lt-LT" w:eastAsia="sl-SI"/>
        </w:rPr>
      </w:pPr>
      <w:r>
        <w:rPr>
          <w:color w:val="000000"/>
          <w:lang w:val="lt-LT" w:eastAsia="sl-SI"/>
        </w:rPr>
        <w:t>Šalutinis poveikis gali būti toks:</w:t>
      </w:r>
    </w:p>
    <w:p w14:paraId="0CFAFD14" w14:textId="68A951D2" w:rsidR="00EF1A5D" w:rsidRPr="00AF632D" w:rsidRDefault="00EF1A5D" w:rsidP="00EF1A5D">
      <w:pPr>
        <w:widowControl/>
        <w:numPr>
          <w:ilvl w:val="0"/>
          <w:numId w:val="11"/>
        </w:numPr>
        <w:adjustRightInd w:val="0"/>
        <w:ind w:left="567" w:hanging="567"/>
        <w:rPr>
          <w:color w:val="000000"/>
          <w:lang w:val="lt-LT" w:eastAsia="sl-SI"/>
        </w:rPr>
      </w:pPr>
      <w:r w:rsidRPr="00524CFE">
        <w:rPr>
          <w:b/>
          <w:color w:val="000000"/>
          <w:lang w:val="lt-LT"/>
        </w:rPr>
        <w:t xml:space="preserve">Labai </w:t>
      </w:r>
      <w:r w:rsidRPr="00594277">
        <w:rPr>
          <w:b/>
          <w:bCs/>
          <w:color w:val="000000"/>
          <w:lang w:val="lt-LT" w:eastAsia="sl-SI"/>
        </w:rPr>
        <w:t>dažn</w:t>
      </w:r>
      <w:r w:rsidR="00DE22C1" w:rsidRPr="00594277">
        <w:rPr>
          <w:b/>
          <w:bCs/>
          <w:color w:val="000000"/>
          <w:lang w:val="lt-LT" w:eastAsia="sl-SI"/>
        </w:rPr>
        <w:t>i</w:t>
      </w:r>
      <w:r w:rsidRPr="00594277">
        <w:rPr>
          <w:b/>
          <w:bCs/>
          <w:color w:val="000000"/>
          <w:lang w:val="lt-LT" w:eastAsia="sl-SI"/>
        </w:rPr>
        <w:t xml:space="preserve"> šalutini</w:t>
      </w:r>
      <w:r w:rsidR="00DE22C1" w:rsidRPr="00594277">
        <w:rPr>
          <w:b/>
          <w:bCs/>
          <w:color w:val="000000"/>
          <w:lang w:val="lt-LT" w:eastAsia="sl-SI"/>
        </w:rPr>
        <w:t>o</w:t>
      </w:r>
      <w:r w:rsidRPr="00594277">
        <w:rPr>
          <w:b/>
          <w:bCs/>
          <w:color w:val="000000"/>
          <w:lang w:val="lt-LT" w:eastAsia="sl-SI"/>
        </w:rPr>
        <w:t xml:space="preserve"> poveiki</w:t>
      </w:r>
      <w:r w:rsidR="00DE22C1" w:rsidRPr="00594277">
        <w:rPr>
          <w:b/>
          <w:bCs/>
          <w:color w:val="000000"/>
          <w:lang w:val="lt-LT" w:eastAsia="sl-SI"/>
        </w:rPr>
        <w:t>o reiškiniai</w:t>
      </w:r>
      <w:r w:rsidRPr="00524CFE">
        <w:rPr>
          <w:b/>
          <w:color w:val="000000"/>
          <w:lang w:val="lt-LT"/>
        </w:rPr>
        <w:t xml:space="preserve"> (gali pasireikšti </w:t>
      </w:r>
      <w:r w:rsidR="00DE22C1" w:rsidRPr="00594277">
        <w:rPr>
          <w:b/>
          <w:bCs/>
          <w:color w:val="000000"/>
          <w:lang w:val="lt-LT" w:eastAsia="sl-SI"/>
        </w:rPr>
        <w:t>ne rečiau</w:t>
      </w:r>
      <w:r w:rsidR="00DE22C1" w:rsidRPr="00524CFE">
        <w:rPr>
          <w:b/>
          <w:color w:val="000000"/>
          <w:lang w:val="lt-LT"/>
        </w:rPr>
        <w:t xml:space="preserve"> </w:t>
      </w:r>
      <w:r w:rsidRPr="00524CFE">
        <w:rPr>
          <w:b/>
          <w:color w:val="000000"/>
          <w:lang w:val="lt-LT"/>
        </w:rPr>
        <w:t xml:space="preserve">kaip 1 iš 10 </w:t>
      </w:r>
      <w:r w:rsidR="00DE22C1" w:rsidRPr="00594277">
        <w:rPr>
          <w:b/>
          <w:bCs/>
          <w:color w:val="000000"/>
          <w:lang w:val="lt-LT" w:eastAsia="sl-SI"/>
        </w:rPr>
        <w:t>asmenų</w:t>
      </w:r>
      <w:r w:rsidRPr="00524CFE">
        <w:rPr>
          <w:b/>
          <w:color w:val="000000"/>
          <w:lang w:val="lt-LT"/>
        </w:rPr>
        <w:t>):</w:t>
      </w:r>
      <w:r w:rsidRPr="00AF632D">
        <w:rPr>
          <w:color w:val="000000"/>
          <w:lang w:val="lt-LT" w:eastAsia="sl-SI"/>
        </w:rPr>
        <w:t xml:space="preserve"> galvos skausmas.</w:t>
      </w:r>
    </w:p>
    <w:p w14:paraId="13CBA94E" w14:textId="2EE67AB1" w:rsidR="00EF1A5D" w:rsidRPr="00AF632D" w:rsidRDefault="00EF1A5D" w:rsidP="00EF1A5D">
      <w:pPr>
        <w:widowControl/>
        <w:numPr>
          <w:ilvl w:val="0"/>
          <w:numId w:val="11"/>
        </w:numPr>
        <w:adjustRightInd w:val="0"/>
        <w:ind w:left="567" w:hanging="567"/>
        <w:rPr>
          <w:color w:val="000000"/>
          <w:lang w:val="lt-LT" w:eastAsia="sl-SI"/>
        </w:rPr>
      </w:pPr>
      <w:r w:rsidRPr="00594277">
        <w:rPr>
          <w:b/>
          <w:bCs/>
          <w:color w:val="000000"/>
          <w:lang w:val="lt-LT" w:eastAsia="sl-SI"/>
        </w:rPr>
        <w:t>Dažn</w:t>
      </w:r>
      <w:r w:rsidR="00DE22C1" w:rsidRPr="00594277">
        <w:rPr>
          <w:b/>
          <w:bCs/>
          <w:color w:val="000000"/>
          <w:lang w:val="lt-LT" w:eastAsia="sl-SI"/>
        </w:rPr>
        <w:t>i</w:t>
      </w:r>
      <w:r w:rsidRPr="00594277">
        <w:rPr>
          <w:b/>
          <w:bCs/>
          <w:color w:val="000000"/>
          <w:lang w:val="lt-LT" w:eastAsia="sl-SI"/>
        </w:rPr>
        <w:t xml:space="preserve"> šalutini</w:t>
      </w:r>
      <w:r w:rsidR="00DE22C1" w:rsidRPr="00594277">
        <w:rPr>
          <w:b/>
          <w:bCs/>
          <w:color w:val="000000"/>
          <w:lang w:val="lt-LT" w:eastAsia="sl-SI"/>
        </w:rPr>
        <w:t>o</w:t>
      </w:r>
      <w:r w:rsidRPr="00594277">
        <w:rPr>
          <w:b/>
          <w:bCs/>
          <w:color w:val="000000"/>
          <w:lang w:val="lt-LT" w:eastAsia="sl-SI"/>
        </w:rPr>
        <w:t xml:space="preserve"> poveiki</w:t>
      </w:r>
      <w:r w:rsidR="00DE22C1" w:rsidRPr="00594277">
        <w:rPr>
          <w:b/>
          <w:bCs/>
          <w:color w:val="000000"/>
          <w:lang w:val="lt-LT" w:eastAsia="sl-SI"/>
        </w:rPr>
        <w:t>o reiškiniai</w:t>
      </w:r>
      <w:r w:rsidRPr="00524CFE">
        <w:rPr>
          <w:b/>
          <w:color w:val="000000"/>
          <w:lang w:val="lt-LT"/>
        </w:rPr>
        <w:t xml:space="preserve"> (gali pasireikšti rečiau kaip 1 iš 10 </w:t>
      </w:r>
      <w:r w:rsidR="00DE22C1" w:rsidRPr="00594277">
        <w:rPr>
          <w:b/>
          <w:bCs/>
          <w:color w:val="000000"/>
          <w:lang w:val="lt-LT" w:eastAsia="sl-SI"/>
        </w:rPr>
        <w:t>asmenų</w:t>
      </w:r>
      <w:r w:rsidRPr="00524CFE">
        <w:rPr>
          <w:b/>
          <w:color w:val="000000"/>
          <w:lang w:val="lt-LT"/>
        </w:rPr>
        <w:t>):</w:t>
      </w:r>
      <w:r w:rsidRPr="00AF632D">
        <w:rPr>
          <w:color w:val="000000"/>
          <w:lang w:val="lt-LT" w:eastAsia="sl-SI"/>
        </w:rPr>
        <w:t xml:space="preserve"> svaigulys, mieguistumas (</w:t>
      </w:r>
      <w:proofErr w:type="spellStart"/>
      <w:r w:rsidRPr="00AF632D">
        <w:rPr>
          <w:color w:val="000000"/>
          <w:lang w:val="lt-LT" w:eastAsia="sl-SI"/>
        </w:rPr>
        <w:t>somnolencija</w:t>
      </w:r>
      <w:proofErr w:type="spellEnd"/>
      <w:r w:rsidRPr="00AF632D">
        <w:rPr>
          <w:color w:val="000000"/>
          <w:lang w:val="lt-LT" w:eastAsia="sl-SI"/>
        </w:rPr>
        <w:t>), miego sutrikimas (nemiga), šleikštulys (pykinimas), viduriavimas, vidurių užkietėjimas, pilvo skausmas, nugaros skausmas, nuovargis, nerimas, nenormalūs sapnai, padidėjęs kepenų fermentų aktyvumas kraujyje, vėmimas, kūno svorio padidėjimas.</w:t>
      </w:r>
    </w:p>
    <w:p w14:paraId="072AE24B" w14:textId="4E94442F" w:rsidR="00EF1A5D" w:rsidRPr="00AF632D" w:rsidRDefault="00EF1A5D" w:rsidP="00EF1A5D">
      <w:pPr>
        <w:widowControl/>
        <w:numPr>
          <w:ilvl w:val="0"/>
          <w:numId w:val="11"/>
        </w:numPr>
        <w:adjustRightInd w:val="0"/>
        <w:ind w:left="567" w:hanging="567"/>
        <w:rPr>
          <w:color w:val="000000"/>
          <w:lang w:val="lt-LT" w:eastAsia="sl-SI"/>
        </w:rPr>
      </w:pPr>
      <w:r w:rsidRPr="00594277">
        <w:rPr>
          <w:b/>
          <w:bCs/>
          <w:color w:val="000000"/>
          <w:lang w:val="lt-LT" w:eastAsia="sl-SI"/>
        </w:rPr>
        <w:t>Nedažn</w:t>
      </w:r>
      <w:r w:rsidR="00DE22C1" w:rsidRPr="00594277">
        <w:rPr>
          <w:b/>
          <w:bCs/>
          <w:color w:val="000000"/>
          <w:lang w:val="lt-LT" w:eastAsia="sl-SI"/>
        </w:rPr>
        <w:t>i</w:t>
      </w:r>
      <w:r w:rsidRPr="00594277">
        <w:rPr>
          <w:b/>
          <w:bCs/>
          <w:color w:val="000000"/>
          <w:lang w:val="lt-LT" w:eastAsia="sl-SI"/>
        </w:rPr>
        <w:t xml:space="preserve"> šalutini</w:t>
      </w:r>
      <w:r w:rsidR="00DE22C1" w:rsidRPr="00594277">
        <w:rPr>
          <w:b/>
          <w:bCs/>
          <w:color w:val="000000"/>
          <w:lang w:val="lt-LT" w:eastAsia="sl-SI"/>
        </w:rPr>
        <w:t>o</w:t>
      </w:r>
      <w:r w:rsidRPr="00594277">
        <w:rPr>
          <w:b/>
          <w:bCs/>
          <w:color w:val="000000"/>
          <w:lang w:val="lt-LT" w:eastAsia="sl-SI"/>
        </w:rPr>
        <w:t xml:space="preserve"> poveiki</w:t>
      </w:r>
      <w:r w:rsidR="00DE22C1" w:rsidRPr="00594277">
        <w:rPr>
          <w:b/>
          <w:bCs/>
          <w:color w:val="000000"/>
          <w:lang w:val="lt-LT" w:eastAsia="sl-SI"/>
        </w:rPr>
        <w:t>o reiškiniai</w:t>
      </w:r>
      <w:r w:rsidRPr="00524CFE">
        <w:rPr>
          <w:b/>
          <w:color w:val="000000"/>
          <w:lang w:val="lt-LT"/>
        </w:rPr>
        <w:t xml:space="preserve"> (gali pasireikšti rečiau kaip 1 iš 100 </w:t>
      </w:r>
      <w:r w:rsidR="00DE22C1" w:rsidRPr="00594277">
        <w:rPr>
          <w:b/>
          <w:bCs/>
          <w:color w:val="000000"/>
          <w:lang w:val="lt-LT" w:eastAsia="sl-SI"/>
        </w:rPr>
        <w:t>asmenų</w:t>
      </w:r>
      <w:r w:rsidRPr="00524CFE">
        <w:rPr>
          <w:b/>
          <w:color w:val="000000"/>
          <w:lang w:val="lt-LT"/>
        </w:rPr>
        <w:t>):</w:t>
      </w:r>
      <w:r w:rsidRPr="00AF632D">
        <w:rPr>
          <w:color w:val="000000"/>
          <w:lang w:val="lt-LT" w:eastAsia="sl-SI"/>
        </w:rPr>
        <w:t xml:space="preserve"> migrena, dilgčiojimas ir badymas rankų ir kojų pirštuose (</w:t>
      </w:r>
      <w:proofErr w:type="spellStart"/>
      <w:r w:rsidRPr="00AF632D">
        <w:rPr>
          <w:color w:val="000000"/>
          <w:lang w:val="lt-LT" w:eastAsia="sl-SI"/>
        </w:rPr>
        <w:t>parestezija</w:t>
      </w:r>
      <w:proofErr w:type="spellEnd"/>
      <w:r w:rsidRPr="00AF632D">
        <w:rPr>
          <w:color w:val="000000"/>
          <w:lang w:val="lt-LT" w:eastAsia="sl-SI"/>
        </w:rPr>
        <w:t xml:space="preserve">), </w:t>
      </w:r>
      <w:r w:rsidR="00332761">
        <w:rPr>
          <w:color w:val="000000"/>
          <w:lang w:val="lt-LT" w:eastAsia="sl-SI"/>
        </w:rPr>
        <w:t>neryškus matymas</w:t>
      </w:r>
      <w:r w:rsidRPr="00AF632D">
        <w:rPr>
          <w:color w:val="000000"/>
          <w:lang w:val="lt-LT" w:eastAsia="sl-SI"/>
        </w:rPr>
        <w:t xml:space="preserve">, neramių kojų sindromas (sutrikimas, kuriam būdingas nekontroliuojamas poreikis judinti kojas), spengimas ausyse, </w:t>
      </w:r>
      <w:r w:rsidR="00332761">
        <w:rPr>
          <w:color w:val="000000"/>
          <w:lang w:val="lt-LT" w:eastAsia="sl-SI"/>
        </w:rPr>
        <w:t>per gausus</w:t>
      </w:r>
      <w:r w:rsidR="00332761" w:rsidRPr="00AF632D">
        <w:rPr>
          <w:color w:val="000000"/>
          <w:lang w:val="lt-LT" w:eastAsia="sl-SI"/>
        </w:rPr>
        <w:t xml:space="preserve"> </w:t>
      </w:r>
      <w:r w:rsidRPr="00AF632D">
        <w:rPr>
          <w:color w:val="000000"/>
          <w:lang w:val="lt-LT" w:eastAsia="sl-SI"/>
        </w:rPr>
        <w:t>prakaitavimas (</w:t>
      </w:r>
      <w:proofErr w:type="spellStart"/>
      <w:r w:rsidRPr="00AF632D">
        <w:rPr>
          <w:color w:val="000000"/>
          <w:lang w:val="lt-LT" w:eastAsia="sl-SI"/>
        </w:rPr>
        <w:t>hiperhidrozė</w:t>
      </w:r>
      <w:proofErr w:type="spellEnd"/>
      <w:r w:rsidRPr="00AF632D">
        <w:rPr>
          <w:color w:val="000000"/>
          <w:lang w:val="lt-LT" w:eastAsia="sl-SI"/>
        </w:rPr>
        <w:t>), egzema, niež</w:t>
      </w:r>
      <w:r w:rsidR="00332761">
        <w:rPr>
          <w:color w:val="000000"/>
          <w:lang w:val="lt-LT" w:eastAsia="sl-SI"/>
        </w:rPr>
        <w:t>ėjimas</w:t>
      </w:r>
      <w:r w:rsidRPr="00AF632D">
        <w:rPr>
          <w:color w:val="000000"/>
          <w:lang w:val="lt-LT" w:eastAsia="sl-SI"/>
        </w:rPr>
        <w:t xml:space="preserve">, dilgėlinė (ruplės), sujaudinimas, dirglumas, neramumas, agresyvus elgesys, košmariški sapnai, manija ar </w:t>
      </w:r>
      <w:proofErr w:type="spellStart"/>
      <w:r w:rsidRPr="00AF632D">
        <w:rPr>
          <w:color w:val="000000"/>
          <w:lang w:val="lt-LT" w:eastAsia="sl-SI"/>
        </w:rPr>
        <w:lastRenderedPageBreak/>
        <w:t>hipomanija</w:t>
      </w:r>
      <w:proofErr w:type="spellEnd"/>
      <w:r w:rsidRPr="00AF632D">
        <w:rPr>
          <w:color w:val="000000"/>
          <w:lang w:val="lt-LT" w:eastAsia="sl-SI"/>
        </w:rPr>
        <w:t xml:space="preserve"> (taip pat žr. 2 skyriaus poskyrį „Įspėjimai ir atsargumo priemonės“), mintys apie savižudybę ar savižudiškas elgesys, minčių susipainiojimas, kūno svorio sumažėjimas</w:t>
      </w:r>
      <w:r w:rsidR="00DE796A">
        <w:rPr>
          <w:color w:val="000000"/>
          <w:lang w:val="lt-LT" w:eastAsia="sl-SI"/>
        </w:rPr>
        <w:t>, raumenų skausmas.</w:t>
      </w:r>
    </w:p>
    <w:p w14:paraId="1337F944" w14:textId="4C4BFEBF" w:rsidR="00EF1A5D" w:rsidRPr="00AF632D" w:rsidRDefault="00EF1A5D" w:rsidP="00EF1A5D">
      <w:pPr>
        <w:widowControl/>
        <w:numPr>
          <w:ilvl w:val="0"/>
          <w:numId w:val="11"/>
        </w:numPr>
        <w:adjustRightInd w:val="0"/>
        <w:ind w:left="567" w:hanging="567"/>
        <w:rPr>
          <w:color w:val="000000"/>
          <w:lang w:val="lt-LT" w:eastAsia="sl-SI"/>
        </w:rPr>
      </w:pPr>
      <w:r w:rsidRPr="00594277">
        <w:rPr>
          <w:b/>
          <w:bCs/>
          <w:color w:val="000000"/>
          <w:lang w:val="lt-LT" w:eastAsia="sl-SI"/>
        </w:rPr>
        <w:t>Ret</w:t>
      </w:r>
      <w:r w:rsidR="00DE22C1" w:rsidRPr="00594277">
        <w:rPr>
          <w:b/>
          <w:bCs/>
          <w:color w:val="000000"/>
          <w:lang w:val="lt-LT" w:eastAsia="sl-SI"/>
        </w:rPr>
        <w:t>i</w:t>
      </w:r>
      <w:r w:rsidRPr="00594277">
        <w:rPr>
          <w:b/>
          <w:bCs/>
          <w:color w:val="000000"/>
          <w:lang w:val="lt-LT" w:eastAsia="sl-SI"/>
        </w:rPr>
        <w:t xml:space="preserve"> šalutini</w:t>
      </w:r>
      <w:r w:rsidR="00DE22C1" w:rsidRPr="00594277">
        <w:rPr>
          <w:b/>
          <w:bCs/>
          <w:color w:val="000000"/>
          <w:lang w:val="lt-LT" w:eastAsia="sl-SI"/>
        </w:rPr>
        <w:t>o</w:t>
      </w:r>
      <w:r w:rsidRPr="00594277">
        <w:rPr>
          <w:b/>
          <w:bCs/>
          <w:color w:val="000000"/>
          <w:lang w:val="lt-LT" w:eastAsia="sl-SI"/>
        </w:rPr>
        <w:t xml:space="preserve"> poveiki</w:t>
      </w:r>
      <w:r w:rsidR="00DE22C1" w:rsidRPr="00594277">
        <w:rPr>
          <w:b/>
          <w:bCs/>
          <w:color w:val="000000"/>
          <w:lang w:val="lt-LT" w:eastAsia="sl-SI"/>
        </w:rPr>
        <w:t>o reiškiniai</w:t>
      </w:r>
      <w:r w:rsidRPr="00524CFE">
        <w:rPr>
          <w:b/>
          <w:color w:val="000000"/>
          <w:lang w:val="lt-LT"/>
        </w:rPr>
        <w:t xml:space="preserve"> (gali pasireikšti rečiau kaip 1 iš </w:t>
      </w:r>
      <w:r w:rsidRPr="00594277">
        <w:rPr>
          <w:b/>
          <w:bCs/>
          <w:color w:val="000000"/>
          <w:lang w:val="lt-LT" w:eastAsia="sl-SI"/>
        </w:rPr>
        <w:t>1</w:t>
      </w:r>
      <w:r w:rsidR="00DE22C1" w:rsidRPr="00594277">
        <w:rPr>
          <w:b/>
          <w:bCs/>
          <w:color w:val="000000"/>
          <w:lang w:val="lt-LT" w:eastAsia="sl-SI"/>
        </w:rPr>
        <w:t> </w:t>
      </w:r>
      <w:r w:rsidRPr="00594277">
        <w:rPr>
          <w:b/>
          <w:bCs/>
          <w:color w:val="000000"/>
          <w:lang w:val="lt-LT" w:eastAsia="sl-SI"/>
        </w:rPr>
        <w:t xml:space="preserve">000 </w:t>
      </w:r>
      <w:r w:rsidR="00DE22C1" w:rsidRPr="00594277">
        <w:rPr>
          <w:b/>
          <w:bCs/>
          <w:color w:val="000000"/>
          <w:lang w:val="lt-LT" w:eastAsia="sl-SI"/>
        </w:rPr>
        <w:t>asmenų</w:t>
      </w:r>
      <w:r w:rsidRPr="00524CFE">
        <w:rPr>
          <w:b/>
          <w:color w:val="000000"/>
          <w:lang w:val="lt-LT"/>
        </w:rPr>
        <w:t>):</w:t>
      </w:r>
      <w:r w:rsidRPr="00AF632D">
        <w:rPr>
          <w:color w:val="000000"/>
          <w:lang w:val="lt-LT" w:eastAsia="sl-SI"/>
        </w:rPr>
        <w:t xml:space="preserve"> sunkus odos išbėrimas (</w:t>
      </w:r>
      <w:proofErr w:type="spellStart"/>
      <w:r w:rsidRPr="00AF632D">
        <w:rPr>
          <w:color w:val="000000"/>
          <w:lang w:val="lt-LT" w:eastAsia="sl-SI"/>
        </w:rPr>
        <w:t>eriteminis</w:t>
      </w:r>
      <w:proofErr w:type="spellEnd"/>
      <w:r w:rsidRPr="00AF632D">
        <w:rPr>
          <w:color w:val="000000"/>
          <w:lang w:val="lt-LT" w:eastAsia="sl-SI"/>
        </w:rPr>
        <w:t xml:space="preserve"> bėrimas), veido edema (paburkimas) ir </w:t>
      </w:r>
      <w:proofErr w:type="spellStart"/>
      <w:r w:rsidRPr="00AF632D">
        <w:rPr>
          <w:color w:val="000000"/>
          <w:lang w:val="lt-LT" w:eastAsia="sl-SI"/>
        </w:rPr>
        <w:t>angioneurozinė</w:t>
      </w:r>
      <w:proofErr w:type="spellEnd"/>
      <w:r w:rsidRPr="00AF632D">
        <w:rPr>
          <w:color w:val="000000"/>
          <w:lang w:val="lt-LT" w:eastAsia="sl-SI"/>
        </w:rPr>
        <w:t xml:space="preserve"> edema (veido, lūpų, liežuvio ir (arba) gerklės paburkimas, galintis sukelti rijimo ar kvėpavimo pasunkėjimą), kepenų uždegimas, odos ir akių baltymų pageltimas (gelta), kepenų nepakankamumas</w:t>
      </w:r>
      <w:r w:rsidR="00DE796A">
        <w:rPr>
          <w:color w:val="000000"/>
          <w:lang w:val="lt-LT" w:eastAsia="sl-SI"/>
        </w:rPr>
        <w:t xml:space="preserve"> (b</w:t>
      </w:r>
      <w:r w:rsidR="00DE796A" w:rsidRPr="00AF632D">
        <w:rPr>
          <w:color w:val="000000"/>
          <w:lang w:val="lt-LT" w:eastAsia="sl-SI"/>
        </w:rPr>
        <w:t>uvo pranešta apie kelis atvejus, pasibaigusius kepenų persodinimu arba mirtimi</w:t>
      </w:r>
      <w:r w:rsidR="00DE796A">
        <w:rPr>
          <w:color w:val="000000"/>
          <w:lang w:val="lt-LT" w:eastAsia="sl-SI"/>
        </w:rPr>
        <w:t>)</w:t>
      </w:r>
      <w:r w:rsidRPr="00AF632D">
        <w:rPr>
          <w:color w:val="000000"/>
          <w:lang w:val="lt-LT" w:eastAsia="sl-SI"/>
        </w:rPr>
        <w:t>, haliucinacijos, negalėjimas ramiai pabūti (dėl fizinio ir psichinio neramumo), negalėjimas visiškai ištuštinti šlapimo pūslę.</w:t>
      </w:r>
    </w:p>
    <w:p w14:paraId="65626B03" w14:textId="77777777" w:rsidR="00EF1A5D" w:rsidRPr="00AF632D" w:rsidRDefault="00EF1A5D" w:rsidP="00EF1A5D">
      <w:pPr>
        <w:adjustRightInd w:val="0"/>
        <w:rPr>
          <w:color w:val="000000"/>
          <w:lang w:val="lt-LT" w:eastAsia="sl-SI"/>
        </w:rPr>
      </w:pPr>
    </w:p>
    <w:p w14:paraId="0BB02C9B" w14:textId="77777777" w:rsidR="00EF1A5D" w:rsidRPr="00AF632D" w:rsidRDefault="00EF1A5D" w:rsidP="00524CFE">
      <w:pPr>
        <w:keepNext/>
        <w:rPr>
          <w:b/>
          <w:lang w:val="lt-LT"/>
        </w:rPr>
      </w:pPr>
      <w:r w:rsidRPr="00AF632D">
        <w:rPr>
          <w:b/>
          <w:lang w:val="lt-LT"/>
        </w:rPr>
        <w:t>Pranešimas apie šalutinį poveikį</w:t>
      </w:r>
    </w:p>
    <w:p w14:paraId="00ABF9F9" w14:textId="79CD1B8B" w:rsidR="00EF1A5D" w:rsidRPr="00AF632D" w:rsidRDefault="00EF1A5D" w:rsidP="00EF1A5D">
      <w:pPr>
        <w:ind w:right="-449"/>
        <w:rPr>
          <w:lang w:val="lt-LT"/>
        </w:rPr>
      </w:pPr>
      <w:r w:rsidRPr="00AF632D">
        <w:rPr>
          <w:lang w:val="lt-LT"/>
        </w:rPr>
        <w:t xml:space="preserve">Jeigu pasireiškė šalutinis poveikis, įskaitant šiame lapelyje nenurodytą, pasakykite gydytojui arba vaistininkui. </w:t>
      </w:r>
      <w:bookmarkStart w:id="8" w:name="_Hlk98758632"/>
      <w:r w:rsidR="00470342" w:rsidRPr="00470342">
        <w:rPr>
          <w:color w:val="000000"/>
          <w:szCs w:val="18"/>
          <w:lang w:val="lt-LT"/>
        </w:rPr>
        <w:t xml:space="preserve">Pranešimą apie šalutinį poveikį galite užpildyti ir pateikti Valstybinės vaistų kontrolės tarnybos prie Lietuvos Respublikos sveikatos apsaugos ministerijos tinklalapyje </w:t>
      </w:r>
      <w:r w:rsidR="00470342" w:rsidRPr="00470342">
        <w:rPr>
          <w:color w:val="0000EE"/>
          <w:szCs w:val="18"/>
          <w:u w:val="single"/>
          <w:lang w:val="lt-LT"/>
        </w:rPr>
        <w:t>https://vvkt.lrv.lt/lt/</w:t>
      </w:r>
      <w:r w:rsidR="00470342" w:rsidRPr="00470342">
        <w:rPr>
          <w:color w:val="000000"/>
          <w:szCs w:val="18"/>
          <w:lang w:val="lt-LT"/>
        </w:rPr>
        <w:t xml:space="preserve"> nurodytais būdais arba paskambinti nemokamu telefonu 8 800 73 568. </w:t>
      </w:r>
      <w:bookmarkEnd w:id="8"/>
      <w:r w:rsidRPr="00AF632D">
        <w:rPr>
          <w:lang w:val="lt-LT"/>
        </w:rPr>
        <w:t>Pranešdami apie šalutinį poveikį galite mums padėti gauti daugiau informacijos apie šio vaisto saugumą.</w:t>
      </w:r>
    </w:p>
    <w:p w14:paraId="60A179C1" w14:textId="77777777" w:rsidR="00EF1A5D" w:rsidRPr="00AF632D" w:rsidRDefault="00EF1A5D" w:rsidP="00EF1A5D">
      <w:pPr>
        <w:adjustRightInd w:val="0"/>
        <w:rPr>
          <w:color w:val="000000"/>
          <w:lang w:val="lt-LT" w:eastAsia="sl-SI"/>
        </w:rPr>
      </w:pPr>
    </w:p>
    <w:p w14:paraId="2DC8D913" w14:textId="77777777" w:rsidR="00EF1A5D" w:rsidRPr="00AF632D" w:rsidRDefault="00EF1A5D" w:rsidP="00EF1A5D">
      <w:pPr>
        <w:adjustRightInd w:val="0"/>
        <w:rPr>
          <w:color w:val="000000"/>
          <w:lang w:val="lt-LT" w:eastAsia="sl-SI"/>
        </w:rPr>
      </w:pPr>
    </w:p>
    <w:p w14:paraId="0D3C8BCA" w14:textId="77777777" w:rsidR="00EF1A5D" w:rsidRPr="00AF632D" w:rsidRDefault="00EF1A5D" w:rsidP="00524CFE">
      <w:pPr>
        <w:keepNext/>
        <w:adjustRightInd w:val="0"/>
        <w:rPr>
          <w:color w:val="000000"/>
          <w:lang w:val="lt-LT" w:eastAsia="sl-SI"/>
        </w:rPr>
      </w:pPr>
      <w:r w:rsidRPr="00AF632D">
        <w:rPr>
          <w:b/>
          <w:bCs/>
          <w:color w:val="000000"/>
          <w:lang w:val="lt-LT" w:eastAsia="sl-SI"/>
        </w:rPr>
        <w:t>5.</w:t>
      </w:r>
      <w:r w:rsidRPr="00AF632D">
        <w:rPr>
          <w:b/>
          <w:bCs/>
          <w:color w:val="000000"/>
          <w:lang w:val="lt-LT" w:eastAsia="sl-SI"/>
        </w:rPr>
        <w:tab/>
        <w:t xml:space="preserve">Kaip laikyti </w:t>
      </w:r>
      <w:proofErr w:type="spellStart"/>
      <w:r w:rsidR="00DE796A">
        <w:rPr>
          <w:b/>
          <w:bCs/>
          <w:color w:val="000000"/>
          <w:lang w:val="lt-LT" w:eastAsia="sl-SI"/>
        </w:rPr>
        <w:t>Zilbea</w:t>
      </w:r>
      <w:proofErr w:type="spellEnd"/>
    </w:p>
    <w:p w14:paraId="66CB8EB6" w14:textId="77777777" w:rsidR="00EF1A5D" w:rsidRPr="00AF632D" w:rsidRDefault="00EF1A5D" w:rsidP="00524CFE">
      <w:pPr>
        <w:keepNext/>
        <w:adjustRightInd w:val="0"/>
        <w:rPr>
          <w:color w:val="000000"/>
          <w:lang w:val="lt-LT" w:eastAsia="sl-SI"/>
        </w:rPr>
      </w:pPr>
    </w:p>
    <w:p w14:paraId="2A2EBD27" w14:textId="77777777" w:rsidR="00EF1A5D" w:rsidRPr="00AF632D" w:rsidRDefault="00EF1A5D" w:rsidP="00EF1A5D">
      <w:pPr>
        <w:adjustRightInd w:val="0"/>
        <w:rPr>
          <w:color w:val="000000"/>
          <w:lang w:val="lt-LT" w:eastAsia="sl-SI"/>
        </w:rPr>
      </w:pPr>
      <w:r w:rsidRPr="00AF632D">
        <w:rPr>
          <w:color w:val="000000"/>
          <w:lang w:val="lt-LT" w:eastAsia="sl-SI"/>
        </w:rPr>
        <w:t>Šį vaistą laikykite vaikams nepastebimoje ir nepasiekiamoje vietoje.</w:t>
      </w:r>
    </w:p>
    <w:p w14:paraId="5E1B3D42" w14:textId="77777777" w:rsidR="00EF1A5D" w:rsidRPr="00AF632D" w:rsidRDefault="00EF1A5D" w:rsidP="00EF1A5D">
      <w:pPr>
        <w:adjustRightInd w:val="0"/>
        <w:rPr>
          <w:color w:val="000000"/>
          <w:lang w:val="lt-LT" w:eastAsia="sl-SI"/>
        </w:rPr>
      </w:pPr>
    </w:p>
    <w:p w14:paraId="560A00BD" w14:textId="77777777" w:rsidR="00EF1A5D" w:rsidRPr="00AF632D" w:rsidRDefault="00EF1A5D" w:rsidP="00EF1A5D">
      <w:pPr>
        <w:adjustRightInd w:val="0"/>
        <w:rPr>
          <w:color w:val="000000"/>
          <w:lang w:val="lt-LT" w:eastAsia="sl-SI"/>
        </w:rPr>
      </w:pPr>
      <w:r w:rsidRPr="00AF632D">
        <w:rPr>
          <w:color w:val="000000"/>
          <w:lang w:val="lt-LT" w:eastAsia="sl-SI"/>
        </w:rPr>
        <w:t>Ant dėžutės ir lizdinės plokštelės po „EXP“ nurodytam tinkamumo laikui pasibaigus, šio vaisto vartoti negalima. Vaistas tinkamas vartoti iki paskutinės nurodyto mėnesio dienos.</w:t>
      </w:r>
    </w:p>
    <w:p w14:paraId="58CB44DA" w14:textId="77777777" w:rsidR="00EF1A5D" w:rsidRPr="00AF632D" w:rsidRDefault="00EF1A5D" w:rsidP="00EF1A5D">
      <w:pPr>
        <w:adjustRightInd w:val="0"/>
        <w:rPr>
          <w:color w:val="000000"/>
          <w:lang w:val="lt-LT" w:eastAsia="sl-SI"/>
        </w:rPr>
      </w:pPr>
    </w:p>
    <w:p w14:paraId="091D3225" w14:textId="77777777" w:rsidR="00EF1A5D" w:rsidRPr="00AF632D" w:rsidRDefault="00EF1A5D" w:rsidP="00EF1A5D">
      <w:pPr>
        <w:rPr>
          <w:lang w:val="lt-LT"/>
        </w:rPr>
      </w:pPr>
      <w:r w:rsidRPr="00AF632D">
        <w:rPr>
          <w:lang w:val="lt-LT"/>
        </w:rPr>
        <w:t>Laikyti gamintojo pakuotėje, kad vaistas būtų apsaugotas nuo drėgmės. Šio vaisto laikymui specialių temperatūros sąlygų nereikalaujama.</w:t>
      </w:r>
    </w:p>
    <w:p w14:paraId="40196BD7" w14:textId="77777777" w:rsidR="00EF1A5D" w:rsidRPr="00AF632D" w:rsidRDefault="00EF1A5D" w:rsidP="00EF1A5D">
      <w:pPr>
        <w:adjustRightInd w:val="0"/>
        <w:rPr>
          <w:color w:val="000000"/>
          <w:lang w:val="lt-LT" w:eastAsia="sl-SI"/>
        </w:rPr>
      </w:pPr>
    </w:p>
    <w:p w14:paraId="2A4AEC00" w14:textId="77777777" w:rsidR="00EF1A5D" w:rsidRPr="00AF632D" w:rsidRDefault="00EF1A5D" w:rsidP="00EF1A5D">
      <w:pPr>
        <w:adjustRightInd w:val="0"/>
        <w:rPr>
          <w:color w:val="000000"/>
          <w:lang w:val="lt-LT" w:eastAsia="sl-SI"/>
        </w:rPr>
      </w:pPr>
      <w:r w:rsidRPr="00AF632D">
        <w:rPr>
          <w:color w:val="000000"/>
          <w:lang w:val="lt-LT" w:eastAsia="sl-SI"/>
        </w:rPr>
        <w:t>Vaistų negalima išmesti į kanalizaciją arba su buitinėmis atliekomis. Kaip išmesti nereikalingus vaistus, klauskite vaistininko. Šios priemonės padės apsaugoti aplinką.</w:t>
      </w:r>
    </w:p>
    <w:p w14:paraId="174C8E20" w14:textId="77777777" w:rsidR="00EF1A5D" w:rsidRPr="00AF632D" w:rsidRDefault="00EF1A5D" w:rsidP="00EF1A5D">
      <w:pPr>
        <w:adjustRightInd w:val="0"/>
        <w:rPr>
          <w:b/>
          <w:bCs/>
          <w:color w:val="000000"/>
          <w:lang w:val="lt-LT" w:eastAsia="sl-SI"/>
        </w:rPr>
      </w:pPr>
    </w:p>
    <w:p w14:paraId="6EF51818" w14:textId="77777777" w:rsidR="00EF1A5D" w:rsidRPr="00AF632D" w:rsidRDefault="00EF1A5D" w:rsidP="00EF1A5D">
      <w:pPr>
        <w:adjustRightInd w:val="0"/>
        <w:rPr>
          <w:b/>
          <w:bCs/>
          <w:color w:val="000000"/>
          <w:lang w:val="lt-LT" w:eastAsia="sl-SI"/>
        </w:rPr>
      </w:pPr>
    </w:p>
    <w:p w14:paraId="4BAA52F2" w14:textId="77777777" w:rsidR="00EF1A5D" w:rsidRPr="00AF632D" w:rsidRDefault="00EF1A5D" w:rsidP="00524CFE">
      <w:pPr>
        <w:keepNext/>
        <w:adjustRightInd w:val="0"/>
        <w:rPr>
          <w:color w:val="000000"/>
          <w:lang w:val="lt-LT" w:eastAsia="sl-SI"/>
        </w:rPr>
      </w:pPr>
      <w:r w:rsidRPr="00AF632D">
        <w:rPr>
          <w:b/>
          <w:bCs/>
          <w:color w:val="000000"/>
          <w:lang w:val="lt-LT" w:eastAsia="sl-SI"/>
        </w:rPr>
        <w:t>6.</w:t>
      </w:r>
      <w:r w:rsidRPr="00AF632D">
        <w:rPr>
          <w:b/>
          <w:bCs/>
          <w:color w:val="000000"/>
          <w:lang w:val="lt-LT" w:eastAsia="sl-SI"/>
        </w:rPr>
        <w:tab/>
        <w:t>Pakuotės turinys ir kita informacija</w:t>
      </w:r>
    </w:p>
    <w:p w14:paraId="603CDC10" w14:textId="77777777" w:rsidR="00EF1A5D" w:rsidRPr="00AF632D" w:rsidRDefault="00EF1A5D" w:rsidP="00524CFE">
      <w:pPr>
        <w:keepNext/>
        <w:adjustRightInd w:val="0"/>
        <w:rPr>
          <w:b/>
          <w:bCs/>
          <w:color w:val="000000"/>
          <w:lang w:val="lt-LT" w:eastAsia="sl-SI"/>
        </w:rPr>
      </w:pPr>
    </w:p>
    <w:p w14:paraId="19D33CF6" w14:textId="77777777" w:rsidR="00EF1A5D" w:rsidRPr="00AF632D" w:rsidRDefault="00DE796A" w:rsidP="00524CFE">
      <w:pPr>
        <w:keepNext/>
        <w:adjustRightInd w:val="0"/>
        <w:rPr>
          <w:color w:val="000000"/>
          <w:lang w:val="lt-LT" w:eastAsia="sl-SI"/>
        </w:rPr>
      </w:pPr>
      <w:proofErr w:type="spellStart"/>
      <w:r>
        <w:rPr>
          <w:b/>
          <w:bCs/>
          <w:color w:val="000000"/>
          <w:lang w:val="lt-LT" w:eastAsia="sl-SI"/>
        </w:rPr>
        <w:t>Zilbea</w:t>
      </w:r>
      <w:proofErr w:type="spellEnd"/>
      <w:r w:rsidR="00EF1A5D" w:rsidRPr="00AF632D">
        <w:rPr>
          <w:b/>
          <w:bCs/>
          <w:color w:val="000000"/>
          <w:lang w:val="lt-LT" w:eastAsia="sl-SI"/>
        </w:rPr>
        <w:t xml:space="preserve"> sudėtis</w:t>
      </w:r>
    </w:p>
    <w:p w14:paraId="57D67977" w14:textId="206523D8" w:rsidR="00260171" w:rsidRDefault="00EF1A5D" w:rsidP="00260171">
      <w:pPr>
        <w:widowControl/>
        <w:numPr>
          <w:ilvl w:val="0"/>
          <w:numId w:val="11"/>
        </w:numPr>
        <w:adjustRightInd w:val="0"/>
        <w:ind w:left="567" w:hanging="567"/>
        <w:rPr>
          <w:color w:val="000000"/>
          <w:lang w:val="lt-LT" w:eastAsia="sl-SI"/>
        </w:rPr>
      </w:pPr>
      <w:r w:rsidRPr="00DE796A">
        <w:rPr>
          <w:color w:val="000000"/>
          <w:lang w:val="lt-LT" w:eastAsia="sl-SI"/>
        </w:rPr>
        <w:t xml:space="preserve">Veiklioji medžiaga yra </w:t>
      </w:r>
      <w:proofErr w:type="spellStart"/>
      <w:r w:rsidRPr="00DE796A">
        <w:rPr>
          <w:color w:val="000000"/>
          <w:lang w:val="lt-LT" w:eastAsia="sl-SI"/>
        </w:rPr>
        <w:t>agomelatinas</w:t>
      </w:r>
      <w:proofErr w:type="spellEnd"/>
      <w:r w:rsidRPr="00DE796A">
        <w:rPr>
          <w:color w:val="000000"/>
          <w:lang w:val="lt-LT" w:eastAsia="sl-SI"/>
        </w:rPr>
        <w:t xml:space="preserve">. Kiekvienoje plėvele dengtoje tabletėje yra </w:t>
      </w:r>
      <w:r w:rsidR="00DE796A" w:rsidRPr="003F6BC7">
        <w:rPr>
          <w:lang w:val="lt-LT"/>
        </w:rPr>
        <w:t>44,74</w:t>
      </w:r>
      <w:r w:rsidR="00F510F9">
        <w:rPr>
          <w:lang w:val="lt-LT"/>
        </w:rPr>
        <w:t> </w:t>
      </w:r>
      <w:r w:rsidR="00DE796A" w:rsidRPr="003F6BC7">
        <w:rPr>
          <w:lang w:val="lt-LT"/>
        </w:rPr>
        <w:t xml:space="preserve">mg </w:t>
      </w:r>
      <w:proofErr w:type="spellStart"/>
      <w:r w:rsidR="00DE796A" w:rsidRPr="003F6BC7">
        <w:rPr>
          <w:lang w:val="lt-LT"/>
        </w:rPr>
        <w:t>agomelatino</w:t>
      </w:r>
      <w:proofErr w:type="spellEnd"/>
      <w:r w:rsidR="00DE796A" w:rsidRPr="003F6BC7">
        <w:rPr>
          <w:lang w:val="lt-LT"/>
        </w:rPr>
        <w:t xml:space="preserve"> citrinų rūgšties </w:t>
      </w:r>
      <w:proofErr w:type="spellStart"/>
      <w:r w:rsidR="00E060E0">
        <w:rPr>
          <w:lang w:val="lt-LT"/>
        </w:rPr>
        <w:t>ko</w:t>
      </w:r>
      <w:r w:rsidR="00DE796A" w:rsidRPr="003F6BC7">
        <w:rPr>
          <w:lang w:val="lt-LT"/>
        </w:rPr>
        <w:t>kristalų</w:t>
      </w:r>
      <w:proofErr w:type="spellEnd"/>
      <w:r w:rsidR="00DE796A" w:rsidRPr="003F6BC7">
        <w:rPr>
          <w:lang w:val="lt-LT"/>
        </w:rPr>
        <w:t>, atitinkančių 25</w:t>
      </w:r>
      <w:r w:rsidR="00F510F9">
        <w:rPr>
          <w:lang w:val="lt-LT"/>
        </w:rPr>
        <w:t> </w:t>
      </w:r>
      <w:r w:rsidR="00DE796A" w:rsidRPr="003F6BC7">
        <w:rPr>
          <w:lang w:val="lt-LT"/>
        </w:rPr>
        <w:t xml:space="preserve">mg </w:t>
      </w:r>
      <w:proofErr w:type="spellStart"/>
      <w:r w:rsidR="00DE796A" w:rsidRPr="003F6BC7">
        <w:rPr>
          <w:lang w:val="lt-LT"/>
        </w:rPr>
        <w:t>agomelatino</w:t>
      </w:r>
      <w:proofErr w:type="spellEnd"/>
      <w:r w:rsidR="00DE796A">
        <w:rPr>
          <w:color w:val="000000"/>
          <w:lang w:val="lt-LT" w:eastAsia="sl-SI"/>
        </w:rPr>
        <w:t>.</w:t>
      </w:r>
    </w:p>
    <w:p w14:paraId="59FEAABD" w14:textId="662151DF" w:rsidR="00EF1A5D" w:rsidRPr="00260171" w:rsidRDefault="00EF1A5D" w:rsidP="00260171">
      <w:pPr>
        <w:widowControl/>
        <w:numPr>
          <w:ilvl w:val="0"/>
          <w:numId w:val="11"/>
        </w:numPr>
        <w:adjustRightInd w:val="0"/>
        <w:ind w:left="567" w:hanging="567"/>
        <w:rPr>
          <w:color w:val="000000"/>
          <w:lang w:val="lt-LT" w:eastAsia="sl-SI"/>
        </w:rPr>
      </w:pPr>
      <w:r w:rsidRPr="00260171">
        <w:rPr>
          <w:color w:val="000000"/>
          <w:lang w:val="lt-LT" w:eastAsia="sl-SI"/>
        </w:rPr>
        <w:t xml:space="preserve">Pagalbinės medžiagos yra </w:t>
      </w:r>
      <w:proofErr w:type="spellStart"/>
      <w:r w:rsidR="00922D1F" w:rsidRPr="00260171">
        <w:rPr>
          <w:color w:val="000000"/>
          <w:lang w:val="lt-LT" w:eastAsia="sl-SI"/>
        </w:rPr>
        <w:t>s</w:t>
      </w:r>
      <w:r w:rsidR="00922D1F" w:rsidRPr="00260171">
        <w:rPr>
          <w:color w:val="000000" w:themeColor="text1"/>
          <w:lang w:val="lt-LT"/>
        </w:rPr>
        <w:t>ilicinta</w:t>
      </w:r>
      <w:proofErr w:type="spellEnd"/>
      <w:r w:rsidR="00922D1F" w:rsidRPr="00260171">
        <w:rPr>
          <w:color w:val="000000" w:themeColor="text1"/>
          <w:lang w:val="lt-LT"/>
        </w:rPr>
        <w:t xml:space="preserve"> </w:t>
      </w:r>
      <w:proofErr w:type="spellStart"/>
      <w:r w:rsidR="00922D1F" w:rsidRPr="00260171">
        <w:rPr>
          <w:color w:val="000000" w:themeColor="text1"/>
          <w:lang w:val="lt-LT"/>
        </w:rPr>
        <w:t>mikrokristalinė</w:t>
      </w:r>
      <w:proofErr w:type="spellEnd"/>
      <w:r w:rsidR="00922D1F" w:rsidRPr="00260171">
        <w:rPr>
          <w:color w:val="000000" w:themeColor="text1"/>
          <w:lang w:val="lt-LT"/>
        </w:rPr>
        <w:t xml:space="preserve"> celiuliozė, </w:t>
      </w:r>
      <w:proofErr w:type="spellStart"/>
      <w:r w:rsidR="00922D1F" w:rsidRPr="00260171">
        <w:rPr>
          <w:color w:val="000000" w:themeColor="text1"/>
          <w:lang w:val="lt-LT"/>
        </w:rPr>
        <w:t>m</w:t>
      </w:r>
      <w:r w:rsidR="00922D1F" w:rsidRPr="00260171">
        <w:rPr>
          <w:lang w:val="lt-LT"/>
        </w:rPr>
        <w:t>anitolis</w:t>
      </w:r>
      <w:proofErr w:type="spellEnd"/>
      <w:r w:rsidR="00922D1F" w:rsidRPr="00260171">
        <w:rPr>
          <w:lang w:val="lt-LT"/>
        </w:rPr>
        <w:t xml:space="preserve">, </w:t>
      </w:r>
      <w:proofErr w:type="spellStart"/>
      <w:r w:rsidR="00922D1F" w:rsidRPr="00260171">
        <w:rPr>
          <w:lang w:val="lt-LT"/>
        </w:rPr>
        <w:t>povidonas</w:t>
      </w:r>
      <w:proofErr w:type="spellEnd"/>
      <w:r w:rsidR="00922D1F" w:rsidRPr="00260171">
        <w:rPr>
          <w:lang w:val="lt-LT"/>
        </w:rPr>
        <w:t xml:space="preserve">, koloidinis bevandenis silicio dioksidas, </w:t>
      </w:r>
      <w:proofErr w:type="spellStart"/>
      <w:r w:rsidR="00922D1F" w:rsidRPr="00260171">
        <w:rPr>
          <w:lang w:val="lt-LT"/>
        </w:rPr>
        <w:t>krospovidonas</w:t>
      </w:r>
      <w:proofErr w:type="spellEnd"/>
      <w:r w:rsidR="00922D1F" w:rsidRPr="00260171">
        <w:rPr>
          <w:lang w:val="lt-LT"/>
        </w:rPr>
        <w:t xml:space="preserve">, natrio </w:t>
      </w:r>
      <w:proofErr w:type="spellStart"/>
      <w:r w:rsidR="00922D1F" w:rsidRPr="00260171">
        <w:rPr>
          <w:lang w:val="lt-LT"/>
        </w:rPr>
        <w:t>stearilfumaratas</w:t>
      </w:r>
      <w:proofErr w:type="spellEnd"/>
      <w:r w:rsidR="00922D1F" w:rsidRPr="00260171">
        <w:rPr>
          <w:lang w:val="lt-LT"/>
        </w:rPr>
        <w:t xml:space="preserve">, magnio </w:t>
      </w:r>
      <w:proofErr w:type="spellStart"/>
      <w:r w:rsidR="00922D1F" w:rsidRPr="00260171">
        <w:rPr>
          <w:lang w:val="lt-LT"/>
        </w:rPr>
        <w:t>stearatas</w:t>
      </w:r>
      <w:proofErr w:type="spellEnd"/>
      <w:r w:rsidR="00922D1F" w:rsidRPr="00260171">
        <w:rPr>
          <w:lang w:val="lt-LT"/>
        </w:rPr>
        <w:t xml:space="preserve">, stearino rūgštis, </w:t>
      </w:r>
      <w:proofErr w:type="spellStart"/>
      <w:r w:rsidR="00922D1F" w:rsidRPr="00260171">
        <w:rPr>
          <w:lang w:val="lt-LT"/>
        </w:rPr>
        <w:t>hipromeliozė</w:t>
      </w:r>
      <w:proofErr w:type="spellEnd"/>
      <w:r w:rsidR="00922D1F" w:rsidRPr="00260171">
        <w:rPr>
          <w:lang w:val="lt-LT"/>
        </w:rPr>
        <w:t xml:space="preserve">, </w:t>
      </w:r>
      <w:proofErr w:type="spellStart"/>
      <w:r w:rsidR="00922D1F" w:rsidRPr="00260171">
        <w:rPr>
          <w:lang w:val="lt-LT"/>
        </w:rPr>
        <w:t>makrogolis</w:t>
      </w:r>
      <w:proofErr w:type="spellEnd"/>
      <w:r w:rsidR="00922D1F" w:rsidRPr="00260171">
        <w:rPr>
          <w:lang w:val="lt-LT"/>
        </w:rPr>
        <w:t>, titano dioksidas (E</w:t>
      </w:r>
      <w:r w:rsidR="00CD20E7">
        <w:rPr>
          <w:lang w:val="lt-LT"/>
        </w:rPr>
        <w:t> </w:t>
      </w:r>
      <w:r w:rsidR="00922D1F" w:rsidRPr="00260171">
        <w:rPr>
          <w:lang w:val="lt-LT"/>
        </w:rPr>
        <w:t>171), talkas, geltonasis geležies oksidas (E</w:t>
      </w:r>
      <w:r w:rsidR="00CD20E7">
        <w:rPr>
          <w:lang w:val="lt-LT"/>
        </w:rPr>
        <w:t> </w:t>
      </w:r>
      <w:r w:rsidR="00922D1F" w:rsidRPr="00260171">
        <w:rPr>
          <w:lang w:val="lt-LT"/>
        </w:rPr>
        <w:t>172).</w:t>
      </w:r>
    </w:p>
    <w:p w14:paraId="19E8ECB4" w14:textId="77777777" w:rsidR="00922D1F" w:rsidRPr="00AF632D" w:rsidRDefault="00922D1F" w:rsidP="00922D1F">
      <w:pPr>
        <w:tabs>
          <w:tab w:val="left" w:pos="782"/>
        </w:tabs>
        <w:ind w:right="113"/>
        <w:rPr>
          <w:color w:val="000000"/>
          <w:lang w:val="lt-LT" w:eastAsia="sl-SI"/>
        </w:rPr>
      </w:pPr>
    </w:p>
    <w:p w14:paraId="17CD7947" w14:textId="77777777" w:rsidR="00EF1A5D" w:rsidRPr="00AF632D" w:rsidRDefault="00922D1F" w:rsidP="00524CFE">
      <w:pPr>
        <w:keepNext/>
        <w:adjustRightInd w:val="0"/>
        <w:rPr>
          <w:color w:val="000000"/>
          <w:lang w:val="lt-LT" w:eastAsia="sl-SI"/>
        </w:rPr>
      </w:pPr>
      <w:proofErr w:type="spellStart"/>
      <w:r>
        <w:rPr>
          <w:b/>
          <w:bCs/>
          <w:color w:val="000000"/>
          <w:lang w:val="lt-LT" w:eastAsia="sl-SI"/>
        </w:rPr>
        <w:t>Zilbea</w:t>
      </w:r>
      <w:proofErr w:type="spellEnd"/>
      <w:r w:rsidR="00EF1A5D" w:rsidRPr="00AF632D">
        <w:rPr>
          <w:b/>
          <w:bCs/>
          <w:color w:val="000000"/>
          <w:lang w:val="lt-LT" w:eastAsia="sl-SI"/>
        </w:rPr>
        <w:t xml:space="preserve"> išvaizda ir kiekis pakuotėje</w:t>
      </w:r>
    </w:p>
    <w:p w14:paraId="40B26200" w14:textId="60140B6B" w:rsidR="00EF1A5D" w:rsidRPr="00AF632D" w:rsidRDefault="00922D1F" w:rsidP="00EF1A5D">
      <w:pPr>
        <w:rPr>
          <w:lang w:val="lt-LT"/>
        </w:rPr>
      </w:pPr>
      <w:proofErr w:type="spellStart"/>
      <w:r>
        <w:rPr>
          <w:lang w:val="lt-LT"/>
        </w:rPr>
        <w:t>Zilbea</w:t>
      </w:r>
      <w:proofErr w:type="spellEnd"/>
      <w:r w:rsidR="00EF1A5D" w:rsidRPr="00AF632D">
        <w:rPr>
          <w:lang w:val="lt-LT"/>
        </w:rPr>
        <w:t xml:space="preserve"> 25</w:t>
      </w:r>
      <w:r w:rsidR="00CD20E7">
        <w:rPr>
          <w:lang w:val="lt-LT"/>
        </w:rPr>
        <w:t> </w:t>
      </w:r>
      <w:r w:rsidR="00EF1A5D" w:rsidRPr="00AF632D">
        <w:rPr>
          <w:lang w:val="lt-LT"/>
        </w:rPr>
        <w:t>mg plėvele dengtos tabletės yra geltonos, pailgos, abipus išgaubtos, 9</w:t>
      </w:r>
      <w:r w:rsidR="00CD20E7">
        <w:rPr>
          <w:lang w:val="lt-LT"/>
        </w:rPr>
        <w:t> </w:t>
      </w:r>
      <w:r w:rsidR="00A56B20">
        <w:rPr>
          <w:lang w:val="lt-LT"/>
        </w:rPr>
        <w:t xml:space="preserve">mm ilgio ir </w:t>
      </w:r>
      <w:r w:rsidR="00EF1A5D" w:rsidRPr="00AF632D">
        <w:rPr>
          <w:lang w:val="lt-LT"/>
        </w:rPr>
        <w:t>4,5</w:t>
      </w:r>
      <w:r w:rsidR="00CD20E7">
        <w:rPr>
          <w:lang w:val="lt-LT"/>
        </w:rPr>
        <w:t> </w:t>
      </w:r>
      <w:r w:rsidR="00EF1A5D" w:rsidRPr="00AF632D">
        <w:rPr>
          <w:lang w:val="lt-LT"/>
        </w:rPr>
        <w:t xml:space="preserve">mm </w:t>
      </w:r>
      <w:r w:rsidR="00A56B20">
        <w:rPr>
          <w:lang w:val="lt-LT"/>
        </w:rPr>
        <w:t xml:space="preserve">pločio </w:t>
      </w:r>
      <w:r w:rsidR="00EF1A5D" w:rsidRPr="00AF632D">
        <w:rPr>
          <w:lang w:val="lt-LT"/>
        </w:rPr>
        <w:t>plėvele dengtos tabletės.</w:t>
      </w:r>
    </w:p>
    <w:p w14:paraId="16665F3D" w14:textId="77777777" w:rsidR="00EF1A5D" w:rsidRPr="00AF632D" w:rsidRDefault="00EF1A5D" w:rsidP="00EF1A5D">
      <w:pPr>
        <w:rPr>
          <w:lang w:val="lt-LT"/>
        </w:rPr>
      </w:pPr>
    </w:p>
    <w:p w14:paraId="70605457" w14:textId="1C86ADB1" w:rsidR="00EF1A5D" w:rsidRDefault="00922D1F" w:rsidP="00EF1A5D">
      <w:pPr>
        <w:rPr>
          <w:lang w:val="lt-LT"/>
        </w:rPr>
      </w:pPr>
      <w:proofErr w:type="spellStart"/>
      <w:r>
        <w:rPr>
          <w:lang w:val="lt-LT"/>
        </w:rPr>
        <w:t>Zilbea</w:t>
      </w:r>
      <w:proofErr w:type="spellEnd"/>
      <w:r w:rsidR="00EF1A5D" w:rsidRPr="00AF632D">
        <w:rPr>
          <w:lang w:val="lt-LT"/>
        </w:rPr>
        <w:t xml:space="preserve"> 25</w:t>
      </w:r>
      <w:r w:rsidR="00CD20E7">
        <w:rPr>
          <w:lang w:val="lt-LT"/>
        </w:rPr>
        <w:t> </w:t>
      </w:r>
      <w:r w:rsidR="00EF1A5D" w:rsidRPr="00AF632D">
        <w:rPr>
          <w:lang w:val="lt-LT"/>
        </w:rPr>
        <w:t>mg plėvele dengtos tabletės tiekiamos lizdinėse plokštelėse. Pakuotėje yra 28</w:t>
      </w:r>
      <w:r w:rsidR="000D1AAD">
        <w:rPr>
          <w:lang w:val="lt-LT"/>
        </w:rPr>
        <w:t>, 56,</w:t>
      </w:r>
      <w:r w:rsidR="00EF1A5D" w:rsidRPr="00AF632D">
        <w:rPr>
          <w:lang w:val="lt-LT"/>
        </w:rPr>
        <w:t xml:space="preserve"> 84</w:t>
      </w:r>
      <w:r w:rsidR="000D1AAD">
        <w:rPr>
          <w:lang w:val="lt-LT"/>
        </w:rPr>
        <w:t xml:space="preserve"> arba 98</w:t>
      </w:r>
      <w:r w:rsidR="00EF1A5D" w:rsidRPr="00AF632D">
        <w:rPr>
          <w:lang w:val="lt-LT"/>
        </w:rPr>
        <w:t xml:space="preserve"> </w:t>
      </w:r>
      <w:r>
        <w:rPr>
          <w:lang w:val="lt-LT"/>
        </w:rPr>
        <w:t xml:space="preserve">plėvele dengtos </w:t>
      </w:r>
      <w:r w:rsidR="00EF1A5D" w:rsidRPr="00AF632D">
        <w:rPr>
          <w:lang w:val="lt-LT"/>
        </w:rPr>
        <w:t>tabletės.</w:t>
      </w:r>
    </w:p>
    <w:p w14:paraId="3A907BC0" w14:textId="77777777" w:rsidR="00922D1F" w:rsidRPr="00AF632D" w:rsidRDefault="00922D1F" w:rsidP="00EF1A5D">
      <w:pPr>
        <w:rPr>
          <w:lang w:val="lt-LT"/>
        </w:rPr>
      </w:pPr>
    </w:p>
    <w:p w14:paraId="53E84F30" w14:textId="77777777" w:rsidR="00EF1A5D" w:rsidRPr="00AF632D" w:rsidRDefault="00EF1A5D" w:rsidP="00EF1A5D">
      <w:pPr>
        <w:rPr>
          <w:lang w:val="lt-LT"/>
        </w:rPr>
      </w:pPr>
      <w:r w:rsidRPr="00AF632D">
        <w:rPr>
          <w:lang w:val="lt-LT"/>
        </w:rPr>
        <w:t>Gali būti tiekiamos ne visų dydžių pakuotės.</w:t>
      </w:r>
    </w:p>
    <w:p w14:paraId="1232C77F" w14:textId="77777777" w:rsidR="00EF1A5D" w:rsidRPr="00AF632D" w:rsidRDefault="00EF1A5D" w:rsidP="00EF1A5D">
      <w:pPr>
        <w:adjustRightInd w:val="0"/>
        <w:rPr>
          <w:color w:val="000000"/>
          <w:lang w:val="lt-LT" w:eastAsia="sl-SI"/>
        </w:rPr>
      </w:pPr>
    </w:p>
    <w:p w14:paraId="411C0B8F" w14:textId="77777777" w:rsidR="00EF1A5D" w:rsidRPr="00AF632D" w:rsidRDefault="00EF1A5D" w:rsidP="00524CFE">
      <w:pPr>
        <w:keepNext/>
        <w:adjustRightInd w:val="0"/>
        <w:rPr>
          <w:color w:val="000000"/>
          <w:lang w:val="lt-LT" w:eastAsia="sl-SI"/>
        </w:rPr>
      </w:pPr>
      <w:r w:rsidRPr="00AF632D">
        <w:rPr>
          <w:b/>
          <w:bCs/>
          <w:color w:val="000000"/>
          <w:lang w:val="lt-LT" w:eastAsia="sl-SI"/>
        </w:rPr>
        <w:lastRenderedPageBreak/>
        <w:t>Registruotojas ir gamintojas</w:t>
      </w:r>
    </w:p>
    <w:p w14:paraId="6BF43E2B" w14:textId="77777777" w:rsidR="00EF1A5D" w:rsidRPr="003F6BC7" w:rsidRDefault="00EF1A5D" w:rsidP="00524CFE">
      <w:pPr>
        <w:keepNext/>
        <w:rPr>
          <w:lang w:val="lt-LT"/>
        </w:rPr>
      </w:pPr>
      <w:proofErr w:type="spellStart"/>
      <w:r w:rsidRPr="003F6BC7">
        <w:rPr>
          <w:lang w:val="lt-LT"/>
        </w:rPr>
        <w:t>Zentiva</w:t>
      </w:r>
      <w:proofErr w:type="spellEnd"/>
      <w:r w:rsidRPr="003F6BC7">
        <w:rPr>
          <w:lang w:val="lt-LT"/>
        </w:rPr>
        <w:t xml:space="preserve">, </w:t>
      </w:r>
      <w:proofErr w:type="spellStart"/>
      <w:r w:rsidRPr="003F6BC7">
        <w:rPr>
          <w:lang w:val="lt-LT"/>
        </w:rPr>
        <w:t>k.s</w:t>
      </w:r>
      <w:proofErr w:type="spellEnd"/>
      <w:r w:rsidRPr="003F6BC7">
        <w:rPr>
          <w:lang w:val="lt-LT"/>
        </w:rPr>
        <w:t>.</w:t>
      </w:r>
    </w:p>
    <w:p w14:paraId="1401F3EE" w14:textId="77777777" w:rsidR="00EF1A5D" w:rsidRPr="003F6BC7" w:rsidRDefault="00EF1A5D" w:rsidP="00524CFE">
      <w:pPr>
        <w:keepNext/>
        <w:rPr>
          <w:lang w:val="lt-LT"/>
        </w:rPr>
      </w:pPr>
      <w:r w:rsidRPr="003F6BC7">
        <w:rPr>
          <w:lang w:val="lt-LT"/>
        </w:rPr>
        <w:t xml:space="preserve">U </w:t>
      </w:r>
      <w:proofErr w:type="spellStart"/>
      <w:r w:rsidRPr="003F6BC7">
        <w:rPr>
          <w:lang w:val="lt-LT"/>
        </w:rPr>
        <w:t>kabelovny</w:t>
      </w:r>
      <w:proofErr w:type="spellEnd"/>
      <w:r w:rsidRPr="003F6BC7">
        <w:rPr>
          <w:lang w:val="lt-LT"/>
        </w:rPr>
        <w:t xml:space="preserve"> 130</w:t>
      </w:r>
    </w:p>
    <w:p w14:paraId="29F7B220" w14:textId="77777777" w:rsidR="00EF1A5D" w:rsidRPr="003F6BC7" w:rsidRDefault="00EF1A5D" w:rsidP="00524CFE">
      <w:pPr>
        <w:keepNext/>
        <w:rPr>
          <w:lang w:val="lt-LT"/>
        </w:rPr>
      </w:pPr>
      <w:proofErr w:type="spellStart"/>
      <w:r w:rsidRPr="003F6BC7">
        <w:rPr>
          <w:lang w:val="lt-LT"/>
        </w:rPr>
        <w:t>Dolní</w:t>
      </w:r>
      <w:proofErr w:type="spellEnd"/>
      <w:r w:rsidRPr="003F6BC7">
        <w:rPr>
          <w:lang w:val="lt-LT"/>
        </w:rPr>
        <w:t xml:space="preserve"> </w:t>
      </w:r>
      <w:proofErr w:type="spellStart"/>
      <w:r w:rsidRPr="003F6BC7">
        <w:rPr>
          <w:lang w:val="lt-LT"/>
        </w:rPr>
        <w:t>Měcholupy</w:t>
      </w:r>
      <w:proofErr w:type="spellEnd"/>
    </w:p>
    <w:p w14:paraId="1E79461A" w14:textId="77777777" w:rsidR="00EF1A5D" w:rsidRPr="003F6BC7" w:rsidRDefault="00EF1A5D" w:rsidP="00524CFE">
      <w:pPr>
        <w:keepNext/>
        <w:rPr>
          <w:lang w:val="lt-LT"/>
        </w:rPr>
      </w:pPr>
      <w:r w:rsidRPr="003F6BC7">
        <w:rPr>
          <w:lang w:val="lt-LT"/>
        </w:rPr>
        <w:t>102 37 Praha 10</w:t>
      </w:r>
    </w:p>
    <w:p w14:paraId="2D830A12" w14:textId="77777777" w:rsidR="00EF1A5D" w:rsidRDefault="00EF1A5D" w:rsidP="00EF1A5D">
      <w:pPr>
        <w:numPr>
          <w:ilvl w:val="12"/>
          <w:numId w:val="0"/>
        </w:numPr>
        <w:ind w:right="-2"/>
        <w:rPr>
          <w:lang w:val="lt-LT"/>
        </w:rPr>
      </w:pPr>
      <w:r w:rsidRPr="003F6BC7">
        <w:rPr>
          <w:lang w:val="lt-LT"/>
        </w:rPr>
        <w:t>Čekija</w:t>
      </w:r>
    </w:p>
    <w:p w14:paraId="0C95C0D0" w14:textId="77777777" w:rsidR="0058664D" w:rsidRDefault="0058664D" w:rsidP="00EF1A5D">
      <w:pPr>
        <w:numPr>
          <w:ilvl w:val="12"/>
          <w:numId w:val="0"/>
        </w:numPr>
        <w:ind w:right="-2"/>
        <w:rPr>
          <w:b/>
          <w:lang w:val="lt-LT"/>
        </w:rPr>
      </w:pPr>
    </w:p>
    <w:p w14:paraId="2B729795" w14:textId="2C75E229" w:rsidR="00EF1A5D" w:rsidRPr="00AF632D" w:rsidRDefault="00EF1A5D" w:rsidP="00EF1A5D">
      <w:pPr>
        <w:numPr>
          <w:ilvl w:val="12"/>
          <w:numId w:val="0"/>
        </w:numPr>
        <w:ind w:right="-2"/>
        <w:rPr>
          <w:lang w:val="lt-LT"/>
        </w:rPr>
      </w:pPr>
      <w:r w:rsidRPr="00AF632D">
        <w:rPr>
          <w:b/>
          <w:lang w:val="lt-LT"/>
        </w:rPr>
        <w:t>Šis vaistas E</w:t>
      </w:r>
      <w:r w:rsidR="00DE22C1">
        <w:rPr>
          <w:b/>
          <w:lang w:val="lt-LT"/>
        </w:rPr>
        <w:t>uropos ekonominės erdvės</w:t>
      </w:r>
      <w:r w:rsidRPr="00AF632D">
        <w:rPr>
          <w:b/>
          <w:lang w:val="lt-LT"/>
        </w:rPr>
        <w:t xml:space="preserve"> valstybėse narėse registruotas tokiais pavadinimais</w:t>
      </w:r>
      <w:r w:rsidRPr="00AF632D">
        <w:rPr>
          <w:lang w:val="lt-LT"/>
        </w:rPr>
        <w:t>:</w:t>
      </w:r>
    </w:p>
    <w:p w14:paraId="662DE6B9" w14:textId="77777777" w:rsidR="00EF1A5D" w:rsidRPr="00AF632D" w:rsidRDefault="00EF1A5D" w:rsidP="00EF1A5D">
      <w:pPr>
        <w:numPr>
          <w:ilvl w:val="12"/>
          <w:numId w:val="0"/>
        </w:numPr>
        <w:ind w:right="-2"/>
        <w:rPr>
          <w:lang w:val="lt-LT"/>
        </w:rPr>
      </w:pPr>
    </w:p>
    <w:p w14:paraId="09F93EDF" w14:textId="040A801E" w:rsidR="00EF1A5D" w:rsidRDefault="00D738B0" w:rsidP="00EF1A5D">
      <w:pPr>
        <w:numPr>
          <w:ilvl w:val="12"/>
          <w:numId w:val="0"/>
        </w:numPr>
        <w:rPr>
          <w:lang w:val="lt-LT" w:eastAsia="lt-LT"/>
        </w:rPr>
      </w:pPr>
      <w:r>
        <w:rPr>
          <w:lang w:val="lt-LT" w:eastAsia="lt-LT"/>
        </w:rPr>
        <w:t xml:space="preserve">Čekija, Estija, Latvija, Lietuva – </w:t>
      </w:r>
      <w:proofErr w:type="spellStart"/>
      <w:r>
        <w:rPr>
          <w:lang w:val="lt-LT" w:eastAsia="lt-LT"/>
        </w:rPr>
        <w:t>Zilbea</w:t>
      </w:r>
      <w:proofErr w:type="spellEnd"/>
      <w:r>
        <w:rPr>
          <w:lang w:val="lt-LT" w:eastAsia="lt-LT"/>
        </w:rPr>
        <w:t xml:space="preserve">. </w:t>
      </w:r>
    </w:p>
    <w:p w14:paraId="39EDA78F" w14:textId="77777777" w:rsidR="00D738B0" w:rsidRPr="00D738B0" w:rsidRDefault="00D738B0" w:rsidP="00EF1A5D">
      <w:pPr>
        <w:numPr>
          <w:ilvl w:val="12"/>
          <w:numId w:val="0"/>
        </w:numPr>
        <w:rPr>
          <w:lang w:val="lt-LT" w:eastAsia="lt-LT"/>
        </w:rPr>
      </w:pPr>
    </w:p>
    <w:p w14:paraId="6D41FBC7" w14:textId="6AAD1CBC" w:rsidR="00EF1A5D" w:rsidRPr="00AF632D" w:rsidRDefault="00EF1A5D" w:rsidP="00EF1A5D">
      <w:pPr>
        <w:numPr>
          <w:ilvl w:val="12"/>
          <w:numId w:val="0"/>
        </w:numPr>
        <w:rPr>
          <w:b/>
          <w:bCs/>
          <w:lang w:val="lt-LT" w:eastAsia="lt-LT"/>
        </w:rPr>
      </w:pPr>
      <w:r w:rsidRPr="00AF632D">
        <w:rPr>
          <w:b/>
          <w:bCs/>
          <w:lang w:val="lt-LT" w:eastAsia="lt-LT"/>
        </w:rPr>
        <w:t>Šis pakuotės lapelis paskutinį kartą peržiūrėtas</w:t>
      </w:r>
      <w:r>
        <w:rPr>
          <w:b/>
          <w:bCs/>
          <w:lang w:val="lt-LT" w:eastAsia="lt-LT"/>
        </w:rPr>
        <w:t xml:space="preserve"> </w:t>
      </w:r>
      <w:r w:rsidR="00EF58EA">
        <w:rPr>
          <w:b/>
          <w:bCs/>
          <w:lang w:val="lt-LT" w:eastAsia="lt-LT"/>
        </w:rPr>
        <w:t>202</w:t>
      </w:r>
      <w:r w:rsidR="000579E9">
        <w:rPr>
          <w:b/>
          <w:bCs/>
          <w:lang w:val="lt-LT" w:eastAsia="lt-LT"/>
        </w:rPr>
        <w:t>4-10-31</w:t>
      </w:r>
      <w:r>
        <w:rPr>
          <w:b/>
          <w:bCs/>
          <w:lang w:val="lt-LT" w:eastAsia="lt-LT"/>
        </w:rPr>
        <w:t>.</w:t>
      </w:r>
    </w:p>
    <w:p w14:paraId="1764F18A" w14:textId="77777777" w:rsidR="00EF1A5D" w:rsidRPr="00AF632D" w:rsidRDefault="00EF1A5D" w:rsidP="00EF1A5D">
      <w:pPr>
        <w:ind w:left="567" w:hanging="567"/>
        <w:rPr>
          <w:lang w:val="lt-LT"/>
        </w:rPr>
      </w:pPr>
    </w:p>
    <w:p w14:paraId="072A8E45" w14:textId="725AE434" w:rsidR="005737AA" w:rsidRDefault="00EF1A5D" w:rsidP="00260171">
      <w:pPr>
        <w:numPr>
          <w:ilvl w:val="12"/>
          <w:numId w:val="0"/>
        </w:numPr>
        <w:ind w:right="-2"/>
        <w:rPr>
          <w:lang w:val="lt-LT"/>
        </w:rPr>
      </w:pPr>
      <w:r w:rsidRPr="00AF632D">
        <w:rPr>
          <w:lang w:val="lt-LT"/>
        </w:rPr>
        <w:t>Išsami informacija apie šį vaistą pateikiama Valstybinės vaistų kontrolės tarnybos prie Lietuvos Respublikos sveikatos apsaugos ministerijos tinklalapyje</w:t>
      </w:r>
      <w:r w:rsidRPr="00AF632D">
        <w:rPr>
          <w:i/>
          <w:lang w:val="lt-LT"/>
        </w:rPr>
        <w:t xml:space="preserve"> </w:t>
      </w:r>
      <w:bookmarkStart w:id="9" w:name="_Hlk174378907"/>
      <w:r w:rsidR="00470342" w:rsidRPr="00470342">
        <w:rPr>
          <w:rFonts w:eastAsia="SimSun"/>
          <w:color w:val="0000FF"/>
          <w:szCs w:val="20"/>
          <w:u w:val="single"/>
          <w:lang w:val="lt-LT"/>
        </w:rPr>
        <w:t>https://vvkt.lrv.lt/lt/</w:t>
      </w:r>
      <w:r w:rsidR="00470342" w:rsidRPr="00470342">
        <w:rPr>
          <w:szCs w:val="20"/>
          <w:lang w:val="lt-LT"/>
        </w:rPr>
        <w:t>.</w:t>
      </w:r>
      <w:bookmarkEnd w:id="9"/>
    </w:p>
    <w:p w14:paraId="24B8A45B" w14:textId="77777777" w:rsidR="005737AA" w:rsidRPr="00027E14" w:rsidRDefault="005737AA" w:rsidP="00260171">
      <w:pPr>
        <w:numPr>
          <w:ilvl w:val="12"/>
          <w:numId w:val="0"/>
        </w:numPr>
        <w:ind w:right="-2"/>
        <w:rPr>
          <w:lang w:val="lt-LT"/>
        </w:rPr>
      </w:pPr>
      <w:bookmarkStart w:id="10" w:name="_GoBack"/>
      <w:bookmarkEnd w:id="10"/>
    </w:p>
    <w:sectPr w:rsidR="005737AA" w:rsidRPr="00027E14" w:rsidSect="0058664D">
      <w:footerReference w:type="default" r:id="rId7"/>
      <w:type w:val="continuous"/>
      <w:pgSz w:w="11910"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3698" w14:textId="77777777" w:rsidR="00056709" w:rsidRDefault="00056709" w:rsidP="00C91BF1">
      <w:r>
        <w:separator/>
      </w:r>
    </w:p>
  </w:endnote>
  <w:endnote w:type="continuationSeparator" w:id="0">
    <w:p w14:paraId="162A578F" w14:textId="77777777" w:rsidR="00056709" w:rsidRDefault="00056709" w:rsidP="00C91BF1">
      <w:r>
        <w:continuationSeparator/>
      </w:r>
    </w:p>
  </w:endnote>
  <w:endnote w:type="continuationNotice" w:id="1">
    <w:p w14:paraId="1C4F5756" w14:textId="77777777" w:rsidR="00056709" w:rsidRDefault="00056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8D6C" w14:textId="352F9FA9" w:rsidR="00EE65CC" w:rsidRDefault="00EE65CC">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15E5" w14:textId="77777777" w:rsidR="00056709" w:rsidRDefault="00056709" w:rsidP="00C91BF1">
      <w:r>
        <w:separator/>
      </w:r>
    </w:p>
  </w:footnote>
  <w:footnote w:type="continuationSeparator" w:id="0">
    <w:p w14:paraId="2EEFC438" w14:textId="77777777" w:rsidR="00056709" w:rsidRDefault="00056709" w:rsidP="00C91BF1">
      <w:r>
        <w:continuationSeparator/>
      </w:r>
    </w:p>
  </w:footnote>
  <w:footnote w:type="continuationNotice" w:id="1">
    <w:p w14:paraId="31A11602" w14:textId="77777777" w:rsidR="00056709" w:rsidRDefault="000567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63232"/>
    <w:multiLevelType w:val="hybridMultilevel"/>
    <w:tmpl w:val="B97EC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FA3FF1"/>
    <w:multiLevelType w:val="hybridMultilevel"/>
    <w:tmpl w:val="A80076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99269F"/>
    <w:multiLevelType w:val="hybridMultilevel"/>
    <w:tmpl w:val="C418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81D35"/>
    <w:multiLevelType w:val="hybridMultilevel"/>
    <w:tmpl w:val="4B009B8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906606"/>
    <w:multiLevelType w:val="hybridMultilevel"/>
    <w:tmpl w:val="80BC1FA8"/>
    <w:lvl w:ilvl="0" w:tplc="FFFFFFFF">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17E64A5"/>
    <w:multiLevelType w:val="hybridMultilevel"/>
    <w:tmpl w:val="C5422E52"/>
    <w:lvl w:ilvl="0" w:tplc="5E427E8A">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74385F"/>
    <w:multiLevelType w:val="hybridMultilevel"/>
    <w:tmpl w:val="2CF2C68E"/>
    <w:lvl w:ilvl="0" w:tplc="03E47A94">
      <w:numFmt w:val="bullet"/>
      <w:lvlText w:val="-"/>
      <w:lvlJc w:val="left"/>
      <w:pPr>
        <w:ind w:left="720" w:hanging="360"/>
      </w:pPr>
      <w:rPr>
        <w:rFonts w:ascii="Times New Roman" w:hAnsi="Times New Roman" w:cs="Times New Roman" w:hint="default"/>
        <w:b w:val="0"/>
        <w:i w:val="0"/>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697759"/>
    <w:multiLevelType w:val="hybridMultilevel"/>
    <w:tmpl w:val="389A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85E22"/>
    <w:multiLevelType w:val="hybridMultilevel"/>
    <w:tmpl w:val="F800CB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B6096"/>
    <w:multiLevelType w:val="hybridMultilevel"/>
    <w:tmpl w:val="5962915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EB1834"/>
    <w:multiLevelType w:val="hybridMultilevel"/>
    <w:tmpl w:val="5D5AA6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D837E3"/>
    <w:multiLevelType w:val="hybridMultilevel"/>
    <w:tmpl w:val="754686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18"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0"/>
  </w:num>
  <w:num w:numId="4">
    <w:abstractNumId w:val="11"/>
  </w:num>
  <w:num w:numId="5">
    <w:abstractNumId w:val="12"/>
  </w:num>
  <w:num w:numId="6">
    <w:abstractNumId w:val="16"/>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8"/>
  </w:num>
  <w:num w:numId="12">
    <w:abstractNumId w:val="5"/>
  </w:num>
  <w:num w:numId="13">
    <w:abstractNumId w:val="0"/>
  </w:num>
  <w:num w:numId="14">
    <w:abstractNumId w:val="15"/>
  </w:num>
  <w:num w:numId="15">
    <w:abstractNumId w:val="1"/>
  </w:num>
  <w:num w:numId="16">
    <w:abstractNumId w:val="6"/>
  </w:num>
  <w:num w:numId="17">
    <w:abstractNumId w:val="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E8"/>
    <w:rsid w:val="00027E14"/>
    <w:rsid w:val="00052845"/>
    <w:rsid w:val="00056709"/>
    <w:rsid w:val="000579E9"/>
    <w:rsid w:val="00062F33"/>
    <w:rsid w:val="000A42DB"/>
    <w:rsid w:val="000B327C"/>
    <w:rsid w:val="000D0038"/>
    <w:rsid w:val="000D1AAD"/>
    <w:rsid w:val="000F31B0"/>
    <w:rsid w:val="0013139B"/>
    <w:rsid w:val="00151B1E"/>
    <w:rsid w:val="00166143"/>
    <w:rsid w:val="001778F4"/>
    <w:rsid w:val="001842B8"/>
    <w:rsid w:val="001D44C5"/>
    <w:rsid w:val="001E1537"/>
    <w:rsid w:val="001E7898"/>
    <w:rsid w:val="001F7EF3"/>
    <w:rsid w:val="002071E3"/>
    <w:rsid w:val="00227489"/>
    <w:rsid w:val="00227E03"/>
    <w:rsid w:val="00237766"/>
    <w:rsid w:val="00241B3F"/>
    <w:rsid w:val="00243B40"/>
    <w:rsid w:val="00260171"/>
    <w:rsid w:val="00262EA5"/>
    <w:rsid w:val="0026346E"/>
    <w:rsid w:val="00282FCF"/>
    <w:rsid w:val="002917D2"/>
    <w:rsid w:val="002A68E9"/>
    <w:rsid w:val="002D46E0"/>
    <w:rsid w:val="002F3F05"/>
    <w:rsid w:val="002F4C64"/>
    <w:rsid w:val="00332761"/>
    <w:rsid w:val="0034797C"/>
    <w:rsid w:val="003578E1"/>
    <w:rsid w:val="00366A52"/>
    <w:rsid w:val="00391CEE"/>
    <w:rsid w:val="00396E79"/>
    <w:rsid w:val="003A58D3"/>
    <w:rsid w:val="003A71DE"/>
    <w:rsid w:val="003C7DD5"/>
    <w:rsid w:val="003E7836"/>
    <w:rsid w:val="003F136B"/>
    <w:rsid w:val="003F6BC7"/>
    <w:rsid w:val="0041490C"/>
    <w:rsid w:val="004335D5"/>
    <w:rsid w:val="00433739"/>
    <w:rsid w:val="004538AD"/>
    <w:rsid w:val="00464860"/>
    <w:rsid w:val="00465AD8"/>
    <w:rsid w:val="00470342"/>
    <w:rsid w:val="004779D2"/>
    <w:rsid w:val="004B6992"/>
    <w:rsid w:val="004B6B19"/>
    <w:rsid w:val="00501B36"/>
    <w:rsid w:val="00522ED5"/>
    <w:rsid w:val="00524CFE"/>
    <w:rsid w:val="0054787F"/>
    <w:rsid w:val="005643FB"/>
    <w:rsid w:val="005736EB"/>
    <w:rsid w:val="005737AA"/>
    <w:rsid w:val="0058047A"/>
    <w:rsid w:val="0058664D"/>
    <w:rsid w:val="00590ABF"/>
    <w:rsid w:val="00594277"/>
    <w:rsid w:val="0059448E"/>
    <w:rsid w:val="005A19C2"/>
    <w:rsid w:val="005A1AA7"/>
    <w:rsid w:val="005B4522"/>
    <w:rsid w:val="005B4E23"/>
    <w:rsid w:val="005C4D93"/>
    <w:rsid w:val="005D2871"/>
    <w:rsid w:val="005D450D"/>
    <w:rsid w:val="0060085D"/>
    <w:rsid w:val="00600B60"/>
    <w:rsid w:val="00626E70"/>
    <w:rsid w:val="00666A92"/>
    <w:rsid w:val="00671FAC"/>
    <w:rsid w:val="0067310F"/>
    <w:rsid w:val="006A0099"/>
    <w:rsid w:val="006A6EEF"/>
    <w:rsid w:val="006B5252"/>
    <w:rsid w:val="006C0175"/>
    <w:rsid w:val="006F4823"/>
    <w:rsid w:val="00740111"/>
    <w:rsid w:val="0075197F"/>
    <w:rsid w:val="00763166"/>
    <w:rsid w:val="00797F4D"/>
    <w:rsid w:val="007A7E24"/>
    <w:rsid w:val="007D2854"/>
    <w:rsid w:val="008018A6"/>
    <w:rsid w:val="00843562"/>
    <w:rsid w:val="00844417"/>
    <w:rsid w:val="00874CD7"/>
    <w:rsid w:val="008913A1"/>
    <w:rsid w:val="00891990"/>
    <w:rsid w:val="00897D94"/>
    <w:rsid w:val="008B21E8"/>
    <w:rsid w:val="008C0D00"/>
    <w:rsid w:val="009003C8"/>
    <w:rsid w:val="0090581D"/>
    <w:rsid w:val="00912EA0"/>
    <w:rsid w:val="00922D1F"/>
    <w:rsid w:val="009456B9"/>
    <w:rsid w:val="00966197"/>
    <w:rsid w:val="009B4DB4"/>
    <w:rsid w:val="009C38E1"/>
    <w:rsid w:val="00A56B20"/>
    <w:rsid w:val="00A66951"/>
    <w:rsid w:val="00A96974"/>
    <w:rsid w:val="00B2043D"/>
    <w:rsid w:val="00B810F5"/>
    <w:rsid w:val="00BA1D0D"/>
    <w:rsid w:val="00BB1FFF"/>
    <w:rsid w:val="00BD291F"/>
    <w:rsid w:val="00BD5344"/>
    <w:rsid w:val="00BE2209"/>
    <w:rsid w:val="00C3012A"/>
    <w:rsid w:val="00C364D1"/>
    <w:rsid w:val="00C443D5"/>
    <w:rsid w:val="00C5553F"/>
    <w:rsid w:val="00C763A8"/>
    <w:rsid w:val="00C91BF1"/>
    <w:rsid w:val="00CA02FE"/>
    <w:rsid w:val="00CD20E7"/>
    <w:rsid w:val="00D221E3"/>
    <w:rsid w:val="00D3737C"/>
    <w:rsid w:val="00D45EB6"/>
    <w:rsid w:val="00D57D16"/>
    <w:rsid w:val="00D738B0"/>
    <w:rsid w:val="00DD2E51"/>
    <w:rsid w:val="00DE22C1"/>
    <w:rsid w:val="00DE796A"/>
    <w:rsid w:val="00E060E0"/>
    <w:rsid w:val="00E14FB5"/>
    <w:rsid w:val="00EA08EE"/>
    <w:rsid w:val="00EE65CC"/>
    <w:rsid w:val="00EE7D35"/>
    <w:rsid w:val="00EF1A5D"/>
    <w:rsid w:val="00EF58EA"/>
    <w:rsid w:val="00F06352"/>
    <w:rsid w:val="00F20D23"/>
    <w:rsid w:val="00F440E0"/>
    <w:rsid w:val="00F510F9"/>
    <w:rsid w:val="00F907C9"/>
    <w:rsid w:val="00F90F9E"/>
    <w:rsid w:val="00FA5548"/>
    <w:rsid w:val="00FB29EC"/>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0C2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1E8"/>
    <w:pPr>
      <w:widowControl w:val="0"/>
      <w:autoSpaceDE w:val="0"/>
      <w:autoSpaceDN w:val="0"/>
      <w:spacing w:after="0" w:line="240" w:lineRule="auto"/>
    </w:pPr>
    <w:rPr>
      <w:rFonts w:ascii="Times New Roman" w:eastAsia="Times New Roman" w:hAnsi="Times New Roman" w:cs="Times New Roman"/>
    </w:rPr>
  </w:style>
  <w:style w:type="paragraph" w:styleId="Antrat2">
    <w:name w:val="heading 2"/>
    <w:basedOn w:val="prastasis"/>
    <w:link w:val="Antrat2Diagrama"/>
    <w:uiPriority w:val="9"/>
    <w:unhideWhenUsed/>
    <w:qFormat/>
    <w:rsid w:val="008B21E8"/>
    <w:pPr>
      <w:ind w:left="882"/>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B21E8"/>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8B21E8"/>
  </w:style>
  <w:style w:type="character" w:customStyle="1" w:styleId="PagrindinistekstasDiagrama">
    <w:name w:val="Pagrindinis tekstas Diagrama"/>
    <w:basedOn w:val="Numatytasispastraiposriftas"/>
    <w:link w:val="Pagrindinistekstas"/>
    <w:uiPriority w:val="1"/>
    <w:rsid w:val="008B21E8"/>
    <w:rPr>
      <w:rFonts w:ascii="Times New Roman" w:eastAsia="Times New Roman" w:hAnsi="Times New Roman" w:cs="Times New Roman"/>
    </w:rPr>
  </w:style>
  <w:style w:type="paragraph" w:styleId="Sraopastraipa">
    <w:name w:val="List Paragraph"/>
    <w:basedOn w:val="prastasis"/>
    <w:uiPriority w:val="34"/>
    <w:qFormat/>
    <w:rsid w:val="008B21E8"/>
    <w:pPr>
      <w:ind w:left="720"/>
      <w:contextualSpacing/>
    </w:pPr>
  </w:style>
  <w:style w:type="paragraph" w:styleId="Debesliotekstas">
    <w:name w:val="Balloon Text"/>
    <w:basedOn w:val="prastasis"/>
    <w:link w:val="DebesliotekstasDiagrama"/>
    <w:uiPriority w:val="99"/>
    <w:semiHidden/>
    <w:unhideWhenUsed/>
    <w:rsid w:val="004335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35D5"/>
    <w:rPr>
      <w:rFonts w:ascii="Segoe UI" w:eastAsia="Times New Roman" w:hAnsi="Segoe UI" w:cs="Segoe UI"/>
      <w:sz w:val="18"/>
      <w:szCs w:val="18"/>
    </w:rPr>
  </w:style>
  <w:style w:type="character" w:styleId="Hipersaitas">
    <w:name w:val="Hyperlink"/>
    <w:basedOn w:val="Numatytasispastraiposriftas"/>
    <w:uiPriority w:val="99"/>
    <w:unhideWhenUsed/>
    <w:rsid w:val="003F6BC7"/>
    <w:rPr>
      <w:color w:val="0563C1" w:themeColor="hyperlink"/>
      <w:u w:val="single"/>
    </w:rPr>
  </w:style>
  <w:style w:type="paragraph" w:styleId="Antrats">
    <w:name w:val="header"/>
    <w:basedOn w:val="prastasis"/>
    <w:link w:val="AntratsDiagrama"/>
    <w:uiPriority w:val="99"/>
    <w:unhideWhenUsed/>
    <w:rsid w:val="00C91BF1"/>
    <w:pPr>
      <w:tabs>
        <w:tab w:val="center" w:pos="4680"/>
        <w:tab w:val="right" w:pos="9360"/>
      </w:tabs>
    </w:pPr>
  </w:style>
  <w:style w:type="character" w:customStyle="1" w:styleId="AntratsDiagrama">
    <w:name w:val="Antraštės Diagrama"/>
    <w:basedOn w:val="Numatytasispastraiposriftas"/>
    <w:link w:val="Antrats"/>
    <w:uiPriority w:val="99"/>
    <w:rsid w:val="00C91BF1"/>
    <w:rPr>
      <w:rFonts w:ascii="Times New Roman" w:eastAsia="Times New Roman" w:hAnsi="Times New Roman" w:cs="Times New Roman"/>
    </w:rPr>
  </w:style>
  <w:style w:type="paragraph" w:styleId="Porat">
    <w:name w:val="footer"/>
    <w:basedOn w:val="prastasis"/>
    <w:link w:val="PoratDiagrama"/>
    <w:uiPriority w:val="99"/>
    <w:unhideWhenUsed/>
    <w:rsid w:val="00C91BF1"/>
    <w:pPr>
      <w:tabs>
        <w:tab w:val="center" w:pos="4680"/>
        <w:tab w:val="right" w:pos="9360"/>
      </w:tabs>
    </w:pPr>
  </w:style>
  <w:style w:type="character" w:customStyle="1" w:styleId="PoratDiagrama">
    <w:name w:val="Poraštė Diagrama"/>
    <w:basedOn w:val="Numatytasispastraiposriftas"/>
    <w:link w:val="Porat"/>
    <w:uiPriority w:val="99"/>
    <w:rsid w:val="00C91BF1"/>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522ED5"/>
    <w:rPr>
      <w:sz w:val="16"/>
      <w:szCs w:val="16"/>
    </w:rPr>
  </w:style>
  <w:style w:type="paragraph" w:styleId="Komentarotekstas">
    <w:name w:val="annotation text"/>
    <w:basedOn w:val="prastasis"/>
    <w:link w:val="KomentarotekstasDiagrama"/>
    <w:uiPriority w:val="99"/>
    <w:unhideWhenUsed/>
    <w:rsid w:val="00522ED5"/>
    <w:rPr>
      <w:sz w:val="20"/>
      <w:szCs w:val="20"/>
    </w:rPr>
  </w:style>
  <w:style w:type="character" w:customStyle="1" w:styleId="KomentarotekstasDiagrama">
    <w:name w:val="Komentaro tekstas Diagrama"/>
    <w:basedOn w:val="Numatytasispastraiposriftas"/>
    <w:link w:val="Komentarotekstas"/>
    <w:uiPriority w:val="99"/>
    <w:rsid w:val="00522ED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2ED5"/>
    <w:rPr>
      <w:b/>
      <w:bCs/>
    </w:rPr>
  </w:style>
  <w:style w:type="character" w:customStyle="1" w:styleId="KomentarotemaDiagrama">
    <w:name w:val="Komentaro tema Diagrama"/>
    <w:basedOn w:val="KomentarotekstasDiagrama"/>
    <w:link w:val="Komentarotema"/>
    <w:uiPriority w:val="99"/>
    <w:semiHidden/>
    <w:rsid w:val="00522ED5"/>
    <w:rPr>
      <w:rFonts w:ascii="Times New Roman" w:eastAsia="Times New Roman" w:hAnsi="Times New Roman" w:cs="Times New Roman"/>
      <w:b/>
      <w:bCs/>
      <w:sz w:val="20"/>
      <w:szCs w:val="20"/>
    </w:rPr>
  </w:style>
  <w:style w:type="character" w:customStyle="1" w:styleId="UnresolvedMention1">
    <w:name w:val="Unresolved Mention1"/>
    <w:basedOn w:val="Numatytasispastraiposriftas"/>
    <w:uiPriority w:val="99"/>
    <w:semiHidden/>
    <w:unhideWhenUsed/>
    <w:rsid w:val="00522ED5"/>
    <w:rPr>
      <w:color w:val="605E5C"/>
      <w:shd w:val="clear" w:color="auto" w:fill="E1DFDD"/>
    </w:rPr>
  </w:style>
  <w:style w:type="paragraph" w:customStyle="1" w:styleId="bulletlist-1dsdouble-spaced">
    <w:name w:val="bulletlist-1dsdouble-spaced"/>
    <w:basedOn w:val="prastasis"/>
    <w:rsid w:val="004B6B19"/>
    <w:pPr>
      <w:widowControl/>
      <w:autoSpaceDE/>
      <w:autoSpaceDN/>
      <w:spacing w:before="100" w:beforeAutospacing="1" w:after="100" w:afterAutospacing="1"/>
    </w:pPr>
    <w:rPr>
      <w:rFonts w:ascii="Arial Unicode MS" w:eastAsia="Arial Unicode MS" w:hAnsi="Arial Unicode MS" w:cs="Arial Unicode MS"/>
      <w:sz w:val="24"/>
      <w:szCs w:val="24"/>
      <w:lang w:val="lt-LT" w:eastAsia="lt-LT"/>
    </w:rPr>
  </w:style>
  <w:style w:type="paragraph" w:styleId="Pataisymai">
    <w:name w:val="Revision"/>
    <w:hidden/>
    <w:uiPriority w:val="99"/>
    <w:semiHidden/>
    <w:rsid w:val="0067310F"/>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38907</Words>
  <Characters>22177</Characters>
  <Application>Microsoft Office Word</Application>
  <DocSecurity>4</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2024-12-17T13:26:00Z</dcterms:created>
  <dcterms:modified xsi:type="dcterms:W3CDTF">2024-12-17T13:26:00Z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2022-10-18T13:34:37Z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79d0c586-b398-4605-91ae-9b7b6ccd8117</vt:lpwstr>
  </property>
  <property fmtid="{D5CDD505-2E9C-101B-9397-08002B2CF9AE}" pid="8" name="MSIP_Label_c63a0701-319b-41bf-8431-58956e491e60_ContentBits">
    <vt:lpwstr>0</vt:lpwstr>
  </property>
</Properties>
</file>