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260C5" w14:textId="77777777" w:rsidR="00172E57" w:rsidRPr="00975CA4" w:rsidRDefault="00172E57" w:rsidP="0046310B">
      <w:pPr>
        <w:tabs>
          <w:tab w:val="left" w:pos="567"/>
        </w:tabs>
        <w:suppressAutoHyphens/>
        <w:spacing w:after="0" w:line="260" w:lineRule="exact"/>
        <w:rPr>
          <w:rFonts w:ascii="Times New Roman" w:eastAsia="Times New Roman" w:hAnsi="Times New Roman" w:cs="Times New Roman"/>
          <w:b/>
          <w:color w:val="000000"/>
          <w:lang w:eastAsia="ar-SA"/>
        </w:rPr>
      </w:pPr>
    </w:p>
    <w:p w14:paraId="4E5711C6" w14:textId="77777777" w:rsidR="00172E57" w:rsidRPr="00975CA4" w:rsidRDefault="00172E57" w:rsidP="0046310B">
      <w:pPr>
        <w:tabs>
          <w:tab w:val="left" w:pos="567"/>
        </w:tabs>
        <w:suppressAutoHyphens/>
        <w:spacing w:after="0" w:line="260" w:lineRule="exact"/>
        <w:rPr>
          <w:rFonts w:ascii="Times New Roman" w:eastAsia="Times New Roman" w:hAnsi="Times New Roman" w:cs="Times New Roman"/>
          <w:b/>
          <w:color w:val="000000"/>
          <w:lang w:eastAsia="ar-SA"/>
        </w:rPr>
      </w:pPr>
    </w:p>
    <w:p w14:paraId="7D51B936" w14:textId="77777777" w:rsidR="00172E57" w:rsidRPr="00975CA4" w:rsidRDefault="00172E57" w:rsidP="0046310B">
      <w:pPr>
        <w:tabs>
          <w:tab w:val="left" w:pos="567"/>
        </w:tabs>
        <w:suppressAutoHyphens/>
        <w:spacing w:after="0" w:line="260" w:lineRule="exact"/>
        <w:rPr>
          <w:rFonts w:ascii="Times New Roman" w:eastAsia="Times New Roman" w:hAnsi="Times New Roman" w:cs="Times New Roman"/>
          <w:b/>
          <w:color w:val="000000"/>
          <w:lang w:eastAsia="ar-SA"/>
        </w:rPr>
      </w:pPr>
    </w:p>
    <w:p w14:paraId="433B361E"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5197ED25"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C7192E3"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3C1CDE44"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3A879B57"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F5F1AC3"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E92B9F3"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5DF49D15"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0C3B0793"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F9E36D1"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03A9D469"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25466383"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1864683E"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5EFFC938"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15D75A1D"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01A8CC2D"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3AD9252"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4D32190"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62BB8B72" w14:textId="77777777" w:rsidR="00172E57" w:rsidRPr="00975CA4" w:rsidRDefault="00172E57" w:rsidP="0046310B">
      <w:pPr>
        <w:keepNext/>
        <w:tabs>
          <w:tab w:val="left" w:pos="567"/>
        </w:tabs>
        <w:suppressAutoHyphens/>
        <w:spacing w:after="0" w:line="240" w:lineRule="auto"/>
        <w:jc w:val="center"/>
        <w:rPr>
          <w:rFonts w:ascii="Times New Roman" w:eastAsia="Times New Roman" w:hAnsi="Times New Roman" w:cs="Times New Roman"/>
          <w:b/>
          <w:bCs/>
          <w:iCs/>
          <w:color w:val="000000"/>
          <w:lang w:eastAsia="ar-SA"/>
        </w:rPr>
      </w:pPr>
    </w:p>
    <w:p w14:paraId="0A2D27A1" w14:textId="77777777" w:rsidR="00773DF9" w:rsidRPr="00975CA4" w:rsidRDefault="00773DF9" w:rsidP="0046310B">
      <w:pPr>
        <w:keepNext/>
        <w:tabs>
          <w:tab w:val="left" w:pos="567"/>
        </w:tabs>
        <w:suppressAutoHyphens/>
        <w:spacing w:after="0" w:line="240" w:lineRule="auto"/>
        <w:jc w:val="center"/>
        <w:rPr>
          <w:rFonts w:ascii="Times New Roman" w:eastAsia="Times New Roman" w:hAnsi="Times New Roman" w:cs="Times New Roman"/>
          <w:b/>
          <w:bCs/>
          <w:iCs/>
          <w:color w:val="000000"/>
          <w:lang w:eastAsia="ar-SA"/>
        </w:rPr>
      </w:pPr>
    </w:p>
    <w:p w14:paraId="4FE17140" w14:textId="11A88CC5" w:rsidR="00172E57" w:rsidRPr="00975CA4" w:rsidRDefault="00172E57" w:rsidP="0046310B">
      <w:pPr>
        <w:keepNext/>
        <w:tabs>
          <w:tab w:val="left" w:pos="567"/>
        </w:tabs>
        <w:suppressAutoHyphens/>
        <w:spacing w:after="0" w:line="240" w:lineRule="auto"/>
        <w:jc w:val="center"/>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iCs/>
          <w:color w:val="000000"/>
          <w:lang w:eastAsia="ar-SA"/>
        </w:rPr>
        <w:t>I PRIEDAS</w:t>
      </w:r>
    </w:p>
    <w:p w14:paraId="16C2801D" w14:textId="77777777" w:rsidR="00172E57" w:rsidRPr="00975CA4" w:rsidRDefault="00172E57" w:rsidP="0046310B">
      <w:pPr>
        <w:tabs>
          <w:tab w:val="left" w:pos="567"/>
        </w:tabs>
        <w:suppressAutoHyphens/>
        <w:spacing w:after="0" w:line="240" w:lineRule="auto"/>
        <w:rPr>
          <w:rFonts w:ascii="Times New Roman" w:eastAsia="Times New Roman" w:hAnsi="Times New Roman" w:cs="Times New Roman"/>
          <w:color w:val="000000"/>
          <w:lang w:eastAsia="ar-SA"/>
        </w:rPr>
      </w:pPr>
    </w:p>
    <w:p w14:paraId="3EB9A689" w14:textId="77777777" w:rsidR="00172E57" w:rsidRPr="00975CA4" w:rsidRDefault="00172E57" w:rsidP="0046310B">
      <w:pPr>
        <w:tabs>
          <w:tab w:val="left" w:pos="-1440"/>
          <w:tab w:val="left" w:pos="-720"/>
          <w:tab w:val="left" w:pos="567"/>
        </w:tabs>
        <w:suppressAutoHyphens/>
        <w:spacing w:after="0" w:line="260" w:lineRule="exact"/>
        <w:jc w:val="center"/>
        <w:rPr>
          <w:rFonts w:ascii="Times New Roman" w:eastAsia="Times New Roman" w:hAnsi="Times New Roman" w:cs="Times New Roman"/>
          <w:color w:val="000000"/>
          <w:lang w:eastAsia="ar-SA"/>
        </w:rPr>
      </w:pPr>
      <w:r w:rsidRPr="00975CA4">
        <w:rPr>
          <w:rFonts w:ascii="Times New Roman" w:eastAsia="Times New Roman" w:hAnsi="Times New Roman" w:cs="Times New Roman"/>
          <w:b/>
          <w:color w:val="000000"/>
          <w:lang w:eastAsia="ar-SA"/>
        </w:rPr>
        <w:t>PREPARATO CHARAKTERISTIKŲ SANTRAUKA</w:t>
      </w:r>
    </w:p>
    <w:p w14:paraId="7336B2FA" w14:textId="77777777" w:rsidR="00172E57" w:rsidRPr="00975CA4" w:rsidRDefault="00172E57" w:rsidP="0046310B">
      <w:pPr>
        <w:tabs>
          <w:tab w:val="left" w:pos="-1440"/>
          <w:tab w:val="left" w:pos="-720"/>
          <w:tab w:val="left" w:pos="567"/>
        </w:tabs>
        <w:suppressAutoHyphens/>
        <w:spacing w:after="0" w:line="260" w:lineRule="exact"/>
        <w:rPr>
          <w:rFonts w:ascii="Times New Roman" w:eastAsia="Times New Roman" w:hAnsi="Times New Roman" w:cs="Times New Roman"/>
          <w:color w:val="000000"/>
          <w:lang w:eastAsia="ar-SA"/>
        </w:rPr>
      </w:pPr>
    </w:p>
    <w:p w14:paraId="147D1F87" w14:textId="77777777" w:rsidR="00172E57" w:rsidRPr="00975CA4" w:rsidRDefault="00172E57" w:rsidP="0046310B">
      <w:pPr>
        <w:pageBreakBefore/>
        <w:tabs>
          <w:tab w:val="left" w:pos="567"/>
        </w:tabs>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b/>
          <w:bCs/>
          <w:color w:val="000000"/>
          <w:lang w:eastAsia="ar-SA"/>
        </w:rPr>
        <w:lastRenderedPageBreak/>
        <w:t>1.</w:t>
      </w:r>
      <w:r w:rsidRPr="00975CA4">
        <w:rPr>
          <w:rFonts w:ascii="Times New Roman" w:eastAsia="Calibri" w:hAnsi="Times New Roman" w:cs="Times New Roman"/>
          <w:b/>
          <w:bCs/>
          <w:color w:val="000000"/>
          <w:lang w:eastAsia="ar-SA"/>
        </w:rPr>
        <w:tab/>
        <w:t xml:space="preserve">VAISTINIO PREPARATO PAVADINIMAS </w:t>
      </w:r>
    </w:p>
    <w:p w14:paraId="1F2F3784"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p>
    <w:p w14:paraId="717182A4" w14:textId="77777777" w:rsidR="00172E57" w:rsidRPr="00975CA4" w:rsidRDefault="00172E57" w:rsidP="0046310B">
      <w:pPr>
        <w:spacing w:after="0" w:line="240" w:lineRule="auto"/>
        <w:rPr>
          <w:rFonts w:ascii="Times New Roman" w:hAnsi="Times New Roman" w:cs="Times New Roman"/>
        </w:rPr>
      </w:pPr>
      <w:proofErr w:type="spellStart"/>
      <w:r w:rsidRPr="00975CA4">
        <w:rPr>
          <w:rFonts w:ascii="Times New Roman" w:hAnsi="Times New Roman" w:cs="Times New Roman"/>
        </w:rPr>
        <w:t>Dasatinib</w:t>
      </w:r>
      <w:proofErr w:type="spellEnd"/>
      <w:r w:rsidRPr="00975CA4">
        <w:rPr>
          <w:rFonts w:ascii="Times New Roman" w:hAnsi="Times New Roman" w:cs="Times New Roman"/>
        </w:rPr>
        <w:t xml:space="preserve"> </w:t>
      </w:r>
      <w:proofErr w:type="spellStart"/>
      <w:r w:rsidRPr="00975CA4">
        <w:rPr>
          <w:rFonts w:ascii="Times New Roman" w:hAnsi="Times New Roman" w:cs="Times New Roman"/>
        </w:rPr>
        <w:t>Zentiva</w:t>
      </w:r>
      <w:proofErr w:type="spellEnd"/>
      <w:r w:rsidRPr="00975CA4">
        <w:rPr>
          <w:rFonts w:ascii="Times New Roman" w:hAnsi="Times New Roman" w:cs="Times New Roman"/>
        </w:rPr>
        <w:t xml:space="preserve"> 50 mg plėvele dengtos tabletės</w:t>
      </w:r>
    </w:p>
    <w:p w14:paraId="65412B7E" w14:textId="77777777" w:rsidR="00172E57" w:rsidRPr="00975CA4" w:rsidRDefault="00172E57" w:rsidP="0046310B">
      <w:pPr>
        <w:spacing w:after="0" w:line="240" w:lineRule="auto"/>
        <w:rPr>
          <w:rFonts w:ascii="Times New Roman" w:hAnsi="Times New Roman" w:cs="Times New Roman"/>
        </w:rPr>
      </w:pPr>
    </w:p>
    <w:p w14:paraId="102E6CAC" w14:textId="77777777" w:rsidR="00172E57" w:rsidRPr="00975CA4" w:rsidRDefault="00172E57" w:rsidP="0046310B">
      <w:pPr>
        <w:spacing w:after="0" w:line="240" w:lineRule="auto"/>
        <w:rPr>
          <w:rFonts w:ascii="Times New Roman" w:hAnsi="Times New Roman" w:cs="Times New Roman"/>
        </w:rPr>
      </w:pPr>
    </w:p>
    <w:p w14:paraId="600BCB8A"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b/>
          <w:bCs/>
          <w:color w:val="000000"/>
          <w:lang w:eastAsia="ar-SA"/>
        </w:rPr>
        <w:t>2.</w:t>
      </w:r>
      <w:r w:rsidRPr="00975CA4">
        <w:rPr>
          <w:rFonts w:ascii="Times New Roman" w:eastAsia="Calibri" w:hAnsi="Times New Roman" w:cs="Times New Roman"/>
          <w:b/>
          <w:bCs/>
          <w:color w:val="000000"/>
          <w:lang w:eastAsia="ar-SA"/>
        </w:rPr>
        <w:tab/>
        <w:t xml:space="preserve">KOKYBINĖ IR KIEKYBINĖ SUDĖTIS </w:t>
      </w:r>
    </w:p>
    <w:p w14:paraId="3F8C4ACB"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p>
    <w:p w14:paraId="041E298A"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proofErr w:type="spellStart"/>
      <w:r w:rsidRPr="00975CA4">
        <w:rPr>
          <w:rFonts w:ascii="Times New Roman" w:eastAsia="Calibri" w:hAnsi="Times New Roman" w:cs="Times New Roman"/>
          <w:color w:val="000000"/>
          <w:u w:val="single"/>
          <w:lang w:eastAsia="ar-SA"/>
        </w:rPr>
        <w:t>Dasatinib</w:t>
      </w:r>
      <w:proofErr w:type="spellEnd"/>
      <w:r w:rsidRPr="00975CA4">
        <w:rPr>
          <w:rFonts w:ascii="Times New Roman" w:eastAsia="Calibri" w:hAnsi="Times New Roman" w:cs="Times New Roman"/>
          <w:color w:val="000000"/>
          <w:u w:val="single"/>
          <w:lang w:eastAsia="ar-SA"/>
        </w:rPr>
        <w:t xml:space="preserve"> </w:t>
      </w:r>
      <w:proofErr w:type="spellStart"/>
      <w:r w:rsidRPr="00975CA4">
        <w:rPr>
          <w:rFonts w:ascii="Times New Roman" w:eastAsia="Calibri" w:hAnsi="Times New Roman" w:cs="Times New Roman"/>
          <w:color w:val="000000"/>
          <w:u w:val="single"/>
          <w:lang w:eastAsia="ar-SA"/>
        </w:rPr>
        <w:t>Zentiva</w:t>
      </w:r>
      <w:proofErr w:type="spellEnd"/>
      <w:r w:rsidRPr="00975CA4">
        <w:rPr>
          <w:rFonts w:ascii="Times New Roman" w:eastAsia="Calibri" w:hAnsi="Times New Roman" w:cs="Times New Roman"/>
          <w:color w:val="000000"/>
          <w:u w:val="single"/>
          <w:lang w:eastAsia="ar-SA"/>
        </w:rPr>
        <w:t xml:space="preserve"> 50 mg plėvele dengtos tabletės </w:t>
      </w:r>
    </w:p>
    <w:p w14:paraId="142C33CE"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Kiekvienoje plėvele dengtoje tabletėje yra 50 mg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w:t>
      </w:r>
    </w:p>
    <w:p w14:paraId="7ECC20CD"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i/>
          <w:color w:val="000000"/>
          <w:u w:val="single"/>
          <w:lang w:eastAsia="ar-SA"/>
        </w:rPr>
      </w:pPr>
      <w:r w:rsidRPr="00975CA4">
        <w:rPr>
          <w:rFonts w:ascii="Times New Roman" w:eastAsia="Calibri" w:hAnsi="Times New Roman" w:cs="Times New Roman"/>
          <w:color w:val="000000"/>
          <w:lang w:eastAsia="ar-SA"/>
        </w:rPr>
        <w:t xml:space="preserve"> </w:t>
      </w:r>
    </w:p>
    <w:p w14:paraId="781356CC"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i/>
          <w:color w:val="000000"/>
          <w:u w:val="single"/>
          <w:lang w:eastAsia="ar-SA"/>
        </w:rPr>
        <w:t>Pagalbinė medžiaga, kurios poveikis žinomas</w:t>
      </w:r>
    </w:p>
    <w:p w14:paraId="18F5D9E8"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Kiekvienoje plėvele dengtoje tabletėje yra 69 mg laktozės (</w:t>
      </w:r>
      <w:proofErr w:type="spellStart"/>
      <w:r w:rsidRPr="00975CA4">
        <w:rPr>
          <w:rFonts w:ascii="Times New Roman" w:eastAsia="Calibri" w:hAnsi="Times New Roman" w:cs="Times New Roman"/>
          <w:color w:val="000000"/>
          <w:lang w:eastAsia="ar-SA"/>
        </w:rPr>
        <w:t>monohidrato</w:t>
      </w:r>
      <w:proofErr w:type="spellEnd"/>
      <w:r w:rsidRPr="00975CA4">
        <w:rPr>
          <w:rFonts w:ascii="Times New Roman" w:eastAsia="Calibri" w:hAnsi="Times New Roman" w:cs="Times New Roman"/>
          <w:color w:val="000000"/>
          <w:lang w:eastAsia="ar-SA"/>
        </w:rPr>
        <w:t xml:space="preserve"> pavidalu).</w:t>
      </w:r>
    </w:p>
    <w:p w14:paraId="2AB54E42" w14:textId="77777777" w:rsidR="00172E57" w:rsidRPr="00975CA4" w:rsidRDefault="00172E57" w:rsidP="0046310B">
      <w:pPr>
        <w:spacing w:after="0" w:line="240" w:lineRule="auto"/>
        <w:rPr>
          <w:rFonts w:ascii="Times New Roman" w:hAnsi="Times New Roman" w:cs="Times New Roman"/>
        </w:rPr>
      </w:pPr>
    </w:p>
    <w:p w14:paraId="0BFF43AD"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b/>
          <w:bCs/>
          <w:color w:val="000000"/>
          <w:lang w:eastAsia="ar-SA"/>
        </w:rPr>
      </w:pPr>
      <w:r w:rsidRPr="00975CA4">
        <w:rPr>
          <w:rFonts w:ascii="Times New Roman" w:eastAsia="Calibri" w:hAnsi="Times New Roman" w:cs="Times New Roman"/>
          <w:color w:val="000000"/>
          <w:lang w:eastAsia="ar-SA"/>
        </w:rPr>
        <w:t>Visos pagalbinės medžiagos išvardytos 6.1 skyriuje.</w:t>
      </w:r>
    </w:p>
    <w:p w14:paraId="3465DC84" w14:textId="77777777" w:rsidR="00172E57" w:rsidRPr="00975CA4" w:rsidRDefault="00172E57" w:rsidP="0046310B">
      <w:pPr>
        <w:spacing w:after="0" w:line="240" w:lineRule="auto"/>
        <w:rPr>
          <w:rFonts w:ascii="Times New Roman" w:hAnsi="Times New Roman" w:cs="Times New Roman"/>
        </w:rPr>
      </w:pPr>
    </w:p>
    <w:p w14:paraId="5AD3FE97" w14:textId="77777777" w:rsidR="00172E57" w:rsidRPr="00975CA4" w:rsidRDefault="00172E57" w:rsidP="0046310B">
      <w:pPr>
        <w:spacing w:after="0" w:line="240" w:lineRule="auto"/>
        <w:rPr>
          <w:rFonts w:ascii="Times New Roman" w:hAnsi="Times New Roman" w:cs="Times New Roman"/>
        </w:rPr>
      </w:pPr>
    </w:p>
    <w:p w14:paraId="11DAD048"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b/>
          <w:bCs/>
          <w:color w:val="000000"/>
          <w:lang w:eastAsia="ar-SA"/>
        </w:rPr>
        <w:t>3.</w:t>
      </w:r>
      <w:r w:rsidRPr="00975CA4">
        <w:rPr>
          <w:rFonts w:ascii="Times New Roman" w:eastAsia="Calibri" w:hAnsi="Times New Roman" w:cs="Times New Roman"/>
          <w:b/>
          <w:bCs/>
          <w:color w:val="000000"/>
          <w:lang w:eastAsia="ar-SA"/>
        </w:rPr>
        <w:tab/>
        <w:t xml:space="preserve">FARMACINĖ FORMA </w:t>
      </w:r>
    </w:p>
    <w:p w14:paraId="12752370"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p>
    <w:p w14:paraId="32DD4BE4" w14:textId="77777777" w:rsidR="00172E57" w:rsidRPr="00975CA4" w:rsidRDefault="00172E57" w:rsidP="0046310B">
      <w:pPr>
        <w:tabs>
          <w:tab w:val="left" w:pos="567"/>
        </w:tabs>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Plėvele dengta tabletė (tabletė)</w:t>
      </w:r>
      <w:r w:rsidR="009F334E" w:rsidRPr="00975CA4">
        <w:rPr>
          <w:rFonts w:ascii="Times New Roman" w:eastAsia="Calibri" w:hAnsi="Times New Roman" w:cs="Times New Roman"/>
          <w:color w:val="000000"/>
          <w:lang w:eastAsia="ar-SA"/>
        </w:rPr>
        <w:t>.</w:t>
      </w:r>
    </w:p>
    <w:p w14:paraId="6EB53940" w14:textId="77777777" w:rsidR="00172E57" w:rsidRPr="00975CA4" w:rsidRDefault="00172E57" w:rsidP="0046310B">
      <w:pPr>
        <w:spacing w:after="0" w:line="240" w:lineRule="auto"/>
        <w:rPr>
          <w:rFonts w:ascii="Times New Roman" w:hAnsi="Times New Roman" w:cs="Times New Roman"/>
        </w:rPr>
      </w:pPr>
    </w:p>
    <w:p w14:paraId="39623AC5" w14:textId="77777777" w:rsidR="005E3EAE" w:rsidRPr="00975CA4" w:rsidRDefault="005E3EAE" w:rsidP="0046310B">
      <w:pPr>
        <w:spacing w:after="0" w:line="240" w:lineRule="auto"/>
        <w:rPr>
          <w:rFonts w:ascii="Times New Roman" w:eastAsia="Calibri" w:hAnsi="Times New Roman" w:cs="Times New Roman"/>
          <w:color w:val="000000"/>
          <w:u w:val="single"/>
          <w:lang w:eastAsia="ar-SA"/>
        </w:rPr>
      </w:pPr>
      <w:proofErr w:type="spellStart"/>
      <w:r w:rsidRPr="00975CA4">
        <w:rPr>
          <w:rFonts w:ascii="Times New Roman" w:eastAsia="Calibri" w:hAnsi="Times New Roman" w:cs="Times New Roman"/>
          <w:color w:val="000000"/>
          <w:u w:val="single"/>
          <w:lang w:eastAsia="ar-SA"/>
        </w:rPr>
        <w:t>Dasatinib</w:t>
      </w:r>
      <w:proofErr w:type="spellEnd"/>
      <w:r w:rsidRPr="00975CA4">
        <w:rPr>
          <w:rFonts w:ascii="Times New Roman" w:eastAsia="Calibri" w:hAnsi="Times New Roman" w:cs="Times New Roman"/>
          <w:color w:val="000000"/>
          <w:u w:val="single"/>
          <w:lang w:eastAsia="ar-SA"/>
        </w:rPr>
        <w:t xml:space="preserve"> </w:t>
      </w:r>
      <w:proofErr w:type="spellStart"/>
      <w:r w:rsidRPr="00975CA4">
        <w:rPr>
          <w:rFonts w:ascii="Times New Roman" w:eastAsia="Calibri" w:hAnsi="Times New Roman" w:cs="Times New Roman"/>
          <w:color w:val="000000"/>
          <w:u w:val="single"/>
          <w:lang w:eastAsia="ar-SA"/>
        </w:rPr>
        <w:t>Zentiva</w:t>
      </w:r>
      <w:proofErr w:type="spellEnd"/>
      <w:r w:rsidRPr="00975CA4">
        <w:rPr>
          <w:rFonts w:ascii="Times New Roman" w:eastAsia="Calibri" w:hAnsi="Times New Roman" w:cs="Times New Roman"/>
          <w:color w:val="000000"/>
          <w:u w:val="single"/>
          <w:lang w:eastAsia="ar-SA"/>
        </w:rPr>
        <w:t xml:space="preserve"> 50 mg plėvele dengtos tabletės</w:t>
      </w:r>
    </w:p>
    <w:p w14:paraId="08756E69" w14:textId="77777777" w:rsidR="005E3EAE" w:rsidRPr="00975CA4" w:rsidRDefault="005E3EAE" w:rsidP="0046310B">
      <w:pPr>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Balta arba balkšva, abipus išgaubta, </w:t>
      </w:r>
      <w:r w:rsidR="00B8430B" w:rsidRPr="00975CA4">
        <w:rPr>
          <w:rFonts w:ascii="Times New Roman" w:eastAsia="Calibri" w:hAnsi="Times New Roman" w:cs="Times New Roman"/>
          <w:color w:val="000000"/>
          <w:lang w:eastAsia="ar-SA"/>
        </w:rPr>
        <w:t xml:space="preserve">ovali, apytiksliai 11,0 mm ilgio ir 6,0 mm pločio </w:t>
      </w:r>
      <w:r w:rsidRPr="00975CA4">
        <w:rPr>
          <w:rFonts w:ascii="Times New Roman" w:eastAsia="Calibri" w:hAnsi="Times New Roman" w:cs="Times New Roman"/>
          <w:color w:val="000000"/>
          <w:lang w:eastAsia="ar-SA"/>
        </w:rPr>
        <w:t>plėvele dengta tabletė, kurios vienoje pusėje įspaus</w:t>
      </w:r>
      <w:r w:rsidR="00B8430B" w:rsidRPr="00975CA4">
        <w:rPr>
          <w:rFonts w:ascii="Times New Roman" w:eastAsia="Calibri" w:hAnsi="Times New Roman" w:cs="Times New Roman"/>
          <w:color w:val="000000"/>
          <w:lang w:eastAsia="ar-SA"/>
        </w:rPr>
        <w:t>ta</w:t>
      </w:r>
      <w:r w:rsidRPr="00975CA4">
        <w:rPr>
          <w:rFonts w:ascii="Times New Roman" w:eastAsia="Calibri" w:hAnsi="Times New Roman" w:cs="Times New Roman"/>
          <w:color w:val="000000"/>
          <w:lang w:eastAsia="ar-SA"/>
        </w:rPr>
        <w:t xml:space="preserve"> „D7SB”, </w:t>
      </w:r>
      <w:r w:rsidR="00B8430B" w:rsidRPr="00975CA4">
        <w:rPr>
          <w:rFonts w:ascii="Times New Roman" w:eastAsia="Calibri" w:hAnsi="Times New Roman" w:cs="Times New Roman"/>
          <w:color w:val="000000"/>
          <w:lang w:eastAsia="ar-SA"/>
        </w:rPr>
        <w:t>o kitoje pusėje</w:t>
      </w:r>
      <w:r w:rsidRPr="00975CA4">
        <w:rPr>
          <w:rFonts w:ascii="Times New Roman" w:eastAsia="Calibri" w:hAnsi="Times New Roman" w:cs="Times New Roman"/>
          <w:color w:val="000000"/>
          <w:lang w:eastAsia="ar-SA"/>
        </w:rPr>
        <w:t xml:space="preserve"> – „50”. </w:t>
      </w:r>
    </w:p>
    <w:p w14:paraId="1C1979A1" w14:textId="77777777" w:rsidR="009F334E" w:rsidRPr="00975CA4" w:rsidRDefault="009F334E" w:rsidP="0046310B">
      <w:pPr>
        <w:spacing w:after="0" w:line="240" w:lineRule="auto"/>
        <w:rPr>
          <w:rFonts w:ascii="Times New Roman" w:eastAsia="Calibri" w:hAnsi="Times New Roman" w:cs="Times New Roman"/>
          <w:color w:val="000000"/>
          <w:lang w:eastAsia="ar-SA"/>
        </w:rPr>
      </w:pPr>
    </w:p>
    <w:p w14:paraId="1E13DE08" w14:textId="77777777" w:rsidR="005E3EAE" w:rsidRPr="00975CA4" w:rsidRDefault="005E3EAE" w:rsidP="0046310B">
      <w:pPr>
        <w:spacing w:after="0" w:line="240" w:lineRule="auto"/>
        <w:rPr>
          <w:rFonts w:ascii="Times New Roman" w:eastAsia="Calibri" w:hAnsi="Times New Roman" w:cs="Times New Roman"/>
          <w:color w:val="000000"/>
          <w:lang w:eastAsia="ar-SA"/>
        </w:rPr>
      </w:pPr>
    </w:p>
    <w:p w14:paraId="7B399538" w14:textId="77777777" w:rsidR="005E3EAE" w:rsidRPr="00975CA4" w:rsidRDefault="005E3EAE" w:rsidP="0046310B">
      <w:pPr>
        <w:tabs>
          <w:tab w:val="left" w:pos="567"/>
        </w:tabs>
        <w:suppressAutoHyphens/>
        <w:spacing w:after="0" w:line="240" w:lineRule="auto"/>
        <w:rPr>
          <w:rFonts w:ascii="Times New Roman" w:eastAsia="Calibri" w:hAnsi="Times New Roman" w:cs="Times New Roman"/>
          <w:b/>
          <w:bCs/>
          <w:color w:val="000000"/>
          <w:lang w:eastAsia="ar-SA"/>
        </w:rPr>
      </w:pPr>
      <w:r w:rsidRPr="00975CA4">
        <w:rPr>
          <w:rFonts w:ascii="Times New Roman" w:eastAsia="Calibri" w:hAnsi="Times New Roman" w:cs="Times New Roman"/>
          <w:b/>
          <w:bCs/>
          <w:color w:val="000000"/>
          <w:lang w:eastAsia="ar-SA"/>
        </w:rPr>
        <w:t>4.</w:t>
      </w:r>
      <w:r w:rsidRPr="00975CA4">
        <w:rPr>
          <w:rFonts w:ascii="Times New Roman" w:eastAsia="Calibri" w:hAnsi="Times New Roman" w:cs="Times New Roman"/>
          <w:b/>
          <w:bCs/>
          <w:color w:val="000000"/>
          <w:lang w:eastAsia="ar-SA"/>
        </w:rPr>
        <w:tab/>
        <w:t xml:space="preserve">KLINIKINĖ INFORMACIJA </w:t>
      </w:r>
    </w:p>
    <w:p w14:paraId="6B1E8E03" w14:textId="77777777" w:rsidR="005E3EAE" w:rsidRPr="00975CA4" w:rsidRDefault="005E3EAE" w:rsidP="0046310B">
      <w:pPr>
        <w:tabs>
          <w:tab w:val="left" w:pos="567"/>
        </w:tabs>
        <w:suppressAutoHyphens/>
        <w:spacing w:after="0" w:line="240" w:lineRule="auto"/>
        <w:rPr>
          <w:rFonts w:ascii="Times New Roman" w:eastAsia="Calibri" w:hAnsi="Times New Roman" w:cs="Times New Roman"/>
          <w:b/>
          <w:bCs/>
          <w:color w:val="000000"/>
          <w:lang w:eastAsia="ar-SA"/>
        </w:rPr>
      </w:pPr>
    </w:p>
    <w:p w14:paraId="0E3AEEEC" w14:textId="77777777" w:rsidR="005E3EAE" w:rsidRPr="00975CA4" w:rsidRDefault="005E3EAE" w:rsidP="0046310B">
      <w:pPr>
        <w:tabs>
          <w:tab w:val="left" w:pos="567"/>
        </w:tabs>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b/>
          <w:bCs/>
          <w:color w:val="000000"/>
          <w:lang w:eastAsia="ar-SA"/>
        </w:rPr>
        <w:t>4.1</w:t>
      </w:r>
      <w:r w:rsidRPr="00975CA4">
        <w:rPr>
          <w:rFonts w:ascii="Times New Roman" w:eastAsia="Calibri" w:hAnsi="Times New Roman" w:cs="Times New Roman"/>
          <w:b/>
          <w:bCs/>
          <w:color w:val="000000"/>
          <w:lang w:eastAsia="ar-SA"/>
        </w:rPr>
        <w:tab/>
        <w:t xml:space="preserve">Terapinės indikacijos </w:t>
      </w:r>
    </w:p>
    <w:p w14:paraId="05EC8185" w14:textId="77777777" w:rsidR="005E3EAE" w:rsidRPr="00975CA4" w:rsidRDefault="005E3EAE" w:rsidP="0046310B">
      <w:pPr>
        <w:tabs>
          <w:tab w:val="left" w:pos="567"/>
        </w:tabs>
        <w:suppressAutoHyphens/>
        <w:spacing w:after="0" w:line="240" w:lineRule="auto"/>
        <w:rPr>
          <w:rFonts w:ascii="Times New Roman" w:eastAsia="Calibri" w:hAnsi="Times New Roman" w:cs="Times New Roman"/>
          <w:color w:val="000000"/>
          <w:lang w:eastAsia="ar-SA"/>
        </w:rPr>
      </w:pPr>
    </w:p>
    <w:p w14:paraId="5D317E1E" w14:textId="77777777" w:rsidR="005E3EAE" w:rsidRPr="00975CA4" w:rsidRDefault="005E3EAE" w:rsidP="0046310B">
      <w:pPr>
        <w:tabs>
          <w:tab w:val="left" w:pos="567"/>
        </w:tabs>
        <w:suppressAutoHyphens/>
        <w:spacing w:after="0" w:line="240" w:lineRule="auto"/>
        <w:rPr>
          <w:rFonts w:ascii="Times New Roman" w:eastAsia="Calibri" w:hAnsi="Times New Roman" w:cs="Times New Roman"/>
          <w:color w:val="000000"/>
          <w:lang w:eastAsia="ar-SA"/>
        </w:rPr>
      </w:pP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skirtas gydyti suaugusius pacientus, kuriems yra:</w:t>
      </w:r>
    </w:p>
    <w:p w14:paraId="4EC02495" w14:textId="77777777" w:rsidR="00C16369" w:rsidRPr="00975CA4" w:rsidRDefault="00C16369" w:rsidP="0046310B">
      <w:pPr>
        <w:pStyle w:val="Sraopastraipa"/>
        <w:numPr>
          <w:ilvl w:val="0"/>
          <w:numId w:val="1"/>
        </w:numPr>
        <w:ind w:left="0" w:firstLine="0"/>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naujai diagnozuotos Filadelfijos (</w:t>
      </w:r>
      <w:proofErr w:type="spellStart"/>
      <w:r w:rsidRPr="00975CA4">
        <w:rPr>
          <w:rFonts w:ascii="Times New Roman" w:eastAsia="Calibri" w:hAnsi="Times New Roman" w:cs="Times New Roman"/>
          <w:color w:val="000000"/>
          <w:lang w:eastAsia="ar-SA"/>
        </w:rPr>
        <w:t>Philadelphia</w:t>
      </w:r>
      <w:proofErr w:type="spellEnd"/>
      <w:r w:rsidRPr="00975CA4">
        <w:rPr>
          <w:rFonts w:ascii="Times New Roman" w:eastAsia="Calibri" w:hAnsi="Times New Roman" w:cs="Times New Roman"/>
          <w:color w:val="000000"/>
          <w:lang w:eastAsia="ar-SA"/>
        </w:rPr>
        <w:t>) chromosomai teigiamos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lėtinės </w:t>
      </w:r>
      <w:proofErr w:type="spellStart"/>
      <w:r w:rsidRPr="00975CA4">
        <w:rPr>
          <w:rFonts w:ascii="Times New Roman" w:eastAsia="Calibri" w:hAnsi="Times New Roman" w:cs="Times New Roman"/>
          <w:color w:val="000000"/>
          <w:lang w:eastAsia="ar-SA"/>
        </w:rPr>
        <w:t>mieloidinės</w:t>
      </w:r>
      <w:proofErr w:type="spellEnd"/>
      <w:r w:rsidRPr="00975CA4">
        <w:rPr>
          <w:rFonts w:ascii="Times New Roman" w:eastAsia="Calibri" w:hAnsi="Times New Roman" w:cs="Times New Roman"/>
          <w:color w:val="000000"/>
          <w:lang w:eastAsia="ar-SA"/>
        </w:rPr>
        <w:t xml:space="preserve"> leukemijos (LML) lėtinė fazė;</w:t>
      </w:r>
    </w:p>
    <w:p w14:paraId="3C48403F" w14:textId="77777777" w:rsidR="00C16369" w:rsidRPr="00975CA4" w:rsidRDefault="00C16369" w:rsidP="0046310B">
      <w:pPr>
        <w:pStyle w:val="Sraopastraipa"/>
        <w:numPr>
          <w:ilvl w:val="0"/>
          <w:numId w:val="1"/>
        </w:numPr>
        <w:spacing w:after="0" w:line="240" w:lineRule="auto"/>
        <w:ind w:left="0" w:firstLine="0"/>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LML lėtinė, akceleracijos ar </w:t>
      </w:r>
      <w:proofErr w:type="spellStart"/>
      <w:r w:rsidRPr="00975CA4">
        <w:rPr>
          <w:rFonts w:ascii="Times New Roman" w:eastAsia="Calibri" w:hAnsi="Times New Roman" w:cs="Times New Roman"/>
          <w:color w:val="000000"/>
          <w:lang w:eastAsia="ar-SA"/>
        </w:rPr>
        <w:t>blastų</w:t>
      </w:r>
      <w:proofErr w:type="spellEnd"/>
      <w:r w:rsidRPr="00975CA4">
        <w:rPr>
          <w:rFonts w:ascii="Times New Roman" w:eastAsia="Calibri" w:hAnsi="Times New Roman" w:cs="Times New Roman"/>
          <w:color w:val="000000"/>
          <w:lang w:eastAsia="ar-SA"/>
        </w:rPr>
        <w:t xml:space="preserve"> fazė, jeigu liga buvo atspari ankstesniam gydymui (įskaitant gydymą </w:t>
      </w:r>
      <w:proofErr w:type="spellStart"/>
      <w:r w:rsidRPr="00975CA4">
        <w:rPr>
          <w:rFonts w:ascii="Times New Roman" w:eastAsia="Calibri" w:hAnsi="Times New Roman" w:cs="Times New Roman"/>
          <w:color w:val="000000"/>
          <w:lang w:eastAsia="ar-SA"/>
        </w:rPr>
        <w:t>imatinibu</w:t>
      </w:r>
      <w:proofErr w:type="spellEnd"/>
      <w:r w:rsidRPr="00975CA4">
        <w:rPr>
          <w:rFonts w:ascii="Times New Roman" w:eastAsia="Calibri" w:hAnsi="Times New Roman" w:cs="Times New Roman"/>
          <w:color w:val="000000"/>
          <w:lang w:eastAsia="ar-SA"/>
        </w:rPr>
        <w:t>) arba pacientas jo netoleravo;</w:t>
      </w:r>
    </w:p>
    <w:p w14:paraId="3AD57BBE" w14:textId="77777777" w:rsidR="00C16369" w:rsidRPr="00975CA4" w:rsidRDefault="00C16369" w:rsidP="0046310B">
      <w:pPr>
        <w:pStyle w:val="Sraopastraipa"/>
        <w:numPr>
          <w:ilvl w:val="0"/>
          <w:numId w:val="1"/>
        </w:numPr>
        <w:spacing w:after="0" w:line="240" w:lineRule="auto"/>
        <w:ind w:left="0" w:firstLine="0"/>
        <w:rPr>
          <w:rFonts w:ascii="Times New Roman" w:eastAsia="Calibri" w:hAnsi="Times New Roman" w:cs="Times New Roman"/>
          <w:color w:val="000000"/>
          <w:lang w:eastAsia="ar-SA"/>
        </w:rPr>
      </w:pP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ūminė </w:t>
      </w:r>
      <w:proofErr w:type="spellStart"/>
      <w:r w:rsidRPr="00975CA4">
        <w:rPr>
          <w:rFonts w:ascii="Times New Roman" w:eastAsia="Calibri" w:hAnsi="Times New Roman" w:cs="Times New Roman"/>
          <w:color w:val="000000"/>
          <w:lang w:eastAsia="ar-SA"/>
        </w:rPr>
        <w:t>limfoblastinė</w:t>
      </w:r>
      <w:proofErr w:type="spellEnd"/>
      <w:r w:rsidRPr="00975CA4">
        <w:rPr>
          <w:rFonts w:ascii="Times New Roman" w:eastAsia="Calibri" w:hAnsi="Times New Roman" w:cs="Times New Roman"/>
          <w:color w:val="000000"/>
          <w:lang w:eastAsia="ar-SA"/>
        </w:rPr>
        <w:t xml:space="preserve"> leukemija (ŪLL) ar </w:t>
      </w:r>
      <w:proofErr w:type="spellStart"/>
      <w:r w:rsidRPr="00975CA4">
        <w:rPr>
          <w:rFonts w:ascii="Times New Roman" w:eastAsia="Calibri" w:hAnsi="Times New Roman" w:cs="Times New Roman"/>
          <w:color w:val="000000"/>
          <w:lang w:eastAsia="ar-SA"/>
        </w:rPr>
        <w:t>limfoidinių</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blastų</w:t>
      </w:r>
      <w:proofErr w:type="spellEnd"/>
      <w:r w:rsidRPr="00975CA4">
        <w:rPr>
          <w:rFonts w:ascii="Times New Roman" w:eastAsia="Calibri" w:hAnsi="Times New Roman" w:cs="Times New Roman"/>
          <w:color w:val="000000"/>
          <w:lang w:eastAsia="ar-SA"/>
        </w:rPr>
        <w:t xml:space="preserve"> LML, jei liga buvo atspari ankstesniam gydymui arba pacientas jo netoleravo.</w:t>
      </w:r>
    </w:p>
    <w:p w14:paraId="2AF8ED1C" w14:textId="77777777" w:rsidR="005E3EAE" w:rsidRPr="00975CA4" w:rsidRDefault="005E3EAE" w:rsidP="0046310B">
      <w:pPr>
        <w:spacing w:after="0" w:line="240" w:lineRule="auto"/>
        <w:rPr>
          <w:rFonts w:ascii="Times New Roman" w:eastAsia="Calibri" w:hAnsi="Times New Roman" w:cs="Times New Roman"/>
          <w:color w:val="000000"/>
          <w:lang w:eastAsia="ar-SA"/>
        </w:rPr>
      </w:pPr>
    </w:p>
    <w:p w14:paraId="2AAD10C8" w14:textId="77777777" w:rsidR="00C16369" w:rsidRPr="00975CA4" w:rsidRDefault="00C16369" w:rsidP="0046310B">
      <w:pPr>
        <w:tabs>
          <w:tab w:val="left" w:pos="567"/>
        </w:tabs>
        <w:suppressAutoHyphens/>
        <w:spacing w:after="0" w:line="260" w:lineRule="exact"/>
        <w:rPr>
          <w:rFonts w:ascii="Times New Roman" w:eastAsia="Times New Roman" w:hAnsi="Times New Roman" w:cs="Times New Roman"/>
          <w:color w:val="000000"/>
          <w:lang w:eastAsia="ar-SA"/>
        </w:rPr>
      </w:pP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Zentiva</w:t>
      </w:r>
      <w:proofErr w:type="spellEnd"/>
      <w:r w:rsidRPr="00975CA4">
        <w:rPr>
          <w:rFonts w:ascii="Times New Roman" w:eastAsia="Times New Roman" w:hAnsi="Times New Roman" w:cs="Times New Roman"/>
          <w:color w:val="000000"/>
          <w:lang w:eastAsia="ar-SA"/>
        </w:rPr>
        <w:t xml:space="preserve"> skirtas </w:t>
      </w:r>
      <w:r w:rsidR="00E3400C" w:rsidRPr="00975CA4">
        <w:rPr>
          <w:rFonts w:ascii="Times New Roman" w:eastAsia="Times New Roman" w:hAnsi="Times New Roman" w:cs="Times New Roman"/>
          <w:color w:val="000000"/>
          <w:lang w:eastAsia="ar-SA"/>
        </w:rPr>
        <w:t xml:space="preserve">gydyti </w:t>
      </w:r>
      <w:r w:rsidRPr="00975CA4">
        <w:rPr>
          <w:rFonts w:ascii="Times New Roman" w:eastAsia="Times New Roman" w:hAnsi="Times New Roman" w:cs="Times New Roman"/>
          <w:color w:val="000000"/>
          <w:lang w:eastAsia="ar-SA"/>
        </w:rPr>
        <w:t>vaikus, kuriems yra:</w:t>
      </w:r>
    </w:p>
    <w:p w14:paraId="4C6998AE" w14:textId="30223818" w:rsidR="00C16369" w:rsidRPr="00975CA4" w:rsidRDefault="00C16369" w:rsidP="0046310B">
      <w:pPr>
        <w:pStyle w:val="Sraopastraipa"/>
        <w:numPr>
          <w:ilvl w:val="0"/>
          <w:numId w:val="1"/>
        </w:numPr>
        <w:spacing w:after="0" w:line="240" w:lineRule="auto"/>
        <w:ind w:left="0" w:firstLine="0"/>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naujai diagnozuota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LML lėtinė fazė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LML LF) arba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LML LF, jeigu liga buvo atspari ankstesniam gydymui (įskaitant gydymą </w:t>
      </w:r>
      <w:proofErr w:type="spellStart"/>
      <w:r w:rsidRPr="00975CA4">
        <w:rPr>
          <w:rFonts w:ascii="Times New Roman" w:eastAsia="Calibri" w:hAnsi="Times New Roman" w:cs="Times New Roman"/>
          <w:color w:val="000000"/>
          <w:lang w:eastAsia="ar-SA"/>
        </w:rPr>
        <w:t>imatinibu</w:t>
      </w:r>
      <w:proofErr w:type="spellEnd"/>
      <w:r w:rsidRPr="00975CA4">
        <w:rPr>
          <w:rFonts w:ascii="Times New Roman" w:eastAsia="Calibri" w:hAnsi="Times New Roman" w:cs="Times New Roman"/>
          <w:color w:val="000000"/>
          <w:lang w:eastAsia="ar-SA"/>
        </w:rPr>
        <w:t>)</w:t>
      </w:r>
      <w:r w:rsidR="00EB5B68" w:rsidRPr="00975CA4">
        <w:rPr>
          <w:rFonts w:ascii="Times New Roman" w:eastAsia="Calibri" w:hAnsi="Times New Roman" w:cs="Times New Roman"/>
          <w:color w:val="000000"/>
          <w:lang w:eastAsia="ar-SA"/>
        </w:rPr>
        <w:t>,</w:t>
      </w:r>
      <w:r w:rsidRPr="00975CA4">
        <w:rPr>
          <w:rFonts w:ascii="Times New Roman" w:eastAsia="Calibri" w:hAnsi="Times New Roman" w:cs="Times New Roman"/>
          <w:color w:val="000000"/>
          <w:lang w:eastAsia="ar-SA"/>
        </w:rPr>
        <w:t xml:space="preserve"> arba pacientas jo netoleravo;</w:t>
      </w:r>
    </w:p>
    <w:p w14:paraId="0A1324C1" w14:textId="77777777" w:rsidR="00C16369" w:rsidRPr="00975CA4" w:rsidRDefault="00C16369" w:rsidP="0046310B">
      <w:pPr>
        <w:pStyle w:val="Sraopastraipa"/>
        <w:numPr>
          <w:ilvl w:val="0"/>
          <w:numId w:val="1"/>
        </w:numPr>
        <w:spacing w:after="0" w:line="240" w:lineRule="auto"/>
        <w:ind w:left="0" w:firstLine="0"/>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naujai diagnozuota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ŪLL derinyje su chemoterapija.</w:t>
      </w:r>
    </w:p>
    <w:p w14:paraId="1B75B5EA" w14:textId="77777777" w:rsidR="00C16369" w:rsidRPr="00975CA4" w:rsidRDefault="00C16369" w:rsidP="0046310B">
      <w:pPr>
        <w:tabs>
          <w:tab w:val="left" w:pos="567"/>
        </w:tabs>
        <w:suppressAutoHyphens/>
        <w:spacing w:after="0" w:line="260" w:lineRule="exact"/>
        <w:rPr>
          <w:rFonts w:ascii="Times New Roman" w:eastAsia="Times New Roman" w:hAnsi="Times New Roman" w:cs="Times New Roman"/>
          <w:color w:val="000000"/>
          <w:lang w:eastAsia="ar-SA"/>
        </w:rPr>
      </w:pPr>
    </w:p>
    <w:p w14:paraId="0DD09586" w14:textId="77777777" w:rsidR="00C16369" w:rsidRPr="00975CA4" w:rsidRDefault="00C16369" w:rsidP="0046310B">
      <w:pPr>
        <w:suppressAutoHyphens/>
        <w:spacing w:after="0" w:line="240" w:lineRule="auto"/>
        <w:rPr>
          <w:rFonts w:ascii="Times New Roman" w:eastAsia="Times New Roman" w:hAnsi="Times New Roman" w:cs="Times New Roman"/>
          <w:color w:val="000000"/>
          <w:lang w:eastAsia="ar-SA"/>
        </w:rPr>
      </w:pPr>
      <w:r w:rsidRPr="00975CA4">
        <w:rPr>
          <w:rFonts w:ascii="Times New Roman" w:eastAsia="Times New Roman" w:hAnsi="Times New Roman" w:cs="Times New Roman"/>
          <w:b/>
          <w:color w:val="000000"/>
          <w:lang w:eastAsia="ar-SA"/>
        </w:rPr>
        <w:t>4.2</w:t>
      </w:r>
      <w:r w:rsidRPr="00975CA4">
        <w:rPr>
          <w:rFonts w:ascii="Times New Roman" w:eastAsia="Times New Roman" w:hAnsi="Times New Roman" w:cs="Times New Roman"/>
          <w:b/>
          <w:color w:val="000000"/>
          <w:lang w:eastAsia="ar-SA"/>
        </w:rPr>
        <w:tab/>
        <w:t>Dozavimas ir vartojimo metodas</w:t>
      </w:r>
    </w:p>
    <w:p w14:paraId="1604DC0C" w14:textId="77777777" w:rsidR="00C16369" w:rsidRPr="00975CA4" w:rsidRDefault="00C16369" w:rsidP="0046310B">
      <w:pPr>
        <w:spacing w:after="0" w:line="240" w:lineRule="auto"/>
        <w:rPr>
          <w:rFonts w:ascii="Times New Roman" w:eastAsia="Calibri" w:hAnsi="Times New Roman" w:cs="Times New Roman"/>
          <w:color w:val="000000"/>
          <w:lang w:eastAsia="ar-SA"/>
        </w:rPr>
      </w:pPr>
    </w:p>
    <w:p w14:paraId="537A6BD6" w14:textId="77777777" w:rsidR="00C16369" w:rsidRPr="00975CA4" w:rsidRDefault="00C16369"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Gydymą turi pradėti gydytojas, turintis leukemijos diagnostikos ir gydymo patirties.</w:t>
      </w:r>
    </w:p>
    <w:p w14:paraId="1A87C26B" w14:textId="77777777" w:rsidR="00C16369" w:rsidRPr="00975CA4" w:rsidRDefault="00C16369" w:rsidP="0046310B">
      <w:pPr>
        <w:spacing w:after="0" w:line="240" w:lineRule="auto"/>
        <w:rPr>
          <w:rFonts w:ascii="Times New Roman" w:eastAsia="Calibri" w:hAnsi="Times New Roman" w:cs="Times New Roman"/>
          <w:color w:val="000000"/>
          <w:lang w:eastAsia="ar-SA"/>
        </w:rPr>
      </w:pPr>
    </w:p>
    <w:p w14:paraId="653A35E5" w14:textId="77777777" w:rsidR="00C16369" w:rsidRPr="00975CA4" w:rsidRDefault="00C16369" w:rsidP="0046310B">
      <w:pPr>
        <w:suppressAutoHyphens/>
        <w:spacing w:after="0" w:line="240" w:lineRule="auto"/>
        <w:rPr>
          <w:rFonts w:ascii="Times New Roman" w:eastAsia="Times New Roman" w:hAnsi="Times New Roman" w:cs="Times New Roman"/>
          <w:color w:val="000000"/>
          <w:lang w:eastAsia="ar-SA"/>
        </w:rPr>
      </w:pPr>
      <w:r w:rsidRPr="00975CA4">
        <w:rPr>
          <w:rFonts w:ascii="Times New Roman" w:eastAsia="Calibri" w:hAnsi="Times New Roman" w:cs="Times New Roman"/>
          <w:color w:val="000000"/>
          <w:u w:val="single"/>
          <w:lang w:eastAsia="ar-SA"/>
        </w:rPr>
        <w:t>Dozavimas</w:t>
      </w:r>
    </w:p>
    <w:p w14:paraId="053286C9" w14:textId="77777777" w:rsidR="00C16369" w:rsidRPr="00975CA4" w:rsidRDefault="00C16369" w:rsidP="0046310B">
      <w:pPr>
        <w:suppressAutoHyphens/>
        <w:spacing w:after="0" w:line="240" w:lineRule="auto"/>
        <w:rPr>
          <w:rFonts w:ascii="Times New Roman" w:eastAsia="Times New Roman" w:hAnsi="Times New Roman" w:cs="Times New Roman"/>
          <w:color w:val="000000"/>
          <w:lang w:eastAsia="ar-SA"/>
        </w:rPr>
      </w:pPr>
    </w:p>
    <w:p w14:paraId="7E697268" w14:textId="77777777" w:rsidR="00C16369" w:rsidRPr="00975CA4" w:rsidRDefault="00C16369" w:rsidP="0046310B">
      <w:pPr>
        <w:suppressAutoHyphens/>
        <w:spacing w:after="0" w:line="240" w:lineRule="auto"/>
        <w:rPr>
          <w:rFonts w:ascii="Times New Roman" w:eastAsia="Calibri" w:hAnsi="Times New Roman" w:cs="Times New Roman"/>
          <w:i/>
          <w:iCs/>
          <w:color w:val="000000"/>
          <w:lang w:eastAsia="ar-SA"/>
        </w:rPr>
      </w:pPr>
      <w:r w:rsidRPr="00975CA4">
        <w:rPr>
          <w:rFonts w:ascii="Times New Roman" w:hAnsi="Times New Roman"/>
          <w:i/>
          <w:color w:val="000000"/>
        </w:rPr>
        <w:t>S</w:t>
      </w:r>
      <w:r w:rsidRPr="00975CA4">
        <w:rPr>
          <w:rFonts w:ascii="Times New Roman" w:eastAsia="Calibri" w:hAnsi="Times New Roman" w:cs="Times New Roman"/>
          <w:i/>
          <w:iCs/>
          <w:color w:val="000000"/>
          <w:lang w:eastAsia="ar-SA"/>
        </w:rPr>
        <w:t>uaugusiesiems</w:t>
      </w:r>
    </w:p>
    <w:p w14:paraId="2E56F220" w14:textId="77777777" w:rsidR="00C16369" w:rsidRPr="00975CA4" w:rsidRDefault="00C16369" w:rsidP="0046310B">
      <w:pPr>
        <w:suppressAutoHyphens/>
        <w:spacing w:after="0" w:line="240" w:lineRule="auto"/>
        <w:rPr>
          <w:rFonts w:ascii="Times New Roman" w:eastAsia="Times New Roman" w:hAnsi="Times New Roman" w:cs="Times New Roman"/>
          <w:color w:val="000000"/>
          <w:lang w:eastAsia="ar-SA"/>
        </w:rPr>
      </w:pPr>
      <w:r w:rsidRPr="00975CA4">
        <w:rPr>
          <w:rFonts w:ascii="Times New Roman" w:eastAsia="Calibri" w:hAnsi="Times New Roman" w:cs="Times New Roman"/>
          <w:color w:val="000000"/>
          <w:lang w:eastAsia="ar-SA"/>
        </w:rPr>
        <w:t>Rekomenduojama pradinė dozė lėtinės fazės LML gydyti – 100</w:t>
      </w:r>
      <w:r w:rsidRPr="00975CA4">
        <w:rPr>
          <w:rFonts w:ascii="Times New Roman" w:eastAsia="TimesNewRoman" w:hAnsi="Times New Roman" w:cs="Times New Roman"/>
          <w:color w:val="000000"/>
          <w:lang w:eastAsia="ar-SA"/>
        </w:rPr>
        <w:t> </w:t>
      </w:r>
      <w:r w:rsidRPr="00975CA4">
        <w:rPr>
          <w:rFonts w:ascii="Times New Roman" w:eastAsia="Calibri" w:hAnsi="Times New Roman" w:cs="Times New Roman"/>
          <w:color w:val="000000"/>
          <w:lang w:eastAsia="ar-SA"/>
        </w:rPr>
        <w:t xml:space="preserve">mg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1 kartą per parą.</w:t>
      </w:r>
    </w:p>
    <w:p w14:paraId="5893704B" w14:textId="77777777" w:rsidR="00C16369" w:rsidRPr="00975CA4" w:rsidRDefault="00C16369" w:rsidP="0046310B">
      <w:pPr>
        <w:suppressAutoHyphens/>
        <w:spacing w:after="0" w:line="240" w:lineRule="auto"/>
        <w:rPr>
          <w:rFonts w:ascii="Times New Roman" w:eastAsia="Times New Roman" w:hAnsi="Times New Roman" w:cs="Times New Roman"/>
          <w:color w:val="000000"/>
          <w:lang w:eastAsia="ar-SA"/>
        </w:rPr>
      </w:pPr>
    </w:p>
    <w:p w14:paraId="2B47CFB4" w14:textId="77777777" w:rsidR="00C16369" w:rsidRPr="00975CA4" w:rsidRDefault="00C16369" w:rsidP="0046310B">
      <w:pPr>
        <w:suppressAutoHyphens/>
        <w:spacing w:after="0" w:line="240" w:lineRule="auto"/>
        <w:rPr>
          <w:rFonts w:ascii="Times New Roman" w:eastAsia="Calibri" w:hAnsi="Times New Roman" w:cs="Times New Roman"/>
          <w:i/>
          <w:iCs/>
          <w:color w:val="000000"/>
          <w:lang w:eastAsia="ar-SA"/>
        </w:rPr>
      </w:pPr>
      <w:r w:rsidRPr="00975CA4">
        <w:rPr>
          <w:rFonts w:ascii="Times New Roman" w:eastAsia="Calibri" w:hAnsi="Times New Roman" w:cs="Times New Roman"/>
          <w:color w:val="000000"/>
          <w:lang w:eastAsia="ar-SA"/>
        </w:rPr>
        <w:lastRenderedPageBreak/>
        <w:t xml:space="preserve">Rekomenduojama pradinė dozė akceleracijos, </w:t>
      </w:r>
      <w:proofErr w:type="spellStart"/>
      <w:r w:rsidRPr="00975CA4">
        <w:rPr>
          <w:rFonts w:ascii="Times New Roman" w:eastAsia="Calibri" w:hAnsi="Times New Roman" w:cs="Times New Roman"/>
          <w:color w:val="000000"/>
          <w:lang w:eastAsia="ar-SA"/>
        </w:rPr>
        <w:t>mieloidinių</w:t>
      </w:r>
      <w:proofErr w:type="spellEnd"/>
      <w:r w:rsidRPr="00975CA4">
        <w:rPr>
          <w:rFonts w:ascii="Times New Roman" w:eastAsia="Calibri" w:hAnsi="Times New Roman" w:cs="Times New Roman"/>
          <w:color w:val="000000"/>
          <w:lang w:eastAsia="ar-SA"/>
        </w:rPr>
        <w:t xml:space="preserve"> ar </w:t>
      </w:r>
      <w:proofErr w:type="spellStart"/>
      <w:r w:rsidRPr="00975CA4">
        <w:rPr>
          <w:rFonts w:ascii="Times New Roman" w:eastAsia="Calibri" w:hAnsi="Times New Roman" w:cs="Times New Roman"/>
          <w:color w:val="000000"/>
          <w:lang w:eastAsia="ar-SA"/>
        </w:rPr>
        <w:t>limfoidinių</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blastų</w:t>
      </w:r>
      <w:proofErr w:type="spellEnd"/>
      <w:r w:rsidRPr="00975CA4">
        <w:rPr>
          <w:rFonts w:ascii="Times New Roman" w:eastAsia="Calibri" w:hAnsi="Times New Roman" w:cs="Times New Roman"/>
          <w:color w:val="000000"/>
          <w:lang w:eastAsia="ar-SA"/>
        </w:rPr>
        <w:t xml:space="preserve"> (progresavusios) fazės LML ar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ŪLL gydyti – 140 mg 1 kartą per parą (žr. 4.4 skyrių).</w:t>
      </w:r>
    </w:p>
    <w:p w14:paraId="7CF7F9CA" w14:textId="77777777" w:rsidR="00C16369" w:rsidRPr="00975CA4" w:rsidRDefault="00C16369" w:rsidP="0046310B">
      <w:pPr>
        <w:suppressAutoHyphens/>
        <w:spacing w:after="0" w:line="240" w:lineRule="auto"/>
        <w:rPr>
          <w:rFonts w:ascii="Times New Roman" w:eastAsia="Calibri" w:hAnsi="Times New Roman" w:cs="Times New Roman"/>
          <w:i/>
          <w:iCs/>
          <w:color w:val="000000"/>
          <w:lang w:eastAsia="ar-SA"/>
        </w:rPr>
      </w:pPr>
    </w:p>
    <w:p w14:paraId="5036AC93" w14:textId="77777777" w:rsidR="00C16369" w:rsidRPr="00975CA4" w:rsidRDefault="00C16369"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i/>
          <w:iCs/>
          <w:color w:val="000000"/>
          <w:lang w:eastAsia="ar-SA"/>
        </w:rPr>
        <w:t>Vaikų populiacija (</w:t>
      </w:r>
      <w:proofErr w:type="spellStart"/>
      <w:r w:rsidRPr="00975CA4">
        <w:rPr>
          <w:rFonts w:ascii="Times New Roman" w:eastAsia="Calibri" w:hAnsi="Times New Roman" w:cs="Times New Roman"/>
          <w:i/>
          <w:iCs/>
          <w:color w:val="000000"/>
          <w:lang w:eastAsia="ar-SA"/>
        </w:rPr>
        <w:t>Ph</w:t>
      </w:r>
      <w:proofErr w:type="spellEnd"/>
      <w:r w:rsidRPr="00975CA4">
        <w:rPr>
          <w:rFonts w:ascii="Times New Roman" w:eastAsia="Calibri" w:hAnsi="Times New Roman" w:cs="Times New Roman"/>
          <w:i/>
          <w:iCs/>
          <w:color w:val="000000"/>
          <w:lang w:eastAsia="ar-SA"/>
        </w:rPr>
        <w:t xml:space="preserve">+ LML LF ir </w:t>
      </w:r>
      <w:proofErr w:type="spellStart"/>
      <w:r w:rsidRPr="00975CA4">
        <w:rPr>
          <w:rFonts w:ascii="Times New Roman" w:eastAsia="Calibri" w:hAnsi="Times New Roman" w:cs="Times New Roman"/>
          <w:i/>
          <w:iCs/>
          <w:color w:val="000000"/>
          <w:lang w:eastAsia="ar-SA"/>
        </w:rPr>
        <w:t>Ph</w:t>
      </w:r>
      <w:proofErr w:type="spellEnd"/>
      <w:r w:rsidRPr="00975CA4">
        <w:rPr>
          <w:rFonts w:ascii="Times New Roman" w:eastAsia="Calibri" w:hAnsi="Times New Roman" w:cs="Times New Roman"/>
          <w:i/>
          <w:iCs/>
          <w:color w:val="000000"/>
          <w:lang w:eastAsia="ar-SA"/>
        </w:rPr>
        <w:t>+ ŪLL)</w:t>
      </w:r>
    </w:p>
    <w:p w14:paraId="5C875659" w14:textId="354C57FF" w:rsidR="00C16369" w:rsidRPr="00975CA4" w:rsidRDefault="00C16369"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Vaikams ir paaugliams dozuojama pagal kūno svorį (žr. 1 lentelę). </w:t>
      </w:r>
      <w:proofErr w:type="spellStart"/>
      <w:r w:rsidRPr="00975CA4">
        <w:rPr>
          <w:rFonts w:ascii="Times New Roman" w:eastAsia="Calibri" w:hAnsi="Times New Roman" w:cs="Times New Roman"/>
          <w:color w:val="000000"/>
          <w:lang w:eastAsia="ar-SA"/>
        </w:rPr>
        <w:t>Dazatinibas</w:t>
      </w:r>
      <w:proofErr w:type="spellEnd"/>
      <w:r w:rsidRPr="00975CA4">
        <w:rPr>
          <w:rFonts w:ascii="Times New Roman" w:eastAsia="Calibri" w:hAnsi="Times New Roman" w:cs="Times New Roman"/>
          <w:color w:val="000000"/>
          <w:lang w:eastAsia="ar-SA"/>
        </w:rPr>
        <w:t xml:space="preserve"> vartojamas per burną 1 kartą per parą</w:t>
      </w:r>
      <w:r w:rsidR="00DF41C1" w:rsidRPr="00975CA4">
        <w:rPr>
          <w:rFonts w:ascii="Times New Roman" w:eastAsia="Calibri" w:hAnsi="Times New Roman" w:cs="Times New Roman"/>
          <w:color w:val="000000"/>
          <w:lang w:eastAsia="ar-SA"/>
        </w:rPr>
        <w:t>, plėvele dengtų tablečių arba miltelių geriamajai suspensijai forma.</w:t>
      </w:r>
      <w:r w:rsidRPr="00975CA4">
        <w:rPr>
          <w:rFonts w:ascii="Times New Roman" w:eastAsia="Calibri" w:hAnsi="Times New Roman" w:cs="Times New Roman"/>
          <w:color w:val="000000"/>
          <w:lang w:eastAsia="ar-SA"/>
        </w:rPr>
        <w:t xml:space="preserve"> Dozę reikia perskaičiuoti kas </w:t>
      </w:r>
      <w:r w:rsidR="000E037D" w:rsidRPr="00975CA4">
        <w:rPr>
          <w:rFonts w:ascii="Times New Roman" w:eastAsia="Calibri" w:hAnsi="Times New Roman" w:cs="Times New Roman"/>
          <w:color w:val="000000"/>
          <w:lang w:eastAsia="ar-SA"/>
        </w:rPr>
        <w:t>3 </w:t>
      </w:r>
      <w:r w:rsidRPr="00975CA4">
        <w:rPr>
          <w:rFonts w:ascii="Times New Roman" w:eastAsia="Calibri" w:hAnsi="Times New Roman" w:cs="Times New Roman"/>
          <w:color w:val="000000"/>
          <w:lang w:eastAsia="ar-SA"/>
        </w:rPr>
        <w:t xml:space="preserve">mėn. arba prireikus dažniau atsižvelgiant į kūno svorio kitimą. Pacientams, sveriantiems mažiau kaip </w:t>
      </w:r>
      <w:r w:rsidR="004F2D5F" w:rsidRPr="00975CA4">
        <w:rPr>
          <w:rFonts w:ascii="Times New Roman" w:eastAsia="Calibri" w:hAnsi="Times New Roman" w:cs="Times New Roman"/>
          <w:color w:val="000000"/>
          <w:lang w:eastAsia="ar-SA"/>
        </w:rPr>
        <w:t>10 </w:t>
      </w:r>
      <w:r w:rsidRPr="00975CA4">
        <w:rPr>
          <w:rFonts w:ascii="Times New Roman" w:eastAsia="Calibri" w:hAnsi="Times New Roman" w:cs="Times New Roman"/>
          <w:color w:val="000000"/>
          <w:lang w:eastAsia="ar-SA"/>
        </w:rPr>
        <w:t xml:space="preserve">kg, tabletės nerekomenduojamos; šiems pacientams </w:t>
      </w:r>
      <w:r w:rsidR="00DF41C1" w:rsidRPr="00975CA4">
        <w:rPr>
          <w:rFonts w:ascii="Times New Roman" w:eastAsia="Calibri" w:hAnsi="Times New Roman" w:cs="Times New Roman"/>
          <w:color w:val="000000"/>
          <w:lang w:eastAsia="ar-SA"/>
        </w:rPr>
        <w:t xml:space="preserve">reikia skirti </w:t>
      </w:r>
      <w:r w:rsidRPr="00975CA4">
        <w:rPr>
          <w:rFonts w:ascii="Times New Roman" w:eastAsia="Calibri" w:hAnsi="Times New Roman" w:cs="Times New Roman"/>
          <w:color w:val="000000"/>
          <w:lang w:eastAsia="ar-SA"/>
        </w:rPr>
        <w:t>milteli</w:t>
      </w:r>
      <w:r w:rsidR="00DF41C1" w:rsidRPr="00975CA4">
        <w:rPr>
          <w:rFonts w:ascii="Times New Roman" w:eastAsia="Calibri" w:hAnsi="Times New Roman" w:cs="Times New Roman"/>
          <w:color w:val="000000"/>
          <w:lang w:eastAsia="ar-SA"/>
        </w:rPr>
        <w:t>ų</w:t>
      </w:r>
      <w:r w:rsidRPr="00975CA4">
        <w:rPr>
          <w:rFonts w:ascii="Times New Roman" w:eastAsia="Calibri" w:hAnsi="Times New Roman" w:cs="Times New Roman"/>
          <w:color w:val="000000"/>
          <w:lang w:eastAsia="ar-SA"/>
        </w:rPr>
        <w:t xml:space="preserve"> geriamajai suspensijai. Didinti arba mažinti dozę rekomenduojama atsižvelgiant į individualų paciento atsaką ir toleravimą. Jaunesnių kaip 1 metų vaikų gydymo </w:t>
      </w: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00DF41C1"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patirties nėra. </w:t>
      </w:r>
    </w:p>
    <w:p w14:paraId="4F087118" w14:textId="77777777" w:rsidR="00C16369" w:rsidRPr="00975CA4" w:rsidRDefault="00C16369" w:rsidP="0046310B">
      <w:pPr>
        <w:suppressAutoHyphens/>
        <w:spacing w:after="0" w:line="240" w:lineRule="auto"/>
        <w:rPr>
          <w:rFonts w:ascii="Times New Roman" w:eastAsia="Calibri" w:hAnsi="Times New Roman" w:cs="Times New Roman"/>
          <w:color w:val="000000"/>
          <w:lang w:eastAsia="ar-SA"/>
        </w:rPr>
      </w:pPr>
    </w:p>
    <w:p w14:paraId="11E77A9E" w14:textId="77777777" w:rsidR="00C16369" w:rsidRPr="00975CA4" w:rsidRDefault="00C16369" w:rsidP="0046310B">
      <w:pPr>
        <w:suppressAutoHyphens/>
        <w:spacing w:after="0" w:line="240" w:lineRule="auto"/>
        <w:rPr>
          <w:rFonts w:ascii="Times New Roman" w:eastAsia="Calibri" w:hAnsi="Times New Roman" w:cs="Times New Roman"/>
          <w:iCs/>
          <w:color w:val="000000"/>
          <w:lang w:eastAsia="ar-SA"/>
        </w:rPr>
      </w:pPr>
      <w:proofErr w:type="spellStart"/>
      <w:r w:rsidRPr="00975CA4">
        <w:rPr>
          <w:rFonts w:ascii="Times New Roman" w:eastAsia="Calibri" w:hAnsi="Times New Roman" w:cs="Times New Roman"/>
          <w:iCs/>
          <w:color w:val="000000"/>
          <w:lang w:eastAsia="ar-SA"/>
        </w:rPr>
        <w:t>Da</w:t>
      </w:r>
      <w:r w:rsidR="00DF41C1" w:rsidRPr="00975CA4">
        <w:rPr>
          <w:rFonts w:ascii="Times New Roman" w:eastAsia="Calibri" w:hAnsi="Times New Roman" w:cs="Times New Roman"/>
          <w:iCs/>
          <w:color w:val="000000"/>
          <w:lang w:eastAsia="ar-SA"/>
        </w:rPr>
        <w:t>zatinibo</w:t>
      </w:r>
      <w:proofErr w:type="spellEnd"/>
      <w:r w:rsidR="00DF41C1" w:rsidRPr="00975CA4">
        <w:rPr>
          <w:rFonts w:ascii="Times New Roman" w:eastAsia="Calibri" w:hAnsi="Times New Roman" w:cs="Times New Roman"/>
          <w:iCs/>
          <w:color w:val="000000"/>
          <w:lang w:eastAsia="ar-SA"/>
        </w:rPr>
        <w:t xml:space="preserve"> </w:t>
      </w:r>
      <w:r w:rsidRPr="00975CA4">
        <w:rPr>
          <w:rFonts w:ascii="Times New Roman" w:eastAsia="Calibri" w:hAnsi="Times New Roman" w:cs="Times New Roman"/>
          <w:iCs/>
          <w:color w:val="000000"/>
          <w:lang w:eastAsia="ar-SA"/>
        </w:rPr>
        <w:t xml:space="preserve">plėvele dengtos tabletės ir </w:t>
      </w:r>
      <w:proofErr w:type="spellStart"/>
      <w:r w:rsidRPr="00975CA4">
        <w:rPr>
          <w:rFonts w:ascii="Times New Roman" w:eastAsia="Calibri" w:hAnsi="Times New Roman" w:cs="Times New Roman"/>
          <w:iCs/>
          <w:color w:val="000000"/>
          <w:lang w:eastAsia="ar-SA"/>
        </w:rPr>
        <w:t>dazatinibo</w:t>
      </w:r>
      <w:proofErr w:type="spellEnd"/>
      <w:r w:rsidRPr="00975CA4">
        <w:rPr>
          <w:rFonts w:ascii="Times New Roman" w:eastAsia="Calibri" w:hAnsi="Times New Roman" w:cs="Times New Roman"/>
          <w:iCs/>
          <w:color w:val="000000"/>
          <w:lang w:eastAsia="ar-SA"/>
        </w:rPr>
        <w:t xml:space="preserve"> milteliai geriamajai suspensijai nėra biologiškai ekvivalentiški. Jeigu pacientas gali nuryti tabletes ir nori </w:t>
      </w:r>
      <w:proofErr w:type="spellStart"/>
      <w:r w:rsidRPr="00975CA4">
        <w:rPr>
          <w:rFonts w:ascii="Times New Roman" w:eastAsia="Calibri" w:hAnsi="Times New Roman" w:cs="Times New Roman"/>
          <w:iCs/>
          <w:color w:val="000000"/>
          <w:lang w:eastAsia="ar-SA"/>
        </w:rPr>
        <w:t>dazatinibo</w:t>
      </w:r>
      <w:proofErr w:type="spellEnd"/>
      <w:r w:rsidRPr="00975CA4">
        <w:rPr>
          <w:rFonts w:ascii="Times New Roman" w:eastAsia="Calibri" w:hAnsi="Times New Roman" w:cs="Times New Roman"/>
          <w:iCs/>
          <w:color w:val="000000"/>
          <w:lang w:eastAsia="ar-SA"/>
        </w:rPr>
        <w:t xml:space="preserve"> miltelius geriamajai suspensijai pakeisti </w:t>
      </w:r>
      <w:proofErr w:type="spellStart"/>
      <w:r w:rsidR="00DF41C1" w:rsidRPr="00975CA4">
        <w:rPr>
          <w:rFonts w:ascii="Times New Roman" w:eastAsia="Calibri" w:hAnsi="Times New Roman" w:cs="Times New Roman"/>
          <w:iCs/>
          <w:color w:val="000000"/>
          <w:lang w:eastAsia="ar-SA"/>
        </w:rPr>
        <w:t>d</w:t>
      </w:r>
      <w:r w:rsidRPr="00975CA4">
        <w:rPr>
          <w:rFonts w:ascii="Times New Roman" w:eastAsia="Calibri" w:hAnsi="Times New Roman" w:cs="Times New Roman"/>
          <w:iCs/>
          <w:color w:val="000000"/>
          <w:lang w:eastAsia="ar-SA"/>
        </w:rPr>
        <w:t>a</w:t>
      </w:r>
      <w:r w:rsidR="00DF41C1" w:rsidRPr="00975CA4">
        <w:rPr>
          <w:rFonts w:ascii="Times New Roman" w:eastAsia="Calibri" w:hAnsi="Times New Roman" w:cs="Times New Roman"/>
          <w:iCs/>
          <w:color w:val="000000"/>
          <w:lang w:eastAsia="ar-SA"/>
        </w:rPr>
        <w:t>z</w:t>
      </w:r>
      <w:r w:rsidRPr="00975CA4">
        <w:rPr>
          <w:rFonts w:ascii="Times New Roman" w:eastAsia="Calibri" w:hAnsi="Times New Roman" w:cs="Times New Roman"/>
          <w:iCs/>
          <w:color w:val="000000"/>
          <w:lang w:eastAsia="ar-SA"/>
        </w:rPr>
        <w:t>atinib</w:t>
      </w:r>
      <w:r w:rsidR="00DF41C1" w:rsidRPr="00975CA4">
        <w:rPr>
          <w:rFonts w:ascii="Times New Roman" w:eastAsia="Calibri" w:hAnsi="Times New Roman" w:cs="Times New Roman"/>
          <w:iCs/>
          <w:color w:val="000000"/>
          <w:lang w:eastAsia="ar-SA"/>
        </w:rPr>
        <w:t>o</w:t>
      </w:r>
      <w:proofErr w:type="spellEnd"/>
      <w:r w:rsidRPr="00975CA4">
        <w:rPr>
          <w:rFonts w:ascii="Times New Roman" w:eastAsia="Calibri" w:hAnsi="Times New Roman" w:cs="Times New Roman"/>
          <w:iCs/>
          <w:color w:val="000000"/>
          <w:lang w:eastAsia="ar-SA"/>
        </w:rPr>
        <w:t xml:space="preserve"> tabletėmis arba pacientas negali nuryti tablečių ir nori pereiti nuo tablečių prie geriamosios suspensijos, tai tą galima padaryti laikantis atitinkamos farmacinės formos dozavimo rekomendacijų.</w:t>
      </w:r>
    </w:p>
    <w:p w14:paraId="7857AB27" w14:textId="77777777" w:rsidR="00C16369" w:rsidRPr="00975CA4" w:rsidRDefault="00C16369" w:rsidP="0046310B">
      <w:pPr>
        <w:suppressAutoHyphens/>
        <w:spacing w:after="0" w:line="240" w:lineRule="auto"/>
        <w:rPr>
          <w:rFonts w:ascii="Times New Roman" w:eastAsia="Calibri" w:hAnsi="Times New Roman" w:cs="Times New Roman"/>
          <w:iCs/>
          <w:color w:val="000000"/>
          <w:lang w:eastAsia="ar-SA"/>
        </w:rPr>
      </w:pPr>
    </w:p>
    <w:p w14:paraId="564DFA5E" w14:textId="77777777" w:rsidR="00C16369" w:rsidRPr="00975CA4" w:rsidRDefault="00C16369"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Rekomenduojama </w:t>
      </w: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00DF41C1"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tablečių pradinė paros dozė vaik</w:t>
      </w:r>
      <w:r w:rsidR="00DF41C1" w:rsidRPr="00975CA4">
        <w:rPr>
          <w:rFonts w:ascii="Times New Roman" w:eastAsia="Calibri" w:hAnsi="Times New Roman" w:cs="Times New Roman"/>
          <w:color w:val="000000"/>
          <w:lang w:eastAsia="ar-SA"/>
        </w:rPr>
        <w:t>ams</w:t>
      </w:r>
      <w:r w:rsidRPr="00975CA4">
        <w:rPr>
          <w:rFonts w:ascii="Times New Roman" w:eastAsia="Calibri" w:hAnsi="Times New Roman" w:cs="Times New Roman"/>
          <w:color w:val="000000"/>
          <w:lang w:eastAsia="ar-SA"/>
        </w:rPr>
        <w:t xml:space="preserve"> pateikiama 1 lentelėje. </w:t>
      </w:r>
    </w:p>
    <w:p w14:paraId="088AC417" w14:textId="77777777" w:rsidR="00C16369" w:rsidRPr="00975CA4" w:rsidRDefault="00C16369" w:rsidP="0046310B">
      <w:pPr>
        <w:spacing w:after="0" w:line="240" w:lineRule="auto"/>
        <w:rPr>
          <w:rFonts w:ascii="Times New Roman" w:eastAsia="Calibri" w:hAnsi="Times New Roman" w:cs="Times New Roman"/>
          <w:color w:val="000000"/>
          <w:lang w:eastAsia="ar-SA"/>
        </w:rPr>
      </w:pPr>
    </w:p>
    <w:p w14:paraId="4E9154F6" w14:textId="77777777" w:rsidR="00604522" w:rsidRPr="00975CA4" w:rsidRDefault="00604522" w:rsidP="0046310B">
      <w:pPr>
        <w:suppressAutoHyphens/>
        <w:spacing w:after="0" w:line="240" w:lineRule="auto"/>
        <w:rPr>
          <w:rFonts w:ascii="Times New Roman" w:eastAsia="Calibri" w:hAnsi="Times New Roman" w:cs="Times New Roman"/>
          <w:b/>
          <w:bCs/>
          <w:color w:val="000000"/>
          <w:lang w:eastAsia="ar-SA"/>
        </w:rPr>
      </w:pPr>
      <w:r w:rsidRPr="00975CA4">
        <w:rPr>
          <w:rFonts w:ascii="Times New Roman" w:eastAsia="Calibri" w:hAnsi="Times New Roman" w:cs="Times New Roman"/>
          <w:b/>
          <w:bCs/>
          <w:color w:val="000000"/>
          <w:lang w:eastAsia="ar-SA"/>
        </w:rPr>
        <w:t xml:space="preserve">1 lentelė. </w:t>
      </w:r>
      <w:proofErr w:type="spellStart"/>
      <w:r w:rsidRPr="00975CA4">
        <w:rPr>
          <w:rFonts w:ascii="Times New Roman" w:eastAsia="Calibri" w:hAnsi="Times New Roman" w:cs="Times New Roman"/>
          <w:b/>
          <w:bCs/>
          <w:color w:val="000000"/>
          <w:lang w:eastAsia="ar-SA"/>
        </w:rPr>
        <w:t>Dasatinib</w:t>
      </w:r>
      <w:proofErr w:type="spellEnd"/>
      <w:r w:rsidRPr="00975CA4">
        <w:rPr>
          <w:rFonts w:ascii="Times New Roman" w:eastAsia="Calibri" w:hAnsi="Times New Roman" w:cs="Times New Roman"/>
          <w:b/>
          <w:bCs/>
          <w:color w:val="000000"/>
          <w:lang w:eastAsia="ar-SA"/>
        </w:rPr>
        <w:t xml:space="preserve"> </w:t>
      </w:r>
      <w:proofErr w:type="spellStart"/>
      <w:r w:rsidRPr="00975CA4">
        <w:rPr>
          <w:rFonts w:ascii="Times New Roman" w:eastAsia="Calibri" w:hAnsi="Times New Roman" w:cs="Times New Roman"/>
          <w:b/>
          <w:bCs/>
          <w:color w:val="000000"/>
          <w:lang w:eastAsia="ar-SA"/>
        </w:rPr>
        <w:t>Zentiva</w:t>
      </w:r>
      <w:proofErr w:type="spellEnd"/>
      <w:r w:rsidRPr="00975CA4">
        <w:rPr>
          <w:rFonts w:ascii="Times New Roman" w:eastAsia="Calibri" w:hAnsi="Times New Roman" w:cs="Times New Roman"/>
          <w:b/>
          <w:bCs/>
          <w:color w:val="000000"/>
          <w:lang w:eastAsia="ar-SA"/>
        </w:rPr>
        <w:t xml:space="preserve"> tablečių dozavimas vaikams, sergantiems </w:t>
      </w:r>
      <w:proofErr w:type="spellStart"/>
      <w:r w:rsidRPr="00975CA4">
        <w:rPr>
          <w:rFonts w:ascii="Times New Roman" w:eastAsia="Calibri" w:hAnsi="Times New Roman" w:cs="Times New Roman"/>
          <w:b/>
          <w:bCs/>
          <w:color w:val="000000"/>
          <w:lang w:eastAsia="ar-SA"/>
        </w:rPr>
        <w:t>Ph</w:t>
      </w:r>
      <w:proofErr w:type="spellEnd"/>
      <w:r w:rsidRPr="00975CA4">
        <w:rPr>
          <w:rFonts w:ascii="Times New Roman" w:eastAsia="Calibri" w:hAnsi="Times New Roman" w:cs="Times New Roman"/>
          <w:b/>
          <w:bCs/>
          <w:color w:val="000000"/>
          <w:lang w:eastAsia="ar-SA"/>
        </w:rPr>
        <w:t xml:space="preserve">+ LML LF arba </w:t>
      </w:r>
      <w:proofErr w:type="spellStart"/>
      <w:r w:rsidRPr="00975CA4">
        <w:rPr>
          <w:rFonts w:ascii="Times New Roman" w:eastAsia="Calibri" w:hAnsi="Times New Roman" w:cs="Times New Roman"/>
          <w:b/>
          <w:bCs/>
          <w:color w:val="000000"/>
          <w:lang w:eastAsia="ar-SA"/>
        </w:rPr>
        <w:t>Ph</w:t>
      </w:r>
      <w:proofErr w:type="spellEnd"/>
      <w:r w:rsidRPr="00975CA4">
        <w:rPr>
          <w:rFonts w:ascii="Times New Roman" w:eastAsia="Calibri" w:hAnsi="Times New Roman" w:cs="Times New Roman"/>
          <w:b/>
          <w:bCs/>
          <w:color w:val="000000"/>
          <w:lang w:eastAsia="ar-SA"/>
        </w:rPr>
        <w:t xml:space="preserve">+ ŪLL </w:t>
      </w:r>
    </w:p>
    <w:p w14:paraId="38753A75" w14:textId="77777777" w:rsidR="00604522" w:rsidRPr="00975CA4" w:rsidRDefault="00604522" w:rsidP="0046310B">
      <w:pPr>
        <w:suppressAutoHyphens/>
        <w:spacing w:after="0" w:line="240" w:lineRule="auto"/>
        <w:rPr>
          <w:rFonts w:ascii="Times New Roman" w:eastAsia="Calibri" w:hAnsi="Times New Roman" w:cs="Times New Roman"/>
          <w:color w:val="000000"/>
          <w:lang w:eastAsia="ar-SA"/>
        </w:rPr>
      </w:pP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5"/>
      </w:tblGrid>
      <w:tr w:rsidR="00604522" w:rsidRPr="00975CA4" w14:paraId="2E6CA99C" w14:textId="77777777" w:rsidTr="00604522">
        <w:trPr>
          <w:trHeight w:val="283"/>
          <w:jc w:val="center"/>
        </w:trPr>
        <w:tc>
          <w:tcPr>
            <w:tcW w:w="3119" w:type="dxa"/>
          </w:tcPr>
          <w:p w14:paraId="04507339" w14:textId="77777777" w:rsidR="00604522" w:rsidRPr="00975CA4" w:rsidRDefault="00604522" w:rsidP="0046310B">
            <w:pPr>
              <w:spacing w:after="0"/>
              <w:rPr>
                <w:rFonts w:ascii="Times New Roman" w:hAnsi="Times New Roman" w:cs="Times New Roman"/>
              </w:rPr>
            </w:pPr>
            <w:r w:rsidRPr="00975CA4">
              <w:rPr>
                <w:rFonts w:ascii="Times New Roman" w:hAnsi="Times New Roman" w:cs="Times New Roman"/>
              </w:rPr>
              <w:t>Kūno svoris (kg)</w:t>
            </w:r>
            <w:r w:rsidRPr="00975CA4">
              <w:rPr>
                <w:rFonts w:ascii="Times New Roman" w:hAnsi="Times New Roman" w:cs="Times New Roman"/>
                <w:vertAlign w:val="superscript"/>
              </w:rPr>
              <w:t>a</w:t>
            </w:r>
          </w:p>
        </w:tc>
        <w:tc>
          <w:tcPr>
            <w:tcW w:w="1985" w:type="dxa"/>
          </w:tcPr>
          <w:p w14:paraId="1D610795" w14:textId="77777777" w:rsidR="00604522" w:rsidRPr="00975CA4" w:rsidRDefault="00604522" w:rsidP="0046310B">
            <w:pPr>
              <w:spacing w:after="0"/>
              <w:ind w:right="176"/>
              <w:rPr>
                <w:rFonts w:ascii="Times New Roman" w:hAnsi="Times New Roman" w:cs="Times New Roman"/>
              </w:rPr>
            </w:pPr>
            <w:r w:rsidRPr="00975CA4">
              <w:rPr>
                <w:rFonts w:ascii="Times New Roman" w:hAnsi="Times New Roman" w:cs="Times New Roman"/>
              </w:rPr>
              <w:t>Paros dozė (mg)</w:t>
            </w:r>
          </w:p>
        </w:tc>
      </w:tr>
      <w:tr w:rsidR="00604522" w:rsidRPr="00975CA4" w14:paraId="1F1A5EE1" w14:textId="77777777" w:rsidTr="00604522">
        <w:trPr>
          <w:trHeight w:val="283"/>
          <w:jc w:val="center"/>
        </w:trPr>
        <w:tc>
          <w:tcPr>
            <w:tcW w:w="3119" w:type="dxa"/>
          </w:tcPr>
          <w:p w14:paraId="19B38E48" w14:textId="4CD89B11" w:rsidR="00604522" w:rsidRPr="00975CA4" w:rsidRDefault="00604522" w:rsidP="004F2D5F">
            <w:pPr>
              <w:spacing w:after="0"/>
              <w:rPr>
                <w:rFonts w:ascii="Times New Roman" w:hAnsi="Times New Roman" w:cs="Times New Roman"/>
              </w:rPr>
            </w:pPr>
            <w:r w:rsidRPr="00975CA4">
              <w:rPr>
                <w:rFonts w:ascii="Times New Roman" w:hAnsi="Times New Roman" w:cs="Times New Roman"/>
              </w:rPr>
              <w:t xml:space="preserve">Nuo 10 iki mažiau kaip </w:t>
            </w:r>
            <w:r w:rsidR="004F2D5F" w:rsidRPr="00975CA4">
              <w:rPr>
                <w:rFonts w:ascii="Times New Roman" w:hAnsi="Times New Roman" w:cs="Times New Roman"/>
              </w:rPr>
              <w:t>20 </w:t>
            </w:r>
            <w:r w:rsidRPr="00975CA4">
              <w:rPr>
                <w:rFonts w:ascii="Times New Roman" w:hAnsi="Times New Roman" w:cs="Times New Roman"/>
              </w:rPr>
              <w:t>kg</w:t>
            </w:r>
          </w:p>
        </w:tc>
        <w:tc>
          <w:tcPr>
            <w:tcW w:w="1985" w:type="dxa"/>
          </w:tcPr>
          <w:p w14:paraId="18661402" w14:textId="2CC1B551" w:rsidR="00604522" w:rsidRPr="00975CA4" w:rsidRDefault="004F2D5F" w:rsidP="004F2D5F">
            <w:pPr>
              <w:spacing w:after="0"/>
              <w:ind w:right="176"/>
              <w:rPr>
                <w:rFonts w:ascii="Times New Roman" w:hAnsi="Times New Roman" w:cs="Times New Roman"/>
              </w:rPr>
            </w:pPr>
            <w:r w:rsidRPr="00975CA4">
              <w:rPr>
                <w:rFonts w:ascii="Times New Roman" w:hAnsi="Times New Roman" w:cs="Times New Roman"/>
              </w:rPr>
              <w:t>40 </w:t>
            </w:r>
            <w:r w:rsidR="00604522" w:rsidRPr="00975CA4">
              <w:rPr>
                <w:rFonts w:ascii="Times New Roman" w:hAnsi="Times New Roman" w:cs="Times New Roman"/>
              </w:rPr>
              <w:t>mg</w:t>
            </w:r>
          </w:p>
        </w:tc>
      </w:tr>
      <w:tr w:rsidR="00604522" w:rsidRPr="00975CA4" w14:paraId="33F4B8CD" w14:textId="77777777" w:rsidTr="00604522">
        <w:trPr>
          <w:trHeight w:val="283"/>
          <w:jc w:val="center"/>
        </w:trPr>
        <w:tc>
          <w:tcPr>
            <w:tcW w:w="3119" w:type="dxa"/>
          </w:tcPr>
          <w:p w14:paraId="51B6A286" w14:textId="1E55AB9C" w:rsidR="00604522" w:rsidRPr="00975CA4" w:rsidRDefault="00604522" w:rsidP="004F2D5F">
            <w:pPr>
              <w:spacing w:after="0"/>
              <w:rPr>
                <w:rFonts w:ascii="Times New Roman" w:hAnsi="Times New Roman" w:cs="Times New Roman"/>
              </w:rPr>
            </w:pPr>
            <w:r w:rsidRPr="00975CA4">
              <w:rPr>
                <w:rFonts w:ascii="Times New Roman" w:hAnsi="Times New Roman" w:cs="Times New Roman"/>
              </w:rPr>
              <w:t xml:space="preserve">Nuo 20 iki mažiau kaip </w:t>
            </w:r>
            <w:r w:rsidR="004F2D5F" w:rsidRPr="00975CA4">
              <w:rPr>
                <w:rFonts w:ascii="Times New Roman" w:hAnsi="Times New Roman" w:cs="Times New Roman"/>
              </w:rPr>
              <w:t>30 </w:t>
            </w:r>
            <w:r w:rsidRPr="00975CA4">
              <w:rPr>
                <w:rFonts w:ascii="Times New Roman" w:hAnsi="Times New Roman" w:cs="Times New Roman"/>
              </w:rPr>
              <w:t>kg</w:t>
            </w:r>
          </w:p>
        </w:tc>
        <w:tc>
          <w:tcPr>
            <w:tcW w:w="1985" w:type="dxa"/>
          </w:tcPr>
          <w:p w14:paraId="6685BEC7" w14:textId="57A54893" w:rsidR="00604522" w:rsidRPr="00975CA4" w:rsidRDefault="004F2D5F" w:rsidP="004F2D5F">
            <w:pPr>
              <w:spacing w:after="0"/>
              <w:ind w:right="176"/>
              <w:rPr>
                <w:rFonts w:ascii="Times New Roman" w:hAnsi="Times New Roman" w:cs="Times New Roman"/>
              </w:rPr>
            </w:pPr>
            <w:r w:rsidRPr="00975CA4">
              <w:rPr>
                <w:rFonts w:ascii="Times New Roman" w:hAnsi="Times New Roman" w:cs="Times New Roman"/>
              </w:rPr>
              <w:t>60 </w:t>
            </w:r>
            <w:r w:rsidR="00604522" w:rsidRPr="00975CA4">
              <w:rPr>
                <w:rFonts w:ascii="Times New Roman" w:hAnsi="Times New Roman" w:cs="Times New Roman"/>
              </w:rPr>
              <w:t>mg</w:t>
            </w:r>
          </w:p>
        </w:tc>
      </w:tr>
      <w:tr w:rsidR="00604522" w:rsidRPr="00975CA4" w14:paraId="14AD2850" w14:textId="77777777" w:rsidTr="00604522">
        <w:trPr>
          <w:trHeight w:val="283"/>
          <w:jc w:val="center"/>
        </w:trPr>
        <w:tc>
          <w:tcPr>
            <w:tcW w:w="3119" w:type="dxa"/>
          </w:tcPr>
          <w:p w14:paraId="4E626883" w14:textId="7ADE257C" w:rsidR="00604522" w:rsidRPr="00975CA4" w:rsidRDefault="00604522" w:rsidP="004F2D5F">
            <w:pPr>
              <w:spacing w:after="0"/>
              <w:rPr>
                <w:rFonts w:ascii="Times New Roman" w:hAnsi="Times New Roman" w:cs="Times New Roman"/>
              </w:rPr>
            </w:pPr>
            <w:r w:rsidRPr="00975CA4">
              <w:rPr>
                <w:rFonts w:ascii="Times New Roman" w:hAnsi="Times New Roman" w:cs="Times New Roman"/>
              </w:rPr>
              <w:t xml:space="preserve">Nuo 30 iki mažiau kaip </w:t>
            </w:r>
            <w:r w:rsidR="004F2D5F" w:rsidRPr="00975CA4">
              <w:rPr>
                <w:rFonts w:ascii="Times New Roman" w:hAnsi="Times New Roman" w:cs="Times New Roman"/>
              </w:rPr>
              <w:t>45 </w:t>
            </w:r>
            <w:r w:rsidRPr="00975CA4">
              <w:rPr>
                <w:rFonts w:ascii="Times New Roman" w:hAnsi="Times New Roman" w:cs="Times New Roman"/>
              </w:rPr>
              <w:t>kg</w:t>
            </w:r>
          </w:p>
        </w:tc>
        <w:tc>
          <w:tcPr>
            <w:tcW w:w="1985" w:type="dxa"/>
          </w:tcPr>
          <w:p w14:paraId="305053D7" w14:textId="37511071" w:rsidR="00604522" w:rsidRPr="00975CA4" w:rsidRDefault="004F2D5F" w:rsidP="004F2D5F">
            <w:pPr>
              <w:spacing w:after="0"/>
              <w:ind w:right="176"/>
              <w:rPr>
                <w:rFonts w:ascii="Times New Roman" w:hAnsi="Times New Roman" w:cs="Times New Roman"/>
              </w:rPr>
            </w:pPr>
            <w:r w:rsidRPr="00975CA4">
              <w:rPr>
                <w:rFonts w:ascii="Times New Roman" w:hAnsi="Times New Roman" w:cs="Times New Roman"/>
              </w:rPr>
              <w:t>70 </w:t>
            </w:r>
            <w:r w:rsidR="00604522" w:rsidRPr="00975CA4">
              <w:rPr>
                <w:rFonts w:ascii="Times New Roman" w:hAnsi="Times New Roman" w:cs="Times New Roman"/>
              </w:rPr>
              <w:t>mg</w:t>
            </w:r>
          </w:p>
        </w:tc>
      </w:tr>
      <w:tr w:rsidR="00604522" w:rsidRPr="00975CA4" w14:paraId="7D54DB4F" w14:textId="77777777" w:rsidTr="00604522">
        <w:trPr>
          <w:trHeight w:val="283"/>
          <w:jc w:val="center"/>
        </w:trPr>
        <w:tc>
          <w:tcPr>
            <w:tcW w:w="3119" w:type="dxa"/>
          </w:tcPr>
          <w:p w14:paraId="51F04A4C" w14:textId="3BF08569" w:rsidR="00604522" w:rsidRPr="00975CA4" w:rsidRDefault="00604522" w:rsidP="004F2D5F">
            <w:pPr>
              <w:spacing w:after="0"/>
              <w:rPr>
                <w:rFonts w:ascii="Times New Roman" w:hAnsi="Times New Roman" w:cs="Times New Roman"/>
              </w:rPr>
            </w:pPr>
            <w:r w:rsidRPr="00975CA4">
              <w:rPr>
                <w:rFonts w:ascii="Times New Roman" w:hAnsi="Times New Roman" w:cs="Times New Roman"/>
              </w:rPr>
              <w:t xml:space="preserve">Ne mažiau kaip </w:t>
            </w:r>
            <w:r w:rsidR="004F2D5F" w:rsidRPr="00975CA4">
              <w:rPr>
                <w:rFonts w:ascii="Times New Roman" w:hAnsi="Times New Roman" w:cs="Times New Roman"/>
              </w:rPr>
              <w:t>45 </w:t>
            </w:r>
            <w:r w:rsidRPr="00975CA4">
              <w:rPr>
                <w:rFonts w:ascii="Times New Roman" w:hAnsi="Times New Roman" w:cs="Times New Roman"/>
              </w:rPr>
              <w:t>kg</w:t>
            </w:r>
          </w:p>
        </w:tc>
        <w:tc>
          <w:tcPr>
            <w:tcW w:w="1985" w:type="dxa"/>
          </w:tcPr>
          <w:p w14:paraId="0A5F1928" w14:textId="153AD621" w:rsidR="00604522" w:rsidRPr="00975CA4" w:rsidRDefault="004F2D5F" w:rsidP="004F2D5F">
            <w:pPr>
              <w:spacing w:after="0"/>
              <w:ind w:right="176"/>
              <w:rPr>
                <w:rFonts w:ascii="Times New Roman" w:hAnsi="Times New Roman" w:cs="Times New Roman"/>
              </w:rPr>
            </w:pPr>
            <w:r w:rsidRPr="00975CA4">
              <w:rPr>
                <w:rFonts w:ascii="Times New Roman" w:hAnsi="Times New Roman" w:cs="Times New Roman"/>
              </w:rPr>
              <w:t>100 </w:t>
            </w:r>
            <w:r w:rsidR="00604522" w:rsidRPr="00975CA4">
              <w:rPr>
                <w:rFonts w:ascii="Times New Roman" w:hAnsi="Times New Roman" w:cs="Times New Roman"/>
              </w:rPr>
              <w:t>mg</w:t>
            </w:r>
          </w:p>
        </w:tc>
      </w:tr>
    </w:tbl>
    <w:p w14:paraId="15595FE4" w14:textId="0D356052" w:rsidR="00604522" w:rsidRPr="00975CA4" w:rsidRDefault="00604522" w:rsidP="0046310B">
      <w:pPr>
        <w:suppressAutoHyphens/>
        <w:spacing w:after="0" w:line="240" w:lineRule="auto"/>
        <w:rPr>
          <w:rFonts w:ascii="Times New Roman" w:eastAsia="Times New Roman" w:hAnsi="Times New Roman" w:cs="Times New Roman"/>
          <w:color w:val="000000"/>
          <w:lang w:eastAsia="ar-SA"/>
        </w:rPr>
      </w:pPr>
      <w:r w:rsidRPr="00975CA4">
        <w:rPr>
          <w:rFonts w:ascii="Times New Roman" w:eastAsia="Calibri" w:hAnsi="Times New Roman" w:cs="Times New Roman"/>
          <w:color w:val="000000"/>
          <w:vertAlign w:val="superscript"/>
          <w:lang w:eastAsia="ar-SA"/>
        </w:rPr>
        <w:t>a</w:t>
      </w:r>
      <w:r w:rsidRPr="00975CA4">
        <w:rPr>
          <w:rFonts w:ascii="Times New Roman" w:eastAsia="Calibri" w:hAnsi="Times New Roman" w:cs="Times New Roman"/>
          <w:color w:val="000000"/>
          <w:lang w:eastAsia="ar-SA"/>
        </w:rPr>
        <w:t xml:space="preserve"> Tabletės nerekomenduojamos pacientams, sveriantiems mažiau kaip </w:t>
      </w:r>
      <w:r w:rsidR="004F2D5F" w:rsidRPr="00975CA4">
        <w:rPr>
          <w:rFonts w:ascii="Times New Roman" w:eastAsia="Calibri" w:hAnsi="Times New Roman" w:cs="Times New Roman"/>
          <w:color w:val="000000"/>
          <w:lang w:eastAsia="ar-SA"/>
        </w:rPr>
        <w:t>10 </w:t>
      </w:r>
      <w:r w:rsidRPr="00975CA4">
        <w:rPr>
          <w:rFonts w:ascii="Times New Roman" w:eastAsia="Calibri" w:hAnsi="Times New Roman" w:cs="Times New Roman"/>
          <w:color w:val="000000"/>
          <w:lang w:eastAsia="ar-SA"/>
        </w:rPr>
        <w:t>kg; šiems pacientams reikia skirti miltelių geriamajai suspensijai.</w:t>
      </w:r>
    </w:p>
    <w:p w14:paraId="20C07576" w14:textId="77777777" w:rsidR="00604522" w:rsidRPr="00975CA4" w:rsidRDefault="00604522" w:rsidP="0046310B">
      <w:pPr>
        <w:spacing w:after="0" w:line="240" w:lineRule="auto"/>
        <w:rPr>
          <w:rFonts w:ascii="Times New Roman" w:eastAsia="Calibri" w:hAnsi="Times New Roman" w:cs="Times New Roman"/>
          <w:color w:val="000000"/>
          <w:lang w:eastAsia="ar-SA"/>
        </w:rPr>
      </w:pPr>
    </w:p>
    <w:p w14:paraId="1266FC39" w14:textId="77777777" w:rsidR="00655ACF" w:rsidRPr="00975CA4" w:rsidRDefault="00655ACF" w:rsidP="0046310B">
      <w:pPr>
        <w:spacing w:after="0" w:line="240" w:lineRule="auto"/>
        <w:rPr>
          <w:rFonts w:ascii="Times New Roman" w:eastAsia="Calibri" w:hAnsi="Times New Roman" w:cs="Times New Roman"/>
          <w:i/>
          <w:iCs/>
          <w:color w:val="000000"/>
          <w:u w:val="single"/>
          <w:lang w:eastAsia="ar-SA"/>
        </w:rPr>
      </w:pPr>
      <w:r w:rsidRPr="00975CA4">
        <w:rPr>
          <w:rFonts w:ascii="Times New Roman" w:eastAsia="Calibri" w:hAnsi="Times New Roman" w:cs="Times New Roman"/>
          <w:i/>
          <w:iCs/>
          <w:color w:val="000000"/>
          <w:u w:val="single"/>
          <w:lang w:eastAsia="ar-SA"/>
        </w:rPr>
        <w:t>Gydymo trukmė</w:t>
      </w:r>
    </w:p>
    <w:p w14:paraId="13E6CDB5" w14:textId="2645E862" w:rsidR="00655ACF" w:rsidRPr="00975CA4" w:rsidRDefault="00655ACF" w:rsidP="0046310B">
      <w:pPr>
        <w:suppressAutoHyphens/>
        <w:spacing w:after="0" w:line="240" w:lineRule="auto"/>
        <w:rPr>
          <w:rFonts w:ascii="Times New Roman" w:eastAsia="Times New Roman" w:hAnsi="Times New Roman" w:cs="Times New Roman"/>
          <w:color w:val="000000"/>
          <w:lang w:eastAsia="ar-SA"/>
        </w:rPr>
      </w:pPr>
      <w:r w:rsidRPr="00975CA4">
        <w:rPr>
          <w:rFonts w:ascii="Times New Roman" w:eastAsia="Calibri" w:hAnsi="Times New Roman" w:cs="Times New Roman"/>
          <w:color w:val="000000"/>
          <w:lang w:eastAsia="ar-SA"/>
        </w:rPr>
        <w:t xml:space="preserve">Suaugusiųjų, sergančių </w:t>
      </w:r>
      <w:proofErr w:type="spellStart"/>
      <w:r w:rsidRPr="00975CA4">
        <w:rPr>
          <w:rFonts w:ascii="Times New Roman" w:eastAsia="Calibri" w:hAnsi="Times New Roman" w:cs="Times New Roman"/>
          <w:color w:val="000000"/>
          <w:lang w:eastAsia="ar-SA"/>
        </w:rPr>
        <w:t>Ph+LML</w:t>
      </w:r>
      <w:proofErr w:type="spellEnd"/>
      <w:r w:rsidRPr="00975CA4">
        <w:rPr>
          <w:rFonts w:ascii="Times New Roman" w:eastAsia="Calibri" w:hAnsi="Times New Roman" w:cs="Times New Roman"/>
          <w:color w:val="000000"/>
          <w:lang w:eastAsia="ar-SA"/>
        </w:rPr>
        <w:t xml:space="preserve"> LF, </w:t>
      </w:r>
      <w:proofErr w:type="spellStart"/>
      <w:r w:rsidRPr="00975CA4">
        <w:rPr>
          <w:rFonts w:ascii="Times New Roman" w:eastAsia="Calibri" w:hAnsi="Times New Roman" w:cs="Times New Roman"/>
          <w:color w:val="000000"/>
          <w:lang w:eastAsia="ar-SA"/>
        </w:rPr>
        <w:t>akceleruotos</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mieloidinių</w:t>
      </w:r>
      <w:proofErr w:type="spellEnd"/>
      <w:r w:rsidRPr="00975CA4">
        <w:rPr>
          <w:rFonts w:ascii="Times New Roman" w:eastAsia="Calibri" w:hAnsi="Times New Roman" w:cs="Times New Roman"/>
          <w:color w:val="000000"/>
          <w:lang w:eastAsia="ar-SA"/>
        </w:rPr>
        <w:t xml:space="preserve"> arba </w:t>
      </w:r>
      <w:proofErr w:type="spellStart"/>
      <w:r w:rsidRPr="00975CA4">
        <w:rPr>
          <w:rFonts w:ascii="Times New Roman" w:eastAsia="Calibri" w:hAnsi="Times New Roman" w:cs="Times New Roman"/>
          <w:color w:val="000000"/>
          <w:lang w:eastAsia="ar-SA"/>
        </w:rPr>
        <w:t>limfoidinių</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blastų</w:t>
      </w:r>
      <w:proofErr w:type="spellEnd"/>
      <w:r w:rsidRPr="00975CA4">
        <w:rPr>
          <w:rFonts w:ascii="Times New Roman" w:eastAsia="Calibri" w:hAnsi="Times New Roman" w:cs="Times New Roman"/>
          <w:color w:val="000000"/>
          <w:lang w:eastAsia="ar-SA"/>
        </w:rPr>
        <w:t xml:space="preserve"> (progresavusios) fazės LML arba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ŪLL ir vaikų, sergančių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lėtinės fazės LML, klinikinių tyrimų metu gydymas </w:t>
      </w:r>
      <w:proofErr w:type="spellStart"/>
      <w:r w:rsidRPr="00975CA4">
        <w:rPr>
          <w:rFonts w:ascii="Times New Roman" w:eastAsia="Calibri" w:hAnsi="Times New Roman" w:cs="Times New Roman"/>
          <w:color w:val="000000"/>
          <w:lang w:eastAsia="ar-SA"/>
        </w:rPr>
        <w:t>dazatinibu</w:t>
      </w:r>
      <w:proofErr w:type="spellEnd"/>
      <w:r w:rsidRPr="00975CA4">
        <w:rPr>
          <w:rFonts w:ascii="Times New Roman" w:eastAsia="Calibri" w:hAnsi="Times New Roman" w:cs="Times New Roman"/>
          <w:color w:val="000000"/>
          <w:lang w:eastAsia="ar-SA"/>
        </w:rPr>
        <w:t xml:space="preserve"> buvo taikomas iki ligos progresavimo arba vaistinio preparato netoleravimo nustatymo. Kokias pasekmes ilgalaikėms ligos išeitims sukelia gydymo nutraukimas pasiekus citogenetinį arba molekulinį atsaką (įskaitant visišką citogenetinį atsaką </w:t>
      </w:r>
      <w:r w:rsidR="003A5CBF" w:rsidRPr="00975CA4">
        <w:rPr>
          <w:rFonts w:ascii="Times New Roman" w:eastAsia="Calibri" w:hAnsi="Times New Roman" w:cs="Times New Roman"/>
          <w:color w:val="000000"/>
          <w:lang w:eastAsia="ar-SA"/>
        </w:rPr>
        <w:t>(</w:t>
      </w:r>
      <w:r w:rsidRPr="00975CA4">
        <w:rPr>
          <w:rFonts w:ascii="Times New Roman" w:eastAsia="Calibri" w:hAnsi="Times New Roman" w:cs="Times New Roman"/>
          <w:color w:val="000000"/>
          <w:lang w:eastAsia="ar-SA"/>
        </w:rPr>
        <w:t xml:space="preserve">angl. </w:t>
      </w:r>
      <w:proofErr w:type="spellStart"/>
      <w:r w:rsidRPr="00975CA4">
        <w:rPr>
          <w:rFonts w:ascii="Times New Roman" w:eastAsia="Calibri" w:hAnsi="Times New Roman" w:cs="Times New Roman"/>
          <w:i/>
          <w:color w:val="000000"/>
          <w:lang w:eastAsia="ar-SA"/>
        </w:rPr>
        <w:t>complete</w:t>
      </w:r>
      <w:proofErr w:type="spellEnd"/>
      <w:r w:rsidRPr="00975CA4">
        <w:rPr>
          <w:rFonts w:ascii="Times New Roman" w:eastAsia="Calibri" w:hAnsi="Times New Roman" w:cs="Times New Roman"/>
          <w:i/>
          <w:color w:val="000000"/>
          <w:lang w:eastAsia="ar-SA"/>
        </w:rPr>
        <w:t xml:space="preserve"> </w:t>
      </w:r>
      <w:proofErr w:type="spellStart"/>
      <w:r w:rsidRPr="00975CA4">
        <w:rPr>
          <w:rFonts w:ascii="Times New Roman" w:eastAsia="Calibri" w:hAnsi="Times New Roman" w:cs="Times New Roman"/>
          <w:i/>
          <w:color w:val="000000"/>
          <w:lang w:eastAsia="ar-SA"/>
        </w:rPr>
        <w:t>cytogenetic</w:t>
      </w:r>
      <w:proofErr w:type="spellEnd"/>
      <w:r w:rsidRPr="00975CA4">
        <w:rPr>
          <w:rFonts w:ascii="Times New Roman" w:eastAsia="Calibri" w:hAnsi="Times New Roman" w:cs="Times New Roman"/>
          <w:i/>
          <w:color w:val="000000"/>
          <w:lang w:eastAsia="ar-SA"/>
        </w:rPr>
        <w:t xml:space="preserve"> </w:t>
      </w:r>
      <w:proofErr w:type="spellStart"/>
      <w:r w:rsidRPr="00975CA4">
        <w:rPr>
          <w:rFonts w:ascii="Times New Roman" w:eastAsia="Calibri" w:hAnsi="Times New Roman" w:cs="Times New Roman"/>
          <w:i/>
          <w:color w:val="000000"/>
          <w:lang w:eastAsia="ar-SA"/>
        </w:rPr>
        <w:t>response</w:t>
      </w:r>
      <w:proofErr w:type="spellEnd"/>
      <w:r w:rsidR="003A5CBF" w:rsidRPr="00975CA4">
        <w:rPr>
          <w:rFonts w:ascii="Times New Roman" w:eastAsia="Calibri" w:hAnsi="Times New Roman" w:cs="Times New Roman"/>
          <w:i/>
          <w:color w:val="000000"/>
          <w:lang w:eastAsia="ar-SA"/>
        </w:rPr>
        <w:t xml:space="preserve">, </w:t>
      </w:r>
      <w:proofErr w:type="spellStart"/>
      <w:r w:rsidR="003A5CBF" w:rsidRPr="00975CA4">
        <w:rPr>
          <w:rFonts w:ascii="Times New Roman" w:eastAsia="Calibri" w:hAnsi="Times New Roman" w:cs="Times New Roman"/>
          <w:color w:val="000000"/>
          <w:lang w:eastAsia="ar-SA"/>
        </w:rPr>
        <w:t>CcyR</w:t>
      </w:r>
      <w:proofErr w:type="spellEnd"/>
      <w:r w:rsidR="003A5CBF" w:rsidRPr="00975CA4">
        <w:rPr>
          <w:rFonts w:ascii="Times New Roman" w:eastAsia="Calibri" w:hAnsi="Times New Roman" w:cs="Times New Roman"/>
          <w:color w:val="000000"/>
          <w:lang w:eastAsia="ar-SA"/>
        </w:rPr>
        <w:t>)</w:t>
      </w:r>
      <w:r w:rsidRPr="00975CA4">
        <w:rPr>
          <w:rFonts w:ascii="Times New Roman" w:eastAsia="Calibri" w:hAnsi="Times New Roman" w:cs="Times New Roman"/>
          <w:color w:val="000000"/>
          <w:lang w:eastAsia="ar-SA"/>
        </w:rPr>
        <w:t xml:space="preserve">, didįjį molekulinį atsaką </w:t>
      </w:r>
      <w:r w:rsidR="003A5CBF" w:rsidRPr="00975CA4">
        <w:rPr>
          <w:rFonts w:ascii="Times New Roman" w:eastAsia="Calibri" w:hAnsi="Times New Roman" w:cs="Times New Roman"/>
          <w:color w:val="000000"/>
          <w:lang w:eastAsia="ar-SA"/>
        </w:rPr>
        <w:t>(</w:t>
      </w:r>
      <w:r w:rsidRPr="00975CA4">
        <w:rPr>
          <w:rFonts w:ascii="Times New Roman" w:eastAsia="Calibri" w:hAnsi="Times New Roman" w:cs="Times New Roman"/>
          <w:color w:val="000000"/>
          <w:lang w:eastAsia="ar-SA"/>
        </w:rPr>
        <w:t xml:space="preserve">angl. </w:t>
      </w:r>
      <w:proofErr w:type="spellStart"/>
      <w:r w:rsidRPr="00975CA4">
        <w:rPr>
          <w:rFonts w:ascii="Times New Roman" w:eastAsia="Calibri" w:hAnsi="Times New Roman" w:cs="Times New Roman"/>
          <w:i/>
          <w:color w:val="000000"/>
          <w:lang w:eastAsia="ar-SA"/>
        </w:rPr>
        <w:t>major</w:t>
      </w:r>
      <w:proofErr w:type="spellEnd"/>
      <w:r w:rsidRPr="00975CA4">
        <w:rPr>
          <w:rFonts w:ascii="Times New Roman" w:eastAsia="Calibri" w:hAnsi="Times New Roman" w:cs="Times New Roman"/>
          <w:i/>
          <w:color w:val="000000"/>
          <w:lang w:eastAsia="ar-SA"/>
        </w:rPr>
        <w:t xml:space="preserve"> </w:t>
      </w:r>
      <w:proofErr w:type="spellStart"/>
      <w:r w:rsidRPr="00975CA4">
        <w:rPr>
          <w:rFonts w:ascii="Times New Roman" w:eastAsia="Calibri" w:hAnsi="Times New Roman" w:cs="Times New Roman"/>
          <w:i/>
          <w:color w:val="000000"/>
          <w:lang w:eastAsia="ar-SA"/>
        </w:rPr>
        <w:t>molecular</w:t>
      </w:r>
      <w:proofErr w:type="spellEnd"/>
      <w:r w:rsidRPr="00975CA4">
        <w:rPr>
          <w:rFonts w:ascii="Times New Roman" w:eastAsia="Calibri" w:hAnsi="Times New Roman" w:cs="Times New Roman"/>
          <w:i/>
          <w:color w:val="000000"/>
          <w:lang w:eastAsia="ar-SA"/>
        </w:rPr>
        <w:t xml:space="preserve"> </w:t>
      </w:r>
      <w:proofErr w:type="spellStart"/>
      <w:r w:rsidRPr="00975CA4">
        <w:rPr>
          <w:rFonts w:ascii="Times New Roman" w:eastAsia="Calibri" w:hAnsi="Times New Roman" w:cs="Times New Roman"/>
          <w:i/>
          <w:color w:val="000000"/>
          <w:lang w:eastAsia="ar-SA"/>
        </w:rPr>
        <w:t>response</w:t>
      </w:r>
      <w:proofErr w:type="spellEnd"/>
      <w:r w:rsidR="003A5CBF" w:rsidRPr="00975CA4">
        <w:rPr>
          <w:rFonts w:ascii="Times New Roman" w:eastAsia="Calibri" w:hAnsi="Times New Roman" w:cs="Times New Roman"/>
          <w:i/>
          <w:color w:val="000000"/>
          <w:lang w:eastAsia="ar-SA"/>
        </w:rPr>
        <w:t xml:space="preserve">, </w:t>
      </w:r>
      <w:r w:rsidR="003A5CBF" w:rsidRPr="00975CA4">
        <w:rPr>
          <w:rFonts w:ascii="Times New Roman" w:eastAsia="Calibri" w:hAnsi="Times New Roman" w:cs="Times New Roman"/>
          <w:color w:val="000000"/>
          <w:lang w:eastAsia="ar-SA"/>
        </w:rPr>
        <w:t>MMR)</w:t>
      </w:r>
      <w:r w:rsidRPr="00975CA4">
        <w:rPr>
          <w:rFonts w:ascii="Times New Roman" w:eastAsia="Calibri" w:hAnsi="Times New Roman" w:cs="Times New Roman"/>
          <w:color w:val="000000"/>
          <w:lang w:eastAsia="ar-SA"/>
        </w:rPr>
        <w:t xml:space="preserve"> ir MR4.5), neištirta.</w:t>
      </w:r>
    </w:p>
    <w:p w14:paraId="186E58AC" w14:textId="77777777" w:rsidR="00655ACF" w:rsidRPr="00975CA4" w:rsidRDefault="00655ACF" w:rsidP="0046310B">
      <w:pPr>
        <w:suppressAutoHyphens/>
        <w:spacing w:after="0" w:line="240" w:lineRule="auto"/>
        <w:rPr>
          <w:rFonts w:ascii="Times New Roman" w:eastAsia="Times New Roman" w:hAnsi="Times New Roman" w:cs="Times New Roman"/>
          <w:color w:val="000000"/>
          <w:lang w:eastAsia="ar-SA"/>
        </w:rPr>
      </w:pPr>
    </w:p>
    <w:p w14:paraId="5C4C6FA3" w14:textId="508C01D0" w:rsidR="00655ACF" w:rsidRPr="00975CA4" w:rsidRDefault="00655ACF" w:rsidP="0046310B">
      <w:pPr>
        <w:suppressAutoHyphens/>
        <w:spacing w:after="0" w:line="240" w:lineRule="auto"/>
        <w:rPr>
          <w:rFonts w:ascii="Times New Roman" w:eastAsia="Times New Roman" w:hAnsi="Times New Roman" w:cs="Times New Roman"/>
          <w:color w:val="000000"/>
          <w:lang w:eastAsia="ar-SA"/>
        </w:rPr>
      </w:pPr>
      <w:r w:rsidRPr="00975CA4">
        <w:rPr>
          <w:rFonts w:ascii="Times New Roman" w:eastAsia="Calibri" w:hAnsi="Times New Roman" w:cs="Times New Roman"/>
          <w:color w:val="000000"/>
          <w:lang w:eastAsia="ar-SA"/>
        </w:rPr>
        <w:t xml:space="preserve">Vaikų, sergančių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ŪLL, klinikinių tyrimų metu gydymas </w:t>
      </w:r>
      <w:proofErr w:type="spellStart"/>
      <w:r w:rsidRPr="00975CA4">
        <w:rPr>
          <w:rFonts w:ascii="Times New Roman" w:eastAsia="Calibri" w:hAnsi="Times New Roman" w:cs="Times New Roman"/>
          <w:color w:val="000000"/>
          <w:lang w:eastAsia="ar-SA"/>
        </w:rPr>
        <w:t>dazatinibu</w:t>
      </w:r>
      <w:proofErr w:type="spellEnd"/>
      <w:r w:rsidRPr="00975CA4">
        <w:rPr>
          <w:rFonts w:ascii="Times New Roman" w:eastAsia="Calibri" w:hAnsi="Times New Roman" w:cs="Times New Roman"/>
          <w:color w:val="000000"/>
          <w:lang w:eastAsia="ar-SA"/>
        </w:rPr>
        <w:t xml:space="preserve"> buvo nepertraukiamai taikomas iki 2 metų</w:t>
      </w:r>
      <w:r w:rsidR="005B4BAC" w:rsidRPr="00975CA4">
        <w:rPr>
          <w:rFonts w:ascii="Times New Roman" w:eastAsia="Calibri" w:hAnsi="Times New Roman" w:cs="Times New Roman"/>
          <w:color w:val="000000"/>
          <w:lang w:eastAsia="ar-SA"/>
        </w:rPr>
        <w:t xml:space="preserve">, </w:t>
      </w:r>
      <w:r w:rsidR="00D951F5" w:rsidRPr="00975CA4">
        <w:rPr>
          <w:rFonts w:ascii="Times New Roman" w:eastAsia="Calibri" w:hAnsi="Times New Roman" w:cs="Times New Roman"/>
          <w:color w:val="000000"/>
          <w:lang w:eastAsia="ar-SA"/>
        </w:rPr>
        <w:t xml:space="preserve">papildant </w:t>
      </w:r>
      <w:r w:rsidRPr="00975CA4">
        <w:rPr>
          <w:rFonts w:ascii="Times New Roman" w:eastAsia="Calibri" w:hAnsi="Times New Roman" w:cs="Times New Roman"/>
          <w:color w:val="000000"/>
          <w:lang w:eastAsia="ar-SA"/>
        </w:rPr>
        <w:t>kartojamų pagrindinės chemoterapijos kursų</w:t>
      </w:r>
      <w:r w:rsidR="00D951F5" w:rsidRPr="00975CA4">
        <w:rPr>
          <w:rFonts w:ascii="Times New Roman" w:eastAsia="Calibri" w:hAnsi="Times New Roman" w:cs="Times New Roman"/>
          <w:color w:val="000000"/>
          <w:lang w:eastAsia="ar-SA"/>
        </w:rPr>
        <w:t xml:space="preserve"> gydymą</w:t>
      </w:r>
      <w:r w:rsidRPr="00975CA4">
        <w:rPr>
          <w:rFonts w:ascii="Times New Roman" w:eastAsia="Calibri" w:hAnsi="Times New Roman" w:cs="Times New Roman"/>
          <w:color w:val="000000"/>
          <w:lang w:eastAsia="ar-SA"/>
        </w:rPr>
        <w:t xml:space="preserve">. Pacientai, kuriems vėliau buvo persodinta kamieninių ląstelių, galėjo vartoti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dar vienerius metus po transplantacijos. </w:t>
      </w:r>
    </w:p>
    <w:p w14:paraId="7B63A00B" w14:textId="77777777" w:rsidR="00B8430B" w:rsidRPr="00975CA4" w:rsidRDefault="00B8430B" w:rsidP="0046310B">
      <w:pPr>
        <w:autoSpaceDE w:val="0"/>
        <w:autoSpaceDN w:val="0"/>
        <w:adjustRightInd w:val="0"/>
        <w:spacing w:after="0" w:line="240" w:lineRule="auto"/>
        <w:rPr>
          <w:rFonts w:ascii="Times New Roman" w:eastAsia="Calibri" w:hAnsi="Times New Roman" w:cs="Times New Roman"/>
          <w:color w:val="000000"/>
          <w:lang w:eastAsia="ar-SA"/>
        </w:rPr>
      </w:pPr>
    </w:p>
    <w:p w14:paraId="37FFD26A" w14:textId="262E7164" w:rsidR="00655ACF" w:rsidRPr="00975CA4" w:rsidRDefault="00655ACF" w:rsidP="0046310B">
      <w:pPr>
        <w:autoSpaceDE w:val="0"/>
        <w:autoSpaceDN w:val="0"/>
        <w:adjustRightInd w:val="0"/>
        <w:spacing w:after="0" w:line="240" w:lineRule="auto"/>
        <w:rPr>
          <w:rFonts w:ascii="Times New Roman" w:eastAsia="Calibri" w:hAnsi="Times New Roman" w:cs="Times New Roman"/>
        </w:rPr>
      </w:pPr>
      <w:proofErr w:type="spellStart"/>
      <w:r w:rsidRPr="00975CA4">
        <w:rPr>
          <w:rFonts w:ascii="Times New Roman" w:eastAsia="Calibri" w:hAnsi="Times New Roman" w:cs="Times New Roman"/>
        </w:rPr>
        <w:t>Dasatinib</w:t>
      </w:r>
      <w:proofErr w:type="spellEnd"/>
      <w:r w:rsidRPr="00975CA4">
        <w:rPr>
          <w:rFonts w:ascii="Times New Roman" w:eastAsia="Calibri" w:hAnsi="Times New Roman" w:cs="Times New Roman"/>
        </w:rPr>
        <w:t xml:space="preserve"> </w:t>
      </w:r>
      <w:proofErr w:type="spellStart"/>
      <w:r w:rsidRPr="00975CA4">
        <w:rPr>
          <w:rFonts w:ascii="Times New Roman" w:eastAsia="Calibri" w:hAnsi="Times New Roman" w:cs="Times New Roman"/>
        </w:rPr>
        <w:t>Zentiva</w:t>
      </w:r>
      <w:proofErr w:type="spellEnd"/>
      <w:r w:rsidRPr="00975CA4">
        <w:rPr>
          <w:rFonts w:ascii="Times New Roman" w:eastAsia="Calibri" w:hAnsi="Times New Roman" w:cs="Times New Roman"/>
        </w:rPr>
        <w:t xml:space="preserve"> tiekiamas tik 50 mg </w:t>
      </w:r>
      <w:r w:rsidR="00937879" w:rsidRPr="00975CA4">
        <w:rPr>
          <w:rFonts w:ascii="Times New Roman" w:eastAsia="Calibri" w:hAnsi="Times New Roman" w:cs="Times New Roman"/>
        </w:rPr>
        <w:t>ir 100</w:t>
      </w:r>
      <w:r w:rsidR="00332D63" w:rsidRPr="00975CA4">
        <w:rPr>
          <w:rFonts w:ascii="Times New Roman" w:eastAsia="Calibri" w:hAnsi="Times New Roman" w:cs="Times New Roman"/>
        </w:rPr>
        <w:t> </w:t>
      </w:r>
      <w:r w:rsidR="00937879" w:rsidRPr="00975CA4">
        <w:rPr>
          <w:rFonts w:ascii="Times New Roman" w:eastAsia="Calibri" w:hAnsi="Times New Roman" w:cs="Times New Roman"/>
        </w:rPr>
        <w:t xml:space="preserve">mg </w:t>
      </w:r>
      <w:r w:rsidR="0004599C" w:rsidRPr="00975CA4">
        <w:rPr>
          <w:rFonts w:ascii="Times New Roman" w:eastAsia="Calibri" w:hAnsi="Times New Roman" w:cs="Times New Roman"/>
          <w:iCs/>
          <w:color w:val="000000"/>
          <w:lang w:eastAsia="ar-SA"/>
        </w:rPr>
        <w:t xml:space="preserve">plėvele dengtomis </w:t>
      </w:r>
      <w:r w:rsidRPr="00975CA4">
        <w:rPr>
          <w:rFonts w:ascii="Times New Roman" w:eastAsia="Calibri" w:hAnsi="Times New Roman" w:cs="Times New Roman"/>
        </w:rPr>
        <w:t xml:space="preserve">tabletėmis. Jei reikia skirti 20 mg, 40 mg, 60 mg ar 80 mg dozę, reikia vartoti kitą rinkoje esantį atitinkamo stiprumo </w:t>
      </w:r>
      <w:proofErr w:type="spellStart"/>
      <w:r w:rsidRPr="00975CA4">
        <w:rPr>
          <w:rFonts w:ascii="Times New Roman" w:eastAsia="Calibri" w:hAnsi="Times New Roman" w:cs="Times New Roman"/>
        </w:rPr>
        <w:t>dazatinibo</w:t>
      </w:r>
      <w:proofErr w:type="spellEnd"/>
      <w:r w:rsidRPr="00975CA4">
        <w:rPr>
          <w:rFonts w:ascii="Times New Roman" w:eastAsia="Calibri" w:hAnsi="Times New Roman" w:cs="Times New Roman"/>
        </w:rPr>
        <w:t xml:space="preserve"> vaistinį preparatą (tabletes arba miltelius geriamajai suspensijai). Dozę didinti ar mažinti rekomenduojama atsižvelgiant į organizmo atsaką ir vaistinio preparato toleravimą.</w:t>
      </w:r>
    </w:p>
    <w:p w14:paraId="6C37EF44" w14:textId="77777777" w:rsidR="00B8430B" w:rsidRPr="00975CA4" w:rsidRDefault="00B8430B" w:rsidP="0046310B">
      <w:pPr>
        <w:autoSpaceDE w:val="0"/>
        <w:autoSpaceDN w:val="0"/>
        <w:adjustRightInd w:val="0"/>
        <w:spacing w:after="0" w:line="240" w:lineRule="auto"/>
        <w:rPr>
          <w:rFonts w:ascii="Times New Roman" w:eastAsia="Calibri" w:hAnsi="Times New Roman" w:cs="Times New Roman"/>
        </w:rPr>
      </w:pPr>
    </w:p>
    <w:p w14:paraId="38E2FDD6" w14:textId="77777777" w:rsidR="00937879" w:rsidRPr="00975CA4" w:rsidRDefault="00937879"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i/>
          <w:iCs/>
          <w:color w:val="000000"/>
          <w:u w:val="single"/>
          <w:lang w:eastAsia="ar-SA"/>
        </w:rPr>
        <w:t>Dozės didinimas</w:t>
      </w:r>
    </w:p>
    <w:p w14:paraId="7730D793" w14:textId="77777777" w:rsidR="00937879" w:rsidRPr="00975CA4" w:rsidRDefault="00937879" w:rsidP="0046310B">
      <w:pPr>
        <w:suppressAutoHyphens/>
        <w:spacing w:after="0" w:line="240" w:lineRule="auto"/>
        <w:rPr>
          <w:rFonts w:ascii="Times New Roman" w:eastAsia="Calibri" w:hAnsi="Times New Roman" w:cs="Times New Roman"/>
          <w:i/>
          <w:iCs/>
          <w:color w:val="000000"/>
          <w:lang w:eastAsia="ar-SA"/>
        </w:rPr>
      </w:pPr>
      <w:r w:rsidRPr="00975CA4">
        <w:rPr>
          <w:rFonts w:ascii="Times New Roman" w:eastAsia="Calibri" w:hAnsi="Times New Roman" w:cs="Times New Roman"/>
          <w:color w:val="000000"/>
          <w:lang w:eastAsia="ar-SA"/>
        </w:rPr>
        <w:t xml:space="preserve">Klinikinių tyrimų, kuriuose dalyvavo sergantys LML ir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ŪLL suaugę pacientai, metu vartojant rekomenduojamą pradinę dozę nepasireiškus hematologiniam ar citogenetiniam atsakui, pacientams, kuriems nustatyta LML lėtinė fazė, buvo leidžiama didinti dozę iki 140 mg 1 kartą per parą, o kuriems nustatyta LML progresavusi fazė arba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ŪLL – iki 180 mg 1 kartą per parą.</w:t>
      </w:r>
    </w:p>
    <w:p w14:paraId="27CB24A1" w14:textId="77777777" w:rsidR="00655ACF" w:rsidRPr="00975CA4" w:rsidRDefault="00655ACF" w:rsidP="0046310B">
      <w:pPr>
        <w:spacing w:after="0" w:line="240" w:lineRule="auto"/>
        <w:rPr>
          <w:rFonts w:ascii="Times New Roman" w:eastAsia="Calibri" w:hAnsi="Times New Roman" w:cs="Times New Roman"/>
          <w:color w:val="000000"/>
          <w:lang w:eastAsia="ar-SA"/>
        </w:rPr>
      </w:pPr>
    </w:p>
    <w:p w14:paraId="374902A4" w14:textId="77777777" w:rsidR="00C416D0" w:rsidRPr="00975CA4" w:rsidRDefault="00C416D0" w:rsidP="0046310B">
      <w:pPr>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lastRenderedPageBreak/>
        <w:t xml:space="preserve">2 lentelėje pateikiama dozės didinimo tvarka, kurią galiojančios gydymo metodikos rekomenduoja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LML LF sergantiems vaikams, toleruojantiems gydymą, bet per rekomenduojamą laiką nepasiekusiems hematologinio, citogenetinio ir molekulinio atsako.</w:t>
      </w:r>
    </w:p>
    <w:p w14:paraId="06F7125E" w14:textId="77777777" w:rsidR="00C416D0" w:rsidRPr="00975CA4" w:rsidRDefault="00C416D0" w:rsidP="0046310B">
      <w:pPr>
        <w:spacing w:after="0" w:line="240" w:lineRule="auto"/>
        <w:rPr>
          <w:rFonts w:ascii="Times New Roman" w:eastAsia="Calibri" w:hAnsi="Times New Roman" w:cs="Times New Roman"/>
          <w:color w:val="000000"/>
          <w:lang w:eastAsia="ar-SA"/>
        </w:rPr>
      </w:pPr>
    </w:p>
    <w:p w14:paraId="4F8849E2" w14:textId="77777777" w:rsidR="00C416D0" w:rsidRPr="00975CA4" w:rsidRDefault="00C416D0" w:rsidP="0046310B">
      <w:pPr>
        <w:spacing w:after="0" w:line="240" w:lineRule="auto"/>
        <w:rPr>
          <w:rFonts w:ascii="Times New Roman" w:eastAsia="Calibri" w:hAnsi="Times New Roman" w:cs="Times New Roman"/>
          <w:b/>
          <w:bCs/>
          <w:color w:val="000000"/>
          <w:lang w:eastAsia="ar-SA"/>
        </w:rPr>
      </w:pPr>
      <w:r w:rsidRPr="00975CA4">
        <w:rPr>
          <w:rFonts w:ascii="Times New Roman" w:eastAsia="Calibri" w:hAnsi="Times New Roman" w:cs="Times New Roman"/>
          <w:b/>
          <w:bCs/>
          <w:color w:val="000000"/>
          <w:lang w:eastAsia="ar-SA"/>
        </w:rPr>
        <w:t xml:space="preserve">2 lentelė. Dozės didinimas vaikams, sergantiems </w:t>
      </w:r>
      <w:proofErr w:type="spellStart"/>
      <w:r w:rsidRPr="00975CA4">
        <w:rPr>
          <w:rFonts w:ascii="Times New Roman" w:eastAsia="Calibri" w:hAnsi="Times New Roman" w:cs="Times New Roman"/>
          <w:b/>
          <w:bCs/>
          <w:color w:val="000000"/>
          <w:lang w:eastAsia="ar-SA"/>
        </w:rPr>
        <w:t>Ph</w:t>
      </w:r>
      <w:proofErr w:type="spellEnd"/>
      <w:r w:rsidRPr="00975CA4">
        <w:rPr>
          <w:rFonts w:ascii="Times New Roman" w:eastAsia="Calibri" w:hAnsi="Times New Roman" w:cs="Times New Roman"/>
          <w:b/>
          <w:bCs/>
          <w:color w:val="000000"/>
          <w:lang w:eastAsia="ar-SA"/>
        </w:rPr>
        <w:t>+ LML LF</w:t>
      </w:r>
    </w:p>
    <w:p w14:paraId="3A87439C" w14:textId="77777777" w:rsidR="00C416D0" w:rsidRPr="00975CA4" w:rsidRDefault="00C416D0" w:rsidP="0046310B">
      <w:pPr>
        <w:spacing w:after="0" w:line="240" w:lineRule="auto"/>
        <w:rPr>
          <w:rFonts w:ascii="Times New Roman" w:eastAsia="Calibri" w:hAnsi="Times New Roman" w:cs="Times New Roman"/>
          <w:b/>
          <w:bCs/>
          <w:color w:val="000000"/>
          <w:lang w:eastAsia="ar-SA"/>
        </w:rPr>
      </w:pP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842"/>
        <w:gridCol w:w="1701"/>
      </w:tblGrid>
      <w:tr w:rsidR="00C416D0" w:rsidRPr="00975CA4" w14:paraId="4E989681" w14:textId="77777777" w:rsidTr="00C416D0">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72398FB6" w14:textId="77777777" w:rsidR="00C416D0" w:rsidRPr="00975CA4" w:rsidRDefault="00C416D0" w:rsidP="0046310B">
            <w:pPr>
              <w:spacing w:line="276" w:lineRule="auto"/>
              <w:rPr>
                <w:rFonts w:ascii="Times New Roman" w:hAnsi="Times New Roman" w:cs="Times New Roman"/>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254B235E" w14:textId="77777777" w:rsidR="00C416D0" w:rsidRPr="00975CA4" w:rsidRDefault="00C416D0" w:rsidP="0046310B">
            <w:pPr>
              <w:spacing w:after="0" w:line="276" w:lineRule="auto"/>
              <w:jc w:val="center"/>
              <w:rPr>
                <w:rFonts w:ascii="Times New Roman" w:hAnsi="Times New Roman" w:cs="Times New Roman"/>
              </w:rPr>
            </w:pPr>
            <w:r w:rsidRPr="00975CA4">
              <w:rPr>
                <w:rFonts w:ascii="Times New Roman" w:hAnsi="Times New Roman" w:cs="Times New Roman"/>
              </w:rPr>
              <w:t>Dozė (didžiausia</w:t>
            </w:r>
            <w:r w:rsidR="0046310B" w:rsidRPr="00975CA4">
              <w:rPr>
                <w:rFonts w:ascii="Times New Roman" w:hAnsi="Times New Roman" w:cs="Times New Roman"/>
              </w:rPr>
              <w:t xml:space="preserve"> paros dozė</w:t>
            </w:r>
            <w:r w:rsidRPr="00975CA4">
              <w:rPr>
                <w:rFonts w:ascii="Times New Roman" w:hAnsi="Times New Roman" w:cs="Times New Roman"/>
              </w:rPr>
              <w:t>)</w:t>
            </w:r>
          </w:p>
        </w:tc>
      </w:tr>
      <w:tr w:rsidR="00C416D0" w:rsidRPr="00975CA4" w14:paraId="1A0B5913" w14:textId="77777777" w:rsidTr="00C416D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D2A608" w14:textId="77777777" w:rsidR="00C416D0" w:rsidRPr="00975CA4" w:rsidRDefault="00C416D0" w:rsidP="0046310B">
            <w:pPr>
              <w:spacing w:after="0" w:line="276" w:lineRule="auto"/>
              <w:rPr>
                <w:rFonts w:ascii="Times New Roman" w:hAnsi="Times New Roman" w:cs="Times New Roman"/>
                <w:lang w:eastAsia="fr-FR"/>
              </w:rPr>
            </w:pPr>
          </w:p>
        </w:tc>
        <w:tc>
          <w:tcPr>
            <w:tcW w:w="1842" w:type="dxa"/>
            <w:tcBorders>
              <w:top w:val="single" w:sz="4" w:space="0" w:color="auto"/>
              <w:left w:val="single" w:sz="4" w:space="0" w:color="auto"/>
              <w:bottom w:val="single" w:sz="4" w:space="0" w:color="auto"/>
              <w:right w:val="single" w:sz="4" w:space="0" w:color="auto"/>
            </w:tcBorders>
            <w:hideMark/>
          </w:tcPr>
          <w:p w14:paraId="02387294" w14:textId="77777777" w:rsidR="00C416D0" w:rsidRPr="00975CA4" w:rsidRDefault="00C416D0" w:rsidP="0046310B">
            <w:pPr>
              <w:spacing w:after="0" w:line="276" w:lineRule="auto"/>
              <w:jc w:val="center"/>
              <w:rPr>
                <w:rFonts w:ascii="Times New Roman" w:hAnsi="Times New Roman" w:cs="Times New Roman"/>
              </w:rPr>
            </w:pPr>
            <w:r w:rsidRPr="00975CA4">
              <w:rPr>
                <w:rFonts w:ascii="Times New Roman" w:hAnsi="Times New Roman" w:cs="Times New Roman"/>
              </w:rPr>
              <w:t>Pradinė dozė</w:t>
            </w:r>
          </w:p>
        </w:tc>
        <w:tc>
          <w:tcPr>
            <w:tcW w:w="1701" w:type="dxa"/>
            <w:tcBorders>
              <w:top w:val="single" w:sz="4" w:space="0" w:color="auto"/>
              <w:left w:val="single" w:sz="4" w:space="0" w:color="auto"/>
              <w:bottom w:val="single" w:sz="4" w:space="0" w:color="auto"/>
              <w:right w:val="single" w:sz="4" w:space="0" w:color="auto"/>
            </w:tcBorders>
            <w:hideMark/>
          </w:tcPr>
          <w:p w14:paraId="4A9039EF" w14:textId="77777777" w:rsidR="00C416D0" w:rsidRPr="00975CA4" w:rsidRDefault="00C416D0" w:rsidP="0046310B">
            <w:pPr>
              <w:spacing w:after="0" w:line="276" w:lineRule="auto"/>
              <w:jc w:val="center"/>
              <w:rPr>
                <w:rFonts w:ascii="Times New Roman" w:hAnsi="Times New Roman" w:cs="Times New Roman"/>
              </w:rPr>
            </w:pPr>
            <w:r w:rsidRPr="00975CA4">
              <w:rPr>
                <w:rFonts w:ascii="Times New Roman" w:hAnsi="Times New Roman" w:cs="Times New Roman"/>
              </w:rPr>
              <w:t>Dozės didinimas</w:t>
            </w:r>
          </w:p>
        </w:tc>
      </w:tr>
      <w:tr w:rsidR="00C416D0" w:rsidRPr="00975CA4" w14:paraId="5E94F457" w14:textId="77777777" w:rsidTr="00C416D0">
        <w:trPr>
          <w:jc w:val="center"/>
        </w:trPr>
        <w:tc>
          <w:tcPr>
            <w:tcW w:w="988" w:type="dxa"/>
            <w:vMerge w:val="restart"/>
            <w:tcBorders>
              <w:top w:val="single" w:sz="4" w:space="0" w:color="auto"/>
              <w:left w:val="single" w:sz="4" w:space="0" w:color="auto"/>
              <w:bottom w:val="single" w:sz="4" w:space="0" w:color="auto"/>
              <w:right w:val="single" w:sz="4" w:space="0" w:color="auto"/>
            </w:tcBorders>
            <w:hideMark/>
          </w:tcPr>
          <w:p w14:paraId="4064F0D0" w14:textId="77777777" w:rsidR="00C416D0" w:rsidRPr="00975CA4" w:rsidRDefault="00C416D0" w:rsidP="0046310B">
            <w:pPr>
              <w:spacing w:line="276" w:lineRule="auto"/>
              <w:rPr>
                <w:rFonts w:ascii="Times New Roman" w:hAnsi="Times New Roman" w:cs="Times New Roman"/>
              </w:rPr>
            </w:pPr>
            <w:r w:rsidRPr="00975CA4">
              <w:rPr>
                <w:rFonts w:ascii="Times New Roman" w:hAnsi="Times New Roman" w:cs="Times New Roman"/>
              </w:rPr>
              <w:t>Tabletės</w:t>
            </w:r>
          </w:p>
        </w:tc>
        <w:tc>
          <w:tcPr>
            <w:tcW w:w="1842" w:type="dxa"/>
            <w:tcBorders>
              <w:top w:val="single" w:sz="4" w:space="0" w:color="auto"/>
              <w:left w:val="single" w:sz="4" w:space="0" w:color="auto"/>
              <w:bottom w:val="nil"/>
              <w:right w:val="nil"/>
            </w:tcBorders>
            <w:hideMark/>
          </w:tcPr>
          <w:p w14:paraId="7B773D44" w14:textId="5EC0C139" w:rsidR="00C416D0" w:rsidRPr="00975CA4" w:rsidRDefault="00C416D0" w:rsidP="00275E2B">
            <w:pPr>
              <w:spacing w:after="0" w:line="276" w:lineRule="auto"/>
              <w:jc w:val="center"/>
              <w:rPr>
                <w:rFonts w:ascii="Times New Roman" w:hAnsi="Times New Roman" w:cs="Times New Roman"/>
              </w:rPr>
            </w:pPr>
            <w:r w:rsidRPr="00975CA4">
              <w:rPr>
                <w:rFonts w:ascii="Times New Roman" w:hAnsi="Times New Roman" w:cs="Times New Roman"/>
              </w:rPr>
              <w:t>40</w:t>
            </w:r>
            <w:r w:rsidR="00275E2B" w:rsidRPr="00975CA4">
              <w:rPr>
                <w:rFonts w:ascii="Times New Roman" w:hAnsi="Times New Roman" w:cs="Times New Roman"/>
              </w:rPr>
              <w:t> </w:t>
            </w:r>
            <w:r w:rsidRPr="00975CA4">
              <w:rPr>
                <w:rFonts w:ascii="Times New Roman" w:hAnsi="Times New Roman" w:cs="Times New Roman"/>
              </w:rPr>
              <w:t>mg</w:t>
            </w:r>
          </w:p>
        </w:tc>
        <w:tc>
          <w:tcPr>
            <w:tcW w:w="1701" w:type="dxa"/>
            <w:tcBorders>
              <w:top w:val="single" w:sz="4" w:space="0" w:color="auto"/>
              <w:left w:val="nil"/>
              <w:bottom w:val="nil"/>
              <w:right w:val="single" w:sz="4" w:space="0" w:color="auto"/>
            </w:tcBorders>
            <w:hideMark/>
          </w:tcPr>
          <w:p w14:paraId="28765483" w14:textId="23C194E1" w:rsidR="00C416D0" w:rsidRPr="00975CA4" w:rsidRDefault="00C416D0" w:rsidP="00BE3DF1">
            <w:pPr>
              <w:spacing w:after="0" w:line="276" w:lineRule="auto"/>
              <w:jc w:val="center"/>
              <w:rPr>
                <w:rFonts w:ascii="Times New Roman" w:hAnsi="Times New Roman" w:cs="Times New Roman"/>
              </w:rPr>
            </w:pPr>
            <w:r w:rsidRPr="00975CA4">
              <w:rPr>
                <w:rFonts w:ascii="Times New Roman" w:hAnsi="Times New Roman" w:cs="Times New Roman"/>
              </w:rPr>
              <w:t>50</w:t>
            </w:r>
            <w:r w:rsidR="00275E2B" w:rsidRPr="00975CA4">
              <w:rPr>
                <w:rFonts w:ascii="Times New Roman" w:hAnsi="Times New Roman" w:cs="Times New Roman"/>
              </w:rPr>
              <w:t> </w:t>
            </w:r>
            <w:r w:rsidRPr="00975CA4">
              <w:rPr>
                <w:rFonts w:ascii="Times New Roman" w:hAnsi="Times New Roman" w:cs="Times New Roman"/>
              </w:rPr>
              <w:t>mg</w:t>
            </w:r>
          </w:p>
        </w:tc>
      </w:tr>
      <w:tr w:rsidR="00C416D0" w:rsidRPr="00975CA4" w14:paraId="6A8196E4" w14:textId="77777777" w:rsidTr="00C416D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E83C7" w14:textId="77777777" w:rsidR="00C416D0" w:rsidRPr="00975CA4" w:rsidRDefault="00C416D0" w:rsidP="0046310B">
            <w:pPr>
              <w:spacing w:after="0" w:line="276" w:lineRule="auto"/>
              <w:rPr>
                <w:rFonts w:ascii="Times New Roman" w:hAnsi="Times New Roman" w:cs="Times New Roman"/>
                <w:lang w:eastAsia="fr-FR"/>
              </w:rPr>
            </w:pPr>
          </w:p>
        </w:tc>
        <w:tc>
          <w:tcPr>
            <w:tcW w:w="1842" w:type="dxa"/>
            <w:tcBorders>
              <w:top w:val="nil"/>
              <w:left w:val="single" w:sz="4" w:space="0" w:color="auto"/>
              <w:bottom w:val="nil"/>
              <w:right w:val="nil"/>
            </w:tcBorders>
            <w:hideMark/>
          </w:tcPr>
          <w:p w14:paraId="11C2186D" w14:textId="5479482A" w:rsidR="00C416D0" w:rsidRPr="00975CA4" w:rsidRDefault="00C416D0" w:rsidP="00BE3DF1">
            <w:pPr>
              <w:spacing w:after="0" w:line="276" w:lineRule="auto"/>
              <w:jc w:val="center"/>
              <w:rPr>
                <w:rFonts w:ascii="Times New Roman" w:hAnsi="Times New Roman" w:cs="Times New Roman"/>
              </w:rPr>
            </w:pPr>
            <w:r w:rsidRPr="00975CA4">
              <w:rPr>
                <w:rFonts w:ascii="Times New Roman" w:hAnsi="Times New Roman" w:cs="Times New Roman"/>
              </w:rPr>
              <w:t>60</w:t>
            </w:r>
            <w:r w:rsidR="00275E2B" w:rsidRPr="00975CA4">
              <w:rPr>
                <w:rFonts w:ascii="Times New Roman" w:hAnsi="Times New Roman" w:cs="Times New Roman"/>
              </w:rPr>
              <w:t> </w:t>
            </w:r>
            <w:r w:rsidRPr="00975CA4">
              <w:rPr>
                <w:rFonts w:ascii="Times New Roman" w:hAnsi="Times New Roman" w:cs="Times New Roman"/>
              </w:rPr>
              <w:t>mg</w:t>
            </w:r>
          </w:p>
        </w:tc>
        <w:tc>
          <w:tcPr>
            <w:tcW w:w="1701" w:type="dxa"/>
            <w:tcBorders>
              <w:top w:val="nil"/>
              <w:left w:val="nil"/>
              <w:bottom w:val="nil"/>
              <w:right w:val="single" w:sz="4" w:space="0" w:color="auto"/>
            </w:tcBorders>
            <w:hideMark/>
          </w:tcPr>
          <w:p w14:paraId="5E2FCABD" w14:textId="4BD25796" w:rsidR="00C416D0" w:rsidRPr="00975CA4" w:rsidRDefault="00C416D0" w:rsidP="00BE3DF1">
            <w:pPr>
              <w:spacing w:after="0" w:line="276" w:lineRule="auto"/>
              <w:jc w:val="center"/>
              <w:rPr>
                <w:rFonts w:ascii="Times New Roman" w:hAnsi="Times New Roman" w:cs="Times New Roman"/>
              </w:rPr>
            </w:pPr>
            <w:r w:rsidRPr="00975CA4">
              <w:rPr>
                <w:rFonts w:ascii="Times New Roman" w:hAnsi="Times New Roman" w:cs="Times New Roman"/>
              </w:rPr>
              <w:t>70</w:t>
            </w:r>
            <w:r w:rsidR="00275E2B" w:rsidRPr="00975CA4">
              <w:rPr>
                <w:rFonts w:ascii="Times New Roman" w:hAnsi="Times New Roman" w:cs="Times New Roman"/>
              </w:rPr>
              <w:t> </w:t>
            </w:r>
            <w:r w:rsidRPr="00975CA4">
              <w:rPr>
                <w:rFonts w:ascii="Times New Roman" w:hAnsi="Times New Roman" w:cs="Times New Roman"/>
              </w:rPr>
              <w:t>mg</w:t>
            </w:r>
          </w:p>
        </w:tc>
      </w:tr>
      <w:tr w:rsidR="00C416D0" w:rsidRPr="00975CA4" w14:paraId="2ACD5E87" w14:textId="77777777" w:rsidTr="00C416D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687B1" w14:textId="77777777" w:rsidR="00C416D0" w:rsidRPr="00975CA4" w:rsidRDefault="00C416D0" w:rsidP="0046310B">
            <w:pPr>
              <w:spacing w:after="0" w:line="276" w:lineRule="auto"/>
              <w:rPr>
                <w:rFonts w:ascii="Times New Roman" w:hAnsi="Times New Roman" w:cs="Times New Roman"/>
                <w:lang w:eastAsia="fr-FR"/>
              </w:rPr>
            </w:pPr>
          </w:p>
        </w:tc>
        <w:tc>
          <w:tcPr>
            <w:tcW w:w="1842" w:type="dxa"/>
            <w:tcBorders>
              <w:top w:val="nil"/>
              <w:left w:val="single" w:sz="4" w:space="0" w:color="auto"/>
              <w:bottom w:val="nil"/>
              <w:right w:val="nil"/>
            </w:tcBorders>
            <w:hideMark/>
          </w:tcPr>
          <w:p w14:paraId="2C104321" w14:textId="5F76F7A6" w:rsidR="00C416D0" w:rsidRPr="00975CA4" w:rsidRDefault="00C416D0" w:rsidP="00BE3DF1">
            <w:pPr>
              <w:spacing w:after="0" w:line="276" w:lineRule="auto"/>
              <w:jc w:val="center"/>
              <w:rPr>
                <w:rFonts w:ascii="Times New Roman" w:hAnsi="Times New Roman" w:cs="Times New Roman"/>
              </w:rPr>
            </w:pPr>
            <w:r w:rsidRPr="00975CA4">
              <w:rPr>
                <w:rFonts w:ascii="Times New Roman" w:hAnsi="Times New Roman" w:cs="Times New Roman"/>
              </w:rPr>
              <w:t>70</w:t>
            </w:r>
            <w:r w:rsidR="00275E2B" w:rsidRPr="00975CA4">
              <w:rPr>
                <w:rFonts w:ascii="Times New Roman" w:hAnsi="Times New Roman" w:cs="Times New Roman"/>
              </w:rPr>
              <w:t> </w:t>
            </w:r>
            <w:r w:rsidRPr="00975CA4">
              <w:rPr>
                <w:rFonts w:ascii="Times New Roman" w:hAnsi="Times New Roman" w:cs="Times New Roman"/>
              </w:rPr>
              <w:t>mg</w:t>
            </w:r>
          </w:p>
        </w:tc>
        <w:tc>
          <w:tcPr>
            <w:tcW w:w="1701" w:type="dxa"/>
            <w:tcBorders>
              <w:top w:val="nil"/>
              <w:left w:val="nil"/>
              <w:bottom w:val="nil"/>
              <w:right w:val="single" w:sz="4" w:space="0" w:color="auto"/>
            </w:tcBorders>
            <w:hideMark/>
          </w:tcPr>
          <w:p w14:paraId="06EC1AD0" w14:textId="72077331" w:rsidR="00C416D0" w:rsidRPr="00975CA4" w:rsidRDefault="00C416D0" w:rsidP="00BE3DF1">
            <w:pPr>
              <w:spacing w:after="0" w:line="276" w:lineRule="auto"/>
              <w:jc w:val="center"/>
              <w:rPr>
                <w:rFonts w:ascii="Times New Roman" w:hAnsi="Times New Roman" w:cs="Times New Roman"/>
              </w:rPr>
            </w:pPr>
            <w:r w:rsidRPr="00975CA4">
              <w:rPr>
                <w:rFonts w:ascii="Times New Roman" w:hAnsi="Times New Roman" w:cs="Times New Roman"/>
              </w:rPr>
              <w:t>90</w:t>
            </w:r>
            <w:r w:rsidR="00275E2B" w:rsidRPr="00975CA4">
              <w:rPr>
                <w:rFonts w:ascii="Times New Roman" w:hAnsi="Times New Roman" w:cs="Times New Roman"/>
              </w:rPr>
              <w:t> </w:t>
            </w:r>
            <w:r w:rsidRPr="00975CA4">
              <w:rPr>
                <w:rFonts w:ascii="Times New Roman" w:hAnsi="Times New Roman" w:cs="Times New Roman"/>
              </w:rPr>
              <w:t>mg</w:t>
            </w:r>
          </w:p>
        </w:tc>
      </w:tr>
      <w:tr w:rsidR="00C416D0" w:rsidRPr="00975CA4" w14:paraId="6CE5EC47" w14:textId="77777777" w:rsidTr="00C416D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02707" w14:textId="77777777" w:rsidR="00C416D0" w:rsidRPr="00975CA4" w:rsidRDefault="00C416D0" w:rsidP="0046310B">
            <w:pPr>
              <w:spacing w:after="0" w:line="276" w:lineRule="auto"/>
              <w:rPr>
                <w:rFonts w:ascii="Times New Roman" w:hAnsi="Times New Roman" w:cs="Times New Roman"/>
                <w:lang w:eastAsia="fr-FR"/>
              </w:rPr>
            </w:pPr>
          </w:p>
        </w:tc>
        <w:tc>
          <w:tcPr>
            <w:tcW w:w="1842" w:type="dxa"/>
            <w:tcBorders>
              <w:top w:val="nil"/>
              <w:left w:val="single" w:sz="4" w:space="0" w:color="auto"/>
              <w:bottom w:val="single" w:sz="4" w:space="0" w:color="auto"/>
              <w:right w:val="nil"/>
            </w:tcBorders>
            <w:hideMark/>
          </w:tcPr>
          <w:p w14:paraId="37D6040C" w14:textId="22DB217A" w:rsidR="00C416D0" w:rsidRPr="00975CA4" w:rsidRDefault="00C416D0" w:rsidP="00BE3DF1">
            <w:pPr>
              <w:spacing w:after="0" w:line="276" w:lineRule="auto"/>
              <w:jc w:val="center"/>
              <w:rPr>
                <w:rFonts w:ascii="Times New Roman" w:hAnsi="Times New Roman" w:cs="Times New Roman"/>
              </w:rPr>
            </w:pPr>
            <w:r w:rsidRPr="00975CA4">
              <w:rPr>
                <w:rFonts w:ascii="Times New Roman" w:hAnsi="Times New Roman" w:cs="Times New Roman"/>
              </w:rPr>
              <w:t>100</w:t>
            </w:r>
            <w:r w:rsidR="00275E2B" w:rsidRPr="00975CA4">
              <w:rPr>
                <w:rFonts w:ascii="Times New Roman" w:hAnsi="Times New Roman" w:cs="Times New Roman"/>
              </w:rPr>
              <w:t> </w:t>
            </w:r>
            <w:r w:rsidRPr="00975CA4">
              <w:rPr>
                <w:rFonts w:ascii="Times New Roman" w:hAnsi="Times New Roman" w:cs="Times New Roman"/>
              </w:rPr>
              <w:t>mg</w:t>
            </w:r>
          </w:p>
        </w:tc>
        <w:tc>
          <w:tcPr>
            <w:tcW w:w="1701" w:type="dxa"/>
            <w:tcBorders>
              <w:top w:val="nil"/>
              <w:left w:val="nil"/>
              <w:bottom w:val="single" w:sz="4" w:space="0" w:color="auto"/>
              <w:right w:val="single" w:sz="4" w:space="0" w:color="auto"/>
            </w:tcBorders>
            <w:hideMark/>
          </w:tcPr>
          <w:p w14:paraId="2866054C" w14:textId="4BA016C4" w:rsidR="00C416D0" w:rsidRPr="00975CA4" w:rsidRDefault="00C416D0" w:rsidP="00BE3DF1">
            <w:pPr>
              <w:spacing w:after="0" w:line="276" w:lineRule="auto"/>
              <w:jc w:val="center"/>
              <w:rPr>
                <w:rFonts w:ascii="Times New Roman" w:hAnsi="Times New Roman" w:cs="Times New Roman"/>
              </w:rPr>
            </w:pPr>
            <w:r w:rsidRPr="00975CA4">
              <w:rPr>
                <w:rFonts w:ascii="Times New Roman" w:hAnsi="Times New Roman" w:cs="Times New Roman"/>
              </w:rPr>
              <w:t>120</w:t>
            </w:r>
            <w:r w:rsidR="00275E2B" w:rsidRPr="00975CA4">
              <w:rPr>
                <w:rFonts w:ascii="Times New Roman" w:hAnsi="Times New Roman" w:cs="Times New Roman"/>
              </w:rPr>
              <w:t> </w:t>
            </w:r>
            <w:r w:rsidRPr="00975CA4">
              <w:rPr>
                <w:rFonts w:ascii="Times New Roman" w:hAnsi="Times New Roman" w:cs="Times New Roman"/>
              </w:rPr>
              <w:t>mg</w:t>
            </w:r>
          </w:p>
        </w:tc>
      </w:tr>
    </w:tbl>
    <w:p w14:paraId="4BA65E6C" w14:textId="77777777" w:rsidR="00C416D0" w:rsidRPr="00975CA4" w:rsidRDefault="00C416D0" w:rsidP="0046310B">
      <w:pPr>
        <w:spacing w:after="0" w:line="240" w:lineRule="auto"/>
        <w:rPr>
          <w:rFonts w:ascii="Times New Roman" w:eastAsia="Calibri" w:hAnsi="Times New Roman" w:cs="Times New Roman"/>
          <w:color w:val="000000"/>
          <w:lang w:eastAsia="ar-SA"/>
        </w:rPr>
      </w:pPr>
    </w:p>
    <w:p w14:paraId="48812E2D" w14:textId="5796480D" w:rsidR="00C416D0" w:rsidRPr="00975CA4" w:rsidRDefault="00C416D0" w:rsidP="0046310B">
      <w:pPr>
        <w:suppressAutoHyphens/>
        <w:spacing w:after="0" w:line="240" w:lineRule="auto"/>
        <w:rPr>
          <w:rFonts w:ascii="Times New Roman" w:eastAsia="Calibri" w:hAnsi="Times New Roman" w:cs="Times New Roman"/>
          <w:i/>
          <w:iCs/>
          <w:color w:val="000000"/>
          <w:u w:val="single"/>
          <w:lang w:eastAsia="ar-SA"/>
        </w:rPr>
      </w:pPr>
      <w:r w:rsidRPr="00975CA4">
        <w:rPr>
          <w:rFonts w:ascii="Times New Roman" w:eastAsia="Calibri" w:hAnsi="Times New Roman" w:cs="Times New Roman"/>
          <w:color w:val="000000"/>
          <w:lang w:eastAsia="ar-SA"/>
        </w:rPr>
        <w:t xml:space="preserve">Vaikams, sergantiems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ŪLL, dozės didinti nerekomenduojama, kadangi jiems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skiriama derinyje su chemoterapija.</w:t>
      </w:r>
    </w:p>
    <w:p w14:paraId="1ED53F21" w14:textId="77777777" w:rsidR="00C416D0" w:rsidRPr="00975CA4" w:rsidRDefault="00C416D0" w:rsidP="0046310B">
      <w:pPr>
        <w:suppressAutoHyphens/>
        <w:spacing w:after="0" w:line="240" w:lineRule="auto"/>
        <w:rPr>
          <w:rFonts w:ascii="Times New Roman" w:eastAsia="Calibri" w:hAnsi="Times New Roman" w:cs="Times New Roman"/>
          <w:i/>
          <w:iCs/>
          <w:color w:val="000000"/>
          <w:u w:val="single"/>
          <w:lang w:eastAsia="ar-SA"/>
        </w:rPr>
      </w:pPr>
    </w:p>
    <w:p w14:paraId="75E3931A" w14:textId="77777777" w:rsidR="00C416D0" w:rsidRPr="00975CA4" w:rsidRDefault="00C416D0" w:rsidP="0046310B">
      <w:pPr>
        <w:suppressAutoHyphens/>
        <w:spacing w:after="0" w:line="240" w:lineRule="auto"/>
        <w:rPr>
          <w:rFonts w:ascii="Times New Roman" w:eastAsia="Calibri" w:hAnsi="Times New Roman" w:cs="Times New Roman"/>
          <w:i/>
          <w:iCs/>
          <w:color w:val="000000"/>
          <w:lang w:eastAsia="ar-SA"/>
        </w:rPr>
      </w:pPr>
      <w:r w:rsidRPr="00975CA4">
        <w:rPr>
          <w:rFonts w:ascii="Times New Roman" w:eastAsia="Calibri" w:hAnsi="Times New Roman" w:cs="Times New Roman"/>
          <w:i/>
          <w:iCs/>
          <w:color w:val="000000"/>
          <w:u w:val="single"/>
          <w:lang w:eastAsia="ar-SA"/>
        </w:rPr>
        <w:t>Dozės koregavimas dėl nepageidaujamų reakcijų</w:t>
      </w:r>
    </w:p>
    <w:p w14:paraId="368F3C8A" w14:textId="77777777" w:rsidR="00C416D0" w:rsidRPr="00975CA4" w:rsidRDefault="00C416D0"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i/>
          <w:iCs/>
          <w:color w:val="000000"/>
          <w:lang w:eastAsia="ar-SA"/>
        </w:rPr>
        <w:t>Kaulų čiulpų slopinimas</w:t>
      </w:r>
    </w:p>
    <w:p w14:paraId="301249C8" w14:textId="619BA470" w:rsidR="00C32909" w:rsidRPr="00975CA4" w:rsidRDefault="00C32909"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Klinikinių tyrimų metu susilpnėjus kaulų čiulpų funkcijai, būdavo mažinama vaistinio preparato dozė arba laikinai ar visam laikui nutraukiamas jo vartojimas. Prireikus būdavo perpilama trombocitų ir eritrocitų. </w:t>
      </w:r>
      <w:r w:rsidR="007A26B4" w:rsidRPr="00975CA4">
        <w:rPr>
          <w:rFonts w:ascii="Times New Roman" w:eastAsia="Calibri" w:hAnsi="Times New Roman" w:cs="Times New Roman"/>
          <w:color w:val="000000"/>
          <w:lang w:eastAsia="ar-SA"/>
        </w:rPr>
        <w:t>Neatsistačius k</w:t>
      </w:r>
      <w:r w:rsidRPr="00975CA4">
        <w:rPr>
          <w:rFonts w:ascii="Times New Roman" w:eastAsia="Calibri" w:hAnsi="Times New Roman" w:cs="Times New Roman"/>
          <w:color w:val="000000"/>
          <w:lang w:eastAsia="ar-SA"/>
        </w:rPr>
        <w:t xml:space="preserve">aulų čiulpų funkcijai būdavo </w:t>
      </w:r>
      <w:r w:rsidR="007A26B4" w:rsidRPr="00975CA4">
        <w:rPr>
          <w:rFonts w:ascii="Times New Roman" w:eastAsia="Calibri" w:hAnsi="Times New Roman" w:cs="Times New Roman"/>
          <w:color w:val="000000"/>
          <w:lang w:eastAsia="ar-SA"/>
        </w:rPr>
        <w:t xml:space="preserve">skiriama </w:t>
      </w:r>
      <w:proofErr w:type="spellStart"/>
      <w:r w:rsidRPr="00975CA4">
        <w:rPr>
          <w:rFonts w:ascii="Times New Roman" w:eastAsia="Calibri" w:hAnsi="Times New Roman" w:cs="Times New Roman"/>
          <w:color w:val="000000"/>
          <w:lang w:eastAsia="ar-SA"/>
        </w:rPr>
        <w:t>hemopoezini</w:t>
      </w:r>
      <w:r w:rsidR="007A26B4" w:rsidRPr="00975CA4">
        <w:rPr>
          <w:rFonts w:ascii="Times New Roman" w:eastAsia="Calibri" w:hAnsi="Times New Roman" w:cs="Times New Roman"/>
          <w:color w:val="000000"/>
          <w:lang w:eastAsia="ar-SA"/>
        </w:rPr>
        <w:t>o</w:t>
      </w:r>
      <w:proofErr w:type="spellEnd"/>
      <w:r w:rsidRPr="00975CA4">
        <w:rPr>
          <w:rFonts w:ascii="Times New Roman" w:eastAsia="Calibri" w:hAnsi="Times New Roman" w:cs="Times New Roman"/>
          <w:color w:val="000000"/>
          <w:lang w:eastAsia="ar-SA"/>
        </w:rPr>
        <w:t xml:space="preserve"> augimo faktoriaus.</w:t>
      </w:r>
    </w:p>
    <w:p w14:paraId="48A55AB8" w14:textId="77777777" w:rsidR="00C32909" w:rsidRPr="00975CA4" w:rsidRDefault="00C32909" w:rsidP="0046310B">
      <w:pPr>
        <w:suppressAutoHyphens/>
        <w:spacing w:after="0" w:line="240" w:lineRule="auto"/>
        <w:rPr>
          <w:rFonts w:ascii="Times New Roman" w:eastAsia="Calibri" w:hAnsi="Times New Roman" w:cs="Times New Roman"/>
          <w:color w:val="000000"/>
          <w:lang w:eastAsia="ar-SA"/>
        </w:rPr>
      </w:pPr>
    </w:p>
    <w:p w14:paraId="0A960F40" w14:textId="2B0051F4" w:rsidR="00C32909" w:rsidRPr="00975CA4" w:rsidRDefault="00C32909"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Dozės koregavimo rekomendacijos suaugusiesiems apibendrintos 3 lentelėje, </w:t>
      </w:r>
      <w:r w:rsidRPr="00975CA4">
        <w:rPr>
          <w:rFonts w:ascii="Times New Roman" w:eastAsia="Times New Roman" w:hAnsi="Times New Roman" w:cs="Times New Roman"/>
          <w:color w:val="000000"/>
          <w:lang w:eastAsia="ar-SA"/>
        </w:rPr>
        <w:t xml:space="preserve">o </w:t>
      </w:r>
      <w:proofErr w:type="spellStart"/>
      <w:r w:rsidRPr="00975CA4">
        <w:rPr>
          <w:rFonts w:ascii="Times New Roman" w:eastAsia="Times New Roman" w:hAnsi="Times New Roman" w:cs="Times New Roman"/>
          <w:color w:val="000000"/>
          <w:lang w:eastAsia="ar-SA"/>
        </w:rPr>
        <w:t>Ph</w:t>
      </w:r>
      <w:proofErr w:type="spellEnd"/>
      <w:r w:rsidRPr="00975CA4">
        <w:rPr>
          <w:rFonts w:ascii="Times New Roman" w:eastAsia="Times New Roman" w:hAnsi="Times New Roman" w:cs="Times New Roman"/>
          <w:color w:val="000000"/>
          <w:lang w:eastAsia="ar-SA"/>
        </w:rPr>
        <w:t xml:space="preserve">+ LML LF sergantiems </w:t>
      </w:r>
      <w:r w:rsidRPr="00975CA4">
        <w:rPr>
          <w:rFonts w:ascii="Times New Roman" w:eastAsia="Calibri" w:hAnsi="Times New Roman" w:cs="Times New Roman"/>
          <w:color w:val="000000"/>
          <w:lang w:eastAsia="ar-SA"/>
        </w:rPr>
        <w:t>vaikams</w:t>
      </w:r>
      <w:r w:rsidRPr="00975CA4">
        <w:rPr>
          <w:rFonts w:ascii="Times New Roman" w:eastAsia="Times New Roman" w:hAnsi="Times New Roman" w:cs="Times New Roman"/>
          <w:color w:val="000000"/>
          <w:lang w:eastAsia="ar-SA"/>
        </w:rPr>
        <w:t xml:space="preserve"> – 4 lentelėje. Rekomendacijos </w:t>
      </w:r>
      <w:proofErr w:type="spellStart"/>
      <w:r w:rsidRPr="00975CA4">
        <w:rPr>
          <w:rFonts w:ascii="Times New Roman" w:eastAsia="Times New Roman" w:hAnsi="Times New Roman" w:cs="Times New Roman"/>
          <w:color w:val="000000"/>
          <w:lang w:eastAsia="ar-SA"/>
        </w:rPr>
        <w:t>Ph</w:t>
      </w:r>
      <w:proofErr w:type="spellEnd"/>
      <w:r w:rsidRPr="00975CA4">
        <w:rPr>
          <w:rFonts w:ascii="Times New Roman" w:eastAsia="Times New Roman" w:hAnsi="Times New Roman" w:cs="Times New Roman"/>
          <w:color w:val="000000"/>
          <w:lang w:eastAsia="ar-SA"/>
        </w:rPr>
        <w:t xml:space="preserve">+ ŪLL sergantiems </w:t>
      </w:r>
      <w:r w:rsidRPr="00975CA4">
        <w:rPr>
          <w:rFonts w:ascii="Times New Roman" w:eastAsia="Calibri" w:hAnsi="Times New Roman" w:cs="Times New Roman"/>
          <w:color w:val="000000"/>
          <w:lang w:eastAsia="ar-SA"/>
        </w:rPr>
        <w:t>vaikams,</w:t>
      </w:r>
      <w:r w:rsidRPr="00975CA4">
        <w:rPr>
          <w:rFonts w:ascii="Times New Roman" w:eastAsia="Times New Roman" w:hAnsi="Times New Roman" w:cs="Times New Roman"/>
          <w:color w:val="000000"/>
          <w:lang w:eastAsia="ar-SA"/>
        </w:rPr>
        <w:t xml:space="preserve"> kuriems derinyje taikoma chemoterapija, pateikiamos atskirame paragrafe </w:t>
      </w:r>
      <w:r w:rsidR="00BC6DDE" w:rsidRPr="00975CA4">
        <w:rPr>
          <w:rFonts w:ascii="Times New Roman" w:eastAsia="Times New Roman" w:hAnsi="Times New Roman" w:cs="Times New Roman"/>
          <w:color w:val="000000"/>
          <w:lang w:eastAsia="ar-SA"/>
        </w:rPr>
        <w:t xml:space="preserve">toliau </w:t>
      </w:r>
      <w:r w:rsidRPr="00975CA4">
        <w:rPr>
          <w:rFonts w:ascii="Times New Roman" w:eastAsia="Times New Roman" w:hAnsi="Times New Roman" w:cs="Times New Roman"/>
          <w:color w:val="000000"/>
          <w:lang w:eastAsia="ar-SA"/>
        </w:rPr>
        <w:t>šių lentelių.</w:t>
      </w:r>
    </w:p>
    <w:p w14:paraId="39D3CBE3" w14:textId="77777777" w:rsidR="00C32909" w:rsidRPr="00975CA4" w:rsidRDefault="00C32909" w:rsidP="0046310B">
      <w:pPr>
        <w:suppressAutoHyphens/>
        <w:spacing w:after="0" w:line="240" w:lineRule="auto"/>
        <w:rPr>
          <w:rFonts w:ascii="Times New Roman" w:eastAsia="Calibri" w:hAnsi="Times New Roman" w:cs="Times New Roman"/>
          <w:color w:val="000000"/>
          <w:lang w:eastAsia="ar-SA"/>
        </w:rPr>
      </w:pPr>
    </w:p>
    <w:p w14:paraId="0D41A1CE" w14:textId="77777777" w:rsidR="00C32909" w:rsidRPr="00975CA4" w:rsidRDefault="00C32909"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Times New Roman" w:hAnsi="Times New Roman" w:cs="Times New Roman"/>
          <w:b/>
          <w:bCs/>
          <w:color w:val="000000"/>
          <w:lang w:eastAsia="ar-SA"/>
        </w:rPr>
        <w:t xml:space="preserve">3 lentelė. Dozės koregavimas dėl </w:t>
      </w:r>
      <w:proofErr w:type="spellStart"/>
      <w:r w:rsidRPr="00975CA4">
        <w:rPr>
          <w:rFonts w:ascii="Times New Roman" w:eastAsia="Times New Roman" w:hAnsi="Times New Roman" w:cs="Times New Roman"/>
          <w:b/>
          <w:bCs/>
          <w:color w:val="000000"/>
          <w:lang w:eastAsia="ar-SA"/>
        </w:rPr>
        <w:t>neutropenijos</w:t>
      </w:r>
      <w:proofErr w:type="spellEnd"/>
      <w:r w:rsidRPr="00975CA4">
        <w:rPr>
          <w:rFonts w:ascii="Times New Roman" w:eastAsia="Times New Roman" w:hAnsi="Times New Roman" w:cs="Times New Roman"/>
          <w:b/>
          <w:bCs/>
          <w:color w:val="000000"/>
          <w:lang w:eastAsia="ar-SA"/>
        </w:rPr>
        <w:t xml:space="preserve"> ir </w:t>
      </w:r>
      <w:proofErr w:type="spellStart"/>
      <w:r w:rsidRPr="00975CA4">
        <w:rPr>
          <w:rFonts w:ascii="Times New Roman" w:eastAsia="Times New Roman" w:hAnsi="Times New Roman" w:cs="Times New Roman"/>
          <w:b/>
          <w:bCs/>
          <w:color w:val="000000"/>
          <w:lang w:eastAsia="ar-SA"/>
        </w:rPr>
        <w:t>trombocitopenijos</w:t>
      </w:r>
      <w:proofErr w:type="spellEnd"/>
      <w:r w:rsidRPr="00975CA4">
        <w:rPr>
          <w:rFonts w:ascii="Times New Roman" w:eastAsia="Times New Roman" w:hAnsi="Times New Roman" w:cs="Times New Roman"/>
          <w:b/>
          <w:bCs/>
          <w:color w:val="000000"/>
          <w:lang w:eastAsia="ar-SA"/>
        </w:rPr>
        <w:t xml:space="preserve"> suaugusiesiems</w:t>
      </w:r>
    </w:p>
    <w:p w14:paraId="29E90340" w14:textId="77777777" w:rsidR="00C416D0" w:rsidRPr="00975CA4" w:rsidRDefault="00C416D0" w:rsidP="0046310B">
      <w:pPr>
        <w:spacing w:after="0" w:line="240" w:lineRule="auto"/>
        <w:rPr>
          <w:rFonts w:ascii="Times New Roman" w:eastAsia="Calibri" w:hAnsi="Times New Roman" w:cs="Times New Roman"/>
          <w:color w:val="000000"/>
          <w:lang w:eastAsia="ar-SA"/>
        </w:rPr>
      </w:pPr>
    </w:p>
    <w:tbl>
      <w:tblPr>
        <w:tblStyle w:val="Lentelstinklelis"/>
        <w:tblW w:w="0" w:type="auto"/>
        <w:jc w:val="center"/>
        <w:tblLook w:val="04A0" w:firstRow="1" w:lastRow="0" w:firstColumn="1" w:lastColumn="0" w:noHBand="0" w:noVBand="1"/>
      </w:tblPr>
      <w:tblGrid>
        <w:gridCol w:w="2972"/>
        <w:gridCol w:w="2126"/>
        <w:gridCol w:w="4252"/>
      </w:tblGrid>
      <w:tr w:rsidR="00C32909" w:rsidRPr="00975CA4" w14:paraId="4A229216" w14:textId="77777777" w:rsidTr="0046310B">
        <w:trPr>
          <w:jc w:val="center"/>
        </w:trPr>
        <w:tc>
          <w:tcPr>
            <w:tcW w:w="2972" w:type="dxa"/>
            <w:tcBorders>
              <w:top w:val="single" w:sz="4" w:space="0" w:color="000000"/>
              <w:left w:val="single" w:sz="4" w:space="0" w:color="000000"/>
              <w:bottom w:val="single" w:sz="4" w:space="0" w:color="000000"/>
              <w:right w:val="single" w:sz="4" w:space="0" w:color="000000"/>
            </w:tcBorders>
            <w:hideMark/>
          </w:tcPr>
          <w:p w14:paraId="6B2E768E" w14:textId="4654BB62" w:rsidR="00C32909" w:rsidRPr="00975CA4" w:rsidRDefault="00C32909" w:rsidP="0046310B">
            <w:pPr>
              <w:ind w:right="-97"/>
              <w:rPr>
                <w:rFonts w:eastAsia="Times New Roman"/>
                <w:sz w:val="22"/>
                <w:szCs w:val="22"/>
              </w:rPr>
            </w:pPr>
            <w:r w:rsidRPr="00975CA4">
              <w:rPr>
                <w:rFonts w:eastAsia="Times New Roman"/>
                <w:sz w:val="22"/>
                <w:szCs w:val="22"/>
              </w:rPr>
              <w:t>LML lėtinė fazė suaugusiesiems (pradinė dozė – 100</w:t>
            </w:r>
            <w:r w:rsidR="00FD7D1C" w:rsidRPr="00975CA4">
              <w:rPr>
                <w:rFonts w:eastAsia="Times New Roman"/>
                <w:sz w:val="22"/>
                <w:szCs w:val="22"/>
              </w:rPr>
              <w:t> </w:t>
            </w:r>
            <w:r w:rsidRPr="00975CA4">
              <w:rPr>
                <w:rFonts w:eastAsia="Times New Roman"/>
                <w:sz w:val="22"/>
                <w:szCs w:val="22"/>
              </w:rPr>
              <w:t>mg 1</w:t>
            </w:r>
          </w:p>
          <w:p w14:paraId="70870A49" w14:textId="77777777" w:rsidR="00C32909" w:rsidRPr="00975CA4" w:rsidRDefault="00C32909" w:rsidP="0046310B">
            <w:pPr>
              <w:ind w:right="-97"/>
              <w:rPr>
                <w:rFonts w:eastAsia="Times New Roman"/>
                <w:sz w:val="22"/>
                <w:szCs w:val="22"/>
              </w:rPr>
            </w:pPr>
            <w:r w:rsidRPr="00975CA4">
              <w:rPr>
                <w:rFonts w:eastAsia="Times New Roman"/>
                <w:sz w:val="22"/>
                <w:szCs w:val="22"/>
              </w:rPr>
              <w:t>kartą per parą)</w:t>
            </w:r>
          </w:p>
        </w:tc>
        <w:tc>
          <w:tcPr>
            <w:tcW w:w="2126" w:type="dxa"/>
            <w:tcBorders>
              <w:top w:val="single" w:sz="4" w:space="0" w:color="000000"/>
              <w:left w:val="single" w:sz="4" w:space="0" w:color="000000"/>
              <w:bottom w:val="single" w:sz="4" w:space="0" w:color="000000"/>
              <w:right w:val="single" w:sz="4" w:space="0" w:color="000000"/>
            </w:tcBorders>
            <w:hideMark/>
          </w:tcPr>
          <w:p w14:paraId="07A29785" w14:textId="07C50CF8" w:rsidR="00C32909" w:rsidRPr="00975CA4" w:rsidRDefault="00C32909" w:rsidP="0046310B">
            <w:pPr>
              <w:rPr>
                <w:rFonts w:eastAsia="Times New Roman"/>
                <w:sz w:val="22"/>
                <w:szCs w:val="22"/>
              </w:rPr>
            </w:pPr>
            <w:r w:rsidRPr="00975CA4">
              <w:rPr>
                <w:rFonts w:eastAsia="Times New Roman"/>
                <w:sz w:val="22"/>
                <w:szCs w:val="22"/>
              </w:rPr>
              <w:t>ANS &lt;</w:t>
            </w:r>
            <w:r w:rsidR="00526967" w:rsidRPr="00975CA4">
              <w:rPr>
                <w:rFonts w:eastAsia="Times New Roman"/>
                <w:sz w:val="22"/>
                <w:szCs w:val="22"/>
              </w:rPr>
              <w:t> </w:t>
            </w:r>
            <w:r w:rsidRPr="00975CA4">
              <w:rPr>
                <w:rFonts w:eastAsia="Times New Roman"/>
                <w:sz w:val="22"/>
                <w:szCs w:val="22"/>
              </w:rPr>
              <w:t>0,5</w:t>
            </w:r>
            <w:r w:rsidR="00526967" w:rsidRPr="00975CA4">
              <w:rPr>
                <w:rFonts w:eastAsia="Times New Roman"/>
                <w:sz w:val="22"/>
                <w:szCs w:val="22"/>
              </w:rPr>
              <w:t> </w:t>
            </w:r>
            <w:r w:rsidRPr="00975CA4">
              <w:rPr>
                <w:rFonts w:eastAsia="Times New Roman"/>
                <w:sz w:val="22"/>
                <w:szCs w:val="22"/>
              </w:rPr>
              <w:t>x</w:t>
            </w:r>
            <w:r w:rsidR="00526967" w:rsidRPr="00975CA4">
              <w:rPr>
                <w:rFonts w:eastAsia="Times New Roman"/>
                <w:sz w:val="22"/>
                <w:szCs w:val="22"/>
              </w:rPr>
              <w:t> </w:t>
            </w:r>
            <w:r w:rsidRPr="00975CA4">
              <w:rPr>
                <w:rFonts w:eastAsia="Times New Roman"/>
                <w:sz w:val="22"/>
                <w:szCs w:val="22"/>
              </w:rPr>
              <w:t>10</w:t>
            </w:r>
            <w:r w:rsidRPr="00975CA4">
              <w:rPr>
                <w:rFonts w:eastAsia="Times New Roman"/>
                <w:sz w:val="22"/>
                <w:szCs w:val="22"/>
                <w:vertAlign w:val="superscript"/>
              </w:rPr>
              <w:t>9</w:t>
            </w:r>
            <w:r w:rsidRPr="00975CA4">
              <w:rPr>
                <w:rFonts w:eastAsia="Times New Roman"/>
                <w:sz w:val="22"/>
                <w:szCs w:val="22"/>
              </w:rPr>
              <w:t>/l</w:t>
            </w:r>
          </w:p>
          <w:p w14:paraId="039B8CAE" w14:textId="77777777" w:rsidR="00C32909" w:rsidRPr="00975CA4" w:rsidRDefault="00C32909" w:rsidP="0046310B">
            <w:pPr>
              <w:rPr>
                <w:rFonts w:eastAsia="Times New Roman"/>
                <w:sz w:val="22"/>
                <w:szCs w:val="22"/>
              </w:rPr>
            </w:pPr>
            <w:r w:rsidRPr="00975CA4">
              <w:rPr>
                <w:rFonts w:eastAsia="Times New Roman"/>
                <w:sz w:val="22"/>
                <w:szCs w:val="22"/>
              </w:rPr>
              <w:t xml:space="preserve">ir (arba) trombocitų </w:t>
            </w:r>
          </w:p>
          <w:p w14:paraId="0170AE01" w14:textId="24B18956" w:rsidR="00C32909" w:rsidRPr="00975CA4" w:rsidRDefault="00C32909" w:rsidP="00BC6DDE">
            <w:pPr>
              <w:rPr>
                <w:rFonts w:eastAsia="Times New Roman"/>
                <w:sz w:val="22"/>
                <w:szCs w:val="22"/>
              </w:rPr>
            </w:pPr>
            <w:r w:rsidRPr="00975CA4">
              <w:rPr>
                <w:rFonts w:eastAsia="Times New Roman"/>
                <w:sz w:val="22"/>
                <w:szCs w:val="22"/>
              </w:rPr>
              <w:t xml:space="preserve"> </w:t>
            </w:r>
            <w:r w:rsidR="00BC6DDE" w:rsidRPr="00975CA4">
              <w:rPr>
                <w:rFonts w:eastAsia="Times New Roman"/>
                <w:sz w:val="22"/>
                <w:szCs w:val="22"/>
              </w:rPr>
              <w:t>&lt; </w:t>
            </w:r>
            <w:r w:rsidRPr="00975CA4">
              <w:rPr>
                <w:rFonts w:eastAsia="Times New Roman"/>
                <w:sz w:val="22"/>
                <w:szCs w:val="22"/>
              </w:rPr>
              <w:t>50</w:t>
            </w:r>
            <w:r w:rsidR="00FD7D1C" w:rsidRPr="00975CA4">
              <w:rPr>
                <w:rFonts w:eastAsia="Times New Roman"/>
                <w:sz w:val="22"/>
                <w:szCs w:val="22"/>
              </w:rPr>
              <w:t> </w:t>
            </w:r>
            <w:r w:rsidR="00BC6DDE" w:rsidRPr="00975CA4">
              <w:rPr>
                <w:rFonts w:eastAsia="Times New Roman"/>
                <w:sz w:val="22"/>
                <w:szCs w:val="22"/>
              </w:rPr>
              <w:t>x </w:t>
            </w:r>
            <w:r w:rsidRPr="00975CA4">
              <w:rPr>
                <w:rFonts w:eastAsia="Times New Roman"/>
                <w:sz w:val="22"/>
                <w:szCs w:val="22"/>
              </w:rPr>
              <w:t>10</w:t>
            </w:r>
            <w:r w:rsidRPr="00975CA4">
              <w:rPr>
                <w:rFonts w:eastAsia="Times New Roman"/>
                <w:sz w:val="22"/>
                <w:szCs w:val="22"/>
                <w:vertAlign w:val="superscript"/>
              </w:rPr>
              <w:t>9</w:t>
            </w:r>
            <w:r w:rsidRPr="00975CA4">
              <w:rPr>
                <w:rFonts w:eastAsia="Times New Roman"/>
                <w:sz w:val="22"/>
                <w:szCs w:val="22"/>
              </w:rPr>
              <w:t>/l</w:t>
            </w:r>
          </w:p>
        </w:tc>
        <w:tc>
          <w:tcPr>
            <w:tcW w:w="4252" w:type="dxa"/>
            <w:tcBorders>
              <w:top w:val="single" w:sz="4" w:space="0" w:color="000000"/>
              <w:left w:val="single" w:sz="4" w:space="0" w:color="000000"/>
              <w:bottom w:val="single" w:sz="4" w:space="0" w:color="000000"/>
              <w:right w:val="single" w:sz="4" w:space="0" w:color="000000"/>
            </w:tcBorders>
            <w:hideMark/>
          </w:tcPr>
          <w:p w14:paraId="5AD01814" w14:textId="2611CB11" w:rsidR="00C32909" w:rsidRPr="00975CA4" w:rsidRDefault="00C32909" w:rsidP="0046310B">
            <w:pPr>
              <w:pStyle w:val="Sraopastraipa"/>
              <w:numPr>
                <w:ilvl w:val="0"/>
                <w:numId w:val="4"/>
              </w:numPr>
              <w:ind w:left="183" w:hanging="284"/>
              <w:rPr>
                <w:rFonts w:eastAsia="Times New Roman"/>
                <w:sz w:val="22"/>
                <w:szCs w:val="22"/>
              </w:rPr>
            </w:pPr>
            <w:r w:rsidRPr="00975CA4">
              <w:rPr>
                <w:rFonts w:eastAsia="Times New Roman"/>
                <w:sz w:val="22"/>
                <w:szCs w:val="22"/>
              </w:rPr>
              <w:t>Nutraukti vaistinio preparato vartojimą, kol ANS* taps ≥</w:t>
            </w:r>
            <w:r w:rsidR="00FD7D1C" w:rsidRPr="00975CA4">
              <w:rPr>
                <w:rFonts w:eastAsia="Times New Roman"/>
                <w:sz w:val="22"/>
                <w:szCs w:val="22"/>
              </w:rPr>
              <w:t> </w:t>
            </w:r>
            <w:r w:rsidRPr="00975CA4">
              <w:rPr>
                <w:rFonts w:eastAsia="Times New Roman"/>
                <w:sz w:val="22"/>
                <w:szCs w:val="22"/>
              </w:rPr>
              <w:t>1</w:t>
            </w:r>
            <w:r w:rsidR="00FD7D1C" w:rsidRPr="00975CA4">
              <w:rPr>
                <w:rFonts w:eastAsia="Times New Roman"/>
                <w:sz w:val="22"/>
                <w:szCs w:val="22"/>
              </w:rPr>
              <w:t> </w:t>
            </w:r>
            <w:r w:rsidRPr="00975CA4">
              <w:rPr>
                <w:rFonts w:eastAsia="Times New Roman"/>
                <w:sz w:val="22"/>
                <w:szCs w:val="22"/>
              </w:rPr>
              <w:t>x</w:t>
            </w:r>
            <w:r w:rsidR="00FD7D1C" w:rsidRPr="00975CA4">
              <w:rPr>
                <w:rFonts w:eastAsia="Times New Roman"/>
                <w:sz w:val="22"/>
                <w:szCs w:val="22"/>
              </w:rPr>
              <w:t> </w:t>
            </w:r>
            <w:r w:rsidRPr="00975CA4">
              <w:rPr>
                <w:rFonts w:eastAsia="Times New Roman"/>
                <w:sz w:val="22"/>
                <w:szCs w:val="22"/>
              </w:rPr>
              <w:t>10</w:t>
            </w:r>
            <w:r w:rsidRPr="00975CA4">
              <w:rPr>
                <w:rFonts w:eastAsia="Times New Roman"/>
                <w:vertAlign w:val="superscript"/>
              </w:rPr>
              <w:t>9</w:t>
            </w:r>
            <w:r w:rsidRPr="00975CA4">
              <w:rPr>
                <w:rFonts w:eastAsia="Times New Roman"/>
                <w:sz w:val="22"/>
                <w:szCs w:val="22"/>
              </w:rPr>
              <w:t xml:space="preserve">/l, o trombocitų skaičius </w:t>
            </w:r>
            <w:r w:rsidR="00BC6DDE" w:rsidRPr="00975CA4">
              <w:rPr>
                <w:rFonts w:eastAsia="Times New Roman"/>
                <w:sz w:val="22"/>
                <w:szCs w:val="22"/>
              </w:rPr>
              <w:t>≥ </w:t>
            </w:r>
            <w:r w:rsidRPr="00975CA4">
              <w:rPr>
                <w:rFonts w:eastAsia="Times New Roman"/>
                <w:sz w:val="22"/>
                <w:szCs w:val="22"/>
              </w:rPr>
              <w:t>50</w:t>
            </w:r>
            <w:r w:rsidR="00FD7D1C" w:rsidRPr="00975CA4">
              <w:rPr>
                <w:rFonts w:eastAsia="Times New Roman"/>
                <w:sz w:val="22"/>
                <w:szCs w:val="22"/>
              </w:rPr>
              <w:t> </w:t>
            </w:r>
            <w:r w:rsidRPr="00975CA4">
              <w:rPr>
                <w:rFonts w:eastAsia="Times New Roman"/>
                <w:sz w:val="22"/>
                <w:szCs w:val="22"/>
              </w:rPr>
              <w:t>x</w:t>
            </w:r>
            <w:r w:rsidR="00FD7D1C" w:rsidRPr="00975CA4">
              <w:rPr>
                <w:rFonts w:eastAsia="Times New Roman"/>
                <w:sz w:val="22"/>
                <w:szCs w:val="22"/>
              </w:rPr>
              <w:t> </w:t>
            </w:r>
            <w:r w:rsidRPr="00975CA4">
              <w:rPr>
                <w:rFonts w:eastAsia="Times New Roman"/>
                <w:sz w:val="22"/>
                <w:szCs w:val="22"/>
              </w:rPr>
              <w:t>10</w:t>
            </w:r>
            <w:r w:rsidRPr="00975CA4">
              <w:rPr>
                <w:rFonts w:eastAsia="Times New Roman"/>
                <w:vertAlign w:val="superscript"/>
              </w:rPr>
              <w:t>9</w:t>
            </w:r>
            <w:r w:rsidRPr="00975CA4">
              <w:rPr>
                <w:rFonts w:eastAsia="Times New Roman"/>
                <w:sz w:val="22"/>
                <w:szCs w:val="22"/>
              </w:rPr>
              <w:t>/l.</w:t>
            </w:r>
          </w:p>
          <w:p w14:paraId="7C38AE8D" w14:textId="77777777" w:rsidR="00C32909" w:rsidRPr="00975CA4" w:rsidRDefault="00C32909" w:rsidP="0046310B">
            <w:pPr>
              <w:pStyle w:val="Sraopastraipa"/>
              <w:numPr>
                <w:ilvl w:val="0"/>
                <w:numId w:val="4"/>
              </w:numPr>
              <w:ind w:left="183" w:hanging="284"/>
              <w:rPr>
                <w:rFonts w:eastAsia="Times New Roman"/>
                <w:sz w:val="22"/>
                <w:szCs w:val="22"/>
              </w:rPr>
            </w:pPr>
            <w:r w:rsidRPr="00975CA4">
              <w:rPr>
                <w:rFonts w:eastAsia="Times New Roman"/>
                <w:sz w:val="22"/>
                <w:szCs w:val="22"/>
              </w:rPr>
              <w:t>Vėliau gydymą tęsti tokia pačia doze kaip pirmoji pradinė.</w:t>
            </w:r>
          </w:p>
          <w:p w14:paraId="258D431F" w14:textId="2868A10F" w:rsidR="0046310B" w:rsidRPr="00975CA4" w:rsidRDefault="00C32909" w:rsidP="0046310B">
            <w:pPr>
              <w:pStyle w:val="Sraopastraipa"/>
              <w:numPr>
                <w:ilvl w:val="0"/>
                <w:numId w:val="4"/>
              </w:numPr>
              <w:ind w:left="183" w:hanging="284"/>
              <w:rPr>
                <w:rFonts w:eastAsia="Times New Roman"/>
                <w:sz w:val="22"/>
                <w:szCs w:val="22"/>
              </w:rPr>
            </w:pPr>
            <w:r w:rsidRPr="00975CA4">
              <w:rPr>
                <w:rFonts w:eastAsia="Times New Roman"/>
                <w:sz w:val="22"/>
                <w:szCs w:val="22"/>
              </w:rPr>
              <w:t xml:space="preserve">Jeigu trombocitų </w:t>
            </w:r>
            <w:r w:rsidR="006401E8" w:rsidRPr="00975CA4">
              <w:rPr>
                <w:rFonts w:eastAsia="Times New Roman"/>
                <w:sz w:val="22"/>
                <w:szCs w:val="22"/>
              </w:rPr>
              <w:t>&lt; </w:t>
            </w:r>
            <w:r w:rsidRPr="00975CA4">
              <w:rPr>
                <w:rFonts w:eastAsia="Times New Roman"/>
                <w:sz w:val="22"/>
                <w:szCs w:val="22"/>
              </w:rPr>
              <w:t>25</w:t>
            </w:r>
            <w:r w:rsidR="006401E8" w:rsidRPr="00975CA4">
              <w:rPr>
                <w:rFonts w:eastAsia="Times New Roman"/>
                <w:sz w:val="22"/>
                <w:szCs w:val="22"/>
              </w:rPr>
              <w:t> </w:t>
            </w:r>
            <w:r w:rsidRPr="00975CA4">
              <w:rPr>
                <w:rFonts w:eastAsia="Times New Roman"/>
                <w:sz w:val="22"/>
                <w:szCs w:val="22"/>
              </w:rPr>
              <w:t>x</w:t>
            </w:r>
            <w:r w:rsidR="006401E8" w:rsidRPr="00975CA4">
              <w:rPr>
                <w:rFonts w:eastAsia="Times New Roman"/>
                <w:sz w:val="22"/>
                <w:szCs w:val="22"/>
              </w:rPr>
              <w:t> </w:t>
            </w:r>
            <w:r w:rsidRPr="00975CA4">
              <w:rPr>
                <w:rFonts w:eastAsia="Times New Roman"/>
                <w:sz w:val="22"/>
                <w:szCs w:val="22"/>
              </w:rPr>
              <w:t>10</w:t>
            </w:r>
            <w:r w:rsidRPr="00975CA4">
              <w:rPr>
                <w:rFonts w:eastAsia="Times New Roman"/>
                <w:vertAlign w:val="superscript"/>
              </w:rPr>
              <w:t>9</w:t>
            </w:r>
            <w:r w:rsidRPr="00975CA4">
              <w:rPr>
                <w:rFonts w:eastAsia="Times New Roman"/>
                <w:sz w:val="22"/>
                <w:szCs w:val="22"/>
              </w:rPr>
              <w:t>/l ir (arba) ANS pakartotinai &lt;</w:t>
            </w:r>
            <w:r w:rsidR="00FD7D1C" w:rsidRPr="00975CA4">
              <w:rPr>
                <w:rFonts w:eastAsia="Times New Roman"/>
                <w:sz w:val="22"/>
                <w:szCs w:val="22"/>
              </w:rPr>
              <w:t> </w:t>
            </w:r>
            <w:r w:rsidRPr="00975CA4">
              <w:rPr>
                <w:rFonts w:eastAsia="Times New Roman"/>
                <w:sz w:val="22"/>
                <w:szCs w:val="22"/>
              </w:rPr>
              <w:t>0,5</w:t>
            </w:r>
            <w:r w:rsidR="00FD7D1C" w:rsidRPr="00975CA4">
              <w:rPr>
                <w:rFonts w:eastAsia="Times New Roman"/>
                <w:sz w:val="22"/>
                <w:szCs w:val="22"/>
              </w:rPr>
              <w:t> </w:t>
            </w:r>
            <w:r w:rsidRPr="00975CA4">
              <w:rPr>
                <w:rFonts w:eastAsia="Times New Roman"/>
                <w:sz w:val="22"/>
                <w:szCs w:val="22"/>
              </w:rPr>
              <w:t>x</w:t>
            </w:r>
            <w:r w:rsidR="00FD7D1C" w:rsidRPr="00975CA4">
              <w:rPr>
                <w:rFonts w:eastAsia="Times New Roman"/>
                <w:sz w:val="22"/>
                <w:szCs w:val="22"/>
              </w:rPr>
              <w:t> </w:t>
            </w:r>
            <w:r w:rsidRPr="00975CA4">
              <w:rPr>
                <w:rFonts w:eastAsia="Times New Roman"/>
                <w:sz w:val="22"/>
                <w:szCs w:val="22"/>
              </w:rPr>
              <w:t>10</w:t>
            </w:r>
            <w:r w:rsidRPr="00975CA4">
              <w:rPr>
                <w:rFonts w:eastAsia="Times New Roman"/>
                <w:vertAlign w:val="superscript"/>
              </w:rPr>
              <w:t>9</w:t>
            </w:r>
            <w:r w:rsidRPr="00975CA4">
              <w:rPr>
                <w:rFonts w:eastAsia="Times New Roman"/>
                <w:sz w:val="22"/>
                <w:szCs w:val="22"/>
              </w:rPr>
              <w:t xml:space="preserve">/l ilgiau kaip 7 paras, kartoti pirmą </w:t>
            </w:r>
            <w:r w:rsidRPr="00975CA4">
              <w:rPr>
                <w:rFonts w:eastAsia="Times New Roman"/>
              </w:rPr>
              <w:t>žingsnį</w:t>
            </w:r>
            <w:r w:rsidRPr="00975CA4">
              <w:rPr>
                <w:rFonts w:eastAsia="Times New Roman"/>
                <w:sz w:val="22"/>
                <w:szCs w:val="22"/>
              </w:rPr>
              <w:t xml:space="preserve"> ir po antrojo epizodo gydymą tęsti mažesne doze (80</w:t>
            </w:r>
            <w:r w:rsidR="003459F7" w:rsidRPr="00975CA4">
              <w:rPr>
                <w:rFonts w:eastAsia="Times New Roman"/>
                <w:sz w:val="22"/>
                <w:szCs w:val="22"/>
              </w:rPr>
              <w:t> </w:t>
            </w:r>
            <w:r w:rsidRPr="00975CA4">
              <w:rPr>
                <w:rFonts w:eastAsia="Times New Roman"/>
                <w:sz w:val="22"/>
                <w:szCs w:val="22"/>
              </w:rPr>
              <w:t>mg 1 kartą per parą).</w:t>
            </w:r>
          </w:p>
          <w:p w14:paraId="3754C551" w14:textId="610EE6C0" w:rsidR="00C32909" w:rsidRPr="00975CA4" w:rsidRDefault="00C32909" w:rsidP="00221356">
            <w:pPr>
              <w:pStyle w:val="Sraopastraipa"/>
              <w:ind w:left="183"/>
              <w:rPr>
                <w:rFonts w:eastAsia="Times New Roman"/>
                <w:sz w:val="22"/>
                <w:szCs w:val="22"/>
              </w:rPr>
            </w:pPr>
            <w:r w:rsidRPr="00975CA4">
              <w:rPr>
                <w:rFonts w:eastAsia="Times New Roman"/>
                <w:sz w:val="22"/>
                <w:szCs w:val="22"/>
              </w:rPr>
              <w:t>Po trečiojo epizodo naujai diagnozuotos ligos gydymą tęsti dar mažesne doze (50</w:t>
            </w:r>
            <w:r w:rsidR="003459F7" w:rsidRPr="00975CA4">
              <w:rPr>
                <w:rFonts w:eastAsia="Times New Roman"/>
                <w:sz w:val="22"/>
                <w:szCs w:val="22"/>
              </w:rPr>
              <w:t> </w:t>
            </w:r>
            <w:r w:rsidRPr="00975CA4">
              <w:rPr>
                <w:rFonts w:eastAsia="Times New Roman"/>
                <w:sz w:val="22"/>
                <w:szCs w:val="22"/>
              </w:rPr>
              <w:t>mg 1 kartą per parą), o jeigu liga buvo atspari ankstesniam gydymui arba pacientas jo netoleravo</w:t>
            </w:r>
            <w:r w:rsidR="00221356" w:rsidRPr="00975CA4">
              <w:rPr>
                <w:rFonts w:eastAsia="Times New Roman"/>
                <w:sz w:val="22"/>
                <w:szCs w:val="22"/>
              </w:rPr>
              <w:t xml:space="preserve"> </w:t>
            </w:r>
            <w:r w:rsidR="0092378F" w:rsidRPr="00975CA4">
              <w:rPr>
                <w:rFonts w:eastAsia="Times New Roman"/>
                <w:sz w:val="22"/>
                <w:szCs w:val="22"/>
              </w:rPr>
              <w:t xml:space="preserve">(įskaitant gydymą </w:t>
            </w:r>
            <w:proofErr w:type="spellStart"/>
            <w:r w:rsidR="0092378F" w:rsidRPr="00975CA4">
              <w:rPr>
                <w:rFonts w:eastAsia="Times New Roman"/>
                <w:sz w:val="22"/>
                <w:szCs w:val="22"/>
              </w:rPr>
              <w:t>imatinibu</w:t>
            </w:r>
            <w:proofErr w:type="spellEnd"/>
            <w:r w:rsidR="0092378F" w:rsidRPr="00975CA4">
              <w:rPr>
                <w:rFonts w:eastAsia="Times New Roman"/>
                <w:sz w:val="22"/>
                <w:szCs w:val="22"/>
              </w:rPr>
              <w:t>)</w:t>
            </w:r>
            <w:r w:rsidRPr="00975CA4">
              <w:rPr>
                <w:rFonts w:eastAsia="Times New Roman"/>
                <w:sz w:val="22"/>
                <w:szCs w:val="22"/>
              </w:rPr>
              <w:t xml:space="preserve"> – vartojimą nutraukti.</w:t>
            </w:r>
          </w:p>
        </w:tc>
      </w:tr>
      <w:tr w:rsidR="00C32909" w:rsidRPr="00975CA4" w14:paraId="48963C3F" w14:textId="77777777" w:rsidTr="0046310B">
        <w:trPr>
          <w:jc w:val="center"/>
        </w:trPr>
        <w:tc>
          <w:tcPr>
            <w:tcW w:w="2972" w:type="dxa"/>
            <w:tcBorders>
              <w:top w:val="single" w:sz="4" w:space="0" w:color="000000"/>
              <w:left w:val="single" w:sz="4" w:space="0" w:color="000000"/>
              <w:bottom w:val="single" w:sz="4" w:space="0" w:color="000000"/>
              <w:right w:val="single" w:sz="4" w:space="0" w:color="000000"/>
            </w:tcBorders>
            <w:hideMark/>
          </w:tcPr>
          <w:p w14:paraId="2B4B31C8" w14:textId="13B73011" w:rsidR="00C32909" w:rsidRPr="00975CA4" w:rsidRDefault="00C32909" w:rsidP="003459F7">
            <w:pPr>
              <w:ind w:right="-97"/>
              <w:rPr>
                <w:rFonts w:eastAsia="Times New Roman"/>
                <w:sz w:val="22"/>
                <w:szCs w:val="22"/>
              </w:rPr>
            </w:pPr>
            <w:r w:rsidRPr="00975CA4">
              <w:rPr>
                <w:rFonts w:eastAsia="Times New Roman"/>
                <w:sz w:val="22"/>
                <w:szCs w:val="22"/>
              </w:rPr>
              <w:t xml:space="preserve">LML akceleracijos ir </w:t>
            </w:r>
            <w:proofErr w:type="spellStart"/>
            <w:r w:rsidRPr="00975CA4">
              <w:rPr>
                <w:rFonts w:eastAsia="Times New Roman"/>
                <w:sz w:val="22"/>
                <w:szCs w:val="22"/>
              </w:rPr>
              <w:t>blastų</w:t>
            </w:r>
            <w:proofErr w:type="spellEnd"/>
            <w:r w:rsidRPr="00975CA4">
              <w:rPr>
                <w:rFonts w:eastAsia="Times New Roman"/>
                <w:sz w:val="22"/>
                <w:szCs w:val="22"/>
              </w:rPr>
              <w:t xml:space="preserve"> fazė bei </w:t>
            </w:r>
            <w:proofErr w:type="spellStart"/>
            <w:r w:rsidRPr="00975CA4">
              <w:rPr>
                <w:rFonts w:eastAsia="Times New Roman"/>
                <w:sz w:val="22"/>
                <w:szCs w:val="22"/>
              </w:rPr>
              <w:t>Ph</w:t>
            </w:r>
            <w:proofErr w:type="spellEnd"/>
            <w:r w:rsidRPr="00975CA4">
              <w:rPr>
                <w:rFonts w:eastAsia="Times New Roman"/>
                <w:sz w:val="22"/>
                <w:szCs w:val="22"/>
              </w:rPr>
              <w:t>+ ŪLL suaugusiesiems (pradinė dozė – 140</w:t>
            </w:r>
            <w:r w:rsidR="003459F7" w:rsidRPr="00975CA4">
              <w:rPr>
                <w:rFonts w:eastAsia="Times New Roman"/>
                <w:sz w:val="22"/>
                <w:szCs w:val="22"/>
              </w:rPr>
              <w:t> </w:t>
            </w:r>
            <w:r w:rsidRPr="00975CA4">
              <w:rPr>
                <w:rFonts w:eastAsia="Times New Roman"/>
                <w:sz w:val="22"/>
                <w:szCs w:val="22"/>
              </w:rPr>
              <w:t>mg 1 kartą per parą)</w:t>
            </w:r>
          </w:p>
        </w:tc>
        <w:tc>
          <w:tcPr>
            <w:tcW w:w="2126" w:type="dxa"/>
            <w:tcBorders>
              <w:top w:val="single" w:sz="4" w:space="0" w:color="000000"/>
              <w:left w:val="single" w:sz="4" w:space="0" w:color="000000"/>
              <w:bottom w:val="single" w:sz="4" w:space="0" w:color="000000"/>
              <w:right w:val="single" w:sz="4" w:space="0" w:color="000000"/>
            </w:tcBorders>
            <w:hideMark/>
          </w:tcPr>
          <w:p w14:paraId="7EC18CAF" w14:textId="3B0C79D3" w:rsidR="00C32909" w:rsidRPr="00975CA4" w:rsidRDefault="00C32909" w:rsidP="0046310B">
            <w:pPr>
              <w:rPr>
                <w:rFonts w:eastAsia="Times New Roman"/>
                <w:sz w:val="22"/>
                <w:szCs w:val="22"/>
              </w:rPr>
            </w:pPr>
            <w:r w:rsidRPr="00975CA4">
              <w:rPr>
                <w:rFonts w:eastAsia="Times New Roman"/>
                <w:sz w:val="22"/>
                <w:szCs w:val="22"/>
              </w:rPr>
              <w:t>ANS &lt; 0,5</w:t>
            </w:r>
            <w:r w:rsidR="003459F7" w:rsidRPr="00975CA4">
              <w:rPr>
                <w:rFonts w:eastAsia="Times New Roman"/>
                <w:sz w:val="22"/>
                <w:szCs w:val="22"/>
              </w:rPr>
              <w:t> </w:t>
            </w:r>
            <w:r w:rsidRPr="00975CA4">
              <w:rPr>
                <w:rFonts w:eastAsia="Times New Roman"/>
                <w:sz w:val="22"/>
                <w:szCs w:val="22"/>
              </w:rPr>
              <w:t>x</w:t>
            </w:r>
            <w:r w:rsidR="003459F7" w:rsidRPr="00975CA4">
              <w:rPr>
                <w:rFonts w:eastAsia="Times New Roman"/>
                <w:sz w:val="22"/>
                <w:szCs w:val="22"/>
              </w:rPr>
              <w:t> </w:t>
            </w:r>
            <w:r w:rsidRPr="00975CA4">
              <w:rPr>
                <w:rFonts w:eastAsia="Times New Roman"/>
                <w:sz w:val="22"/>
                <w:szCs w:val="22"/>
              </w:rPr>
              <w:t>10</w:t>
            </w:r>
            <w:r w:rsidRPr="00975CA4">
              <w:rPr>
                <w:rFonts w:eastAsia="Times New Roman"/>
                <w:sz w:val="22"/>
                <w:szCs w:val="22"/>
                <w:vertAlign w:val="superscript"/>
              </w:rPr>
              <w:t>9</w:t>
            </w:r>
            <w:r w:rsidRPr="00975CA4">
              <w:rPr>
                <w:rFonts w:eastAsia="Times New Roman"/>
                <w:sz w:val="22"/>
                <w:szCs w:val="22"/>
              </w:rPr>
              <w:t>/l</w:t>
            </w:r>
          </w:p>
          <w:p w14:paraId="623F1D45" w14:textId="28C9817E" w:rsidR="00C32909" w:rsidRPr="00975CA4" w:rsidRDefault="00C32909" w:rsidP="00BC6DDE">
            <w:pPr>
              <w:rPr>
                <w:rFonts w:eastAsia="Times New Roman"/>
                <w:sz w:val="22"/>
                <w:szCs w:val="22"/>
              </w:rPr>
            </w:pPr>
            <w:r w:rsidRPr="00975CA4">
              <w:rPr>
                <w:rFonts w:eastAsia="Times New Roman"/>
                <w:sz w:val="22"/>
                <w:szCs w:val="22"/>
              </w:rPr>
              <w:t>ir (arba) trombocitų &lt;</w:t>
            </w:r>
            <w:r w:rsidR="003459F7" w:rsidRPr="00975CA4">
              <w:rPr>
                <w:rFonts w:eastAsia="Times New Roman"/>
                <w:sz w:val="22"/>
                <w:szCs w:val="22"/>
              </w:rPr>
              <w:t> </w:t>
            </w:r>
            <w:r w:rsidRPr="00975CA4">
              <w:rPr>
                <w:rFonts w:eastAsia="Times New Roman"/>
                <w:sz w:val="22"/>
                <w:szCs w:val="22"/>
              </w:rPr>
              <w:t>10</w:t>
            </w:r>
            <w:r w:rsidR="003459F7" w:rsidRPr="00975CA4">
              <w:rPr>
                <w:rFonts w:eastAsia="Times New Roman"/>
                <w:sz w:val="22"/>
                <w:szCs w:val="22"/>
              </w:rPr>
              <w:t> </w:t>
            </w:r>
            <w:r w:rsidRPr="00975CA4">
              <w:rPr>
                <w:rFonts w:eastAsia="Times New Roman"/>
                <w:sz w:val="22"/>
                <w:szCs w:val="22"/>
              </w:rPr>
              <w:t>x</w:t>
            </w:r>
            <w:r w:rsidR="003459F7" w:rsidRPr="00975CA4">
              <w:rPr>
                <w:rFonts w:eastAsia="Times New Roman"/>
                <w:sz w:val="22"/>
                <w:szCs w:val="22"/>
              </w:rPr>
              <w:t> </w:t>
            </w:r>
            <w:r w:rsidRPr="00975CA4">
              <w:rPr>
                <w:rFonts w:eastAsia="Times New Roman"/>
                <w:sz w:val="22"/>
                <w:szCs w:val="22"/>
              </w:rPr>
              <w:t>10</w:t>
            </w:r>
            <w:r w:rsidRPr="00975CA4">
              <w:rPr>
                <w:rFonts w:eastAsia="Times New Roman"/>
                <w:sz w:val="22"/>
                <w:szCs w:val="22"/>
                <w:vertAlign w:val="superscript"/>
              </w:rPr>
              <w:t>9</w:t>
            </w:r>
            <w:r w:rsidRPr="00975CA4">
              <w:rPr>
                <w:rFonts w:eastAsia="Times New Roman"/>
                <w:sz w:val="22"/>
                <w:szCs w:val="22"/>
              </w:rPr>
              <w:t>/l</w:t>
            </w:r>
          </w:p>
        </w:tc>
        <w:tc>
          <w:tcPr>
            <w:tcW w:w="4252" w:type="dxa"/>
            <w:tcBorders>
              <w:top w:val="single" w:sz="4" w:space="0" w:color="000000"/>
              <w:left w:val="single" w:sz="4" w:space="0" w:color="000000"/>
              <w:bottom w:val="single" w:sz="4" w:space="0" w:color="000000"/>
              <w:right w:val="single" w:sz="4" w:space="0" w:color="000000"/>
            </w:tcBorders>
            <w:hideMark/>
          </w:tcPr>
          <w:p w14:paraId="2A52B81C" w14:textId="33D25CDD" w:rsidR="00C32909" w:rsidRPr="00975CA4" w:rsidRDefault="00C32909" w:rsidP="0046310B">
            <w:pPr>
              <w:pStyle w:val="Sraopastraipa"/>
              <w:numPr>
                <w:ilvl w:val="0"/>
                <w:numId w:val="5"/>
              </w:numPr>
              <w:ind w:left="183" w:hanging="284"/>
              <w:rPr>
                <w:rFonts w:eastAsia="Times New Roman"/>
                <w:sz w:val="22"/>
                <w:szCs w:val="22"/>
              </w:rPr>
            </w:pPr>
            <w:r w:rsidRPr="00975CA4">
              <w:rPr>
                <w:rFonts w:eastAsia="Times New Roman"/>
                <w:sz w:val="22"/>
                <w:szCs w:val="22"/>
              </w:rPr>
              <w:t xml:space="preserve">Ištirti, ar </w:t>
            </w:r>
            <w:proofErr w:type="spellStart"/>
            <w:r w:rsidRPr="00975CA4">
              <w:rPr>
                <w:rFonts w:eastAsia="Times New Roman"/>
                <w:sz w:val="22"/>
                <w:szCs w:val="22"/>
              </w:rPr>
              <w:t>citopenija</w:t>
            </w:r>
            <w:proofErr w:type="spellEnd"/>
            <w:r w:rsidRPr="00975CA4">
              <w:rPr>
                <w:rFonts w:eastAsia="Times New Roman"/>
                <w:sz w:val="22"/>
                <w:szCs w:val="22"/>
              </w:rPr>
              <w:t xml:space="preserve"> susijusi su leukemija (</w:t>
            </w:r>
            <w:r w:rsidR="00A324CE" w:rsidRPr="00975CA4">
              <w:rPr>
                <w:rFonts w:eastAsia="Times New Roman"/>
                <w:sz w:val="22"/>
                <w:szCs w:val="22"/>
              </w:rPr>
              <w:t xml:space="preserve">atlikti </w:t>
            </w:r>
            <w:r w:rsidRPr="00975CA4">
              <w:rPr>
                <w:rFonts w:eastAsia="Times New Roman"/>
                <w:sz w:val="22"/>
                <w:szCs w:val="22"/>
              </w:rPr>
              <w:t>kaulų čiulpų aspiracij</w:t>
            </w:r>
            <w:r w:rsidR="00E6579B" w:rsidRPr="00975CA4">
              <w:rPr>
                <w:rFonts w:eastAsia="Times New Roman"/>
                <w:sz w:val="22"/>
                <w:szCs w:val="22"/>
              </w:rPr>
              <w:t>ą</w:t>
            </w:r>
            <w:r w:rsidRPr="00975CA4">
              <w:rPr>
                <w:rFonts w:eastAsia="Times New Roman"/>
                <w:sz w:val="22"/>
                <w:szCs w:val="22"/>
              </w:rPr>
              <w:t xml:space="preserve"> arba biopsij</w:t>
            </w:r>
            <w:r w:rsidR="00E6579B" w:rsidRPr="00975CA4">
              <w:rPr>
                <w:rFonts w:eastAsia="Times New Roman"/>
                <w:sz w:val="22"/>
                <w:szCs w:val="22"/>
              </w:rPr>
              <w:t>ą</w:t>
            </w:r>
            <w:r w:rsidRPr="00975CA4">
              <w:rPr>
                <w:rFonts w:eastAsia="Times New Roman"/>
                <w:sz w:val="22"/>
                <w:szCs w:val="22"/>
              </w:rPr>
              <w:t>).</w:t>
            </w:r>
          </w:p>
          <w:p w14:paraId="426DCE0F" w14:textId="35071E0B" w:rsidR="00C32909" w:rsidRPr="00975CA4" w:rsidRDefault="00C32909" w:rsidP="0046310B">
            <w:pPr>
              <w:pStyle w:val="Sraopastraipa"/>
              <w:numPr>
                <w:ilvl w:val="0"/>
                <w:numId w:val="5"/>
              </w:numPr>
              <w:ind w:left="183" w:hanging="284"/>
              <w:rPr>
                <w:rFonts w:eastAsia="Times New Roman"/>
                <w:sz w:val="22"/>
                <w:szCs w:val="22"/>
              </w:rPr>
            </w:pPr>
            <w:r w:rsidRPr="00975CA4">
              <w:rPr>
                <w:rFonts w:eastAsia="Times New Roman"/>
                <w:sz w:val="22"/>
                <w:szCs w:val="22"/>
              </w:rPr>
              <w:t xml:space="preserve">Jei </w:t>
            </w:r>
            <w:proofErr w:type="spellStart"/>
            <w:r w:rsidRPr="00975CA4">
              <w:rPr>
                <w:rFonts w:eastAsia="Times New Roman"/>
                <w:sz w:val="22"/>
                <w:szCs w:val="22"/>
              </w:rPr>
              <w:t>citopenija</w:t>
            </w:r>
            <w:proofErr w:type="spellEnd"/>
            <w:r w:rsidRPr="00975CA4">
              <w:rPr>
                <w:rFonts w:eastAsia="Times New Roman"/>
                <w:sz w:val="22"/>
                <w:szCs w:val="22"/>
              </w:rPr>
              <w:t xml:space="preserve"> nesusijusi su leukemija, nutraukti vaistinio preparato vartojimą, kol ANS taps ≥</w:t>
            </w:r>
            <w:r w:rsidR="003459F7" w:rsidRPr="00975CA4">
              <w:rPr>
                <w:rFonts w:eastAsia="Times New Roman"/>
                <w:sz w:val="22"/>
                <w:szCs w:val="22"/>
              </w:rPr>
              <w:t> </w:t>
            </w:r>
            <w:r w:rsidRPr="00975CA4">
              <w:rPr>
                <w:rFonts w:eastAsia="Times New Roman"/>
                <w:sz w:val="22"/>
                <w:szCs w:val="22"/>
              </w:rPr>
              <w:t>1</w:t>
            </w:r>
            <w:r w:rsidR="003459F7" w:rsidRPr="00975CA4">
              <w:rPr>
                <w:rFonts w:eastAsia="Times New Roman"/>
                <w:sz w:val="22"/>
                <w:szCs w:val="22"/>
              </w:rPr>
              <w:t> </w:t>
            </w:r>
            <w:r w:rsidRPr="00975CA4">
              <w:rPr>
                <w:rFonts w:eastAsia="Times New Roman"/>
                <w:sz w:val="22"/>
                <w:szCs w:val="22"/>
              </w:rPr>
              <w:t>x</w:t>
            </w:r>
            <w:r w:rsidR="003459F7" w:rsidRPr="00975CA4">
              <w:rPr>
                <w:rFonts w:eastAsia="Times New Roman"/>
                <w:sz w:val="22"/>
                <w:szCs w:val="22"/>
              </w:rPr>
              <w:t> </w:t>
            </w:r>
            <w:r w:rsidRPr="00975CA4">
              <w:rPr>
                <w:rFonts w:eastAsia="Times New Roman"/>
                <w:sz w:val="22"/>
                <w:szCs w:val="22"/>
              </w:rPr>
              <w:t>10</w:t>
            </w:r>
            <w:r w:rsidRPr="00975CA4">
              <w:rPr>
                <w:rFonts w:eastAsia="Times New Roman"/>
                <w:sz w:val="22"/>
                <w:szCs w:val="22"/>
                <w:vertAlign w:val="superscript"/>
              </w:rPr>
              <w:t>9</w:t>
            </w:r>
            <w:r w:rsidRPr="00975CA4">
              <w:rPr>
                <w:rFonts w:eastAsia="Times New Roman"/>
                <w:sz w:val="22"/>
                <w:szCs w:val="22"/>
              </w:rPr>
              <w:t xml:space="preserve">/l, o trombocitų skaičius </w:t>
            </w:r>
            <w:r w:rsidRPr="00975CA4">
              <w:rPr>
                <w:rFonts w:eastAsia="Times New Roman"/>
                <w:sz w:val="22"/>
                <w:szCs w:val="22"/>
              </w:rPr>
              <w:lastRenderedPageBreak/>
              <w:t>≥</w:t>
            </w:r>
            <w:r w:rsidR="003459F7" w:rsidRPr="00975CA4">
              <w:rPr>
                <w:rFonts w:eastAsia="Times New Roman"/>
                <w:sz w:val="22"/>
                <w:szCs w:val="22"/>
              </w:rPr>
              <w:t> </w:t>
            </w:r>
            <w:r w:rsidRPr="00975CA4">
              <w:rPr>
                <w:rFonts w:eastAsia="Times New Roman"/>
                <w:sz w:val="22"/>
                <w:szCs w:val="22"/>
              </w:rPr>
              <w:t>20</w:t>
            </w:r>
            <w:r w:rsidR="003459F7" w:rsidRPr="00975CA4">
              <w:rPr>
                <w:rFonts w:eastAsia="Times New Roman"/>
                <w:sz w:val="22"/>
                <w:szCs w:val="22"/>
              </w:rPr>
              <w:t> </w:t>
            </w:r>
            <w:r w:rsidRPr="00975CA4">
              <w:rPr>
                <w:rFonts w:eastAsia="Times New Roman"/>
                <w:sz w:val="22"/>
                <w:szCs w:val="22"/>
              </w:rPr>
              <w:t>x</w:t>
            </w:r>
            <w:r w:rsidR="003459F7" w:rsidRPr="00975CA4">
              <w:rPr>
                <w:rFonts w:eastAsia="Times New Roman"/>
                <w:sz w:val="22"/>
                <w:szCs w:val="22"/>
              </w:rPr>
              <w:t> </w:t>
            </w:r>
            <w:r w:rsidRPr="00975CA4">
              <w:rPr>
                <w:rFonts w:eastAsia="Times New Roman"/>
                <w:sz w:val="22"/>
                <w:szCs w:val="22"/>
              </w:rPr>
              <w:t>10</w:t>
            </w:r>
            <w:r w:rsidRPr="00975CA4">
              <w:rPr>
                <w:rFonts w:eastAsia="Times New Roman"/>
                <w:sz w:val="22"/>
                <w:szCs w:val="22"/>
                <w:vertAlign w:val="superscript"/>
              </w:rPr>
              <w:t>9</w:t>
            </w:r>
            <w:r w:rsidRPr="00975CA4">
              <w:rPr>
                <w:rFonts w:eastAsia="Times New Roman"/>
                <w:sz w:val="22"/>
                <w:szCs w:val="22"/>
              </w:rPr>
              <w:t>/l. Vėliau gydymą tęsti tokia pačia doze kaip pirmoji pradinė.</w:t>
            </w:r>
          </w:p>
          <w:p w14:paraId="0986DEA8" w14:textId="77777777" w:rsidR="00C32909" w:rsidRPr="00975CA4" w:rsidRDefault="00C32909" w:rsidP="0046310B">
            <w:pPr>
              <w:pStyle w:val="Sraopastraipa"/>
              <w:numPr>
                <w:ilvl w:val="0"/>
                <w:numId w:val="5"/>
              </w:numPr>
              <w:ind w:left="183" w:hanging="284"/>
              <w:rPr>
                <w:rFonts w:eastAsia="Times New Roman"/>
                <w:sz w:val="22"/>
                <w:szCs w:val="22"/>
              </w:rPr>
            </w:pPr>
            <w:proofErr w:type="spellStart"/>
            <w:r w:rsidRPr="00975CA4">
              <w:rPr>
                <w:rFonts w:eastAsia="Times New Roman"/>
                <w:sz w:val="22"/>
                <w:szCs w:val="22"/>
              </w:rPr>
              <w:t>Citopenijai</w:t>
            </w:r>
            <w:proofErr w:type="spellEnd"/>
            <w:r w:rsidRPr="00975CA4">
              <w:rPr>
                <w:rFonts w:eastAsia="Times New Roman"/>
                <w:sz w:val="22"/>
                <w:szCs w:val="22"/>
              </w:rPr>
              <w:t xml:space="preserve"> atsinaujinus, kartoti pirmąjį </w:t>
            </w:r>
            <w:r w:rsidRPr="00975CA4">
              <w:rPr>
                <w:rFonts w:eastAsia="Times New Roman"/>
              </w:rPr>
              <w:t>žingsnį</w:t>
            </w:r>
            <w:r w:rsidRPr="00975CA4">
              <w:rPr>
                <w:rFonts w:eastAsia="Times New Roman"/>
                <w:sz w:val="22"/>
                <w:szCs w:val="22"/>
              </w:rPr>
              <w:t>. Vėliau gydymą tęsti mažesnė doze: 100 mg 1 kartą per parą (antras epizodas) arba 80 mg 1 kartą per parą (trečias epizodas).</w:t>
            </w:r>
          </w:p>
          <w:p w14:paraId="16189845" w14:textId="58951C1E" w:rsidR="00C32909" w:rsidRPr="00975CA4" w:rsidRDefault="00C32909" w:rsidP="0092378F">
            <w:pPr>
              <w:pStyle w:val="Sraopastraipa"/>
              <w:numPr>
                <w:ilvl w:val="0"/>
                <w:numId w:val="5"/>
              </w:numPr>
              <w:ind w:left="183" w:hanging="284"/>
              <w:rPr>
                <w:rFonts w:eastAsia="Times New Roman"/>
                <w:sz w:val="22"/>
                <w:szCs w:val="22"/>
              </w:rPr>
            </w:pPr>
            <w:r w:rsidRPr="00975CA4">
              <w:rPr>
                <w:rFonts w:eastAsia="Times New Roman"/>
                <w:sz w:val="22"/>
                <w:szCs w:val="22"/>
              </w:rPr>
              <w:t xml:space="preserve">Jei </w:t>
            </w:r>
            <w:proofErr w:type="spellStart"/>
            <w:r w:rsidRPr="00975CA4">
              <w:rPr>
                <w:rFonts w:eastAsia="Times New Roman"/>
                <w:sz w:val="22"/>
                <w:szCs w:val="22"/>
              </w:rPr>
              <w:t>citopenija</w:t>
            </w:r>
            <w:proofErr w:type="spellEnd"/>
            <w:r w:rsidRPr="00975CA4">
              <w:rPr>
                <w:rFonts w:eastAsia="Times New Roman"/>
                <w:sz w:val="22"/>
                <w:szCs w:val="22"/>
              </w:rPr>
              <w:t xml:space="preserve"> susijusi su leukemija, svarstyti</w:t>
            </w:r>
            <w:r w:rsidR="0092378F" w:rsidRPr="00975CA4">
              <w:rPr>
                <w:rFonts w:eastAsia="Times New Roman"/>
                <w:sz w:val="22"/>
                <w:szCs w:val="22"/>
              </w:rPr>
              <w:t xml:space="preserve"> dėl</w:t>
            </w:r>
            <w:r w:rsidRPr="00975CA4">
              <w:rPr>
                <w:rFonts w:eastAsia="Times New Roman"/>
                <w:sz w:val="22"/>
                <w:szCs w:val="22"/>
              </w:rPr>
              <w:t xml:space="preserve"> dozės didinim</w:t>
            </w:r>
            <w:r w:rsidR="0092378F" w:rsidRPr="00975CA4">
              <w:rPr>
                <w:rFonts w:eastAsia="Times New Roman"/>
                <w:sz w:val="22"/>
                <w:szCs w:val="22"/>
              </w:rPr>
              <w:t>o</w:t>
            </w:r>
            <w:r w:rsidRPr="00975CA4">
              <w:rPr>
                <w:rFonts w:eastAsia="Times New Roman"/>
                <w:sz w:val="22"/>
                <w:szCs w:val="22"/>
              </w:rPr>
              <w:t xml:space="preserve"> iki 180 mg 1 kartą per parą.</w:t>
            </w:r>
          </w:p>
        </w:tc>
      </w:tr>
    </w:tbl>
    <w:p w14:paraId="46922B08" w14:textId="77777777" w:rsidR="0046310B" w:rsidRPr="00975CA4" w:rsidRDefault="0046310B"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lastRenderedPageBreak/>
        <w:t xml:space="preserve">* ANS – absoliutus </w:t>
      </w:r>
      <w:proofErr w:type="spellStart"/>
      <w:r w:rsidRPr="00975CA4">
        <w:rPr>
          <w:rFonts w:ascii="Times New Roman" w:eastAsia="Calibri" w:hAnsi="Times New Roman" w:cs="Times New Roman"/>
          <w:color w:val="000000"/>
          <w:lang w:eastAsia="ar-SA"/>
        </w:rPr>
        <w:t>neutrofilų</w:t>
      </w:r>
      <w:proofErr w:type="spellEnd"/>
      <w:r w:rsidRPr="00975CA4">
        <w:rPr>
          <w:rFonts w:ascii="Times New Roman" w:eastAsia="Calibri" w:hAnsi="Times New Roman" w:cs="Times New Roman"/>
          <w:color w:val="000000"/>
          <w:lang w:eastAsia="ar-SA"/>
        </w:rPr>
        <w:t xml:space="preserve"> skaičius</w:t>
      </w:r>
    </w:p>
    <w:p w14:paraId="7089AC31" w14:textId="77777777" w:rsidR="00C32909" w:rsidRPr="00975CA4" w:rsidRDefault="00C32909" w:rsidP="0046310B">
      <w:pPr>
        <w:spacing w:after="0" w:line="240" w:lineRule="auto"/>
        <w:rPr>
          <w:rFonts w:ascii="Times New Roman" w:eastAsia="Calibri" w:hAnsi="Times New Roman" w:cs="Times New Roman"/>
          <w:color w:val="000000"/>
          <w:lang w:eastAsia="ar-SA"/>
        </w:rPr>
      </w:pPr>
    </w:p>
    <w:p w14:paraId="6C9FCF48" w14:textId="77777777" w:rsidR="0046310B" w:rsidRPr="00975CA4" w:rsidRDefault="0046310B" w:rsidP="005C28B1">
      <w:pPr>
        <w:suppressAutoHyphens/>
        <w:spacing w:after="0" w:line="240" w:lineRule="auto"/>
        <w:ind w:left="851" w:hanging="851"/>
        <w:rPr>
          <w:rFonts w:ascii="Times New Roman" w:eastAsia="Times New Roman" w:hAnsi="Times New Roman" w:cs="Times New Roman"/>
          <w:i/>
          <w:color w:val="000000"/>
          <w:lang w:eastAsia="ar-SA"/>
        </w:rPr>
      </w:pPr>
      <w:r w:rsidRPr="00975CA4">
        <w:rPr>
          <w:rFonts w:ascii="Times New Roman" w:eastAsia="Calibri" w:hAnsi="Times New Roman" w:cs="Times New Roman"/>
          <w:b/>
          <w:bCs/>
          <w:color w:val="000000"/>
          <w:lang w:eastAsia="ar-SA"/>
        </w:rPr>
        <w:t xml:space="preserve">4 lentelė. Dozės koregavimas dėl </w:t>
      </w:r>
      <w:proofErr w:type="spellStart"/>
      <w:r w:rsidRPr="00975CA4">
        <w:rPr>
          <w:rFonts w:ascii="Times New Roman" w:eastAsia="Calibri" w:hAnsi="Times New Roman" w:cs="Times New Roman"/>
          <w:b/>
          <w:bCs/>
          <w:color w:val="000000"/>
          <w:lang w:eastAsia="ar-SA"/>
        </w:rPr>
        <w:t>neutropenijos</w:t>
      </w:r>
      <w:proofErr w:type="spellEnd"/>
      <w:r w:rsidRPr="00975CA4">
        <w:rPr>
          <w:rFonts w:ascii="Times New Roman" w:eastAsia="Calibri" w:hAnsi="Times New Roman" w:cs="Times New Roman"/>
          <w:b/>
          <w:bCs/>
          <w:color w:val="000000"/>
          <w:lang w:eastAsia="ar-SA"/>
        </w:rPr>
        <w:t xml:space="preserve"> ir </w:t>
      </w:r>
      <w:proofErr w:type="spellStart"/>
      <w:r w:rsidRPr="00975CA4">
        <w:rPr>
          <w:rFonts w:ascii="Times New Roman" w:eastAsia="Calibri" w:hAnsi="Times New Roman" w:cs="Times New Roman"/>
          <w:b/>
          <w:bCs/>
          <w:color w:val="000000"/>
          <w:lang w:eastAsia="ar-SA"/>
        </w:rPr>
        <w:t>trombocitopenijos</w:t>
      </w:r>
      <w:proofErr w:type="spellEnd"/>
      <w:r w:rsidRPr="00975CA4">
        <w:rPr>
          <w:rFonts w:ascii="Times New Roman" w:eastAsia="Calibri" w:hAnsi="Times New Roman" w:cs="Times New Roman"/>
          <w:b/>
          <w:bCs/>
          <w:color w:val="000000"/>
          <w:lang w:eastAsia="ar-SA"/>
        </w:rPr>
        <w:t xml:space="preserve"> vaikų populiacijos  pacientams, sergantiems </w:t>
      </w:r>
      <w:proofErr w:type="spellStart"/>
      <w:r w:rsidRPr="00975CA4">
        <w:rPr>
          <w:rFonts w:ascii="Times New Roman" w:eastAsia="Calibri" w:hAnsi="Times New Roman" w:cs="Times New Roman"/>
          <w:b/>
          <w:bCs/>
          <w:color w:val="000000"/>
          <w:lang w:eastAsia="ar-SA"/>
        </w:rPr>
        <w:t>Ph</w:t>
      </w:r>
      <w:proofErr w:type="spellEnd"/>
      <w:r w:rsidRPr="00975CA4">
        <w:rPr>
          <w:rFonts w:ascii="Times New Roman" w:eastAsia="Calibri" w:hAnsi="Times New Roman" w:cs="Times New Roman"/>
          <w:b/>
          <w:bCs/>
          <w:color w:val="000000"/>
          <w:lang w:eastAsia="ar-SA"/>
        </w:rPr>
        <w:t xml:space="preserve">+ LML LF </w:t>
      </w:r>
    </w:p>
    <w:p w14:paraId="49DFE42F" w14:textId="77777777" w:rsidR="0046310B" w:rsidRPr="00975CA4" w:rsidRDefault="0046310B" w:rsidP="0046310B">
      <w:pPr>
        <w:spacing w:after="0" w:line="240" w:lineRule="auto"/>
        <w:rPr>
          <w:rFonts w:ascii="Times New Roman" w:eastAsia="Calibri" w:hAnsi="Times New Roman" w:cs="Times New Roman"/>
          <w:color w:val="000000"/>
          <w:lang w:eastAsia="ar-SA"/>
        </w:rPr>
      </w:pPr>
    </w:p>
    <w:tbl>
      <w:tblPr>
        <w:tblW w:w="9631" w:type="dxa"/>
        <w:jc w:val="center"/>
        <w:tblLayout w:type="fixed"/>
        <w:tblCellMar>
          <w:left w:w="0" w:type="dxa"/>
          <w:right w:w="0" w:type="dxa"/>
        </w:tblCellMar>
        <w:tblLook w:val="01E0" w:firstRow="1" w:lastRow="1" w:firstColumn="1" w:lastColumn="1" w:noHBand="0" w:noVBand="0"/>
      </w:tblPr>
      <w:tblGrid>
        <w:gridCol w:w="3828"/>
        <w:gridCol w:w="987"/>
        <w:gridCol w:w="1412"/>
        <w:gridCol w:w="1701"/>
        <w:gridCol w:w="1703"/>
      </w:tblGrid>
      <w:tr w:rsidR="0046310B" w:rsidRPr="00975CA4" w14:paraId="50BA19FC" w14:textId="77777777" w:rsidTr="00D61FD8">
        <w:trPr>
          <w:trHeight w:hRule="exact" w:val="283"/>
          <w:jc w:val="center"/>
        </w:trPr>
        <w:tc>
          <w:tcPr>
            <w:tcW w:w="3828" w:type="dxa"/>
            <w:vMerge w:val="restart"/>
            <w:tcBorders>
              <w:top w:val="single" w:sz="6" w:space="0" w:color="231F20"/>
              <w:left w:val="single" w:sz="4" w:space="0" w:color="231F20"/>
              <w:bottom w:val="single" w:sz="6" w:space="0" w:color="231F20"/>
              <w:right w:val="single" w:sz="4" w:space="0" w:color="231F20"/>
            </w:tcBorders>
            <w:hideMark/>
          </w:tcPr>
          <w:p w14:paraId="2D41AFA0" w14:textId="77777777" w:rsidR="0046310B" w:rsidRPr="00975CA4" w:rsidRDefault="0046310B" w:rsidP="0046310B">
            <w:pPr>
              <w:numPr>
                <w:ilvl w:val="0"/>
                <w:numId w:val="8"/>
              </w:numPr>
              <w:spacing w:after="0" w:line="276" w:lineRule="auto"/>
              <w:ind w:left="284" w:right="13" w:hanging="284"/>
              <w:contextualSpacing/>
              <w:rPr>
                <w:rFonts w:ascii="Times New Roman" w:eastAsia="Times New Roman" w:hAnsi="Times New Roman" w:cs="Times New Roman"/>
                <w:lang w:eastAsia="fr-FR"/>
              </w:rPr>
            </w:pPr>
            <w:proofErr w:type="spellStart"/>
            <w:r w:rsidRPr="00975CA4">
              <w:rPr>
                <w:rFonts w:ascii="Times New Roman" w:eastAsia="Times New Roman" w:hAnsi="Times New Roman" w:cs="Times New Roman"/>
                <w:lang w:eastAsia="fr-FR"/>
              </w:rPr>
              <w:t>Citopenijai</w:t>
            </w:r>
            <w:proofErr w:type="spellEnd"/>
            <w:r w:rsidRPr="00975CA4">
              <w:rPr>
                <w:rFonts w:ascii="Times New Roman" w:eastAsia="Times New Roman" w:hAnsi="Times New Roman" w:cs="Times New Roman"/>
                <w:lang w:eastAsia="fr-FR"/>
              </w:rPr>
              <w:t xml:space="preserve"> išlikus ilgiau kaip 3 savaites, reikia patikrinti, ar ji susijusi su leukemija (atlikti kaulų čiulpų aspiraciją arba biopsiją). </w:t>
            </w:r>
          </w:p>
          <w:p w14:paraId="4BFB4AB7" w14:textId="4151DAD5" w:rsidR="0046310B" w:rsidRPr="00975CA4" w:rsidRDefault="0046310B" w:rsidP="0046310B">
            <w:pPr>
              <w:numPr>
                <w:ilvl w:val="0"/>
                <w:numId w:val="8"/>
              </w:numPr>
              <w:spacing w:after="0" w:line="276" w:lineRule="auto"/>
              <w:ind w:left="284" w:right="13" w:hanging="284"/>
              <w:contextualSpacing/>
              <w:rPr>
                <w:rFonts w:ascii="Times New Roman" w:eastAsia="Times New Roman" w:hAnsi="Times New Roman" w:cs="Times New Roman"/>
                <w:lang w:eastAsia="fr-FR"/>
              </w:rPr>
            </w:pPr>
            <w:r w:rsidRPr="00975CA4">
              <w:rPr>
                <w:rFonts w:ascii="Times New Roman" w:eastAsia="Times New Roman" w:hAnsi="Times New Roman" w:cs="Times New Roman"/>
                <w:lang w:eastAsia="fr-FR"/>
              </w:rPr>
              <w:t xml:space="preserve">Jei </w:t>
            </w:r>
            <w:proofErr w:type="spellStart"/>
            <w:r w:rsidRPr="00975CA4">
              <w:rPr>
                <w:rFonts w:ascii="Times New Roman" w:eastAsia="Times New Roman" w:hAnsi="Times New Roman" w:cs="Times New Roman"/>
                <w:lang w:eastAsia="fr-FR"/>
              </w:rPr>
              <w:t>citopenija</w:t>
            </w:r>
            <w:proofErr w:type="spellEnd"/>
            <w:r w:rsidRPr="00975CA4">
              <w:rPr>
                <w:rFonts w:ascii="Times New Roman" w:eastAsia="Times New Roman" w:hAnsi="Times New Roman" w:cs="Times New Roman"/>
                <w:lang w:eastAsia="fr-FR"/>
              </w:rPr>
              <w:t xml:space="preserve"> nesusijusi su leukemija, reikia nutraukti vaistinio preparato vartojimą, kol ANS taps ≥</w:t>
            </w:r>
            <w:r w:rsidR="003459F7" w:rsidRPr="00975CA4">
              <w:rPr>
                <w:rFonts w:ascii="Times New Roman" w:eastAsia="Times New Roman" w:hAnsi="Times New Roman" w:cs="Times New Roman"/>
                <w:lang w:eastAsia="fr-FR"/>
              </w:rPr>
              <w:t> </w:t>
            </w:r>
            <w:r w:rsidRPr="00975CA4">
              <w:rPr>
                <w:rFonts w:ascii="Times New Roman" w:eastAsia="Times New Roman" w:hAnsi="Times New Roman" w:cs="Times New Roman"/>
                <w:lang w:eastAsia="fr-FR"/>
              </w:rPr>
              <w:t>1</w:t>
            </w:r>
            <w:r w:rsidR="003459F7" w:rsidRPr="00975CA4">
              <w:rPr>
                <w:rFonts w:ascii="Times New Roman" w:eastAsia="Times New Roman" w:hAnsi="Times New Roman" w:cs="Times New Roman"/>
                <w:lang w:eastAsia="fr-FR"/>
              </w:rPr>
              <w:t> </w:t>
            </w:r>
            <w:r w:rsidRPr="00975CA4">
              <w:rPr>
                <w:rFonts w:ascii="Times New Roman" w:eastAsia="Times New Roman" w:hAnsi="Times New Roman" w:cs="Times New Roman"/>
                <w:lang w:eastAsia="fr-FR"/>
              </w:rPr>
              <w:t>x</w:t>
            </w:r>
            <w:r w:rsidR="003459F7" w:rsidRPr="00975CA4">
              <w:rPr>
                <w:rFonts w:ascii="Times New Roman" w:eastAsia="Times New Roman" w:hAnsi="Times New Roman" w:cs="Times New Roman"/>
                <w:lang w:eastAsia="fr-FR"/>
              </w:rPr>
              <w:t> </w:t>
            </w:r>
            <w:r w:rsidRPr="00975CA4">
              <w:rPr>
                <w:rFonts w:ascii="Times New Roman" w:eastAsia="Times New Roman" w:hAnsi="Times New Roman" w:cs="Times New Roman"/>
                <w:lang w:eastAsia="fr-FR"/>
              </w:rPr>
              <w:t>10</w:t>
            </w:r>
            <w:r w:rsidRPr="00975CA4">
              <w:rPr>
                <w:rFonts w:ascii="Times New Roman" w:eastAsia="Times New Roman" w:hAnsi="Times New Roman" w:cs="Times New Roman"/>
                <w:vertAlign w:val="superscript"/>
                <w:lang w:eastAsia="fr-FR"/>
              </w:rPr>
              <w:t>9</w:t>
            </w:r>
            <w:r w:rsidRPr="00975CA4">
              <w:rPr>
                <w:rFonts w:ascii="Times New Roman" w:eastAsia="Times New Roman" w:hAnsi="Times New Roman" w:cs="Times New Roman"/>
                <w:lang w:eastAsia="fr-FR"/>
              </w:rPr>
              <w:t xml:space="preserve"> /l ir trombocitų ≥</w:t>
            </w:r>
            <w:r w:rsidR="003459F7" w:rsidRPr="00975CA4">
              <w:rPr>
                <w:rFonts w:ascii="Times New Roman" w:eastAsia="Times New Roman" w:hAnsi="Times New Roman" w:cs="Times New Roman"/>
                <w:lang w:eastAsia="fr-FR"/>
              </w:rPr>
              <w:t> </w:t>
            </w:r>
            <w:r w:rsidRPr="00975CA4">
              <w:rPr>
                <w:rFonts w:ascii="Times New Roman" w:eastAsia="Times New Roman" w:hAnsi="Times New Roman" w:cs="Times New Roman"/>
                <w:lang w:eastAsia="fr-FR"/>
              </w:rPr>
              <w:t>75</w:t>
            </w:r>
            <w:r w:rsidR="003459F7" w:rsidRPr="00975CA4">
              <w:rPr>
                <w:rFonts w:ascii="Times New Roman" w:eastAsia="Times New Roman" w:hAnsi="Times New Roman" w:cs="Times New Roman"/>
                <w:lang w:eastAsia="fr-FR"/>
              </w:rPr>
              <w:t> </w:t>
            </w:r>
            <w:r w:rsidRPr="00975CA4">
              <w:rPr>
                <w:rFonts w:ascii="Times New Roman" w:eastAsia="Times New Roman" w:hAnsi="Times New Roman" w:cs="Times New Roman"/>
                <w:lang w:eastAsia="fr-FR"/>
              </w:rPr>
              <w:t>x</w:t>
            </w:r>
            <w:r w:rsidR="003459F7" w:rsidRPr="00975CA4">
              <w:rPr>
                <w:rFonts w:ascii="Times New Roman" w:eastAsia="Times New Roman" w:hAnsi="Times New Roman" w:cs="Times New Roman"/>
                <w:lang w:eastAsia="fr-FR"/>
              </w:rPr>
              <w:t> </w:t>
            </w:r>
            <w:r w:rsidRPr="00975CA4">
              <w:rPr>
                <w:rFonts w:ascii="Times New Roman" w:eastAsia="Times New Roman" w:hAnsi="Times New Roman" w:cs="Times New Roman"/>
                <w:lang w:eastAsia="fr-FR"/>
              </w:rPr>
              <w:t>10</w:t>
            </w:r>
            <w:r w:rsidRPr="00975CA4">
              <w:rPr>
                <w:rFonts w:ascii="Times New Roman" w:eastAsia="Times New Roman" w:hAnsi="Times New Roman" w:cs="Times New Roman"/>
                <w:vertAlign w:val="superscript"/>
                <w:lang w:eastAsia="fr-FR"/>
              </w:rPr>
              <w:t>9</w:t>
            </w:r>
            <w:r w:rsidRPr="00975CA4">
              <w:rPr>
                <w:rFonts w:ascii="Times New Roman" w:eastAsia="Times New Roman" w:hAnsi="Times New Roman" w:cs="Times New Roman"/>
                <w:lang w:eastAsia="fr-FR"/>
              </w:rPr>
              <w:t xml:space="preserve">/l, o vėliau atnaujinti gydymą </w:t>
            </w:r>
            <w:r w:rsidR="0092378F" w:rsidRPr="00975CA4">
              <w:rPr>
                <w:rFonts w:ascii="Times New Roman" w:eastAsia="Times New Roman" w:hAnsi="Times New Roman" w:cs="Times New Roman"/>
                <w:lang w:eastAsia="fr-FR"/>
              </w:rPr>
              <w:t>pirmąja</w:t>
            </w:r>
            <w:r w:rsidRPr="00975CA4">
              <w:rPr>
                <w:rFonts w:ascii="Times New Roman" w:eastAsia="Times New Roman" w:hAnsi="Times New Roman" w:cs="Times New Roman"/>
                <w:lang w:eastAsia="fr-FR"/>
              </w:rPr>
              <w:t xml:space="preserve"> pradin</w:t>
            </w:r>
            <w:r w:rsidR="0092378F" w:rsidRPr="00975CA4">
              <w:rPr>
                <w:rFonts w:ascii="Times New Roman" w:eastAsia="Times New Roman" w:hAnsi="Times New Roman" w:cs="Times New Roman"/>
                <w:lang w:eastAsia="fr-FR"/>
              </w:rPr>
              <w:t>e</w:t>
            </w:r>
            <w:r w:rsidRPr="00975CA4">
              <w:rPr>
                <w:rFonts w:ascii="Times New Roman" w:eastAsia="Times New Roman" w:hAnsi="Times New Roman" w:cs="Times New Roman"/>
                <w:lang w:eastAsia="fr-FR"/>
              </w:rPr>
              <w:t xml:space="preserve"> arba sumažinta doze. </w:t>
            </w:r>
          </w:p>
          <w:p w14:paraId="026E342A" w14:textId="77777777" w:rsidR="0046310B" w:rsidRPr="00975CA4" w:rsidRDefault="0046310B" w:rsidP="0046310B">
            <w:pPr>
              <w:numPr>
                <w:ilvl w:val="0"/>
                <w:numId w:val="8"/>
              </w:numPr>
              <w:spacing w:after="0" w:line="276" w:lineRule="auto"/>
              <w:ind w:left="284" w:right="13" w:hanging="284"/>
              <w:contextualSpacing/>
              <w:rPr>
                <w:rFonts w:ascii="Times New Roman" w:eastAsia="Times New Roman" w:hAnsi="Times New Roman" w:cs="Times New Roman"/>
                <w:lang w:eastAsia="fr-FR"/>
              </w:rPr>
            </w:pPr>
            <w:proofErr w:type="spellStart"/>
            <w:r w:rsidRPr="00975CA4">
              <w:rPr>
                <w:rFonts w:ascii="Times New Roman" w:eastAsia="Times New Roman" w:hAnsi="Times New Roman" w:cs="Times New Roman"/>
                <w:lang w:eastAsia="fr-FR"/>
              </w:rPr>
              <w:t>Citopenijai</w:t>
            </w:r>
            <w:proofErr w:type="spellEnd"/>
            <w:r w:rsidRPr="00975CA4">
              <w:rPr>
                <w:rFonts w:ascii="Times New Roman" w:eastAsia="Times New Roman" w:hAnsi="Times New Roman" w:cs="Times New Roman"/>
                <w:lang w:eastAsia="fr-FR"/>
              </w:rPr>
              <w:t xml:space="preserve"> atsinaujinus reikia pakartoti kaulų čiulpų aspiraciją ar biopsiją ir atnaujinti gydymą sumažinta doze.</w:t>
            </w:r>
          </w:p>
        </w:tc>
        <w:tc>
          <w:tcPr>
            <w:tcW w:w="5803" w:type="dxa"/>
            <w:gridSpan w:val="4"/>
            <w:tcBorders>
              <w:top w:val="single" w:sz="6" w:space="0" w:color="231F20"/>
              <w:left w:val="single" w:sz="4" w:space="0" w:color="231F20"/>
              <w:bottom w:val="single" w:sz="6" w:space="0" w:color="231F20"/>
              <w:right w:val="single" w:sz="6" w:space="0" w:color="231F20"/>
            </w:tcBorders>
            <w:hideMark/>
          </w:tcPr>
          <w:p w14:paraId="58D3CF07" w14:textId="77777777" w:rsidR="0046310B" w:rsidRPr="00975CA4" w:rsidRDefault="0046310B" w:rsidP="0046310B">
            <w:pPr>
              <w:widowControl w:val="0"/>
              <w:autoSpaceDE w:val="0"/>
              <w:autoSpaceDN w:val="0"/>
              <w:adjustRightInd w:val="0"/>
              <w:spacing w:after="0" w:line="276" w:lineRule="auto"/>
              <w:jc w:val="center"/>
              <w:rPr>
                <w:rFonts w:ascii="Times New Roman" w:eastAsia="Times New Roman" w:hAnsi="Times New Roman" w:cs="Times New Roman"/>
                <w:lang w:eastAsia="cs-CZ"/>
              </w:rPr>
            </w:pPr>
            <w:r w:rsidRPr="00975CA4">
              <w:rPr>
                <w:rFonts w:ascii="Times New Roman" w:eastAsia="Times New Roman" w:hAnsi="Times New Roman" w:cs="Times New Roman"/>
                <w:b/>
                <w:lang w:eastAsia="cs-CZ"/>
              </w:rPr>
              <w:t>Dozė (didžiausia paros dozė)</w:t>
            </w:r>
          </w:p>
        </w:tc>
      </w:tr>
      <w:tr w:rsidR="0046310B" w:rsidRPr="00975CA4" w14:paraId="3FB5A773" w14:textId="77777777" w:rsidTr="00D61FD8">
        <w:trPr>
          <w:trHeight w:hRule="exact" w:val="567"/>
          <w:jc w:val="center"/>
        </w:trPr>
        <w:tc>
          <w:tcPr>
            <w:tcW w:w="3828" w:type="dxa"/>
            <w:vMerge/>
            <w:tcBorders>
              <w:top w:val="single" w:sz="6" w:space="0" w:color="231F20"/>
              <w:left w:val="single" w:sz="4" w:space="0" w:color="231F20"/>
              <w:bottom w:val="single" w:sz="6" w:space="0" w:color="231F20"/>
              <w:right w:val="single" w:sz="4" w:space="0" w:color="231F20"/>
            </w:tcBorders>
            <w:vAlign w:val="center"/>
            <w:hideMark/>
          </w:tcPr>
          <w:p w14:paraId="0E83AC3F" w14:textId="77777777" w:rsidR="0046310B" w:rsidRPr="00975CA4" w:rsidRDefault="0046310B" w:rsidP="0046310B">
            <w:pPr>
              <w:spacing w:after="0" w:line="276" w:lineRule="auto"/>
              <w:rPr>
                <w:rFonts w:ascii="Times New Roman" w:eastAsia="Times New Roman" w:hAnsi="Times New Roman" w:cs="Times New Roman"/>
                <w:lang w:eastAsia="fr-FR"/>
              </w:rPr>
            </w:pPr>
          </w:p>
        </w:tc>
        <w:tc>
          <w:tcPr>
            <w:tcW w:w="987" w:type="dxa"/>
            <w:tcBorders>
              <w:top w:val="single" w:sz="6" w:space="0" w:color="231F20"/>
              <w:left w:val="single" w:sz="4" w:space="0" w:color="231F20"/>
              <w:bottom w:val="single" w:sz="4" w:space="0" w:color="231F20"/>
              <w:right w:val="nil"/>
            </w:tcBorders>
          </w:tcPr>
          <w:p w14:paraId="6C739C3D" w14:textId="77777777" w:rsidR="0046310B" w:rsidRPr="00975CA4" w:rsidRDefault="0046310B" w:rsidP="0046310B">
            <w:pPr>
              <w:widowControl w:val="0"/>
              <w:autoSpaceDE w:val="0"/>
              <w:autoSpaceDN w:val="0"/>
              <w:adjustRightInd w:val="0"/>
              <w:spacing w:after="0" w:line="276" w:lineRule="auto"/>
              <w:jc w:val="center"/>
              <w:rPr>
                <w:rFonts w:ascii="Times New Roman" w:eastAsia="Times New Roman" w:hAnsi="Times New Roman" w:cs="Times New Roman"/>
                <w:lang w:eastAsia="cs-CZ"/>
              </w:rPr>
            </w:pPr>
          </w:p>
        </w:tc>
        <w:tc>
          <w:tcPr>
            <w:tcW w:w="1412" w:type="dxa"/>
            <w:tcBorders>
              <w:top w:val="single" w:sz="6" w:space="0" w:color="231F20"/>
              <w:left w:val="nil"/>
              <w:bottom w:val="single" w:sz="4" w:space="0" w:color="231F20"/>
              <w:right w:val="nil"/>
            </w:tcBorders>
            <w:hideMark/>
          </w:tcPr>
          <w:p w14:paraId="2A3DC892" w14:textId="77777777" w:rsidR="00D61FD8" w:rsidRPr="00975CA4" w:rsidRDefault="00D61FD8" w:rsidP="0046310B">
            <w:pPr>
              <w:widowControl w:val="0"/>
              <w:autoSpaceDE w:val="0"/>
              <w:autoSpaceDN w:val="0"/>
              <w:adjustRightInd w:val="0"/>
              <w:spacing w:after="0" w:line="276" w:lineRule="auto"/>
              <w:ind w:right="148"/>
              <w:jc w:val="center"/>
              <w:rPr>
                <w:rFonts w:ascii="Times New Roman" w:eastAsia="Times New Roman" w:hAnsi="Times New Roman" w:cs="Times New Roman"/>
                <w:b/>
                <w:lang w:eastAsia="cs-CZ"/>
              </w:rPr>
            </w:pPr>
            <w:r w:rsidRPr="00975CA4">
              <w:rPr>
                <w:rFonts w:ascii="Times New Roman" w:eastAsia="Times New Roman" w:hAnsi="Times New Roman" w:cs="Times New Roman"/>
                <w:b/>
                <w:lang w:eastAsia="cs-CZ"/>
              </w:rPr>
              <w:t xml:space="preserve">Pradinė </w:t>
            </w:r>
          </w:p>
          <w:p w14:paraId="1F445EFC" w14:textId="77777777" w:rsidR="0046310B" w:rsidRPr="00975CA4" w:rsidRDefault="00D61FD8" w:rsidP="0046310B">
            <w:pPr>
              <w:widowControl w:val="0"/>
              <w:autoSpaceDE w:val="0"/>
              <w:autoSpaceDN w:val="0"/>
              <w:adjustRightInd w:val="0"/>
              <w:spacing w:after="0" w:line="276" w:lineRule="auto"/>
              <w:ind w:right="148"/>
              <w:jc w:val="center"/>
              <w:rPr>
                <w:rFonts w:ascii="Times New Roman" w:eastAsia="Times New Roman" w:hAnsi="Times New Roman" w:cs="Times New Roman"/>
                <w:lang w:eastAsia="cs-CZ"/>
              </w:rPr>
            </w:pPr>
            <w:r w:rsidRPr="00975CA4">
              <w:rPr>
                <w:rFonts w:ascii="Times New Roman" w:eastAsia="Times New Roman" w:hAnsi="Times New Roman" w:cs="Times New Roman"/>
                <w:b/>
                <w:lang w:eastAsia="cs-CZ"/>
              </w:rPr>
              <w:t>dozė</w:t>
            </w:r>
          </w:p>
        </w:tc>
        <w:tc>
          <w:tcPr>
            <w:tcW w:w="1701" w:type="dxa"/>
            <w:tcBorders>
              <w:top w:val="single" w:sz="6" w:space="0" w:color="231F20"/>
              <w:left w:val="nil"/>
              <w:bottom w:val="single" w:sz="4" w:space="0" w:color="231F20"/>
              <w:right w:val="nil"/>
            </w:tcBorders>
            <w:hideMark/>
          </w:tcPr>
          <w:p w14:paraId="1CFCAA23" w14:textId="7C44EF32" w:rsidR="00D61FD8" w:rsidRPr="00975CA4" w:rsidRDefault="00D61FD8" w:rsidP="009176FF">
            <w:pPr>
              <w:widowControl w:val="0"/>
              <w:autoSpaceDE w:val="0"/>
              <w:autoSpaceDN w:val="0"/>
              <w:adjustRightInd w:val="0"/>
              <w:spacing w:after="0" w:line="276" w:lineRule="auto"/>
              <w:ind w:right="7"/>
              <w:jc w:val="center"/>
              <w:rPr>
                <w:rFonts w:ascii="Times New Roman" w:eastAsia="Times New Roman" w:hAnsi="Times New Roman" w:cs="Times New Roman"/>
                <w:b/>
                <w:lang w:eastAsia="cs-CZ"/>
              </w:rPr>
            </w:pPr>
            <w:r w:rsidRPr="00975CA4">
              <w:rPr>
                <w:rFonts w:ascii="Times New Roman" w:eastAsia="Times New Roman" w:hAnsi="Times New Roman" w:cs="Times New Roman"/>
                <w:b/>
                <w:lang w:eastAsia="cs-CZ"/>
              </w:rPr>
              <w:t xml:space="preserve">1 </w:t>
            </w:r>
            <w:r w:rsidR="009176FF" w:rsidRPr="00975CA4">
              <w:rPr>
                <w:rFonts w:ascii="Times New Roman" w:eastAsia="Times New Roman" w:hAnsi="Times New Roman" w:cs="Times New Roman"/>
                <w:b/>
                <w:lang w:eastAsia="cs-CZ"/>
              </w:rPr>
              <w:t>pakopa</w:t>
            </w:r>
            <w:r w:rsidRPr="00975CA4">
              <w:rPr>
                <w:rFonts w:ascii="Times New Roman" w:eastAsia="Times New Roman" w:hAnsi="Times New Roman" w:cs="Times New Roman"/>
                <w:b/>
                <w:lang w:eastAsia="cs-CZ"/>
              </w:rPr>
              <w:t xml:space="preserve"> sumažinta dozė</w:t>
            </w:r>
          </w:p>
        </w:tc>
        <w:tc>
          <w:tcPr>
            <w:tcW w:w="1701" w:type="dxa"/>
            <w:tcBorders>
              <w:top w:val="single" w:sz="6" w:space="0" w:color="231F20"/>
              <w:left w:val="nil"/>
              <w:bottom w:val="single" w:sz="4" w:space="0" w:color="231F20"/>
              <w:right w:val="single" w:sz="6" w:space="0" w:color="231F20"/>
            </w:tcBorders>
            <w:hideMark/>
          </w:tcPr>
          <w:p w14:paraId="2417CA39" w14:textId="7B995EDA" w:rsidR="0046310B" w:rsidRPr="00975CA4" w:rsidRDefault="0046310B" w:rsidP="009176FF">
            <w:pPr>
              <w:widowControl w:val="0"/>
              <w:autoSpaceDE w:val="0"/>
              <w:autoSpaceDN w:val="0"/>
              <w:adjustRightInd w:val="0"/>
              <w:spacing w:after="0" w:line="276" w:lineRule="auto"/>
              <w:ind w:right="129"/>
              <w:jc w:val="center"/>
              <w:rPr>
                <w:rFonts w:ascii="Times New Roman" w:eastAsia="Times New Roman" w:hAnsi="Times New Roman" w:cs="Times New Roman"/>
                <w:lang w:eastAsia="cs-CZ"/>
              </w:rPr>
            </w:pPr>
            <w:r w:rsidRPr="00975CA4">
              <w:rPr>
                <w:rFonts w:ascii="Times New Roman" w:eastAsia="Times New Roman" w:hAnsi="Times New Roman" w:cs="Times New Roman"/>
                <w:b/>
                <w:lang w:eastAsia="cs-CZ"/>
              </w:rPr>
              <w:t>2</w:t>
            </w:r>
            <w:r w:rsidR="00D61FD8" w:rsidRPr="00975CA4">
              <w:rPr>
                <w:rFonts w:ascii="Times New Roman" w:eastAsia="Times New Roman" w:hAnsi="Times New Roman" w:cs="Times New Roman"/>
                <w:b/>
                <w:lang w:eastAsia="cs-CZ"/>
              </w:rPr>
              <w:t xml:space="preserve"> </w:t>
            </w:r>
            <w:r w:rsidR="009176FF" w:rsidRPr="00975CA4">
              <w:rPr>
                <w:rFonts w:ascii="Times New Roman" w:eastAsia="Times New Roman" w:hAnsi="Times New Roman" w:cs="Times New Roman"/>
                <w:b/>
                <w:lang w:eastAsia="cs-CZ"/>
              </w:rPr>
              <w:t xml:space="preserve">pakopa </w:t>
            </w:r>
            <w:r w:rsidR="00D61FD8" w:rsidRPr="00975CA4">
              <w:rPr>
                <w:rFonts w:ascii="Times New Roman" w:eastAsia="Times New Roman" w:hAnsi="Times New Roman" w:cs="Times New Roman"/>
                <w:b/>
                <w:lang w:eastAsia="cs-CZ"/>
              </w:rPr>
              <w:t>sumažinta dozė</w:t>
            </w:r>
          </w:p>
        </w:tc>
      </w:tr>
      <w:tr w:rsidR="0046310B" w:rsidRPr="00975CA4" w14:paraId="45FDABD1" w14:textId="77777777" w:rsidTr="00D61FD8">
        <w:trPr>
          <w:trHeight w:val="283"/>
          <w:jc w:val="center"/>
        </w:trPr>
        <w:tc>
          <w:tcPr>
            <w:tcW w:w="3828" w:type="dxa"/>
            <w:vMerge/>
            <w:tcBorders>
              <w:top w:val="single" w:sz="6" w:space="0" w:color="231F20"/>
              <w:left w:val="single" w:sz="4" w:space="0" w:color="231F20"/>
              <w:bottom w:val="single" w:sz="6" w:space="0" w:color="231F20"/>
              <w:right w:val="single" w:sz="4" w:space="0" w:color="231F20"/>
            </w:tcBorders>
            <w:vAlign w:val="center"/>
            <w:hideMark/>
          </w:tcPr>
          <w:p w14:paraId="36E5D034" w14:textId="77777777" w:rsidR="0046310B" w:rsidRPr="00975CA4" w:rsidRDefault="0046310B" w:rsidP="0046310B">
            <w:pPr>
              <w:spacing w:after="0" w:line="276" w:lineRule="auto"/>
              <w:rPr>
                <w:rFonts w:ascii="Times New Roman" w:eastAsia="Times New Roman" w:hAnsi="Times New Roman" w:cs="Times New Roman"/>
                <w:lang w:eastAsia="fr-FR"/>
              </w:rPr>
            </w:pPr>
          </w:p>
        </w:tc>
        <w:tc>
          <w:tcPr>
            <w:tcW w:w="987" w:type="dxa"/>
            <w:vMerge w:val="restart"/>
            <w:tcBorders>
              <w:top w:val="single" w:sz="4" w:space="0" w:color="231F20"/>
              <w:left w:val="single" w:sz="4" w:space="0" w:color="231F20"/>
              <w:bottom w:val="single" w:sz="6" w:space="0" w:color="231F20"/>
              <w:right w:val="nil"/>
            </w:tcBorders>
            <w:hideMark/>
          </w:tcPr>
          <w:p w14:paraId="2971242C" w14:textId="77777777" w:rsidR="0046310B" w:rsidRPr="00975CA4" w:rsidRDefault="0046310B" w:rsidP="0046310B">
            <w:pPr>
              <w:widowControl w:val="0"/>
              <w:autoSpaceDE w:val="0"/>
              <w:autoSpaceDN w:val="0"/>
              <w:adjustRightInd w:val="0"/>
              <w:spacing w:after="0" w:line="276" w:lineRule="auto"/>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Tabletės</w:t>
            </w:r>
          </w:p>
        </w:tc>
        <w:tc>
          <w:tcPr>
            <w:tcW w:w="1412" w:type="dxa"/>
            <w:tcBorders>
              <w:top w:val="single" w:sz="4" w:space="0" w:color="231F20"/>
              <w:left w:val="nil"/>
              <w:bottom w:val="nil"/>
              <w:right w:val="nil"/>
            </w:tcBorders>
            <w:hideMark/>
          </w:tcPr>
          <w:p w14:paraId="7485782F" w14:textId="45D8BD9E" w:rsidR="0046310B" w:rsidRPr="00975CA4" w:rsidRDefault="0046310B" w:rsidP="00BC6DDE">
            <w:pPr>
              <w:widowControl w:val="0"/>
              <w:autoSpaceDE w:val="0"/>
              <w:autoSpaceDN w:val="0"/>
              <w:adjustRightInd w:val="0"/>
              <w:spacing w:after="0" w:line="276" w:lineRule="auto"/>
              <w:ind w:right="148"/>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40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c>
          <w:tcPr>
            <w:tcW w:w="1701" w:type="dxa"/>
            <w:tcBorders>
              <w:top w:val="single" w:sz="4" w:space="0" w:color="231F20"/>
              <w:left w:val="nil"/>
              <w:bottom w:val="nil"/>
              <w:right w:val="nil"/>
            </w:tcBorders>
            <w:hideMark/>
          </w:tcPr>
          <w:p w14:paraId="3F6098DD" w14:textId="26EF29F2" w:rsidR="0046310B" w:rsidRPr="00975CA4" w:rsidRDefault="0046310B" w:rsidP="00BC6DDE">
            <w:pPr>
              <w:widowControl w:val="0"/>
              <w:autoSpaceDE w:val="0"/>
              <w:autoSpaceDN w:val="0"/>
              <w:adjustRightInd w:val="0"/>
              <w:spacing w:after="0" w:line="276" w:lineRule="auto"/>
              <w:ind w:right="7"/>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20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c>
          <w:tcPr>
            <w:tcW w:w="1701" w:type="dxa"/>
            <w:tcBorders>
              <w:top w:val="single" w:sz="4" w:space="0" w:color="231F20"/>
              <w:left w:val="nil"/>
              <w:bottom w:val="nil"/>
              <w:right w:val="single" w:sz="6" w:space="0" w:color="231F20"/>
            </w:tcBorders>
            <w:hideMark/>
          </w:tcPr>
          <w:p w14:paraId="77D51E70" w14:textId="77777777" w:rsidR="0046310B" w:rsidRPr="00975CA4" w:rsidRDefault="0046310B" w:rsidP="0046310B">
            <w:pPr>
              <w:widowControl w:val="0"/>
              <w:autoSpaceDE w:val="0"/>
              <w:autoSpaceDN w:val="0"/>
              <w:adjustRightInd w:val="0"/>
              <w:spacing w:after="0" w:line="276" w:lineRule="auto"/>
              <w:ind w:right="129"/>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w:t>
            </w:r>
          </w:p>
        </w:tc>
      </w:tr>
      <w:tr w:rsidR="0046310B" w:rsidRPr="00975CA4" w14:paraId="06A01C12" w14:textId="77777777" w:rsidTr="00D61FD8">
        <w:trPr>
          <w:trHeight w:val="283"/>
          <w:jc w:val="center"/>
        </w:trPr>
        <w:tc>
          <w:tcPr>
            <w:tcW w:w="3828" w:type="dxa"/>
            <w:vMerge/>
            <w:tcBorders>
              <w:top w:val="single" w:sz="6" w:space="0" w:color="231F20"/>
              <w:left w:val="single" w:sz="4" w:space="0" w:color="231F20"/>
              <w:bottom w:val="single" w:sz="6" w:space="0" w:color="231F20"/>
              <w:right w:val="single" w:sz="4" w:space="0" w:color="231F20"/>
            </w:tcBorders>
            <w:vAlign w:val="center"/>
            <w:hideMark/>
          </w:tcPr>
          <w:p w14:paraId="2FB557F4" w14:textId="77777777" w:rsidR="0046310B" w:rsidRPr="00975CA4" w:rsidRDefault="0046310B" w:rsidP="0046310B">
            <w:pPr>
              <w:spacing w:after="0" w:line="276" w:lineRule="auto"/>
              <w:rPr>
                <w:rFonts w:ascii="Times New Roman" w:eastAsia="Times New Roman" w:hAnsi="Times New Roman" w:cs="Times New Roman"/>
                <w:lang w:eastAsia="fr-FR"/>
              </w:rPr>
            </w:pPr>
          </w:p>
        </w:tc>
        <w:tc>
          <w:tcPr>
            <w:tcW w:w="987" w:type="dxa"/>
            <w:vMerge/>
            <w:tcBorders>
              <w:top w:val="single" w:sz="4" w:space="0" w:color="231F20"/>
              <w:left w:val="single" w:sz="4" w:space="0" w:color="231F20"/>
              <w:bottom w:val="single" w:sz="6" w:space="0" w:color="231F20"/>
              <w:right w:val="nil"/>
            </w:tcBorders>
            <w:vAlign w:val="center"/>
            <w:hideMark/>
          </w:tcPr>
          <w:p w14:paraId="5AFBFC1D" w14:textId="77777777" w:rsidR="0046310B" w:rsidRPr="00975CA4" w:rsidRDefault="0046310B" w:rsidP="0046310B">
            <w:pPr>
              <w:spacing w:after="0" w:line="276" w:lineRule="auto"/>
              <w:rPr>
                <w:rFonts w:ascii="Times New Roman" w:eastAsia="Times New Roman" w:hAnsi="Times New Roman" w:cs="Times New Roman"/>
                <w:lang w:eastAsia="cs-CZ"/>
              </w:rPr>
            </w:pPr>
          </w:p>
        </w:tc>
        <w:tc>
          <w:tcPr>
            <w:tcW w:w="1412" w:type="dxa"/>
            <w:hideMark/>
          </w:tcPr>
          <w:p w14:paraId="1003C186" w14:textId="4028F0B2" w:rsidR="0046310B" w:rsidRPr="00975CA4" w:rsidRDefault="0046310B" w:rsidP="00BC6DDE">
            <w:pPr>
              <w:widowControl w:val="0"/>
              <w:autoSpaceDE w:val="0"/>
              <w:autoSpaceDN w:val="0"/>
              <w:adjustRightInd w:val="0"/>
              <w:spacing w:after="0" w:line="276" w:lineRule="auto"/>
              <w:ind w:right="148"/>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60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c>
          <w:tcPr>
            <w:tcW w:w="1701" w:type="dxa"/>
            <w:hideMark/>
          </w:tcPr>
          <w:p w14:paraId="7B23F51D" w14:textId="7DA6B6F3" w:rsidR="0046310B" w:rsidRPr="00975CA4" w:rsidRDefault="0046310B" w:rsidP="00BC6DDE">
            <w:pPr>
              <w:widowControl w:val="0"/>
              <w:autoSpaceDE w:val="0"/>
              <w:autoSpaceDN w:val="0"/>
              <w:adjustRightInd w:val="0"/>
              <w:spacing w:after="0" w:line="276" w:lineRule="auto"/>
              <w:ind w:right="7"/>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40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c>
          <w:tcPr>
            <w:tcW w:w="1701" w:type="dxa"/>
            <w:tcBorders>
              <w:top w:val="nil"/>
              <w:left w:val="nil"/>
              <w:bottom w:val="nil"/>
              <w:right w:val="single" w:sz="6" w:space="0" w:color="231F20"/>
            </w:tcBorders>
            <w:hideMark/>
          </w:tcPr>
          <w:p w14:paraId="2D7F45A8" w14:textId="7FC583C1" w:rsidR="0046310B" w:rsidRPr="00975CA4" w:rsidRDefault="0046310B" w:rsidP="00BC6DDE">
            <w:pPr>
              <w:widowControl w:val="0"/>
              <w:autoSpaceDE w:val="0"/>
              <w:autoSpaceDN w:val="0"/>
              <w:adjustRightInd w:val="0"/>
              <w:spacing w:after="0" w:line="276" w:lineRule="auto"/>
              <w:ind w:right="129"/>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20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r>
      <w:tr w:rsidR="0046310B" w:rsidRPr="00975CA4" w14:paraId="6C3F95AC" w14:textId="77777777" w:rsidTr="00D61FD8">
        <w:trPr>
          <w:trHeight w:val="283"/>
          <w:jc w:val="center"/>
        </w:trPr>
        <w:tc>
          <w:tcPr>
            <w:tcW w:w="3828" w:type="dxa"/>
            <w:vMerge/>
            <w:tcBorders>
              <w:top w:val="single" w:sz="6" w:space="0" w:color="231F20"/>
              <w:left w:val="single" w:sz="4" w:space="0" w:color="231F20"/>
              <w:bottom w:val="single" w:sz="6" w:space="0" w:color="231F20"/>
              <w:right w:val="single" w:sz="4" w:space="0" w:color="231F20"/>
            </w:tcBorders>
            <w:vAlign w:val="center"/>
            <w:hideMark/>
          </w:tcPr>
          <w:p w14:paraId="47619071" w14:textId="77777777" w:rsidR="0046310B" w:rsidRPr="00975CA4" w:rsidRDefault="0046310B" w:rsidP="0046310B">
            <w:pPr>
              <w:spacing w:after="0" w:line="276" w:lineRule="auto"/>
              <w:rPr>
                <w:rFonts w:ascii="Times New Roman" w:eastAsia="Times New Roman" w:hAnsi="Times New Roman" w:cs="Times New Roman"/>
                <w:lang w:eastAsia="fr-FR"/>
              </w:rPr>
            </w:pPr>
          </w:p>
        </w:tc>
        <w:tc>
          <w:tcPr>
            <w:tcW w:w="987" w:type="dxa"/>
            <w:vMerge/>
            <w:tcBorders>
              <w:top w:val="single" w:sz="4" w:space="0" w:color="231F20"/>
              <w:left w:val="single" w:sz="4" w:space="0" w:color="231F20"/>
              <w:bottom w:val="single" w:sz="6" w:space="0" w:color="231F20"/>
              <w:right w:val="nil"/>
            </w:tcBorders>
            <w:vAlign w:val="center"/>
            <w:hideMark/>
          </w:tcPr>
          <w:p w14:paraId="04EF17D8" w14:textId="77777777" w:rsidR="0046310B" w:rsidRPr="00975CA4" w:rsidRDefault="0046310B" w:rsidP="0046310B">
            <w:pPr>
              <w:spacing w:after="0" w:line="276" w:lineRule="auto"/>
              <w:rPr>
                <w:rFonts w:ascii="Times New Roman" w:eastAsia="Times New Roman" w:hAnsi="Times New Roman" w:cs="Times New Roman"/>
                <w:lang w:eastAsia="cs-CZ"/>
              </w:rPr>
            </w:pPr>
          </w:p>
        </w:tc>
        <w:tc>
          <w:tcPr>
            <w:tcW w:w="1412" w:type="dxa"/>
            <w:hideMark/>
          </w:tcPr>
          <w:p w14:paraId="6372764F" w14:textId="575C9080" w:rsidR="0046310B" w:rsidRPr="00975CA4" w:rsidRDefault="0046310B" w:rsidP="00BC6DDE">
            <w:pPr>
              <w:widowControl w:val="0"/>
              <w:autoSpaceDE w:val="0"/>
              <w:autoSpaceDN w:val="0"/>
              <w:adjustRightInd w:val="0"/>
              <w:spacing w:after="0" w:line="276" w:lineRule="auto"/>
              <w:ind w:right="148"/>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70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c>
          <w:tcPr>
            <w:tcW w:w="1701" w:type="dxa"/>
            <w:hideMark/>
          </w:tcPr>
          <w:p w14:paraId="3931A16C" w14:textId="1520756A" w:rsidR="0046310B" w:rsidRPr="00975CA4" w:rsidRDefault="0046310B" w:rsidP="00BC6DDE">
            <w:pPr>
              <w:widowControl w:val="0"/>
              <w:autoSpaceDE w:val="0"/>
              <w:autoSpaceDN w:val="0"/>
              <w:adjustRightInd w:val="0"/>
              <w:spacing w:after="0" w:line="276" w:lineRule="auto"/>
              <w:ind w:right="7"/>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60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c>
          <w:tcPr>
            <w:tcW w:w="1701" w:type="dxa"/>
            <w:tcBorders>
              <w:top w:val="nil"/>
              <w:left w:val="nil"/>
              <w:bottom w:val="nil"/>
              <w:right w:val="single" w:sz="6" w:space="0" w:color="231F20"/>
            </w:tcBorders>
            <w:hideMark/>
          </w:tcPr>
          <w:p w14:paraId="400A7537" w14:textId="1945211A" w:rsidR="0046310B" w:rsidRPr="00975CA4" w:rsidRDefault="0046310B" w:rsidP="00BC6DDE">
            <w:pPr>
              <w:widowControl w:val="0"/>
              <w:autoSpaceDE w:val="0"/>
              <w:autoSpaceDN w:val="0"/>
              <w:adjustRightInd w:val="0"/>
              <w:spacing w:after="0" w:line="276" w:lineRule="auto"/>
              <w:ind w:right="129"/>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50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r>
      <w:tr w:rsidR="0046310B" w:rsidRPr="00975CA4" w14:paraId="75E60E43" w14:textId="77777777" w:rsidTr="00D61FD8">
        <w:trPr>
          <w:trHeight w:val="283"/>
          <w:jc w:val="center"/>
        </w:trPr>
        <w:tc>
          <w:tcPr>
            <w:tcW w:w="3828" w:type="dxa"/>
            <w:vMerge/>
            <w:tcBorders>
              <w:top w:val="single" w:sz="6" w:space="0" w:color="231F20"/>
              <w:left w:val="single" w:sz="4" w:space="0" w:color="231F20"/>
              <w:bottom w:val="single" w:sz="6" w:space="0" w:color="231F20"/>
              <w:right w:val="single" w:sz="4" w:space="0" w:color="231F20"/>
            </w:tcBorders>
            <w:vAlign w:val="center"/>
            <w:hideMark/>
          </w:tcPr>
          <w:p w14:paraId="5E5DC764" w14:textId="77777777" w:rsidR="0046310B" w:rsidRPr="00975CA4" w:rsidRDefault="0046310B" w:rsidP="0046310B">
            <w:pPr>
              <w:spacing w:after="0" w:line="276" w:lineRule="auto"/>
              <w:rPr>
                <w:rFonts w:ascii="Times New Roman" w:eastAsia="Times New Roman" w:hAnsi="Times New Roman" w:cs="Times New Roman"/>
                <w:lang w:eastAsia="fr-FR"/>
              </w:rPr>
            </w:pPr>
          </w:p>
        </w:tc>
        <w:tc>
          <w:tcPr>
            <w:tcW w:w="987" w:type="dxa"/>
            <w:vMerge/>
            <w:tcBorders>
              <w:top w:val="single" w:sz="4" w:space="0" w:color="231F20"/>
              <w:left w:val="single" w:sz="4" w:space="0" w:color="231F20"/>
              <w:bottom w:val="single" w:sz="6" w:space="0" w:color="231F20"/>
              <w:right w:val="nil"/>
            </w:tcBorders>
            <w:vAlign w:val="center"/>
            <w:hideMark/>
          </w:tcPr>
          <w:p w14:paraId="4EB73459" w14:textId="77777777" w:rsidR="0046310B" w:rsidRPr="00975CA4" w:rsidRDefault="0046310B" w:rsidP="0046310B">
            <w:pPr>
              <w:spacing w:after="0" w:line="276" w:lineRule="auto"/>
              <w:rPr>
                <w:rFonts w:ascii="Times New Roman" w:eastAsia="Times New Roman" w:hAnsi="Times New Roman" w:cs="Times New Roman"/>
                <w:lang w:eastAsia="cs-CZ"/>
              </w:rPr>
            </w:pPr>
          </w:p>
        </w:tc>
        <w:tc>
          <w:tcPr>
            <w:tcW w:w="1412" w:type="dxa"/>
            <w:tcBorders>
              <w:top w:val="nil"/>
              <w:left w:val="nil"/>
              <w:bottom w:val="single" w:sz="6" w:space="0" w:color="231F20"/>
              <w:right w:val="nil"/>
            </w:tcBorders>
            <w:hideMark/>
          </w:tcPr>
          <w:p w14:paraId="65601F2F" w14:textId="0C13A1C3" w:rsidR="0046310B" w:rsidRPr="00975CA4" w:rsidRDefault="0046310B" w:rsidP="00BC6DDE">
            <w:pPr>
              <w:widowControl w:val="0"/>
              <w:autoSpaceDE w:val="0"/>
              <w:autoSpaceDN w:val="0"/>
              <w:adjustRightInd w:val="0"/>
              <w:spacing w:after="0" w:line="276" w:lineRule="auto"/>
              <w:ind w:right="148"/>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100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c>
          <w:tcPr>
            <w:tcW w:w="1701" w:type="dxa"/>
            <w:tcBorders>
              <w:top w:val="nil"/>
              <w:left w:val="nil"/>
              <w:bottom w:val="single" w:sz="6" w:space="0" w:color="231F20"/>
              <w:right w:val="nil"/>
            </w:tcBorders>
            <w:hideMark/>
          </w:tcPr>
          <w:p w14:paraId="33993AA5" w14:textId="68317BF8" w:rsidR="0046310B" w:rsidRPr="00975CA4" w:rsidRDefault="0046310B" w:rsidP="00BC6DDE">
            <w:pPr>
              <w:widowControl w:val="0"/>
              <w:autoSpaceDE w:val="0"/>
              <w:autoSpaceDN w:val="0"/>
              <w:adjustRightInd w:val="0"/>
              <w:spacing w:after="0" w:line="276" w:lineRule="auto"/>
              <w:ind w:right="7"/>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80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c>
          <w:tcPr>
            <w:tcW w:w="1701" w:type="dxa"/>
            <w:tcBorders>
              <w:top w:val="nil"/>
              <w:left w:val="nil"/>
              <w:bottom w:val="single" w:sz="6" w:space="0" w:color="231F20"/>
              <w:right w:val="single" w:sz="6" w:space="0" w:color="231F20"/>
            </w:tcBorders>
            <w:hideMark/>
          </w:tcPr>
          <w:p w14:paraId="186BAD5A" w14:textId="4D6DD9E5" w:rsidR="0046310B" w:rsidRPr="00975CA4" w:rsidRDefault="0046310B" w:rsidP="00BC6DDE">
            <w:pPr>
              <w:widowControl w:val="0"/>
              <w:autoSpaceDE w:val="0"/>
              <w:autoSpaceDN w:val="0"/>
              <w:adjustRightInd w:val="0"/>
              <w:spacing w:after="0" w:line="276" w:lineRule="auto"/>
              <w:ind w:right="129"/>
              <w:jc w:val="center"/>
              <w:rPr>
                <w:rFonts w:ascii="Times New Roman" w:eastAsia="Times New Roman" w:hAnsi="Times New Roman" w:cs="Times New Roman"/>
                <w:lang w:eastAsia="cs-CZ"/>
              </w:rPr>
            </w:pPr>
            <w:r w:rsidRPr="00975CA4">
              <w:rPr>
                <w:rFonts w:ascii="Times New Roman" w:eastAsia="Times New Roman" w:hAnsi="Times New Roman" w:cs="Times New Roman"/>
                <w:lang w:eastAsia="cs-CZ"/>
              </w:rPr>
              <w:t>70</w:t>
            </w:r>
            <w:r w:rsidR="003459F7" w:rsidRPr="00975CA4">
              <w:rPr>
                <w:rFonts w:ascii="Times New Roman" w:eastAsia="Times New Roman" w:hAnsi="Times New Roman" w:cs="Times New Roman"/>
                <w:lang w:eastAsia="cs-CZ"/>
              </w:rPr>
              <w:t> </w:t>
            </w:r>
            <w:r w:rsidRPr="00975CA4">
              <w:rPr>
                <w:rFonts w:ascii="Times New Roman" w:eastAsia="Times New Roman" w:hAnsi="Times New Roman" w:cs="Times New Roman"/>
                <w:lang w:eastAsia="cs-CZ"/>
              </w:rPr>
              <w:t>mg</w:t>
            </w:r>
          </w:p>
        </w:tc>
      </w:tr>
    </w:tbl>
    <w:p w14:paraId="15BE25DD" w14:textId="77777777" w:rsidR="0046310B" w:rsidRPr="00975CA4" w:rsidRDefault="0046310B" w:rsidP="0046310B">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ANS – absoliutus </w:t>
      </w:r>
      <w:proofErr w:type="spellStart"/>
      <w:r w:rsidRPr="00975CA4">
        <w:rPr>
          <w:rFonts w:ascii="Times New Roman" w:eastAsia="Calibri" w:hAnsi="Times New Roman" w:cs="Times New Roman"/>
          <w:color w:val="000000"/>
          <w:lang w:eastAsia="ar-SA"/>
        </w:rPr>
        <w:t>neutrofilų</w:t>
      </w:r>
      <w:proofErr w:type="spellEnd"/>
      <w:r w:rsidRPr="00975CA4">
        <w:rPr>
          <w:rFonts w:ascii="Times New Roman" w:eastAsia="Calibri" w:hAnsi="Times New Roman" w:cs="Times New Roman"/>
          <w:color w:val="000000"/>
          <w:lang w:eastAsia="ar-SA"/>
        </w:rPr>
        <w:t xml:space="preserve"> skaičius.</w:t>
      </w:r>
    </w:p>
    <w:p w14:paraId="3ABF5D23" w14:textId="77777777" w:rsidR="0046310B" w:rsidRPr="00975CA4" w:rsidRDefault="0046310B" w:rsidP="0046310B">
      <w:pPr>
        <w:suppressAutoHyphens/>
        <w:spacing w:after="0" w:line="240" w:lineRule="auto"/>
        <w:rPr>
          <w:rFonts w:ascii="Times New Roman" w:eastAsia="Calibri" w:hAnsi="Times New Roman" w:cs="Times New Roman"/>
          <w:color w:val="000000"/>
          <w:u w:val="single"/>
          <w:lang w:eastAsia="ar-SA"/>
        </w:rPr>
      </w:pPr>
      <w:r w:rsidRPr="00975CA4">
        <w:rPr>
          <w:rFonts w:ascii="Times New Roman" w:eastAsia="Calibri" w:hAnsi="Times New Roman" w:cs="Times New Roman"/>
          <w:color w:val="000000"/>
          <w:lang w:eastAsia="ar-SA"/>
        </w:rPr>
        <w:t>*Mažesnio stiprumo tablečių nėra.</w:t>
      </w:r>
      <w:r w:rsidRPr="00975CA4">
        <w:rPr>
          <w:rFonts w:ascii="Times New Roman" w:eastAsia="Calibri" w:hAnsi="Times New Roman" w:cs="Times New Roman"/>
          <w:color w:val="000000"/>
          <w:u w:val="single"/>
          <w:lang w:eastAsia="ar-SA"/>
        </w:rPr>
        <w:t xml:space="preserve"> </w:t>
      </w:r>
    </w:p>
    <w:p w14:paraId="5A64D6FD" w14:textId="77777777" w:rsidR="0046310B" w:rsidRPr="00975CA4" w:rsidRDefault="0046310B" w:rsidP="0046310B">
      <w:pPr>
        <w:spacing w:after="0" w:line="240" w:lineRule="auto"/>
        <w:rPr>
          <w:rFonts w:ascii="Times New Roman" w:eastAsia="Calibri" w:hAnsi="Times New Roman" w:cs="Times New Roman"/>
          <w:color w:val="000000"/>
          <w:lang w:eastAsia="ar-SA"/>
        </w:rPr>
      </w:pPr>
    </w:p>
    <w:p w14:paraId="6998887E" w14:textId="0A4D0940" w:rsidR="00D61FD8" w:rsidRPr="00975CA4" w:rsidRDefault="00D61FD8" w:rsidP="00D61FD8">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Jeigu vaik</w:t>
      </w:r>
      <w:r w:rsidR="009C0532" w:rsidRPr="00975CA4">
        <w:rPr>
          <w:rFonts w:ascii="Times New Roman" w:eastAsia="Calibri" w:hAnsi="Times New Roman" w:cs="Times New Roman"/>
          <w:color w:val="000000"/>
          <w:lang w:eastAsia="ar-SA"/>
        </w:rPr>
        <w:t>ui,</w:t>
      </w:r>
      <w:r w:rsidRPr="00975CA4">
        <w:rPr>
          <w:rFonts w:ascii="Times New Roman" w:eastAsia="Calibri" w:hAnsi="Times New Roman" w:cs="Times New Roman"/>
          <w:color w:val="000000"/>
          <w:lang w:eastAsia="ar-SA"/>
        </w:rPr>
        <w:t xml:space="preserve"> sergančiam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LML LF, atsinaujintų ≥</w:t>
      </w:r>
      <w:r w:rsidR="003459F7"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 xml:space="preserve">3 laipsnio </w:t>
      </w:r>
      <w:proofErr w:type="spellStart"/>
      <w:r w:rsidRPr="00975CA4">
        <w:rPr>
          <w:rFonts w:ascii="Times New Roman" w:eastAsia="Calibri" w:hAnsi="Times New Roman" w:cs="Times New Roman"/>
          <w:color w:val="000000"/>
          <w:lang w:eastAsia="ar-SA"/>
        </w:rPr>
        <w:t>neutropenija</w:t>
      </w:r>
      <w:proofErr w:type="spellEnd"/>
      <w:r w:rsidRPr="00975CA4">
        <w:rPr>
          <w:rFonts w:ascii="Times New Roman" w:eastAsia="Calibri" w:hAnsi="Times New Roman" w:cs="Times New Roman"/>
          <w:color w:val="000000"/>
          <w:lang w:eastAsia="ar-SA"/>
        </w:rPr>
        <w:t xml:space="preserve"> arba </w:t>
      </w:r>
      <w:proofErr w:type="spellStart"/>
      <w:r w:rsidRPr="00975CA4">
        <w:rPr>
          <w:rFonts w:ascii="Times New Roman" w:eastAsia="Calibri" w:hAnsi="Times New Roman" w:cs="Times New Roman"/>
          <w:color w:val="000000"/>
          <w:lang w:eastAsia="ar-SA"/>
        </w:rPr>
        <w:t>trombocitopenija</w:t>
      </w:r>
      <w:proofErr w:type="spellEnd"/>
      <w:r w:rsidRPr="00975CA4">
        <w:rPr>
          <w:rFonts w:ascii="Times New Roman" w:eastAsia="Calibri" w:hAnsi="Times New Roman" w:cs="Times New Roman"/>
          <w:color w:val="000000"/>
          <w:lang w:eastAsia="ar-SA"/>
        </w:rPr>
        <w:t xml:space="preserve"> esant visiškam hematologiniam atsakui (angl. </w:t>
      </w:r>
      <w:proofErr w:type="spellStart"/>
      <w:r w:rsidRPr="00975CA4">
        <w:rPr>
          <w:rFonts w:ascii="Times New Roman" w:eastAsia="Calibri" w:hAnsi="Times New Roman" w:cs="Times New Roman"/>
          <w:i/>
          <w:iCs/>
          <w:color w:val="000000"/>
          <w:lang w:eastAsia="ar-SA"/>
        </w:rPr>
        <w:t>complete</w:t>
      </w:r>
      <w:proofErr w:type="spellEnd"/>
      <w:r w:rsidRPr="00975CA4">
        <w:rPr>
          <w:rFonts w:ascii="Times New Roman" w:eastAsia="Calibri" w:hAnsi="Times New Roman" w:cs="Times New Roman"/>
          <w:i/>
          <w:iCs/>
          <w:color w:val="000000"/>
          <w:lang w:eastAsia="ar-SA"/>
        </w:rPr>
        <w:t xml:space="preserve"> </w:t>
      </w:r>
      <w:proofErr w:type="spellStart"/>
      <w:r w:rsidRPr="00975CA4">
        <w:rPr>
          <w:rFonts w:ascii="Times New Roman" w:eastAsia="Calibri" w:hAnsi="Times New Roman" w:cs="Times New Roman"/>
          <w:i/>
          <w:iCs/>
          <w:color w:val="000000"/>
          <w:lang w:eastAsia="ar-SA"/>
        </w:rPr>
        <w:t>hematologic</w:t>
      </w:r>
      <w:proofErr w:type="spellEnd"/>
      <w:r w:rsidRPr="00975CA4">
        <w:rPr>
          <w:rFonts w:ascii="Times New Roman" w:eastAsia="Calibri" w:hAnsi="Times New Roman" w:cs="Times New Roman"/>
          <w:i/>
          <w:iCs/>
          <w:color w:val="000000"/>
          <w:lang w:eastAsia="ar-SA"/>
        </w:rPr>
        <w:t xml:space="preserve"> </w:t>
      </w:r>
      <w:proofErr w:type="spellStart"/>
      <w:r w:rsidRPr="00975CA4">
        <w:rPr>
          <w:rFonts w:ascii="Times New Roman" w:eastAsia="Calibri" w:hAnsi="Times New Roman" w:cs="Times New Roman"/>
          <w:i/>
          <w:iCs/>
          <w:color w:val="000000"/>
          <w:lang w:eastAsia="ar-SA"/>
        </w:rPr>
        <w:t>response</w:t>
      </w:r>
      <w:proofErr w:type="spellEnd"/>
      <w:r w:rsidRPr="00975CA4">
        <w:rPr>
          <w:rFonts w:ascii="Times New Roman" w:eastAsia="Calibri" w:hAnsi="Times New Roman" w:cs="Times New Roman"/>
          <w:i/>
          <w:iCs/>
          <w:color w:val="000000"/>
          <w:lang w:eastAsia="ar-SA"/>
        </w:rPr>
        <w:t>, CHR</w:t>
      </w:r>
      <w:r w:rsidRPr="00975CA4">
        <w:rPr>
          <w:rFonts w:ascii="Times New Roman" w:eastAsia="Calibri" w:hAnsi="Times New Roman" w:cs="Times New Roman"/>
          <w:color w:val="000000"/>
          <w:lang w:eastAsia="ar-SA"/>
        </w:rPr>
        <w:t xml:space="preserve">), </w:t>
      </w:r>
      <w:proofErr w:type="spellStart"/>
      <w:r w:rsidR="009C0532" w:rsidRPr="00975CA4">
        <w:rPr>
          <w:rFonts w:ascii="Times New Roman" w:eastAsia="Calibri" w:hAnsi="Times New Roman" w:cs="Times New Roman"/>
          <w:color w:val="000000"/>
          <w:lang w:eastAsia="ar-SA"/>
        </w:rPr>
        <w:t>D</w:t>
      </w:r>
      <w:r w:rsidRPr="00975CA4">
        <w:rPr>
          <w:rFonts w:ascii="Times New Roman" w:eastAsia="Calibri" w:hAnsi="Times New Roman" w:cs="Times New Roman"/>
          <w:color w:val="000000"/>
          <w:lang w:eastAsia="ar-SA"/>
        </w:rPr>
        <w:t>a</w:t>
      </w:r>
      <w:r w:rsidR="009C0532" w:rsidRPr="00975CA4">
        <w:rPr>
          <w:rFonts w:ascii="Times New Roman" w:eastAsia="Calibri" w:hAnsi="Times New Roman" w:cs="Times New Roman"/>
          <w:color w:val="000000"/>
          <w:lang w:eastAsia="ar-SA"/>
        </w:rPr>
        <w:t>s</w:t>
      </w:r>
      <w:r w:rsidRPr="00975CA4">
        <w:rPr>
          <w:rFonts w:ascii="Times New Roman" w:eastAsia="Calibri" w:hAnsi="Times New Roman" w:cs="Times New Roman"/>
          <w:color w:val="000000"/>
          <w:lang w:eastAsia="ar-SA"/>
        </w:rPr>
        <w:t>atinib</w:t>
      </w:r>
      <w:proofErr w:type="spellEnd"/>
      <w:r w:rsidR="009C0532" w:rsidRPr="00975CA4">
        <w:rPr>
          <w:rFonts w:ascii="Times New Roman" w:eastAsia="Calibri" w:hAnsi="Times New Roman" w:cs="Times New Roman"/>
          <w:color w:val="000000"/>
          <w:lang w:eastAsia="ar-SA"/>
        </w:rPr>
        <w:t xml:space="preserve"> </w:t>
      </w:r>
      <w:proofErr w:type="spellStart"/>
      <w:r w:rsidR="009C0532"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vartojimą reikia laikinai nutraukti, o vėliau galima atnaujinti sumažinta doze. Prireikus dozė laikinai sumažinama atsižvelgiant į </w:t>
      </w:r>
      <w:proofErr w:type="spellStart"/>
      <w:r w:rsidRPr="00975CA4">
        <w:rPr>
          <w:rFonts w:ascii="Times New Roman" w:eastAsia="Calibri" w:hAnsi="Times New Roman" w:cs="Times New Roman"/>
          <w:color w:val="000000"/>
          <w:lang w:eastAsia="ar-SA"/>
        </w:rPr>
        <w:t>citopeniją</w:t>
      </w:r>
      <w:proofErr w:type="spellEnd"/>
      <w:r w:rsidRPr="00975CA4">
        <w:rPr>
          <w:rFonts w:ascii="Times New Roman" w:eastAsia="Calibri" w:hAnsi="Times New Roman" w:cs="Times New Roman"/>
          <w:color w:val="000000"/>
          <w:lang w:eastAsia="ar-SA"/>
        </w:rPr>
        <w:t xml:space="preserve"> (jei ji vidutinio laipsnio) ir ligos reakciją. </w:t>
      </w:r>
    </w:p>
    <w:p w14:paraId="1BB928C9" w14:textId="77777777" w:rsidR="00151D84" w:rsidRPr="00975CA4" w:rsidRDefault="00151D84" w:rsidP="00D61FD8">
      <w:pPr>
        <w:suppressAutoHyphens/>
        <w:spacing w:after="0" w:line="240" w:lineRule="auto"/>
        <w:rPr>
          <w:rFonts w:ascii="Times New Roman" w:eastAsia="Calibri" w:hAnsi="Times New Roman" w:cs="Times New Roman"/>
          <w:color w:val="000000"/>
          <w:lang w:eastAsia="ar-SA"/>
        </w:rPr>
      </w:pPr>
    </w:p>
    <w:p w14:paraId="295E66C9" w14:textId="45AE3A5F" w:rsidR="009C0532" w:rsidRPr="00975CA4" w:rsidRDefault="009C0532" w:rsidP="009C0532">
      <w:pPr>
        <w:suppressAutoHyphens/>
        <w:spacing w:after="0" w:line="240" w:lineRule="auto"/>
        <w:rPr>
          <w:rFonts w:ascii="Times New Roman" w:eastAsia="Calibri" w:hAnsi="Times New Roman" w:cs="Times New Roman"/>
          <w:i/>
          <w:iCs/>
          <w:color w:val="000000"/>
          <w:lang w:eastAsia="ar-SA"/>
        </w:rPr>
      </w:pPr>
      <w:r w:rsidRPr="00975CA4">
        <w:rPr>
          <w:rFonts w:ascii="Times New Roman" w:eastAsia="Calibri" w:hAnsi="Times New Roman" w:cs="Times New Roman"/>
          <w:color w:val="000000"/>
          <w:lang w:eastAsia="ar-SA"/>
        </w:rPr>
        <w:t xml:space="preserve">Vaikams, sergantiems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ŪLL, dėl 1-4 laipsnio </w:t>
      </w:r>
      <w:proofErr w:type="spellStart"/>
      <w:r w:rsidRPr="00975CA4">
        <w:rPr>
          <w:rFonts w:ascii="Times New Roman" w:eastAsia="Calibri" w:hAnsi="Times New Roman" w:cs="Times New Roman"/>
          <w:color w:val="000000"/>
          <w:lang w:eastAsia="ar-SA"/>
        </w:rPr>
        <w:t>hematotoksinio</w:t>
      </w:r>
      <w:proofErr w:type="spellEnd"/>
      <w:r w:rsidRPr="00975CA4">
        <w:rPr>
          <w:rFonts w:ascii="Times New Roman" w:eastAsia="Calibri" w:hAnsi="Times New Roman" w:cs="Times New Roman"/>
          <w:color w:val="000000"/>
          <w:lang w:eastAsia="ar-SA"/>
        </w:rPr>
        <w:t xml:space="preserve"> poveikio dozės koreguoti nerekomenduojama. Jeigu dėl </w:t>
      </w:r>
      <w:proofErr w:type="spellStart"/>
      <w:r w:rsidRPr="00975CA4">
        <w:rPr>
          <w:rFonts w:ascii="Times New Roman" w:eastAsia="Calibri" w:hAnsi="Times New Roman" w:cs="Times New Roman"/>
          <w:color w:val="000000"/>
          <w:lang w:eastAsia="ar-SA"/>
        </w:rPr>
        <w:t>neutropenijos</w:t>
      </w:r>
      <w:proofErr w:type="spellEnd"/>
      <w:r w:rsidRPr="00975CA4">
        <w:rPr>
          <w:rFonts w:ascii="Times New Roman" w:eastAsia="Calibri" w:hAnsi="Times New Roman" w:cs="Times New Roman"/>
          <w:color w:val="000000"/>
          <w:lang w:eastAsia="ar-SA"/>
        </w:rPr>
        <w:t xml:space="preserve"> ir (arba) </w:t>
      </w:r>
      <w:proofErr w:type="spellStart"/>
      <w:r w:rsidRPr="00975CA4">
        <w:rPr>
          <w:rFonts w:ascii="Times New Roman" w:eastAsia="Calibri" w:hAnsi="Times New Roman" w:cs="Times New Roman"/>
          <w:color w:val="000000"/>
          <w:lang w:eastAsia="ar-SA"/>
        </w:rPr>
        <w:t>trombocitopenijos</w:t>
      </w:r>
      <w:proofErr w:type="spellEnd"/>
      <w:r w:rsidRPr="00975CA4">
        <w:rPr>
          <w:rFonts w:ascii="Times New Roman" w:eastAsia="Calibri" w:hAnsi="Times New Roman" w:cs="Times New Roman"/>
          <w:color w:val="000000"/>
          <w:lang w:eastAsia="ar-SA"/>
        </w:rPr>
        <w:t xml:space="preserve"> tenka atidėti kitą gydymo kursą daugiau kaip 14 dienų, </w:t>
      </w: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vartojimą reikia laikinai nutraukti, o pradedant vėlesnį gydymo kursą – vėl atnaujinti ta pačia doze. Jeigu </w:t>
      </w:r>
      <w:proofErr w:type="spellStart"/>
      <w:r w:rsidRPr="00975CA4">
        <w:rPr>
          <w:rFonts w:ascii="Times New Roman" w:eastAsia="Calibri" w:hAnsi="Times New Roman" w:cs="Times New Roman"/>
          <w:color w:val="000000"/>
          <w:lang w:eastAsia="ar-SA"/>
        </w:rPr>
        <w:t>neutropenija</w:t>
      </w:r>
      <w:proofErr w:type="spellEnd"/>
      <w:r w:rsidRPr="00975CA4">
        <w:rPr>
          <w:rFonts w:ascii="Times New Roman" w:eastAsia="Calibri" w:hAnsi="Times New Roman" w:cs="Times New Roman"/>
          <w:color w:val="000000"/>
          <w:lang w:eastAsia="ar-SA"/>
        </w:rPr>
        <w:t xml:space="preserve"> ir (arba) </w:t>
      </w:r>
      <w:proofErr w:type="spellStart"/>
      <w:r w:rsidRPr="00975CA4">
        <w:rPr>
          <w:rFonts w:ascii="Times New Roman" w:eastAsia="Calibri" w:hAnsi="Times New Roman" w:cs="Times New Roman"/>
          <w:color w:val="000000"/>
          <w:lang w:eastAsia="ar-SA"/>
        </w:rPr>
        <w:t>trombocitopenija</w:t>
      </w:r>
      <w:proofErr w:type="spellEnd"/>
      <w:r w:rsidRPr="00975CA4">
        <w:rPr>
          <w:rFonts w:ascii="Times New Roman" w:eastAsia="Calibri" w:hAnsi="Times New Roman" w:cs="Times New Roman"/>
          <w:color w:val="000000"/>
          <w:lang w:eastAsia="ar-SA"/>
        </w:rPr>
        <w:t xml:space="preserve"> išlieka, o kitas gydymo kursas atidedamas dar 7 dienoms, reikia ištirti kaulų čiulpus (kokią dalį juose sudaro ląstelės ir </w:t>
      </w:r>
      <w:proofErr w:type="spellStart"/>
      <w:r w:rsidRPr="00975CA4">
        <w:rPr>
          <w:rFonts w:ascii="Times New Roman" w:eastAsia="Calibri" w:hAnsi="Times New Roman" w:cs="Times New Roman"/>
          <w:color w:val="000000"/>
          <w:lang w:eastAsia="ar-SA"/>
        </w:rPr>
        <w:t>blast</w:t>
      </w:r>
      <w:r w:rsidR="002E39B6" w:rsidRPr="00975CA4">
        <w:rPr>
          <w:rFonts w:ascii="Times New Roman" w:eastAsia="Calibri" w:hAnsi="Times New Roman" w:cs="Times New Roman"/>
          <w:color w:val="000000"/>
          <w:lang w:eastAsia="ar-SA"/>
        </w:rPr>
        <w:t>ai</w:t>
      </w:r>
      <w:proofErr w:type="spellEnd"/>
      <w:r w:rsidRPr="00975CA4">
        <w:rPr>
          <w:rFonts w:ascii="Times New Roman" w:eastAsia="Calibri" w:hAnsi="Times New Roman" w:cs="Times New Roman"/>
          <w:color w:val="000000"/>
          <w:lang w:eastAsia="ar-SA"/>
        </w:rPr>
        <w:t xml:space="preserve"> procenta</w:t>
      </w:r>
      <w:r w:rsidR="002E39B6" w:rsidRPr="00975CA4">
        <w:rPr>
          <w:rFonts w:ascii="Times New Roman" w:eastAsia="Calibri" w:hAnsi="Times New Roman" w:cs="Times New Roman"/>
          <w:color w:val="000000"/>
          <w:lang w:eastAsia="ar-SA"/>
        </w:rPr>
        <w:t>i</w:t>
      </w:r>
      <w:r w:rsidRPr="00975CA4">
        <w:rPr>
          <w:rFonts w:ascii="Times New Roman" w:eastAsia="Calibri" w:hAnsi="Times New Roman" w:cs="Times New Roman"/>
          <w:color w:val="000000"/>
          <w:lang w:eastAsia="ar-SA"/>
        </w:rPr>
        <w:t>s). Jeigu ląstelių yra &lt;</w:t>
      </w:r>
      <w:r w:rsidR="00E6579B"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10</w:t>
      </w:r>
      <w:r w:rsidR="00E6579B"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 xml:space="preserve">%, gydymą </w:t>
      </w: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reikia laikinai nutraukti, kol ANS taps &gt;</w:t>
      </w:r>
      <w:r w:rsidR="00E6579B"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500/</w:t>
      </w:r>
      <w:proofErr w:type="spellStart"/>
      <w:r w:rsidRPr="00975CA4">
        <w:rPr>
          <w:rFonts w:ascii="Times New Roman" w:eastAsia="Calibri" w:hAnsi="Times New Roman" w:cs="Times New Roman"/>
          <w:color w:val="000000"/>
          <w:lang w:eastAsia="ar-SA"/>
        </w:rPr>
        <w:t>μL</w:t>
      </w:r>
      <w:proofErr w:type="spellEnd"/>
      <w:r w:rsidRPr="00975CA4">
        <w:rPr>
          <w:rFonts w:ascii="Times New Roman" w:eastAsia="Calibri" w:hAnsi="Times New Roman" w:cs="Times New Roman"/>
          <w:color w:val="000000"/>
          <w:lang w:eastAsia="ar-SA"/>
        </w:rPr>
        <w:t xml:space="preserve"> (0,5</w:t>
      </w:r>
      <w:r w:rsidR="00E6579B"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x</w:t>
      </w:r>
      <w:r w:rsidR="00E6579B"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10</w:t>
      </w:r>
      <w:r w:rsidRPr="00975CA4">
        <w:rPr>
          <w:rFonts w:ascii="Times New Roman" w:eastAsia="Calibri" w:hAnsi="Times New Roman" w:cs="Times New Roman"/>
          <w:color w:val="000000"/>
          <w:vertAlign w:val="superscript"/>
          <w:lang w:eastAsia="ar-SA"/>
        </w:rPr>
        <w:t>9</w:t>
      </w:r>
      <w:r w:rsidRPr="00975CA4">
        <w:rPr>
          <w:rFonts w:ascii="Times New Roman" w:eastAsia="Calibri" w:hAnsi="Times New Roman" w:cs="Times New Roman"/>
          <w:color w:val="000000"/>
          <w:lang w:eastAsia="ar-SA"/>
        </w:rPr>
        <w:t xml:space="preserve">/l), o tuomet galima jį tęsti ta pačia doze. Galimybę vėl pradėti gydymą </w:t>
      </w: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galima svarstyti tada, kai ląstelės sudaro &gt;</w:t>
      </w:r>
      <w:r w:rsidR="00E6579B"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10</w:t>
      </w:r>
      <w:r w:rsidR="00E6579B"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 xml:space="preserve">% kaulų čiulpų. </w:t>
      </w:r>
    </w:p>
    <w:p w14:paraId="2599F69A" w14:textId="77777777" w:rsidR="00D61FD8" w:rsidRPr="00975CA4" w:rsidRDefault="00D61FD8" w:rsidP="0046310B">
      <w:pPr>
        <w:spacing w:after="0" w:line="240" w:lineRule="auto"/>
        <w:rPr>
          <w:rFonts w:ascii="Times New Roman" w:eastAsia="Calibri" w:hAnsi="Times New Roman" w:cs="Times New Roman"/>
          <w:color w:val="000000"/>
          <w:lang w:eastAsia="ar-SA"/>
        </w:rPr>
      </w:pPr>
    </w:p>
    <w:p w14:paraId="1E9633A9" w14:textId="77777777" w:rsidR="009C0532" w:rsidRPr="00975CA4" w:rsidRDefault="009C0532" w:rsidP="009C0532">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i/>
          <w:iCs/>
          <w:color w:val="000000"/>
          <w:lang w:eastAsia="ar-SA"/>
        </w:rPr>
        <w:t>Nehematologinės nepageidaujamos reakcijos</w:t>
      </w:r>
    </w:p>
    <w:p w14:paraId="03489957" w14:textId="39EB2B2F" w:rsidR="009C0532" w:rsidRPr="00975CA4" w:rsidRDefault="009C0532" w:rsidP="009C0532">
      <w:pPr>
        <w:suppressAutoHyphens/>
        <w:spacing w:after="0" w:line="240" w:lineRule="auto"/>
        <w:rPr>
          <w:rFonts w:ascii="Times New Roman" w:eastAsia="Calibri" w:hAnsi="Times New Roman" w:cs="Times New Roman"/>
          <w:color w:val="000000"/>
          <w:lang w:eastAsia="ar-SA"/>
        </w:rPr>
      </w:pP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vartojimo metu pasireiškus vidutinio sunkumo (2 laipsnio) nehematologinei nepageidaujamai reakcijai, šio vaistinio preparato vartojimą reikia laikinai nutraukti, kol nepageidaujama reakcija praeis arba būklė pasidarys tokia kaip iki gydymo. Vėliau po pirmojo nepageidaujamos reakcijos epizodo gydymą reikia tęsti tokia pačia doze, o po pasikartojusio epizodo – sumažinta doze.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vartojimo </w:t>
      </w:r>
      <w:r w:rsidRPr="00975CA4">
        <w:rPr>
          <w:rFonts w:ascii="Times New Roman" w:eastAsia="Calibri" w:hAnsi="Times New Roman" w:cs="Times New Roman"/>
          <w:color w:val="000000"/>
          <w:lang w:eastAsia="ar-SA"/>
        </w:rPr>
        <w:lastRenderedPageBreak/>
        <w:t xml:space="preserve">metu pasireiškus sunkiai (3 ar 4 laipsnio) nehematologinei nepageidaujamai reakcijai, šio vaistinio preparato </w:t>
      </w:r>
      <w:r w:rsidR="009F296E" w:rsidRPr="00975CA4">
        <w:rPr>
          <w:rFonts w:ascii="Times New Roman" w:eastAsia="Calibri" w:hAnsi="Times New Roman" w:cs="Times New Roman"/>
          <w:color w:val="000000"/>
          <w:lang w:eastAsia="ar-SA"/>
        </w:rPr>
        <w:t xml:space="preserve">vartojimą </w:t>
      </w:r>
      <w:r w:rsidRPr="00975CA4">
        <w:rPr>
          <w:rFonts w:ascii="Times New Roman" w:eastAsia="Calibri" w:hAnsi="Times New Roman" w:cs="Times New Roman"/>
          <w:color w:val="000000"/>
          <w:lang w:eastAsia="ar-SA"/>
        </w:rPr>
        <w:t xml:space="preserve">reikia </w:t>
      </w:r>
      <w:r w:rsidR="009F296E" w:rsidRPr="00975CA4">
        <w:rPr>
          <w:rFonts w:ascii="Times New Roman" w:eastAsia="Calibri" w:hAnsi="Times New Roman" w:cs="Times New Roman"/>
          <w:color w:val="000000"/>
          <w:lang w:eastAsia="ar-SA"/>
        </w:rPr>
        <w:t>nutraukti</w:t>
      </w:r>
      <w:r w:rsidRPr="00975CA4">
        <w:rPr>
          <w:rFonts w:ascii="Times New Roman" w:eastAsia="Calibri" w:hAnsi="Times New Roman" w:cs="Times New Roman"/>
          <w:color w:val="000000"/>
          <w:lang w:eastAsia="ar-SA"/>
        </w:rPr>
        <w:t xml:space="preserve">, kol ji praeis. Vėliau gydymą galima tęsti, tačiau sumažinus dozę atsižvelgiant į pradinį nepageidaujamos reakcijos sunkumą. Lėtinės fazės LML sergantiems pacientams, kurie vartojo 100 mg 1 kartą per parą, rekomenduojama sumažinti dozę iki 80 mg 1 kartą per parą, o paskui prireikus – nuo 80 mg 1 kartą per parą iki 50 mg 1 kartą per parą. Progresavusios fazės LML arba </w:t>
      </w:r>
      <w:proofErr w:type="spellStart"/>
      <w:r w:rsidRPr="00975CA4">
        <w:rPr>
          <w:rFonts w:ascii="Times New Roman" w:eastAsia="Calibri" w:hAnsi="Times New Roman" w:cs="Times New Roman"/>
          <w:color w:val="000000"/>
          <w:lang w:eastAsia="ar-SA"/>
        </w:rPr>
        <w:t>Ph</w:t>
      </w:r>
      <w:proofErr w:type="spellEnd"/>
      <w:r w:rsidRPr="00975CA4">
        <w:rPr>
          <w:rFonts w:ascii="Times New Roman" w:eastAsia="Calibri" w:hAnsi="Times New Roman" w:cs="Times New Roman"/>
          <w:color w:val="000000"/>
          <w:lang w:eastAsia="ar-SA"/>
        </w:rPr>
        <w:t xml:space="preserve">+ ŪLL sergantiems pacientams, kurie vartojo 140 mg 1 kartą per parą, dozę rekomenduojama sumažinti iki 100 mg 1 kartą per parą, o paskui prireikus – nuo 100 mg 1 kartą per parą iki 50 mg 1 kartą per parą. </w:t>
      </w:r>
      <w:r w:rsidRPr="00975CA4">
        <w:rPr>
          <w:rFonts w:ascii="Times New Roman" w:eastAsia="Times New Roman" w:hAnsi="Times New Roman" w:cs="Times New Roman"/>
          <w:color w:val="000000"/>
          <w:lang w:eastAsia="ar-SA"/>
        </w:rPr>
        <w:t xml:space="preserve">Jeigu LML LF sergančiam </w:t>
      </w:r>
      <w:r w:rsidRPr="00975CA4">
        <w:rPr>
          <w:rFonts w:ascii="Times New Roman" w:eastAsia="Calibri" w:hAnsi="Times New Roman" w:cs="Times New Roman"/>
          <w:color w:val="000000"/>
          <w:lang w:eastAsia="ar-SA"/>
        </w:rPr>
        <w:t>vaikui</w:t>
      </w:r>
      <w:r w:rsidRPr="00975CA4">
        <w:rPr>
          <w:rFonts w:ascii="Times New Roman" w:eastAsia="Times New Roman" w:hAnsi="Times New Roman" w:cs="Times New Roman"/>
          <w:color w:val="000000"/>
          <w:lang w:eastAsia="ar-SA"/>
        </w:rPr>
        <w:t xml:space="preserve"> pasireiškė nehematologinė nepageidaujama reakcija, tai reikia laikytis aukščiau pateiktų dozės mažinimo dėl hematologinių nepageidaujamų reakcijų rekomendacijų. </w:t>
      </w:r>
      <w:proofErr w:type="spellStart"/>
      <w:r w:rsidRPr="00975CA4">
        <w:rPr>
          <w:rFonts w:ascii="Times New Roman" w:eastAsia="Times New Roman" w:hAnsi="Times New Roman" w:cs="Times New Roman"/>
          <w:color w:val="000000"/>
          <w:lang w:eastAsia="ar-SA"/>
        </w:rPr>
        <w:t>Ph</w:t>
      </w:r>
      <w:proofErr w:type="spellEnd"/>
      <w:r w:rsidRPr="00975CA4">
        <w:rPr>
          <w:rFonts w:ascii="Times New Roman" w:eastAsia="Times New Roman" w:hAnsi="Times New Roman" w:cs="Times New Roman"/>
          <w:color w:val="000000"/>
          <w:lang w:eastAsia="ar-SA"/>
        </w:rPr>
        <w:t xml:space="preserve">+ ŪLL sergantiems </w:t>
      </w:r>
      <w:r w:rsidRPr="00975CA4">
        <w:rPr>
          <w:rFonts w:ascii="Times New Roman" w:eastAsia="Calibri" w:hAnsi="Times New Roman" w:cs="Times New Roman"/>
          <w:color w:val="000000"/>
          <w:lang w:eastAsia="ar-SA"/>
        </w:rPr>
        <w:t>vaik</w:t>
      </w:r>
      <w:r w:rsidRPr="00975CA4">
        <w:rPr>
          <w:rFonts w:ascii="Times New Roman" w:eastAsia="Times New Roman" w:hAnsi="Times New Roman" w:cs="Times New Roman"/>
          <w:color w:val="000000"/>
          <w:lang w:eastAsia="ar-SA"/>
        </w:rPr>
        <w:t>ams pasireiškus nehematologinių nepageidaujamų reakcijų, prireikus galima sumažinti dozę vien</w:t>
      </w:r>
      <w:r w:rsidR="009176FF" w:rsidRPr="00975CA4">
        <w:rPr>
          <w:rFonts w:ascii="Times New Roman" w:eastAsia="Times New Roman" w:hAnsi="Times New Roman" w:cs="Times New Roman"/>
          <w:color w:val="000000"/>
          <w:lang w:eastAsia="ar-SA"/>
        </w:rPr>
        <w:t>a</w:t>
      </w:r>
      <w:r w:rsidRPr="00975CA4">
        <w:rPr>
          <w:rFonts w:ascii="Times New Roman" w:eastAsia="Times New Roman" w:hAnsi="Times New Roman" w:cs="Times New Roman"/>
          <w:color w:val="000000"/>
          <w:lang w:eastAsia="ar-SA"/>
        </w:rPr>
        <w:t xml:space="preserve"> </w:t>
      </w:r>
      <w:r w:rsidR="009176FF" w:rsidRPr="00975CA4">
        <w:rPr>
          <w:rFonts w:ascii="Times New Roman" w:eastAsia="Times New Roman" w:hAnsi="Times New Roman" w:cs="Times New Roman"/>
          <w:color w:val="000000"/>
          <w:lang w:eastAsia="ar-SA"/>
        </w:rPr>
        <w:t xml:space="preserve">pakopa </w:t>
      </w:r>
      <w:r w:rsidRPr="00975CA4">
        <w:rPr>
          <w:rFonts w:ascii="Times New Roman" w:eastAsia="Times New Roman" w:hAnsi="Times New Roman" w:cs="Times New Roman"/>
          <w:color w:val="000000"/>
          <w:lang w:eastAsia="ar-SA"/>
        </w:rPr>
        <w:t>remiantis aukščiau pateikiamomis dozės mažinimo dėl hematologinių nepageidaujamų reakcijų rekomendacijomis.</w:t>
      </w:r>
    </w:p>
    <w:p w14:paraId="132F41E6" w14:textId="77777777" w:rsidR="009C0532" w:rsidRPr="00975CA4" w:rsidRDefault="009C0532" w:rsidP="0046310B">
      <w:pPr>
        <w:spacing w:after="0" w:line="240" w:lineRule="auto"/>
        <w:rPr>
          <w:rFonts w:ascii="Times New Roman" w:eastAsia="Calibri" w:hAnsi="Times New Roman" w:cs="Times New Roman"/>
          <w:color w:val="000000"/>
          <w:lang w:eastAsia="ar-SA"/>
        </w:rPr>
      </w:pPr>
    </w:p>
    <w:p w14:paraId="16FFDD3E" w14:textId="77777777" w:rsidR="009C0532" w:rsidRPr="00975CA4" w:rsidRDefault="009C0532" w:rsidP="009C0532">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i/>
          <w:iCs/>
          <w:color w:val="000000"/>
          <w:lang w:eastAsia="ar-SA"/>
        </w:rPr>
        <w:t>Skystis pleuros ertmėje</w:t>
      </w:r>
    </w:p>
    <w:p w14:paraId="70D73EFB" w14:textId="05E955BD" w:rsidR="009C0532" w:rsidRPr="00975CA4" w:rsidRDefault="009C0532" w:rsidP="009C0532">
      <w:pPr>
        <w:suppressAutoHyphens/>
        <w:spacing w:after="0" w:line="240" w:lineRule="auto"/>
        <w:rPr>
          <w:rFonts w:ascii="Times New Roman" w:eastAsia="Calibri" w:hAnsi="Times New Roman" w:cs="Times New Roman"/>
          <w:i/>
          <w:iCs/>
          <w:color w:val="000000"/>
          <w:lang w:eastAsia="ar-SA"/>
        </w:rPr>
      </w:pPr>
      <w:r w:rsidRPr="00975CA4">
        <w:rPr>
          <w:rFonts w:ascii="Times New Roman" w:eastAsia="Calibri" w:hAnsi="Times New Roman" w:cs="Times New Roman"/>
          <w:color w:val="000000"/>
          <w:lang w:eastAsia="ar-SA"/>
        </w:rPr>
        <w:t xml:space="preserve">Diagnozavus skystį pleuros ertmėje, reikia laikinai nutraukti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vartojimą, kol pacientas bus tiriamas, išnyks simptomai arba būklė taps tokia, kaip iki gydymo. Jeigu per maždaug vieną savaitę paciento būklė nepagerėja, </w:t>
      </w:r>
      <w:r w:rsidR="00076D8F" w:rsidRPr="00975CA4">
        <w:rPr>
          <w:rFonts w:ascii="Times New Roman" w:eastAsia="Calibri" w:hAnsi="Times New Roman" w:cs="Times New Roman"/>
          <w:color w:val="000000"/>
          <w:lang w:eastAsia="ar-SA"/>
        </w:rPr>
        <w:t xml:space="preserve">reikia </w:t>
      </w:r>
      <w:r w:rsidRPr="00975CA4">
        <w:rPr>
          <w:rFonts w:ascii="Times New Roman" w:eastAsia="Calibri" w:hAnsi="Times New Roman" w:cs="Times New Roman"/>
          <w:color w:val="000000"/>
          <w:lang w:eastAsia="ar-SA"/>
        </w:rPr>
        <w:t>svarstyti</w:t>
      </w:r>
      <w:r w:rsidR="00076D8F" w:rsidRPr="00975CA4">
        <w:rPr>
          <w:rFonts w:ascii="Times New Roman" w:eastAsia="Calibri" w:hAnsi="Times New Roman" w:cs="Times New Roman"/>
          <w:color w:val="000000"/>
          <w:lang w:eastAsia="ar-SA"/>
        </w:rPr>
        <w:t xml:space="preserve"> dėl</w:t>
      </w:r>
      <w:r w:rsidRPr="00975CA4">
        <w:rPr>
          <w:rFonts w:ascii="Times New Roman" w:eastAsia="Calibri" w:hAnsi="Times New Roman" w:cs="Times New Roman"/>
          <w:color w:val="000000"/>
          <w:lang w:eastAsia="ar-SA"/>
        </w:rPr>
        <w:t xml:space="preserve"> gydymo diuretikais arba (ir) kortikosteroidais tikslingum</w:t>
      </w:r>
      <w:r w:rsidR="00076D8F" w:rsidRPr="00975CA4">
        <w:rPr>
          <w:rFonts w:ascii="Times New Roman" w:eastAsia="Calibri" w:hAnsi="Times New Roman" w:cs="Times New Roman"/>
          <w:color w:val="000000"/>
          <w:lang w:eastAsia="ar-SA"/>
        </w:rPr>
        <w:t>o</w:t>
      </w:r>
      <w:r w:rsidRPr="00975CA4">
        <w:rPr>
          <w:rFonts w:ascii="Times New Roman" w:eastAsia="Calibri" w:hAnsi="Times New Roman" w:cs="Times New Roman"/>
          <w:color w:val="000000"/>
          <w:lang w:eastAsia="ar-SA"/>
        </w:rPr>
        <w:t xml:space="preserve"> (žr. 4.4 ir 4.8 skyrius). Praėjus pirmajam epizodui,</w:t>
      </w:r>
      <w:r w:rsidR="00076D8F" w:rsidRPr="00975CA4">
        <w:rPr>
          <w:rFonts w:ascii="Times New Roman" w:eastAsia="Calibri" w:hAnsi="Times New Roman" w:cs="Times New Roman"/>
          <w:color w:val="000000"/>
          <w:lang w:eastAsia="ar-SA"/>
        </w:rPr>
        <w:t xml:space="preserve"> reikia</w:t>
      </w:r>
      <w:r w:rsidRPr="00975CA4">
        <w:rPr>
          <w:rFonts w:ascii="Times New Roman" w:eastAsia="Calibri" w:hAnsi="Times New Roman" w:cs="Times New Roman"/>
          <w:color w:val="000000"/>
          <w:lang w:eastAsia="ar-SA"/>
        </w:rPr>
        <w:t xml:space="preserve"> svarstyti</w:t>
      </w:r>
      <w:r w:rsidR="00076D8F" w:rsidRPr="00975CA4">
        <w:rPr>
          <w:rFonts w:ascii="Times New Roman" w:eastAsia="Calibri" w:hAnsi="Times New Roman" w:cs="Times New Roman"/>
          <w:color w:val="000000"/>
          <w:lang w:eastAsia="ar-SA"/>
        </w:rPr>
        <w:t xml:space="preserve"> dėl</w:t>
      </w:r>
      <w:r w:rsidRPr="00975CA4">
        <w:rPr>
          <w:rFonts w:ascii="Times New Roman" w:eastAsia="Calibri" w:hAnsi="Times New Roman" w:cs="Times New Roman"/>
          <w:color w:val="000000"/>
          <w:lang w:eastAsia="ar-SA"/>
        </w:rPr>
        <w:t xml:space="preserve"> galimybė</w:t>
      </w:r>
      <w:r w:rsidR="00076D8F" w:rsidRPr="00975CA4">
        <w:rPr>
          <w:rFonts w:ascii="Times New Roman" w:eastAsia="Calibri" w:hAnsi="Times New Roman" w:cs="Times New Roman"/>
          <w:color w:val="000000"/>
          <w:lang w:eastAsia="ar-SA"/>
        </w:rPr>
        <w:t>s</w:t>
      </w:r>
      <w:r w:rsidRPr="00975CA4">
        <w:rPr>
          <w:rFonts w:ascii="Times New Roman" w:eastAsia="Calibri" w:hAnsi="Times New Roman" w:cs="Times New Roman"/>
          <w:color w:val="000000"/>
          <w:lang w:eastAsia="ar-SA"/>
        </w:rPr>
        <w:t xml:space="preserve"> vėl skirti tokią pačią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dozę. Praėjus pasikartojusiam epizodui, skiriama vien</w:t>
      </w:r>
      <w:r w:rsidR="009176FF" w:rsidRPr="00975CA4">
        <w:rPr>
          <w:rFonts w:ascii="Times New Roman" w:eastAsia="Calibri" w:hAnsi="Times New Roman" w:cs="Times New Roman"/>
          <w:color w:val="000000"/>
          <w:lang w:eastAsia="ar-SA"/>
        </w:rPr>
        <w:t>a</w:t>
      </w:r>
      <w:r w:rsidRPr="00975CA4">
        <w:rPr>
          <w:rFonts w:ascii="Times New Roman" w:eastAsia="Calibri" w:hAnsi="Times New Roman" w:cs="Times New Roman"/>
          <w:color w:val="000000"/>
          <w:lang w:eastAsia="ar-SA"/>
        </w:rPr>
        <w:t xml:space="preserve"> </w:t>
      </w:r>
      <w:r w:rsidR="009176FF" w:rsidRPr="00975CA4">
        <w:rPr>
          <w:rFonts w:ascii="Times New Roman" w:eastAsia="Calibri" w:hAnsi="Times New Roman" w:cs="Times New Roman"/>
          <w:color w:val="000000"/>
          <w:lang w:eastAsia="ar-SA"/>
        </w:rPr>
        <w:t>pakopa</w:t>
      </w:r>
      <w:r w:rsidR="00513076" w:rsidRPr="00975CA4">
        <w:rPr>
          <w:rFonts w:ascii="Times New Roman" w:eastAsia="Calibri" w:hAnsi="Times New Roman" w:cs="Times New Roman"/>
          <w:color w:val="000000"/>
          <w:lang w:eastAsia="ar-SA"/>
        </w:rPr>
        <w:t xml:space="preserve"> </w:t>
      </w:r>
      <w:r w:rsidRPr="00975CA4">
        <w:rPr>
          <w:rFonts w:ascii="Times New Roman" w:eastAsia="Calibri" w:hAnsi="Times New Roman" w:cs="Times New Roman"/>
          <w:color w:val="000000"/>
          <w:lang w:eastAsia="ar-SA"/>
        </w:rPr>
        <w:t xml:space="preserve">mažesnė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dozė. Praėjus sunkiam (3 ar 4 laipsnio) epizodui, esant reikalui gydymą galima tęsti mažesne doze atsižvelgiant į iš pradžių buvusį nepageidaujamos reakcijos sunkumą.</w:t>
      </w:r>
    </w:p>
    <w:p w14:paraId="0C980A83" w14:textId="77777777" w:rsidR="009C0532" w:rsidRPr="00975CA4" w:rsidRDefault="009C0532" w:rsidP="0046310B">
      <w:pPr>
        <w:spacing w:after="0" w:line="240" w:lineRule="auto"/>
        <w:rPr>
          <w:rFonts w:ascii="Times New Roman" w:eastAsia="Calibri" w:hAnsi="Times New Roman" w:cs="Times New Roman"/>
          <w:color w:val="000000"/>
          <w:lang w:eastAsia="ar-SA"/>
        </w:rPr>
      </w:pPr>
    </w:p>
    <w:p w14:paraId="3FD809A6" w14:textId="77777777" w:rsidR="009C0532" w:rsidRPr="00975CA4" w:rsidRDefault="009C0532" w:rsidP="009C0532">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i/>
          <w:iCs/>
          <w:color w:val="000000"/>
          <w:lang w:eastAsia="ar-SA"/>
        </w:rPr>
        <w:t xml:space="preserve">Dozės mažinimas derinyje vartojant stipraus poveikio CYP3A4 inhibitorių </w:t>
      </w:r>
    </w:p>
    <w:p w14:paraId="5DF6F8C6" w14:textId="77777777" w:rsidR="009C0532" w:rsidRPr="00975CA4" w:rsidRDefault="009C0532" w:rsidP="009C0532">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Būtina vengti stipraus poveikio CYP3A4 inhibitorių ir greipfrutų sulčių vartoti derinyje su </w:t>
      </w:r>
      <w:proofErr w:type="spellStart"/>
      <w:r w:rsidR="00151D84" w:rsidRPr="00975CA4">
        <w:rPr>
          <w:rFonts w:ascii="Times New Roman" w:eastAsia="Calibri" w:hAnsi="Times New Roman" w:cs="Times New Roman"/>
          <w:color w:val="000000"/>
          <w:lang w:eastAsia="ar-SA"/>
        </w:rPr>
        <w:t>Das</w:t>
      </w:r>
      <w:r w:rsidRPr="00975CA4">
        <w:rPr>
          <w:rFonts w:ascii="Times New Roman" w:eastAsia="Calibri" w:hAnsi="Times New Roman" w:cs="Times New Roman"/>
          <w:color w:val="000000"/>
          <w:lang w:eastAsia="ar-SA"/>
        </w:rPr>
        <w:t>atinib</w:t>
      </w:r>
      <w:proofErr w:type="spellEnd"/>
      <w:r w:rsidR="00151D84" w:rsidRPr="00975CA4">
        <w:rPr>
          <w:rFonts w:ascii="Times New Roman" w:eastAsia="Calibri" w:hAnsi="Times New Roman" w:cs="Times New Roman"/>
          <w:color w:val="000000"/>
          <w:lang w:eastAsia="ar-SA"/>
        </w:rPr>
        <w:t xml:space="preserve"> </w:t>
      </w:r>
      <w:proofErr w:type="spellStart"/>
      <w:r w:rsidR="00151D84"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(žr. 4.5 skyrių). Jei įmanoma, pasirenkamas kitas vaistinis preparatas, kuris fermentų neslopina arba slopina juos minimaliai. Jeigu </w:t>
      </w:r>
      <w:proofErr w:type="spellStart"/>
      <w:r w:rsidR="00151D84" w:rsidRPr="00975CA4">
        <w:rPr>
          <w:rFonts w:ascii="Times New Roman" w:eastAsia="Calibri" w:hAnsi="Times New Roman" w:cs="Times New Roman"/>
          <w:color w:val="000000"/>
          <w:lang w:eastAsia="ar-SA"/>
        </w:rPr>
        <w:t>D</w:t>
      </w:r>
      <w:r w:rsidRPr="00975CA4">
        <w:rPr>
          <w:rFonts w:ascii="Times New Roman" w:eastAsia="Calibri" w:hAnsi="Times New Roman" w:cs="Times New Roman"/>
          <w:color w:val="000000"/>
          <w:lang w:eastAsia="ar-SA"/>
        </w:rPr>
        <w:t>a</w:t>
      </w:r>
      <w:r w:rsidR="00151D84" w:rsidRPr="00975CA4">
        <w:rPr>
          <w:rFonts w:ascii="Times New Roman" w:eastAsia="Calibri" w:hAnsi="Times New Roman" w:cs="Times New Roman"/>
          <w:color w:val="000000"/>
          <w:lang w:eastAsia="ar-SA"/>
        </w:rPr>
        <w:t>s</w:t>
      </w:r>
      <w:r w:rsidRPr="00975CA4">
        <w:rPr>
          <w:rFonts w:ascii="Times New Roman" w:eastAsia="Calibri" w:hAnsi="Times New Roman" w:cs="Times New Roman"/>
          <w:color w:val="000000"/>
          <w:lang w:eastAsia="ar-SA"/>
        </w:rPr>
        <w:t>atinib</w:t>
      </w:r>
      <w:proofErr w:type="spellEnd"/>
      <w:r w:rsidR="00151D84" w:rsidRPr="00975CA4">
        <w:rPr>
          <w:rFonts w:ascii="Times New Roman" w:eastAsia="Calibri" w:hAnsi="Times New Roman" w:cs="Times New Roman"/>
          <w:color w:val="000000"/>
          <w:lang w:eastAsia="ar-SA"/>
        </w:rPr>
        <w:t xml:space="preserve"> </w:t>
      </w:r>
      <w:proofErr w:type="spellStart"/>
      <w:r w:rsidR="00151D84"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būtina vartoti derinyje su stipraus poveikio CYP3A4 inhibitoriumi, reikia apsvarstyti poreikį sumažinti dozę: </w:t>
      </w:r>
    </w:p>
    <w:p w14:paraId="66B2AB1B" w14:textId="64D1A45D" w:rsidR="009C0532" w:rsidRPr="00975CA4" w:rsidRDefault="009C0532" w:rsidP="00151D84">
      <w:pPr>
        <w:numPr>
          <w:ilvl w:val="0"/>
          <w:numId w:val="10"/>
        </w:num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pacientams, kasdien vartojantiems vieną </w:t>
      </w:r>
      <w:proofErr w:type="spellStart"/>
      <w:r w:rsidR="00151D84" w:rsidRPr="00975CA4">
        <w:rPr>
          <w:rFonts w:ascii="Times New Roman" w:eastAsia="Calibri" w:hAnsi="Times New Roman" w:cs="Times New Roman"/>
          <w:color w:val="000000"/>
          <w:lang w:eastAsia="ar-SA"/>
        </w:rPr>
        <w:t>Dasatinib</w:t>
      </w:r>
      <w:proofErr w:type="spellEnd"/>
      <w:r w:rsidR="00151D84" w:rsidRPr="00975CA4">
        <w:rPr>
          <w:rFonts w:ascii="Times New Roman" w:eastAsia="Calibri" w:hAnsi="Times New Roman" w:cs="Times New Roman"/>
          <w:color w:val="000000"/>
          <w:lang w:eastAsia="ar-SA"/>
        </w:rPr>
        <w:t xml:space="preserve"> </w:t>
      </w:r>
      <w:proofErr w:type="spellStart"/>
      <w:r w:rsidR="00151D84"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140</w:t>
      </w:r>
      <w:r w:rsidR="00076D8F"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mg tabletę – iki 40</w:t>
      </w:r>
      <w:r w:rsidR="00076D8F"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mg per parą;</w:t>
      </w:r>
    </w:p>
    <w:p w14:paraId="6F5B0937" w14:textId="3D5FDB60" w:rsidR="009C0532" w:rsidRPr="00975CA4" w:rsidRDefault="009C0532" w:rsidP="00151D84">
      <w:pPr>
        <w:numPr>
          <w:ilvl w:val="0"/>
          <w:numId w:val="10"/>
        </w:num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pacientams, kasdien vartojantiems vieną </w:t>
      </w:r>
      <w:proofErr w:type="spellStart"/>
      <w:r w:rsidR="00151D84" w:rsidRPr="00975CA4">
        <w:rPr>
          <w:rFonts w:ascii="Times New Roman" w:eastAsia="Calibri" w:hAnsi="Times New Roman" w:cs="Times New Roman"/>
          <w:color w:val="000000"/>
          <w:lang w:eastAsia="ar-SA"/>
        </w:rPr>
        <w:t>Dasatinib</w:t>
      </w:r>
      <w:proofErr w:type="spellEnd"/>
      <w:r w:rsidR="00151D84" w:rsidRPr="00975CA4">
        <w:rPr>
          <w:rFonts w:ascii="Times New Roman" w:eastAsia="Calibri" w:hAnsi="Times New Roman" w:cs="Times New Roman"/>
          <w:color w:val="000000"/>
          <w:lang w:eastAsia="ar-SA"/>
        </w:rPr>
        <w:t xml:space="preserve"> </w:t>
      </w:r>
      <w:proofErr w:type="spellStart"/>
      <w:r w:rsidR="00151D84"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100</w:t>
      </w:r>
      <w:r w:rsidR="00076D8F"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mg tabletę – iki 20</w:t>
      </w:r>
      <w:r w:rsidR="00076D8F"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mg per parą;</w:t>
      </w:r>
    </w:p>
    <w:p w14:paraId="127D7E17" w14:textId="5A9629C1" w:rsidR="009C0532" w:rsidRPr="00975CA4" w:rsidRDefault="009C0532" w:rsidP="00151D84">
      <w:pPr>
        <w:numPr>
          <w:ilvl w:val="0"/>
          <w:numId w:val="10"/>
        </w:num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 xml:space="preserve">pacientams, kasdien vartojantiems vieną </w:t>
      </w:r>
      <w:proofErr w:type="spellStart"/>
      <w:r w:rsidR="00151D84" w:rsidRPr="00975CA4">
        <w:rPr>
          <w:rFonts w:ascii="Times New Roman" w:eastAsia="Calibri" w:hAnsi="Times New Roman" w:cs="Times New Roman"/>
          <w:color w:val="000000"/>
          <w:lang w:eastAsia="ar-SA"/>
        </w:rPr>
        <w:t>Dasatinib</w:t>
      </w:r>
      <w:proofErr w:type="spellEnd"/>
      <w:r w:rsidR="00151D84" w:rsidRPr="00975CA4">
        <w:rPr>
          <w:rFonts w:ascii="Times New Roman" w:eastAsia="Calibri" w:hAnsi="Times New Roman" w:cs="Times New Roman"/>
          <w:color w:val="000000"/>
          <w:lang w:eastAsia="ar-SA"/>
        </w:rPr>
        <w:t xml:space="preserve"> </w:t>
      </w:r>
      <w:proofErr w:type="spellStart"/>
      <w:r w:rsidR="00151D84"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70</w:t>
      </w:r>
      <w:r w:rsidR="00076D8F"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mg tabletę – iki 20</w:t>
      </w:r>
      <w:r w:rsidR="00076D8F"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 xml:space="preserve">mg per parą. </w:t>
      </w:r>
    </w:p>
    <w:p w14:paraId="735AFC9D" w14:textId="77777777" w:rsidR="009C0532" w:rsidRPr="00975CA4" w:rsidRDefault="009C0532" w:rsidP="009C0532">
      <w:pPr>
        <w:suppressAutoHyphens/>
        <w:spacing w:after="0" w:line="240" w:lineRule="auto"/>
        <w:rPr>
          <w:rFonts w:ascii="Times New Roman" w:eastAsia="Calibri" w:hAnsi="Times New Roman" w:cs="Times New Roman"/>
          <w:color w:val="000000"/>
          <w:lang w:eastAsia="ar-SA"/>
        </w:rPr>
      </w:pPr>
    </w:p>
    <w:p w14:paraId="0499FF16" w14:textId="44C32564" w:rsidR="009C0532" w:rsidRPr="00975CA4" w:rsidRDefault="009C0532" w:rsidP="009C0532">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Jeigu pacientas vartoja 60</w:t>
      </w:r>
      <w:r w:rsidR="00076D8F"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mg arba 40</w:t>
      </w:r>
      <w:r w:rsidR="00076D8F" w:rsidRPr="00975CA4">
        <w:rPr>
          <w:rFonts w:ascii="Times New Roman" w:eastAsia="Calibri" w:hAnsi="Times New Roman" w:cs="Times New Roman"/>
          <w:color w:val="000000"/>
          <w:lang w:eastAsia="ar-SA"/>
        </w:rPr>
        <w:t> </w:t>
      </w:r>
      <w:r w:rsidRPr="00975CA4">
        <w:rPr>
          <w:rFonts w:ascii="Times New Roman" w:eastAsia="Calibri" w:hAnsi="Times New Roman" w:cs="Times New Roman"/>
          <w:color w:val="000000"/>
          <w:lang w:eastAsia="ar-SA"/>
        </w:rPr>
        <w:t xml:space="preserve">mg </w:t>
      </w:r>
      <w:proofErr w:type="spellStart"/>
      <w:r w:rsidR="00151D84" w:rsidRPr="00975CA4">
        <w:rPr>
          <w:rFonts w:ascii="Times New Roman" w:eastAsia="Calibri" w:hAnsi="Times New Roman" w:cs="Times New Roman"/>
          <w:color w:val="000000"/>
          <w:lang w:eastAsia="ar-SA"/>
        </w:rPr>
        <w:t>Dasatinib</w:t>
      </w:r>
      <w:proofErr w:type="spellEnd"/>
      <w:r w:rsidR="00151D84" w:rsidRPr="00975CA4">
        <w:rPr>
          <w:rFonts w:ascii="Times New Roman" w:eastAsia="Calibri" w:hAnsi="Times New Roman" w:cs="Times New Roman"/>
          <w:color w:val="000000"/>
          <w:lang w:eastAsia="ar-SA"/>
        </w:rPr>
        <w:t xml:space="preserve"> </w:t>
      </w:r>
      <w:proofErr w:type="spellStart"/>
      <w:r w:rsidR="00151D84" w:rsidRPr="00975CA4">
        <w:rPr>
          <w:rFonts w:ascii="Times New Roman" w:eastAsia="Calibri" w:hAnsi="Times New Roman" w:cs="Times New Roman"/>
          <w:color w:val="000000"/>
          <w:lang w:eastAsia="ar-SA"/>
        </w:rPr>
        <w:t>Zentiva</w:t>
      </w:r>
      <w:proofErr w:type="spellEnd"/>
      <w:r w:rsidR="00151D84" w:rsidRPr="00975CA4">
        <w:rPr>
          <w:rFonts w:ascii="Times New Roman" w:eastAsia="Calibri" w:hAnsi="Times New Roman" w:cs="Times New Roman"/>
          <w:color w:val="000000"/>
          <w:lang w:eastAsia="ar-SA"/>
        </w:rPr>
        <w:t xml:space="preserve"> </w:t>
      </w:r>
      <w:r w:rsidRPr="00975CA4">
        <w:rPr>
          <w:rFonts w:ascii="Times New Roman" w:eastAsia="Calibri" w:hAnsi="Times New Roman" w:cs="Times New Roman"/>
          <w:color w:val="000000"/>
          <w:lang w:eastAsia="ar-SA"/>
        </w:rPr>
        <w:t xml:space="preserve">per parą, būtina įvertinti poreikį laikinai (gydymo CYP3A4 inhibitoriumi laikotarpiui) nutraukti </w:t>
      </w: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00151D84"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vartojimą arba sumažinti jo dozę</w:t>
      </w:r>
      <w:r w:rsidR="00513076" w:rsidRPr="00975CA4">
        <w:rPr>
          <w:rFonts w:ascii="Times New Roman" w:eastAsia="Calibri" w:hAnsi="Times New Roman" w:cs="Times New Roman"/>
          <w:color w:val="000000"/>
          <w:lang w:eastAsia="ar-SA"/>
        </w:rPr>
        <w:t xml:space="preserve"> keičiant tabletes į miltelius geriamaj</w:t>
      </w:r>
      <w:r w:rsidR="00CD7302" w:rsidRPr="00975CA4">
        <w:rPr>
          <w:rFonts w:ascii="Times New Roman" w:eastAsia="Calibri" w:hAnsi="Times New Roman" w:cs="Times New Roman"/>
          <w:color w:val="000000"/>
          <w:lang w:eastAsia="ar-SA"/>
        </w:rPr>
        <w:t>a</w:t>
      </w:r>
      <w:r w:rsidR="00513076" w:rsidRPr="00975CA4">
        <w:rPr>
          <w:rFonts w:ascii="Times New Roman" w:eastAsia="Calibri" w:hAnsi="Times New Roman" w:cs="Times New Roman"/>
          <w:color w:val="000000"/>
          <w:lang w:eastAsia="ar-SA"/>
        </w:rPr>
        <w:t>i suspensijai</w:t>
      </w:r>
      <w:r w:rsidRPr="00975CA4">
        <w:rPr>
          <w:rFonts w:ascii="Times New Roman" w:eastAsia="Calibri" w:hAnsi="Times New Roman" w:cs="Times New Roman"/>
          <w:color w:val="000000"/>
          <w:lang w:eastAsia="ar-SA"/>
        </w:rPr>
        <w:t xml:space="preserve">. Baigus vartoti CYP3A4 inhibitoriaus, reikia palaukti maždaug savaitę, kol pasibaigs fermentų slopinimas, ir tik tada vėl pradėti vartoti </w:t>
      </w:r>
      <w:proofErr w:type="spellStart"/>
      <w:r w:rsidR="00151D84" w:rsidRPr="00975CA4">
        <w:rPr>
          <w:rFonts w:ascii="Times New Roman" w:eastAsia="Calibri" w:hAnsi="Times New Roman" w:cs="Times New Roman"/>
          <w:color w:val="000000"/>
          <w:lang w:eastAsia="ar-SA"/>
        </w:rPr>
        <w:t>Dasatinib</w:t>
      </w:r>
      <w:proofErr w:type="spellEnd"/>
      <w:r w:rsidR="00151D84" w:rsidRPr="00975CA4">
        <w:rPr>
          <w:rFonts w:ascii="Times New Roman" w:eastAsia="Calibri" w:hAnsi="Times New Roman" w:cs="Times New Roman"/>
          <w:color w:val="000000"/>
          <w:lang w:eastAsia="ar-SA"/>
        </w:rPr>
        <w:t xml:space="preserve"> </w:t>
      </w:r>
      <w:proofErr w:type="spellStart"/>
      <w:r w:rsidR="00151D84"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color w:val="000000"/>
          <w:lang w:eastAsia="ar-SA"/>
        </w:rPr>
        <w:t xml:space="preserve">. </w:t>
      </w:r>
    </w:p>
    <w:p w14:paraId="22DB9FC6" w14:textId="77777777" w:rsidR="009C0532" w:rsidRPr="00975CA4" w:rsidRDefault="009C0532" w:rsidP="009C0532">
      <w:pPr>
        <w:suppressAutoHyphens/>
        <w:spacing w:after="0" w:line="240" w:lineRule="auto"/>
        <w:rPr>
          <w:rFonts w:ascii="Times New Roman" w:eastAsia="Calibri" w:hAnsi="Times New Roman" w:cs="Times New Roman"/>
          <w:color w:val="000000"/>
          <w:lang w:eastAsia="ar-SA"/>
        </w:rPr>
      </w:pPr>
    </w:p>
    <w:p w14:paraId="5E8D2BEB" w14:textId="0D7E344A" w:rsidR="009C0532" w:rsidRPr="00975CA4" w:rsidRDefault="009C0532" w:rsidP="009C0532">
      <w:pPr>
        <w:suppressAutoHyphens/>
        <w:spacing w:after="0" w:line="240" w:lineRule="auto"/>
        <w:rPr>
          <w:rFonts w:ascii="Times New Roman" w:eastAsia="Calibri" w:hAnsi="Times New Roman" w:cs="Times New Roman"/>
          <w:i/>
          <w:iCs/>
          <w:color w:val="000000"/>
          <w:lang w:eastAsia="ar-SA"/>
        </w:rPr>
      </w:pPr>
      <w:r w:rsidRPr="00975CA4">
        <w:rPr>
          <w:rFonts w:ascii="Times New Roman" w:eastAsia="Calibri" w:hAnsi="Times New Roman" w:cs="Times New Roman"/>
          <w:color w:val="000000"/>
          <w:lang w:eastAsia="ar-SA"/>
        </w:rPr>
        <w:t xml:space="preserve">Šios sumažintos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dozės apskaičiuotos taip, kad plotas po kreive (</w:t>
      </w:r>
      <w:r w:rsidR="000E6813" w:rsidRPr="00975CA4">
        <w:rPr>
          <w:rFonts w:ascii="Times New Roman" w:eastAsia="Calibri" w:hAnsi="Times New Roman" w:cs="Times New Roman"/>
          <w:color w:val="000000"/>
          <w:lang w:eastAsia="ar-SA"/>
        </w:rPr>
        <w:t>angl</w:t>
      </w:r>
      <w:r w:rsidR="000E6813" w:rsidRPr="00975CA4">
        <w:rPr>
          <w:rFonts w:ascii="Times New Roman" w:eastAsia="Calibri" w:hAnsi="Times New Roman" w:cs="Times New Roman"/>
          <w:i/>
          <w:color w:val="000000"/>
          <w:lang w:eastAsia="ar-SA"/>
        </w:rPr>
        <w:t xml:space="preserve">. </w:t>
      </w:r>
      <w:proofErr w:type="spellStart"/>
      <w:r w:rsidR="000E6813" w:rsidRPr="00975CA4">
        <w:rPr>
          <w:rFonts w:ascii="Times New Roman" w:eastAsia="Calibri" w:hAnsi="Times New Roman" w:cs="Times New Roman"/>
          <w:i/>
          <w:color w:val="000000"/>
          <w:lang w:eastAsia="ar-SA"/>
        </w:rPr>
        <w:t>area</w:t>
      </w:r>
      <w:proofErr w:type="spellEnd"/>
      <w:r w:rsidR="000E6813" w:rsidRPr="00975CA4">
        <w:rPr>
          <w:rFonts w:ascii="Times New Roman" w:eastAsia="Calibri" w:hAnsi="Times New Roman" w:cs="Times New Roman"/>
          <w:i/>
          <w:color w:val="000000"/>
          <w:lang w:eastAsia="ar-SA"/>
        </w:rPr>
        <w:t xml:space="preserve"> </w:t>
      </w:r>
      <w:proofErr w:type="spellStart"/>
      <w:r w:rsidR="000E6813" w:rsidRPr="00975CA4">
        <w:rPr>
          <w:rFonts w:ascii="Times New Roman" w:eastAsia="Calibri" w:hAnsi="Times New Roman" w:cs="Times New Roman"/>
          <w:i/>
          <w:color w:val="000000"/>
          <w:lang w:eastAsia="ar-SA"/>
        </w:rPr>
        <w:t>under</w:t>
      </w:r>
      <w:proofErr w:type="spellEnd"/>
      <w:r w:rsidR="000E6813" w:rsidRPr="00975CA4">
        <w:rPr>
          <w:rFonts w:ascii="Times New Roman" w:eastAsia="Calibri" w:hAnsi="Times New Roman" w:cs="Times New Roman"/>
          <w:i/>
          <w:color w:val="000000"/>
          <w:lang w:eastAsia="ar-SA"/>
        </w:rPr>
        <w:t xml:space="preserve"> </w:t>
      </w:r>
      <w:proofErr w:type="spellStart"/>
      <w:r w:rsidR="000E6813" w:rsidRPr="00975CA4">
        <w:rPr>
          <w:rFonts w:ascii="Times New Roman" w:eastAsia="Calibri" w:hAnsi="Times New Roman" w:cs="Times New Roman"/>
          <w:i/>
          <w:color w:val="000000"/>
          <w:lang w:eastAsia="ar-SA"/>
        </w:rPr>
        <w:t>the</w:t>
      </w:r>
      <w:proofErr w:type="spellEnd"/>
      <w:r w:rsidR="000E6813" w:rsidRPr="00975CA4">
        <w:rPr>
          <w:rFonts w:ascii="Times New Roman" w:eastAsia="Calibri" w:hAnsi="Times New Roman" w:cs="Times New Roman"/>
          <w:i/>
          <w:color w:val="000000"/>
          <w:lang w:eastAsia="ar-SA"/>
        </w:rPr>
        <w:t xml:space="preserve"> </w:t>
      </w:r>
      <w:proofErr w:type="spellStart"/>
      <w:r w:rsidR="000E6813" w:rsidRPr="00975CA4">
        <w:rPr>
          <w:rFonts w:ascii="Times New Roman" w:eastAsia="Calibri" w:hAnsi="Times New Roman" w:cs="Times New Roman"/>
          <w:i/>
          <w:color w:val="000000"/>
          <w:lang w:eastAsia="ar-SA"/>
        </w:rPr>
        <w:t>curve</w:t>
      </w:r>
      <w:proofErr w:type="spellEnd"/>
      <w:r w:rsidR="000E6813" w:rsidRPr="00975CA4">
        <w:rPr>
          <w:rFonts w:ascii="Times New Roman" w:eastAsia="Calibri" w:hAnsi="Times New Roman" w:cs="Times New Roman"/>
          <w:i/>
          <w:color w:val="000000"/>
          <w:lang w:eastAsia="ar-SA"/>
        </w:rPr>
        <w:t xml:space="preserve">, </w:t>
      </w:r>
      <w:r w:rsidRPr="00975CA4">
        <w:rPr>
          <w:rFonts w:ascii="Times New Roman" w:eastAsia="Calibri" w:hAnsi="Times New Roman" w:cs="Times New Roman"/>
          <w:color w:val="000000"/>
          <w:lang w:eastAsia="ar-SA"/>
        </w:rPr>
        <w:t>AUC) būtų tokiose ribose kaip CYP3A4 inhibitorių nevartojant. Vis dėlto klinikinių duomenų apie tokį dozės koregavim</w:t>
      </w:r>
      <w:r w:rsidR="000E6813" w:rsidRPr="00975CA4">
        <w:rPr>
          <w:rFonts w:ascii="Times New Roman" w:eastAsia="Calibri" w:hAnsi="Times New Roman" w:cs="Times New Roman"/>
          <w:color w:val="000000"/>
          <w:lang w:eastAsia="ar-SA"/>
        </w:rPr>
        <w:t>ą</w:t>
      </w:r>
      <w:r w:rsidRPr="00975CA4">
        <w:rPr>
          <w:rFonts w:ascii="Times New Roman" w:eastAsia="Calibri" w:hAnsi="Times New Roman" w:cs="Times New Roman"/>
          <w:color w:val="000000"/>
          <w:lang w:eastAsia="ar-SA"/>
        </w:rPr>
        <w:t xml:space="preserve"> pacientams, derinyje vartojantiems stipraus poveikio CYP3A4 inhibitorių, nėra. Jei pacientas netoleruoja sumažintos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dozės, tai reikia nutraukti gydymą CYP3A4 inhibitoriumi arba gydymo juo laikotarpiu nevartoti </w:t>
      </w:r>
      <w:proofErr w:type="spellStart"/>
      <w:r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Baigus vartoti CYP3A4 inhibitoriaus, reikia palaukti maždaug savaitę, kol pasibaigs fermentų slopinimas, ir tik tada padidinti </w:t>
      </w:r>
      <w:proofErr w:type="spellStart"/>
      <w:r w:rsidR="00151D84" w:rsidRPr="00975CA4">
        <w:rPr>
          <w:rFonts w:ascii="Times New Roman" w:eastAsia="Calibri" w:hAnsi="Times New Roman" w:cs="Times New Roman"/>
          <w:color w:val="000000"/>
          <w:lang w:eastAsia="ar-SA"/>
        </w:rPr>
        <w:t>dazatinibo</w:t>
      </w:r>
      <w:proofErr w:type="spellEnd"/>
      <w:r w:rsidRPr="00975CA4">
        <w:rPr>
          <w:rFonts w:ascii="Times New Roman" w:eastAsia="Calibri" w:hAnsi="Times New Roman" w:cs="Times New Roman"/>
          <w:color w:val="000000"/>
          <w:lang w:eastAsia="ar-SA"/>
        </w:rPr>
        <w:t xml:space="preserve"> dozę. </w:t>
      </w:r>
    </w:p>
    <w:p w14:paraId="68DAD107" w14:textId="77777777" w:rsidR="009C0532" w:rsidRPr="00975CA4" w:rsidRDefault="009C0532" w:rsidP="009C0532">
      <w:pPr>
        <w:suppressAutoHyphens/>
        <w:spacing w:after="0" w:line="240" w:lineRule="auto"/>
        <w:rPr>
          <w:rFonts w:ascii="Times New Roman" w:eastAsia="Calibri" w:hAnsi="Times New Roman" w:cs="Times New Roman"/>
          <w:color w:val="000000"/>
          <w:u w:val="single"/>
          <w:lang w:eastAsia="ar-SA"/>
        </w:rPr>
      </w:pPr>
    </w:p>
    <w:p w14:paraId="2D91E0A5" w14:textId="77777777" w:rsidR="009C0532" w:rsidRPr="00975CA4" w:rsidRDefault="009C0532" w:rsidP="009C0532">
      <w:pPr>
        <w:suppressAutoHyphens/>
        <w:spacing w:after="0" w:line="240" w:lineRule="auto"/>
        <w:rPr>
          <w:rFonts w:ascii="Times New Roman" w:eastAsia="Calibri" w:hAnsi="Times New Roman" w:cs="Times New Roman"/>
          <w:color w:val="000000"/>
          <w:u w:val="single"/>
          <w:lang w:eastAsia="ar-SA"/>
        </w:rPr>
      </w:pPr>
      <w:r w:rsidRPr="00975CA4">
        <w:rPr>
          <w:rFonts w:ascii="Times New Roman" w:eastAsia="Calibri" w:hAnsi="Times New Roman" w:cs="Times New Roman"/>
          <w:color w:val="000000"/>
          <w:u w:val="single"/>
          <w:lang w:eastAsia="ar-SA"/>
        </w:rPr>
        <w:t>Ypatingos populiacijos</w:t>
      </w:r>
    </w:p>
    <w:p w14:paraId="5063F162" w14:textId="77777777" w:rsidR="00CF10F8" w:rsidRPr="00975CA4" w:rsidRDefault="00CF10F8" w:rsidP="009C0532">
      <w:pPr>
        <w:suppressAutoHyphens/>
        <w:spacing w:after="0" w:line="240" w:lineRule="auto"/>
        <w:rPr>
          <w:rFonts w:ascii="Times New Roman" w:eastAsia="Calibri" w:hAnsi="Times New Roman" w:cs="Times New Roman"/>
          <w:color w:val="000000"/>
          <w:u w:val="single"/>
          <w:lang w:eastAsia="ar-SA"/>
        </w:rPr>
      </w:pPr>
    </w:p>
    <w:p w14:paraId="25301578" w14:textId="77777777" w:rsidR="00151D84" w:rsidRPr="00975CA4" w:rsidRDefault="00151D84" w:rsidP="00151D84">
      <w:pPr>
        <w:suppressAutoHyphens/>
        <w:spacing w:after="0" w:line="240" w:lineRule="auto"/>
        <w:rPr>
          <w:rFonts w:ascii="Times New Roman" w:eastAsia="Calibri" w:hAnsi="Times New Roman" w:cs="Times New Roman"/>
          <w:iCs/>
          <w:color w:val="000000"/>
          <w:lang w:eastAsia="ar-SA"/>
        </w:rPr>
      </w:pPr>
      <w:r w:rsidRPr="00975CA4">
        <w:rPr>
          <w:rFonts w:ascii="Times New Roman" w:eastAsia="Calibri" w:hAnsi="Times New Roman" w:cs="Times New Roman"/>
          <w:i/>
          <w:iCs/>
          <w:color w:val="000000"/>
          <w:lang w:eastAsia="ar-SA"/>
        </w:rPr>
        <w:t>Senyviems pacientams</w:t>
      </w:r>
    </w:p>
    <w:p w14:paraId="40B46067" w14:textId="77777777" w:rsidR="00151D84" w:rsidRPr="00975CA4" w:rsidRDefault="00151D84" w:rsidP="00151D84">
      <w:pPr>
        <w:suppressAutoHyphens/>
        <w:spacing w:after="0" w:line="240" w:lineRule="auto"/>
        <w:rPr>
          <w:rFonts w:ascii="Times New Roman" w:eastAsia="Calibri" w:hAnsi="Times New Roman" w:cs="Times New Roman"/>
          <w:i/>
          <w:iCs/>
          <w:color w:val="000000"/>
          <w:lang w:eastAsia="ar-SA"/>
        </w:rPr>
      </w:pPr>
      <w:r w:rsidRPr="00975CA4">
        <w:rPr>
          <w:rFonts w:ascii="Times New Roman" w:eastAsia="Calibri" w:hAnsi="Times New Roman" w:cs="Times New Roman"/>
          <w:iCs/>
          <w:color w:val="000000"/>
          <w:lang w:eastAsia="ar-SA"/>
        </w:rPr>
        <w:t>Kliniškai reikšmingų su amžiumi susijusių farmakokinetikos skirtumų senyviems pacientams nenustatyta. Senyviems pacientams ypatingos dozavimo rekomendacijos nereikalingos.</w:t>
      </w:r>
    </w:p>
    <w:p w14:paraId="62E33804" w14:textId="77777777" w:rsidR="00151D84" w:rsidRPr="00975CA4" w:rsidRDefault="00151D84" w:rsidP="00151D84">
      <w:pPr>
        <w:suppressAutoHyphens/>
        <w:spacing w:after="0" w:line="240" w:lineRule="auto"/>
        <w:rPr>
          <w:rFonts w:ascii="Times New Roman" w:eastAsia="Calibri" w:hAnsi="Times New Roman" w:cs="Times New Roman"/>
          <w:i/>
          <w:iCs/>
          <w:color w:val="000000"/>
          <w:lang w:eastAsia="ar-SA"/>
        </w:rPr>
      </w:pPr>
    </w:p>
    <w:p w14:paraId="41E8E12C" w14:textId="77777777" w:rsidR="00151D84" w:rsidRPr="00975CA4" w:rsidRDefault="00151D84" w:rsidP="00151D84">
      <w:pPr>
        <w:suppressAutoHyphens/>
        <w:spacing w:after="0" w:line="240" w:lineRule="auto"/>
        <w:rPr>
          <w:rFonts w:ascii="Times New Roman" w:eastAsia="Calibri" w:hAnsi="Times New Roman" w:cs="Times New Roman"/>
          <w:iCs/>
          <w:color w:val="000000"/>
          <w:lang w:eastAsia="ar-SA"/>
        </w:rPr>
      </w:pPr>
      <w:r w:rsidRPr="00975CA4">
        <w:rPr>
          <w:rFonts w:ascii="Times New Roman" w:eastAsia="Calibri" w:hAnsi="Times New Roman" w:cs="Times New Roman"/>
          <w:i/>
          <w:iCs/>
          <w:color w:val="000000"/>
          <w:lang w:eastAsia="ar-SA"/>
        </w:rPr>
        <w:t xml:space="preserve">Pacientams, kurių kepenų funkcija sutrikusi </w:t>
      </w:r>
    </w:p>
    <w:p w14:paraId="1E132828" w14:textId="77777777" w:rsidR="00151D84" w:rsidRPr="00975CA4" w:rsidRDefault="00151D84" w:rsidP="00151D84">
      <w:pPr>
        <w:suppressAutoHyphens/>
        <w:spacing w:after="0" w:line="240" w:lineRule="auto"/>
        <w:rPr>
          <w:rFonts w:ascii="Times New Roman" w:eastAsia="Calibri" w:hAnsi="Times New Roman" w:cs="Times New Roman"/>
          <w:i/>
          <w:iCs/>
          <w:color w:val="000000"/>
          <w:lang w:eastAsia="ar-SA"/>
        </w:rPr>
      </w:pPr>
      <w:r w:rsidRPr="00975CA4">
        <w:rPr>
          <w:rFonts w:ascii="Times New Roman" w:eastAsia="Calibri" w:hAnsi="Times New Roman" w:cs="Times New Roman"/>
          <w:iCs/>
          <w:color w:val="000000"/>
          <w:lang w:eastAsia="ar-SA"/>
        </w:rPr>
        <w:lastRenderedPageBreak/>
        <w:t xml:space="preserve">Pacientams, kuriems yra lengvas, vidutinio sunkumo ar sunkus kepenų funkcijos sutrikimas, galima vartoti rekomenduojamą pradinę dozę. Vis dėlto, pacientams, kurių kepenų funkcija sutrikusi, </w:t>
      </w: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iCs/>
          <w:color w:val="000000"/>
          <w:lang w:eastAsia="ar-SA"/>
        </w:rPr>
        <w:t xml:space="preserve"> turi būti skiriama atsargiai (žr. 5.2 skyrių).</w:t>
      </w:r>
    </w:p>
    <w:p w14:paraId="5FF851D5" w14:textId="77777777" w:rsidR="00151D84" w:rsidRPr="00975CA4" w:rsidRDefault="00151D84" w:rsidP="00151D84">
      <w:pPr>
        <w:suppressAutoHyphens/>
        <w:spacing w:after="0" w:line="240" w:lineRule="auto"/>
        <w:rPr>
          <w:rFonts w:ascii="Times New Roman" w:eastAsia="Calibri" w:hAnsi="Times New Roman" w:cs="Times New Roman"/>
          <w:i/>
          <w:iCs/>
          <w:color w:val="000000"/>
          <w:lang w:eastAsia="ar-SA"/>
        </w:rPr>
      </w:pPr>
    </w:p>
    <w:p w14:paraId="54684746" w14:textId="77777777" w:rsidR="00151D84" w:rsidRPr="00975CA4" w:rsidRDefault="00151D84" w:rsidP="00151D84">
      <w:pPr>
        <w:suppressAutoHyphens/>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i/>
          <w:iCs/>
          <w:color w:val="000000"/>
          <w:lang w:eastAsia="ar-SA"/>
        </w:rPr>
        <w:t xml:space="preserve">Pacientams, kurių inkstų funkcija sutrikusi </w:t>
      </w:r>
    </w:p>
    <w:p w14:paraId="3F831BAD" w14:textId="2E904458" w:rsidR="00151D84" w:rsidRPr="00975CA4" w:rsidRDefault="00151D84" w:rsidP="00151D84">
      <w:pPr>
        <w:suppressAutoHyphens/>
        <w:spacing w:after="0" w:line="240" w:lineRule="auto"/>
        <w:rPr>
          <w:rFonts w:ascii="Times New Roman" w:eastAsia="Calibri" w:hAnsi="Times New Roman" w:cs="Times New Roman"/>
          <w:iCs/>
          <w:color w:val="000000"/>
          <w:lang w:eastAsia="ar-SA"/>
        </w:rPr>
      </w:pPr>
      <w:r w:rsidRPr="00975CA4">
        <w:rPr>
          <w:rFonts w:ascii="Times New Roman" w:eastAsia="Calibri" w:hAnsi="Times New Roman" w:cs="Times New Roman"/>
          <w:color w:val="000000"/>
          <w:lang w:eastAsia="ar-SA"/>
        </w:rPr>
        <w:t>Pacientams,</w:t>
      </w:r>
      <w:r w:rsidRPr="00975CA4">
        <w:rPr>
          <w:rFonts w:ascii="Times New Roman" w:eastAsia="Calibri" w:hAnsi="Times New Roman" w:cs="Times New Roman"/>
          <w:iCs/>
          <w:color w:val="000000"/>
          <w:lang w:eastAsia="ar-SA"/>
        </w:rPr>
        <w:t xml:space="preserve"> kurių inkstų funkcija su</w:t>
      </w:r>
      <w:r w:rsidR="009D6C67" w:rsidRPr="00975CA4">
        <w:rPr>
          <w:rFonts w:ascii="Times New Roman" w:eastAsia="Calibri" w:hAnsi="Times New Roman" w:cs="Times New Roman"/>
          <w:iCs/>
          <w:color w:val="000000"/>
          <w:lang w:eastAsia="ar-SA"/>
        </w:rPr>
        <w:t>trikusi</w:t>
      </w:r>
      <w:r w:rsidRPr="00975CA4">
        <w:rPr>
          <w:rFonts w:ascii="Times New Roman" w:eastAsia="Calibri" w:hAnsi="Times New Roman" w:cs="Times New Roman"/>
          <w:iCs/>
          <w:color w:val="000000"/>
          <w:lang w:eastAsia="ar-SA"/>
        </w:rPr>
        <w:t>,</w:t>
      </w:r>
      <w:r w:rsidRPr="00975CA4">
        <w:rPr>
          <w:rFonts w:ascii="Times New Roman" w:eastAsia="Calibri" w:hAnsi="Times New Roman" w:cs="Times New Roman"/>
          <w:color w:val="000000"/>
          <w:lang w:eastAsia="ar-SA"/>
        </w:rPr>
        <w:t xml:space="preserve"> </w:t>
      </w:r>
      <w:r w:rsidRPr="00975CA4">
        <w:rPr>
          <w:rFonts w:ascii="Times New Roman" w:eastAsia="Calibri" w:hAnsi="Times New Roman" w:cs="Times New Roman"/>
          <w:iCs/>
          <w:color w:val="000000"/>
          <w:lang w:eastAsia="ar-SA"/>
        </w:rPr>
        <w:t xml:space="preserve">klinikinių tyrimų su </w:t>
      </w:r>
      <w:proofErr w:type="spellStart"/>
      <w:r w:rsidRPr="00975CA4">
        <w:rPr>
          <w:rFonts w:ascii="Times New Roman" w:eastAsia="Calibri" w:hAnsi="Times New Roman" w:cs="Times New Roman"/>
          <w:iCs/>
          <w:color w:val="000000"/>
          <w:lang w:eastAsia="ar-SA"/>
        </w:rPr>
        <w:t>dazatinibu</w:t>
      </w:r>
      <w:proofErr w:type="spellEnd"/>
      <w:r w:rsidRPr="00975CA4">
        <w:rPr>
          <w:rFonts w:ascii="Times New Roman" w:eastAsia="Calibri" w:hAnsi="Times New Roman" w:cs="Times New Roman"/>
          <w:iCs/>
          <w:color w:val="000000"/>
          <w:lang w:eastAsia="ar-SA"/>
        </w:rPr>
        <w:t xml:space="preserve"> neatlikta (į naujai diagnozuotos lėtinės fazės LML tyrimą nebuvo įtraukti pacientai, kurių kraujo serume kreatinino koncentracija daugiau kaip 3 kartus viršijo viršutinę normos ribą, o į lėtinės fazės LML, kai liga buvo atspari ankstesniam gydymui </w:t>
      </w:r>
      <w:proofErr w:type="spellStart"/>
      <w:r w:rsidRPr="00975CA4">
        <w:rPr>
          <w:rFonts w:ascii="Times New Roman" w:eastAsia="Calibri" w:hAnsi="Times New Roman" w:cs="Times New Roman"/>
          <w:iCs/>
          <w:color w:val="000000"/>
          <w:lang w:eastAsia="ar-SA"/>
        </w:rPr>
        <w:t>imatinibu</w:t>
      </w:r>
      <w:proofErr w:type="spellEnd"/>
      <w:r w:rsidRPr="00975CA4">
        <w:rPr>
          <w:rFonts w:ascii="Times New Roman" w:eastAsia="Calibri" w:hAnsi="Times New Roman" w:cs="Times New Roman"/>
          <w:iCs/>
          <w:color w:val="000000"/>
          <w:lang w:eastAsia="ar-SA"/>
        </w:rPr>
        <w:t xml:space="preserve"> arba pacientas jo netoleravo, tyrimus nebuvo įtraukti pacientai, kurių kraujo serume kreatinino koncentracija daugiau kaip 1,5 karto viršijo viršutinę normos ribą). Kadangi </w:t>
      </w:r>
      <w:proofErr w:type="spellStart"/>
      <w:r w:rsidRPr="00975CA4">
        <w:rPr>
          <w:rFonts w:ascii="Times New Roman" w:eastAsia="Calibri" w:hAnsi="Times New Roman" w:cs="Times New Roman"/>
          <w:iCs/>
          <w:color w:val="000000"/>
          <w:lang w:eastAsia="ar-SA"/>
        </w:rPr>
        <w:t>dazatinibo</w:t>
      </w:r>
      <w:proofErr w:type="spellEnd"/>
      <w:r w:rsidRPr="00975CA4">
        <w:rPr>
          <w:rFonts w:ascii="Times New Roman" w:eastAsia="Calibri" w:hAnsi="Times New Roman" w:cs="Times New Roman"/>
          <w:iCs/>
          <w:color w:val="000000"/>
          <w:lang w:eastAsia="ar-SA"/>
        </w:rPr>
        <w:t xml:space="preserve"> ir jo metabolitų inkstų klirensas yra mažesnis negu </w:t>
      </w:r>
      <w:r w:rsidR="009D6C67" w:rsidRPr="00975CA4">
        <w:rPr>
          <w:rFonts w:ascii="Times New Roman" w:eastAsia="Calibri" w:hAnsi="Times New Roman" w:cs="Times New Roman"/>
          <w:iCs/>
          <w:color w:val="000000"/>
          <w:lang w:eastAsia="ar-SA"/>
        </w:rPr>
        <w:t>4 </w:t>
      </w:r>
      <w:r w:rsidRPr="00975CA4">
        <w:rPr>
          <w:rFonts w:ascii="Times New Roman" w:eastAsia="Calibri" w:hAnsi="Times New Roman" w:cs="Times New Roman"/>
          <w:iCs/>
          <w:color w:val="000000"/>
          <w:lang w:eastAsia="ar-SA"/>
        </w:rPr>
        <w:t xml:space="preserve">%, manoma, kad pacientams, kuriems yra inkstų </w:t>
      </w:r>
      <w:r w:rsidR="009D6C67" w:rsidRPr="00975CA4">
        <w:rPr>
          <w:rFonts w:ascii="Times New Roman" w:eastAsia="Calibri" w:hAnsi="Times New Roman" w:cs="Times New Roman"/>
          <w:iCs/>
          <w:color w:val="000000"/>
          <w:lang w:eastAsia="ar-SA"/>
        </w:rPr>
        <w:t xml:space="preserve">funkcijos </w:t>
      </w:r>
      <w:r w:rsidRPr="00975CA4">
        <w:rPr>
          <w:rFonts w:ascii="Times New Roman" w:eastAsia="Calibri" w:hAnsi="Times New Roman" w:cs="Times New Roman"/>
          <w:iCs/>
          <w:color w:val="000000"/>
          <w:lang w:eastAsia="ar-SA"/>
        </w:rPr>
        <w:t>nepakankamumas, bendras organizmo klirensas nesumažės.</w:t>
      </w:r>
    </w:p>
    <w:p w14:paraId="23C98E1F" w14:textId="77777777" w:rsidR="00151D84" w:rsidRPr="00975CA4" w:rsidRDefault="00151D84" w:rsidP="00151D84">
      <w:pPr>
        <w:suppressAutoHyphens/>
        <w:spacing w:after="0" w:line="240" w:lineRule="auto"/>
        <w:rPr>
          <w:rFonts w:ascii="Times New Roman" w:eastAsia="Calibri" w:hAnsi="Times New Roman" w:cs="Times New Roman"/>
          <w:iCs/>
          <w:color w:val="000000"/>
          <w:lang w:eastAsia="ar-SA"/>
        </w:rPr>
      </w:pPr>
    </w:p>
    <w:p w14:paraId="065DFFAD" w14:textId="77777777" w:rsidR="00151D84" w:rsidRPr="00975CA4" w:rsidRDefault="00151D84" w:rsidP="00151D84">
      <w:pPr>
        <w:suppressAutoHyphens/>
        <w:spacing w:after="0" w:line="240" w:lineRule="auto"/>
        <w:rPr>
          <w:rFonts w:ascii="Times New Roman" w:eastAsia="Calibri" w:hAnsi="Times New Roman" w:cs="Times New Roman"/>
          <w:bCs/>
          <w:iCs/>
          <w:color w:val="000000"/>
          <w:u w:val="single"/>
          <w:lang w:eastAsia="ar-SA"/>
        </w:rPr>
      </w:pPr>
      <w:r w:rsidRPr="00975CA4">
        <w:rPr>
          <w:rFonts w:ascii="Times New Roman" w:eastAsia="Calibri" w:hAnsi="Times New Roman" w:cs="Times New Roman"/>
          <w:bCs/>
          <w:iCs/>
          <w:color w:val="000000"/>
          <w:u w:val="single"/>
          <w:lang w:eastAsia="ar-SA"/>
        </w:rPr>
        <w:t>Vartojimo metodas</w:t>
      </w:r>
    </w:p>
    <w:p w14:paraId="5F263D1A" w14:textId="77777777" w:rsidR="00151D84" w:rsidRPr="00975CA4" w:rsidRDefault="00151D84" w:rsidP="00151D84">
      <w:pPr>
        <w:suppressAutoHyphens/>
        <w:spacing w:after="0" w:line="240" w:lineRule="auto"/>
        <w:rPr>
          <w:rFonts w:ascii="Times New Roman" w:eastAsia="Calibri" w:hAnsi="Times New Roman" w:cs="Times New Roman"/>
          <w:iCs/>
          <w:color w:val="000000"/>
          <w:lang w:eastAsia="ar-SA"/>
        </w:rPr>
      </w:pPr>
      <w:proofErr w:type="spellStart"/>
      <w:r w:rsidRPr="00975CA4">
        <w:rPr>
          <w:rFonts w:ascii="Times New Roman" w:eastAsia="Calibri" w:hAnsi="Times New Roman" w:cs="Times New Roman"/>
          <w:iCs/>
          <w:color w:val="000000"/>
          <w:lang w:eastAsia="ar-SA"/>
        </w:rPr>
        <w:t>Dasatinib</w:t>
      </w:r>
      <w:proofErr w:type="spellEnd"/>
      <w:r w:rsidRPr="00975CA4">
        <w:rPr>
          <w:rFonts w:ascii="Times New Roman" w:eastAsia="Calibri" w:hAnsi="Times New Roman" w:cs="Times New Roman"/>
          <w:iCs/>
          <w:color w:val="000000"/>
          <w:lang w:eastAsia="ar-SA"/>
        </w:rPr>
        <w:t xml:space="preserve"> </w:t>
      </w:r>
      <w:proofErr w:type="spellStart"/>
      <w:r w:rsidRPr="00975CA4">
        <w:rPr>
          <w:rFonts w:ascii="Times New Roman" w:eastAsia="Calibri" w:hAnsi="Times New Roman" w:cs="Times New Roman"/>
          <w:iCs/>
          <w:color w:val="000000"/>
          <w:lang w:eastAsia="ar-SA"/>
        </w:rPr>
        <w:t>Zentiva</w:t>
      </w:r>
      <w:proofErr w:type="spellEnd"/>
      <w:r w:rsidRPr="00975CA4">
        <w:rPr>
          <w:rFonts w:ascii="Times New Roman" w:eastAsia="Calibri" w:hAnsi="Times New Roman" w:cs="Times New Roman"/>
          <w:iCs/>
          <w:color w:val="000000"/>
          <w:lang w:eastAsia="ar-SA"/>
        </w:rPr>
        <w:t xml:space="preserve"> reikia vartoti per burną.</w:t>
      </w:r>
    </w:p>
    <w:p w14:paraId="5903038F" w14:textId="77777777" w:rsidR="00151D84" w:rsidRPr="00975CA4" w:rsidRDefault="00151D84" w:rsidP="00151D84">
      <w:pPr>
        <w:suppressAutoHyphens/>
        <w:spacing w:after="0" w:line="240" w:lineRule="auto"/>
        <w:rPr>
          <w:rFonts w:ascii="Times New Roman" w:eastAsia="Times New Roman" w:hAnsi="Times New Roman" w:cs="Times New Roman"/>
          <w:color w:val="000000"/>
          <w:lang w:eastAsia="ar-SA"/>
        </w:rPr>
      </w:pPr>
      <w:r w:rsidRPr="00975CA4">
        <w:rPr>
          <w:rFonts w:ascii="Times New Roman" w:eastAsia="Calibri" w:hAnsi="Times New Roman" w:cs="Times New Roman"/>
          <w:iCs/>
          <w:color w:val="000000"/>
          <w:lang w:eastAsia="ar-SA"/>
        </w:rPr>
        <w:t xml:space="preserve">Plėvele dengtų tablečių negalima traiškyti, skaldyti ar kramtyti tam, kad išlaikyti dozavimo pastovumą ir sumažinti iki minimumo kontakto su oda riziką, jas reikia nuryti nepažeistas. </w:t>
      </w:r>
      <w:r w:rsidRPr="00975CA4">
        <w:rPr>
          <w:rFonts w:ascii="Times New Roman" w:eastAsia="Times New Roman" w:hAnsi="Times New Roman" w:cs="Times New Roman"/>
          <w:color w:val="000000"/>
          <w:lang w:eastAsia="ar-SA"/>
        </w:rPr>
        <w:t xml:space="preserve">Plėvele dengtų tablečių negalima disperguoti, kadangi tuomet ekspozicija bus mažesnė negu jas nurijus nepažeistas. </w:t>
      </w:r>
      <w:proofErr w:type="spellStart"/>
      <w:r w:rsidRPr="00975CA4">
        <w:rPr>
          <w:rFonts w:ascii="Times New Roman" w:eastAsia="Times New Roman" w:hAnsi="Times New Roman" w:cs="Times New Roman"/>
          <w:color w:val="000000"/>
          <w:lang w:eastAsia="ar-SA"/>
        </w:rPr>
        <w:t>Dazatinimo</w:t>
      </w:r>
      <w:proofErr w:type="spellEnd"/>
      <w:r w:rsidRPr="00975CA4">
        <w:rPr>
          <w:rFonts w:ascii="Times New Roman" w:eastAsia="Times New Roman" w:hAnsi="Times New Roman" w:cs="Times New Roman"/>
          <w:color w:val="000000"/>
          <w:lang w:eastAsia="ar-SA"/>
        </w:rPr>
        <w:t xml:space="preserve"> milteliai geriamajai suspensijai gali būti tinkami </w:t>
      </w:r>
      <w:proofErr w:type="spellStart"/>
      <w:r w:rsidRPr="00975CA4">
        <w:rPr>
          <w:rFonts w:ascii="Times New Roman" w:eastAsia="Times New Roman" w:hAnsi="Times New Roman" w:cs="Times New Roman"/>
          <w:color w:val="000000"/>
          <w:lang w:eastAsia="ar-SA"/>
        </w:rPr>
        <w:t>Ph</w:t>
      </w:r>
      <w:proofErr w:type="spellEnd"/>
      <w:r w:rsidRPr="00975CA4">
        <w:rPr>
          <w:rFonts w:ascii="Times New Roman" w:eastAsia="Times New Roman" w:hAnsi="Times New Roman" w:cs="Times New Roman"/>
          <w:color w:val="000000"/>
          <w:lang w:eastAsia="ar-SA"/>
        </w:rPr>
        <w:t xml:space="preserve">+ LML LF ir </w:t>
      </w:r>
      <w:proofErr w:type="spellStart"/>
      <w:r w:rsidRPr="00975CA4">
        <w:rPr>
          <w:rFonts w:ascii="Times New Roman" w:eastAsia="Times New Roman" w:hAnsi="Times New Roman" w:cs="Times New Roman"/>
          <w:color w:val="000000"/>
          <w:lang w:eastAsia="ar-SA"/>
        </w:rPr>
        <w:t>Ph</w:t>
      </w:r>
      <w:proofErr w:type="spellEnd"/>
      <w:r w:rsidRPr="00975CA4">
        <w:rPr>
          <w:rFonts w:ascii="Times New Roman" w:eastAsia="Times New Roman" w:hAnsi="Times New Roman" w:cs="Times New Roman"/>
          <w:color w:val="000000"/>
          <w:lang w:eastAsia="ar-SA"/>
        </w:rPr>
        <w:t xml:space="preserve">+ ŪLL sergantiems </w:t>
      </w:r>
      <w:r w:rsidRPr="00975CA4">
        <w:rPr>
          <w:rFonts w:ascii="Times New Roman" w:eastAsia="Calibri" w:hAnsi="Times New Roman" w:cs="Times New Roman"/>
          <w:color w:val="000000"/>
          <w:lang w:eastAsia="ar-SA"/>
        </w:rPr>
        <w:t>vaikams</w:t>
      </w:r>
      <w:r w:rsidRPr="00975CA4">
        <w:rPr>
          <w:rFonts w:ascii="Times New Roman" w:eastAsia="Times New Roman" w:hAnsi="Times New Roman" w:cs="Times New Roman"/>
          <w:color w:val="000000"/>
          <w:lang w:eastAsia="ar-SA"/>
        </w:rPr>
        <w:t xml:space="preserve"> bei LML LF sergantiems suaugusiesiems, kurie negali nuryti tablečių. </w:t>
      </w:r>
    </w:p>
    <w:p w14:paraId="63AC5B1D" w14:textId="77777777" w:rsidR="00151D84" w:rsidRPr="00975CA4" w:rsidRDefault="00151D84" w:rsidP="00151D84">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iCs/>
          <w:color w:val="000000"/>
          <w:lang w:eastAsia="ar-SA"/>
        </w:rPr>
        <w:t xml:space="preserve"> galima vartoti valgant arba kitu laiku, visada ryte arba visada vakare (žr. skyrių </w:t>
      </w:r>
      <w:r w:rsidR="00B436E7" w:rsidRPr="00975CA4">
        <w:rPr>
          <w:rFonts w:ascii="Times New Roman" w:eastAsia="Calibri" w:hAnsi="Times New Roman" w:cs="Times New Roman"/>
          <w:iCs/>
          <w:color w:val="000000"/>
          <w:lang w:eastAsia="ar-SA"/>
        </w:rPr>
        <w:t>5.2)</w:t>
      </w:r>
      <w:r w:rsidRPr="00975CA4">
        <w:rPr>
          <w:rFonts w:ascii="Times New Roman" w:eastAsia="Calibri" w:hAnsi="Times New Roman" w:cs="Times New Roman"/>
          <w:iCs/>
          <w:color w:val="000000"/>
          <w:lang w:eastAsia="ar-SA"/>
        </w:rPr>
        <w:t xml:space="preserve">. </w:t>
      </w:r>
      <w:proofErr w:type="spellStart"/>
      <w:r w:rsidRPr="00975CA4">
        <w:rPr>
          <w:rFonts w:ascii="Times New Roman" w:eastAsia="Calibri" w:hAnsi="Times New Roman" w:cs="Times New Roman"/>
          <w:color w:val="000000"/>
          <w:lang w:eastAsia="ar-SA"/>
        </w:rPr>
        <w:t>Dasatinib</w:t>
      </w:r>
      <w:proofErr w:type="spellEnd"/>
      <w:r w:rsidRPr="00975CA4">
        <w:rPr>
          <w:rFonts w:ascii="Times New Roman" w:eastAsia="Calibri" w:hAnsi="Times New Roman" w:cs="Times New Roman"/>
          <w:color w:val="000000"/>
          <w:lang w:eastAsia="ar-SA"/>
        </w:rPr>
        <w:t xml:space="preserve"> </w:t>
      </w:r>
      <w:proofErr w:type="spellStart"/>
      <w:r w:rsidR="00B436E7" w:rsidRPr="00975CA4">
        <w:rPr>
          <w:rFonts w:ascii="Times New Roman" w:eastAsia="Calibri" w:hAnsi="Times New Roman" w:cs="Times New Roman"/>
          <w:color w:val="000000"/>
          <w:lang w:eastAsia="ar-SA"/>
        </w:rPr>
        <w:t>Zentiva</w:t>
      </w:r>
      <w:proofErr w:type="spellEnd"/>
      <w:r w:rsidRPr="00975CA4">
        <w:rPr>
          <w:rFonts w:ascii="Times New Roman" w:eastAsia="Calibri" w:hAnsi="Times New Roman" w:cs="Times New Roman"/>
          <w:iCs/>
          <w:color w:val="000000"/>
          <w:lang w:eastAsia="ar-SA"/>
        </w:rPr>
        <w:t xml:space="preserve"> negalima vartoti kartu su greipfrutais arba jų sultimis (žr. 4.5 skyrių). </w:t>
      </w:r>
    </w:p>
    <w:p w14:paraId="66306364" w14:textId="77777777" w:rsidR="00151D84" w:rsidRPr="00975CA4" w:rsidRDefault="00151D84" w:rsidP="00151D84">
      <w:pPr>
        <w:tabs>
          <w:tab w:val="left" w:pos="567"/>
        </w:tabs>
        <w:suppressAutoHyphens/>
        <w:spacing w:after="0" w:line="240" w:lineRule="auto"/>
        <w:rPr>
          <w:rFonts w:ascii="Times New Roman" w:eastAsia="SimSun" w:hAnsi="Times New Roman" w:cs="Times New Roman"/>
          <w:color w:val="000000"/>
          <w:lang w:eastAsia="ar-SA"/>
        </w:rPr>
      </w:pPr>
    </w:p>
    <w:p w14:paraId="6961D6D5" w14:textId="77777777" w:rsidR="00151D84" w:rsidRPr="00975CA4" w:rsidRDefault="00151D84" w:rsidP="00151D84">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4.3</w:t>
      </w:r>
      <w:r w:rsidRPr="00975CA4">
        <w:rPr>
          <w:rFonts w:ascii="Times New Roman" w:eastAsia="SimSun" w:hAnsi="Times New Roman" w:cs="Times New Roman"/>
          <w:b/>
          <w:color w:val="000000"/>
          <w:lang w:eastAsia="ar-SA"/>
        </w:rPr>
        <w:tab/>
        <w:t>Kontraindikacijos</w:t>
      </w:r>
    </w:p>
    <w:p w14:paraId="697B8B9C" w14:textId="77777777" w:rsidR="009C0532" w:rsidRPr="00975CA4" w:rsidRDefault="009C0532" w:rsidP="0046310B">
      <w:pPr>
        <w:spacing w:after="0" w:line="240" w:lineRule="auto"/>
        <w:rPr>
          <w:rFonts w:ascii="Times New Roman" w:eastAsia="Calibri" w:hAnsi="Times New Roman" w:cs="Times New Roman"/>
          <w:color w:val="000000"/>
          <w:lang w:eastAsia="ar-SA"/>
        </w:rPr>
      </w:pPr>
    </w:p>
    <w:p w14:paraId="43A7BE88" w14:textId="77777777" w:rsidR="00B436E7" w:rsidRPr="00975CA4" w:rsidRDefault="00B436E7" w:rsidP="00B436E7">
      <w:pPr>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Padidėjęs jautrumas veikliajai arba bet kuriai 6.1 skyriuje nurodytai pagalbinei medžiagai.</w:t>
      </w:r>
    </w:p>
    <w:p w14:paraId="15453F9A"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1CA5A268"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4.4</w:t>
      </w:r>
      <w:r w:rsidRPr="00975CA4">
        <w:rPr>
          <w:rFonts w:ascii="Times New Roman" w:eastAsia="SimSun" w:hAnsi="Times New Roman" w:cs="Times New Roman"/>
          <w:b/>
          <w:color w:val="000000"/>
          <w:lang w:eastAsia="ar-SA"/>
        </w:rPr>
        <w:tab/>
        <w:t>Specialūs įspėjimai ir atsargumo priemonės</w:t>
      </w:r>
    </w:p>
    <w:p w14:paraId="195430BF"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4DDED55F"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Kliniškai reikšminga s</w:t>
      </w:r>
      <w:r w:rsidRPr="00975CA4">
        <w:rPr>
          <w:rFonts w:ascii="Times New Roman" w:eastAsia="MS Mincho" w:hAnsi="Times New Roman" w:cs="Times New Roman"/>
          <w:color w:val="000000"/>
          <w:u w:val="single"/>
          <w:lang w:eastAsia="ar-SA"/>
        </w:rPr>
        <w:t>ą</w:t>
      </w:r>
      <w:r w:rsidRPr="00975CA4">
        <w:rPr>
          <w:rFonts w:ascii="Times New Roman" w:eastAsia="SimSun" w:hAnsi="Times New Roman" w:cs="Times New Roman"/>
          <w:color w:val="000000"/>
          <w:u w:val="single"/>
          <w:lang w:eastAsia="ar-SA"/>
        </w:rPr>
        <w:t>veika</w:t>
      </w:r>
    </w:p>
    <w:p w14:paraId="78AC6A03"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yra </w:t>
      </w:r>
      <w:proofErr w:type="spellStart"/>
      <w:r w:rsidRPr="00975CA4">
        <w:rPr>
          <w:rFonts w:ascii="Times New Roman" w:eastAsia="SimSun" w:hAnsi="Times New Roman" w:cs="Times New Roman"/>
          <w:color w:val="000000"/>
          <w:lang w:eastAsia="ar-SA"/>
        </w:rPr>
        <w:t>citochromo</w:t>
      </w:r>
      <w:proofErr w:type="spellEnd"/>
      <w:r w:rsidRPr="00975CA4">
        <w:rPr>
          <w:rFonts w:ascii="Times New Roman" w:eastAsia="SimSun" w:hAnsi="Times New Roman" w:cs="Times New Roman"/>
          <w:color w:val="000000"/>
          <w:lang w:eastAsia="ar-SA"/>
        </w:rPr>
        <w:t xml:space="preserve"> P450 (CYP) 3A4 substratas ir inhibitorius, tod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l galima jo s</w:t>
      </w:r>
      <w:r w:rsidRPr="00975CA4">
        <w:rPr>
          <w:rFonts w:ascii="Times New Roman" w:eastAsia="MS Mincho" w:hAnsi="Times New Roman" w:cs="Times New Roman"/>
          <w:color w:val="000000"/>
          <w:lang w:eastAsia="ar-SA"/>
        </w:rPr>
        <w:t>ą</w:t>
      </w:r>
      <w:r w:rsidRPr="00975CA4">
        <w:rPr>
          <w:rFonts w:ascii="Times New Roman" w:eastAsia="SimSun" w:hAnsi="Times New Roman" w:cs="Times New Roman"/>
          <w:color w:val="000000"/>
          <w:lang w:eastAsia="ar-SA"/>
        </w:rPr>
        <w:t xml:space="preserve">veika su derinyje vartojamais vaistiniais preparatais, kuriuos daugiausia </w:t>
      </w:r>
      <w:proofErr w:type="spellStart"/>
      <w:r w:rsidRPr="00975CA4">
        <w:rPr>
          <w:rFonts w:ascii="Times New Roman" w:eastAsia="SimSun" w:hAnsi="Times New Roman" w:cs="Times New Roman"/>
          <w:color w:val="000000"/>
          <w:lang w:eastAsia="ar-SA"/>
        </w:rPr>
        <w:t>metabolizuoja</w:t>
      </w:r>
      <w:proofErr w:type="spellEnd"/>
      <w:r w:rsidRPr="00975CA4">
        <w:rPr>
          <w:rFonts w:ascii="Times New Roman" w:eastAsia="SimSun" w:hAnsi="Times New Roman" w:cs="Times New Roman"/>
          <w:color w:val="000000"/>
          <w:lang w:eastAsia="ar-SA"/>
        </w:rPr>
        <w:t xml:space="preserve"> CYP3A4, arba kurie moduliuoja šio fermento aktyvum</w:t>
      </w:r>
      <w:r w:rsidRPr="00975CA4">
        <w:rPr>
          <w:rFonts w:ascii="Times New Roman" w:eastAsia="MS Mincho" w:hAnsi="Times New Roman" w:cs="Times New Roman"/>
          <w:color w:val="000000"/>
          <w:lang w:eastAsia="ar-SA"/>
        </w:rPr>
        <w:t>ą</w:t>
      </w:r>
      <w:r w:rsidRPr="00975CA4">
        <w:rPr>
          <w:rFonts w:ascii="Times New Roman" w:eastAsia="SimSun" w:hAnsi="Times New Roman" w:cs="Times New Roman"/>
          <w:color w:val="000000"/>
          <w:lang w:eastAsia="ar-SA"/>
        </w:rPr>
        <w:t xml:space="preserve"> (</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r. 4.5 skyri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w:t>
      </w:r>
    </w:p>
    <w:p w14:paraId="096BE064"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0A8C1401"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Derinyje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vartojant vaistini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preparat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ar kit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med</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iag</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galinči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slopinti CYP3A4 (pvz., </w:t>
      </w:r>
      <w:proofErr w:type="spellStart"/>
      <w:r w:rsidRPr="00975CA4">
        <w:rPr>
          <w:rFonts w:ascii="Times New Roman" w:eastAsia="SimSun" w:hAnsi="Times New Roman" w:cs="Times New Roman"/>
          <w:color w:val="000000"/>
          <w:lang w:eastAsia="ar-SA"/>
        </w:rPr>
        <w:t>ketokonazol</w:t>
      </w:r>
      <w:r w:rsidRPr="00975CA4">
        <w:rPr>
          <w:rFonts w:ascii="Times New Roman" w:eastAsia="MS Mincho" w:hAnsi="Times New Roman" w:cs="Times New Roman"/>
          <w:color w:val="000000"/>
          <w:lang w:eastAsia="ar-SA"/>
        </w:rPr>
        <w:t>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itrakonazol</w:t>
      </w:r>
      <w:r w:rsidRPr="00975CA4">
        <w:rPr>
          <w:rFonts w:ascii="Times New Roman" w:eastAsia="MS Mincho" w:hAnsi="Times New Roman" w:cs="Times New Roman"/>
          <w:color w:val="000000"/>
          <w:lang w:eastAsia="ar-SA"/>
        </w:rPr>
        <w:t>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eritromicin</w:t>
      </w:r>
      <w:r w:rsidRPr="00975CA4">
        <w:rPr>
          <w:rFonts w:ascii="Times New Roman" w:eastAsia="MS Mincho" w:hAnsi="Times New Roman" w:cs="Times New Roman"/>
          <w:color w:val="000000"/>
          <w:lang w:eastAsia="ar-SA"/>
        </w:rPr>
        <w:t>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klaritromicin</w:t>
      </w:r>
      <w:r w:rsidRPr="00975CA4">
        <w:rPr>
          <w:rFonts w:ascii="Times New Roman" w:eastAsia="MS Mincho" w:hAnsi="Times New Roman" w:cs="Times New Roman"/>
          <w:color w:val="000000"/>
          <w:lang w:eastAsia="ar-SA"/>
        </w:rPr>
        <w:t>o</w:t>
      </w:r>
      <w:proofErr w:type="spellEnd"/>
      <w:r w:rsidRPr="00975CA4">
        <w:rPr>
          <w:rFonts w:ascii="Times New Roman" w:eastAsia="SimSun" w:hAnsi="Times New Roman" w:cs="Times New Roman"/>
          <w:color w:val="000000"/>
          <w:lang w:eastAsia="ar-SA"/>
        </w:rPr>
        <w:t>, ritonavir</w:t>
      </w:r>
      <w:r w:rsidRPr="00975CA4">
        <w:rPr>
          <w:rFonts w:ascii="Times New Roman" w:eastAsia="MS Mincho" w:hAnsi="Times New Roman" w:cs="Times New Roman"/>
          <w:color w:val="000000"/>
          <w:lang w:eastAsia="ar-SA"/>
        </w:rPr>
        <w:t>o</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telitromicin</w:t>
      </w:r>
      <w:r w:rsidRPr="00975CA4">
        <w:rPr>
          <w:rFonts w:ascii="Times New Roman" w:eastAsia="MS Mincho" w:hAnsi="Times New Roman" w:cs="Times New Roman"/>
          <w:color w:val="000000"/>
          <w:lang w:eastAsia="ar-SA"/>
        </w:rPr>
        <w:t>o</w:t>
      </w:r>
      <w:proofErr w:type="spellEnd"/>
      <w:r w:rsidRPr="00975CA4">
        <w:rPr>
          <w:rFonts w:ascii="Times New Roman" w:eastAsia="SimSun" w:hAnsi="Times New Roman" w:cs="Times New Roman"/>
          <w:color w:val="000000"/>
          <w:lang w:eastAsia="ar-SA"/>
        </w:rPr>
        <w:t>, greipfrut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sulči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gali did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ti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ekspozicija. 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l to vaistini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preparat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kurie stipriai slopina CYP3A4, derinyje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vartoti nerekomenduojama (</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r. 4.5 skyri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w:t>
      </w:r>
    </w:p>
    <w:p w14:paraId="3AE81C44"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7591357D"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Derinyje vartojant vaistinių preparatų, kurie indukuoja CYP3A4 (pvz., </w:t>
      </w:r>
      <w:proofErr w:type="spellStart"/>
      <w:r w:rsidRPr="00975CA4">
        <w:rPr>
          <w:rFonts w:ascii="Times New Roman" w:eastAsia="SimSun" w:hAnsi="Times New Roman" w:cs="Times New Roman"/>
          <w:color w:val="000000"/>
          <w:lang w:eastAsia="ar-SA"/>
        </w:rPr>
        <w:t>deksametazon</w:t>
      </w:r>
      <w:r w:rsidRPr="00975CA4">
        <w:rPr>
          <w:rFonts w:ascii="Times New Roman" w:eastAsia="MS Mincho" w:hAnsi="Times New Roman" w:cs="Times New Roman"/>
          <w:color w:val="000000"/>
          <w:lang w:eastAsia="ar-SA"/>
        </w:rPr>
        <w:t>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fenitoin</w:t>
      </w:r>
      <w:r w:rsidRPr="00975CA4">
        <w:rPr>
          <w:rFonts w:ascii="Times New Roman" w:eastAsia="MS Mincho" w:hAnsi="Times New Roman" w:cs="Times New Roman"/>
          <w:color w:val="000000"/>
          <w:lang w:eastAsia="ar-SA"/>
        </w:rPr>
        <w:t>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karbamazepin</w:t>
      </w:r>
      <w:r w:rsidRPr="00975CA4">
        <w:rPr>
          <w:rFonts w:ascii="Times New Roman" w:eastAsia="MS Mincho" w:hAnsi="Times New Roman" w:cs="Times New Roman"/>
          <w:color w:val="000000"/>
          <w:lang w:eastAsia="ar-SA"/>
        </w:rPr>
        <w:t>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rifampicin</w:t>
      </w:r>
      <w:r w:rsidRPr="00975CA4">
        <w:rPr>
          <w:rFonts w:ascii="Times New Roman" w:eastAsia="MS Mincho" w:hAnsi="Times New Roman" w:cs="Times New Roman"/>
          <w:color w:val="000000"/>
          <w:lang w:eastAsia="ar-SA"/>
        </w:rPr>
        <w:t>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fenobarbital</w:t>
      </w:r>
      <w:r w:rsidRPr="00975CA4">
        <w:rPr>
          <w:rFonts w:ascii="Times New Roman" w:eastAsia="MS Mincho" w:hAnsi="Times New Roman" w:cs="Times New Roman"/>
          <w:color w:val="000000"/>
          <w:lang w:eastAsia="ar-SA"/>
        </w:rPr>
        <w:t>io</w:t>
      </w:r>
      <w:proofErr w:type="spellEnd"/>
      <w:r w:rsidRPr="00975CA4">
        <w:rPr>
          <w:rFonts w:ascii="Times New Roman" w:eastAsia="SimSun" w:hAnsi="Times New Roman" w:cs="Times New Roman"/>
          <w:color w:val="000000"/>
          <w:lang w:eastAsia="ar-SA"/>
        </w:rPr>
        <w:t xml:space="preserve"> ar </w:t>
      </w:r>
      <w:proofErr w:type="spellStart"/>
      <w:r w:rsidRPr="00975CA4">
        <w:rPr>
          <w:rFonts w:ascii="Times New Roman" w:eastAsia="SimSun" w:hAnsi="Times New Roman" w:cs="Times New Roman"/>
          <w:color w:val="000000"/>
          <w:lang w:eastAsia="ar-SA"/>
        </w:rPr>
        <w:t>vaistažolinių</w:t>
      </w:r>
      <w:proofErr w:type="spellEnd"/>
      <w:r w:rsidRPr="00975CA4">
        <w:rPr>
          <w:rFonts w:ascii="Times New Roman" w:eastAsia="SimSun" w:hAnsi="Times New Roman" w:cs="Times New Roman"/>
          <w:color w:val="000000"/>
          <w:lang w:eastAsia="ar-SA"/>
        </w:rPr>
        <w:t xml:space="preserve"> preparatų, kuri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sud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tyje yra </w:t>
      </w:r>
      <w:proofErr w:type="spellStart"/>
      <w:r w:rsidRPr="00975CA4">
        <w:rPr>
          <w:rFonts w:ascii="Times New Roman" w:eastAsia="SimSun" w:hAnsi="Times New Roman" w:cs="Times New Roman"/>
          <w:i/>
          <w:iCs/>
          <w:color w:val="000000"/>
          <w:lang w:eastAsia="ar-SA"/>
        </w:rPr>
        <w:t>Hypericum</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perforatum</w:t>
      </w:r>
      <w:proofErr w:type="spellEnd"/>
      <w:r w:rsidRPr="00975CA4">
        <w:rPr>
          <w:rFonts w:ascii="Times New Roman" w:eastAsia="SimSun" w:hAnsi="Times New Roman" w:cs="Times New Roman"/>
          <w:color w:val="000000"/>
          <w:lang w:eastAsia="ar-SA"/>
        </w:rPr>
        <w:t>, taip pat žinomo kaip jona</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olė), gali gerokai suma</w:t>
      </w:r>
      <w:r w:rsidRPr="00975CA4">
        <w:rPr>
          <w:rFonts w:ascii="Times New Roman" w:eastAsia="MS Mincho" w:hAnsi="Times New Roman" w:cs="Times New Roman"/>
          <w:color w:val="000000"/>
          <w:lang w:eastAsia="ar-SA"/>
        </w:rPr>
        <w:t>žė</w:t>
      </w:r>
      <w:r w:rsidRPr="00975CA4">
        <w:rPr>
          <w:rFonts w:ascii="Times New Roman" w:eastAsia="SimSun" w:hAnsi="Times New Roman" w:cs="Times New Roman"/>
          <w:color w:val="000000"/>
          <w:lang w:eastAsia="ar-SA"/>
        </w:rPr>
        <w:t xml:space="preserve">ti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ekspozicija ir padid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ti gydymo neveiksmingumo rizika. 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l to vartojimui derinyje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reikia parinkti tokių kitų vaistinių preparatų, kuri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pajėgumas indukuoti CYP3A4 yra ma</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esn</w:t>
      </w:r>
      <w:r w:rsidRPr="00975CA4">
        <w:rPr>
          <w:rFonts w:ascii="Times New Roman" w:eastAsia="MS Mincho" w:hAnsi="Times New Roman" w:cs="Times New Roman"/>
          <w:color w:val="000000"/>
          <w:lang w:eastAsia="ar-SA"/>
        </w:rPr>
        <w:t>is</w:t>
      </w:r>
      <w:r w:rsidRPr="00975CA4">
        <w:rPr>
          <w:rFonts w:ascii="Times New Roman" w:eastAsia="SimSun" w:hAnsi="Times New Roman" w:cs="Times New Roman"/>
          <w:color w:val="000000"/>
          <w:lang w:eastAsia="ar-SA"/>
        </w:rPr>
        <w:t xml:space="preserve"> (</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r. 4.5 skyri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w:t>
      </w:r>
    </w:p>
    <w:p w14:paraId="5EBE05FA"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3AF8348B" w14:textId="1D178F65" w:rsidR="00B436E7" w:rsidRPr="00975CA4" w:rsidRDefault="00B436E7" w:rsidP="00B436E7">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vartojant derinyje su CYP3A4 substrat</w:t>
      </w:r>
      <w:r w:rsidRPr="00975CA4">
        <w:rPr>
          <w:rFonts w:ascii="Times New Roman" w:eastAsia="MS Mincho" w:hAnsi="Times New Roman" w:cs="Times New Roman"/>
          <w:color w:val="000000"/>
          <w:lang w:eastAsia="ar-SA"/>
        </w:rPr>
        <w:t>u</w:t>
      </w:r>
      <w:r w:rsidRPr="00975CA4">
        <w:rPr>
          <w:rFonts w:ascii="Times New Roman" w:eastAsia="SimSun" w:hAnsi="Times New Roman" w:cs="Times New Roman"/>
          <w:color w:val="000000"/>
          <w:lang w:eastAsia="ar-SA"/>
        </w:rPr>
        <w:t xml:space="preserve"> gali padid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ti CYP3A4 substrat</w:t>
      </w:r>
      <w:r w:rsidRPr="00975CA4">
        <w:rPr>
          <w:rFonts w:ascii="Times New Roman" w:eastAsia="MS Mincho" w:hAnsi="Times New Roman" w:cs="Times New Roman"/>
          <w:color w:val="000000"/>
          <w:lang w:eastAsia="ar-SA"/>
        </w:rPr>
        <w:t>o</w:t>
      </w:r>
      <w:r w:rsidRPr="00975CA4">
        <w:rPr>
          <w:rFonts w:ascii="Times New Roman" w:eastAsia="SimSun" w:hAnsi="Times New Roman" w:cs="Times New Roman"/>
          <w:color w:val="000000"/>
          <w:lang w:eastAsia="ar-SA"/>
        </w:rPr>
        <w:t xml:space="preserve"> ekspozicija. 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l to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vartojant derinyje su CYP3A4 substratais, kuri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terapinis indeksas siauras (pvz., </w:t>
      </w:r>
      <w:proofErr w:type="spellStart"/>
      <w:r w:rsidRPr="00975CA4">
        <w:rPr>
          <w:rFonts w:ascii="Times New Roman" w:eastAsia="SimSun" w:hAnsi="Times New Roman" w:cs="Times New Roman"/>
          <w:color w:val="000000"/>
          <w:lang w:eastAsia="ar-SA"/>
        </w:rPr>
        <w:t>astemizolu</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terfenadinu</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cisapridu</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pimozidu</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chinidinu</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bepridilu</w:t>
      </w:r>
      <w:proofErr w:type="spellEnd"/>
      <w:r w:rsidRPr="00975CA4">
        <w:rPr>
          <w:rFonts w:ascii="Times New Roman" w:eastAsia="SimSun" w:hAnsi="Times New Roman" w:cs="Times New Roman"/>
          <w:color w:val="000000"/>
          <w:lang w:eastAsia="ar-SA"/>
        </w:rPr>
        <w:t xml:space="preserve"> ar skalsi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alkaloidais </w:t>
      </w:r>
      <w:r w:rsidR="00E2221E" w:rsidRPr="00975CA4">
        <w:rPr>
          <w:rFonts w:ascii="Times New Roman" w:eastAsia="SimSun" w:hAnsi="Times New Roman" w:cs="Times New Roman"/>
          <w:color w:val="000000"/>
          <w:lang w:eastAsia="ar-SA"/>
        </w:rPr>
        <w:t>(</w:t>
      </w:r>
      <w:proofErr w:type="spellStart"/>
      <w:r w:rsidRPr="00975CA4">
        <w:rPr>
          <w:rFonts w:ascii="Times New Roman" w:eastAsia="SimSun" w:hAnsi="Times New Roman" w:cs="Times New Roman"/>
          <w:color w:val="000000"/>
          <w:lang w:eastAsia="ar-SA"/>
        </w:rPr>
        <w:t>ergotaminu</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dihidroergotaminu</w:t>
      </w:r>
      <w:proofErr w:type="spellEnd"/>
      <w:r w:rsidR="00E2221E"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 reikalingas atsargumas (</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r. 4.5 skyri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w:t>
      </w:r>
    </w:p>
    <w:p w14:paraId="5F04817A"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4AE7FC03" w14:textId="2BE4C4AC" w:rsidR="00B436E7" w:rsidRPr="00975CA4" w:rsidRDefault="00B436E7" w:rsidP="00B436E7">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vartojant derinyje su histamino-2 (H</w:t>
      </w:r>
      <w:r w:rsidRPr="00975CA4">
        <w:rPr>
          <w:rFonts w:ascii="Times New Roman" w:eastAsia="SimSun" w:hAnsi="Times New Roman" w:cs="Times New Roman"/>
          <w:color w:val="000000"/>
          <w:vertAlign w:val="subscript"/>
          <w:lang w:eastAsia="ar-SA"/>
        </w:rPr>
        <w:t>2</w:t>
      </w:r>
      <w:r w:rsidRPr="00975CA4">
        <w:rPr>
          <w:rFonts w:ascii="Times New Roman" w:eastAsia="SimSun" w:hAnsi="Times New Roman" w:cs="Times New Roman"/>
          <w:color w:val="000000"/>
          <w:lang w:eastAsia="ar-SA"/>
        </w:rPr>
        <w:t>) antagonist</w:t>
      </w:r>
      <w:r w:rsidRPr="00975CA4">
        <w:rPr>
          <w:rFonts w:ascii="Times New Roman" w:eastAsia="MS Mincho" w:hAnsi="Times New Roman" w:cs="Times New Roman"/>
          <w:color w:val="000000"/>
          <w:lang w:eastAsia="ar-SA"/>
        </w:rPr>
        <w:t>u</w:t>
      </w:r>
      <w:r w:rsidRPr="00975CA4">
        <w:rPr>
          <w:rFonts w:ascii="Times New Roman" w:eastAsia="SimSun" w:hAnsi="Times New Roman" w:cs="Times New Roman"/>
          <w:color w:val="000000"/>
          <w:lang w:eastAsia="ar-SA"/>
        </w:rPr>
        <w:t xml:space="preserve"> (pvz., </w:t>
      </w:r>
      <w:proofErr w:type="spellStart"/>
      <w:r w:rsidRPr="00975CA4">
        <w:rPr>
          <w:rFonts w:ascii="Times New Roman" w:eastAsia="SimSun" w:hAnsi="Times New Roman" w:cs="Times New Roman"/>
          <w:color w:val="000000"/>
          <w:lang w:eastAsia="ar-SA"/>
        </w:rPr>
        <w:t>famotidin</w:t>
      </w:r>
      <w:r w:rsidRPr="00975CA4">
        <w:rPr>
          <w:rFonts w:ascii="Times New Roman" w:eastAsia="MS Mincho" w:hAnsi="Times New Roman" w:cs="Times New Roman"/>
          <w:color w:val="000000"/>
          <w:lang w:eastAsia="ar-SA"/>
        </w:rPr>
        <w:t>u</w:t>
      </w:r>
      <w:proofErr w:type="spellEnd"/>
      <w:r w:rsidRPr="00975CA4">
        <w:rPr>
          <w:rFonts w:ascii="Times New Roman" w:eastAsia="SimSun" w:hAnsi="Times New Roman" w:cs="Times New Roman"/>
          <w:color w:val="000000"/>
          <w:lang w:eastAsia="ar-SA"/>
        </w:rPr>
        <w:t>), proton</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siurblio inhibitoriumi (pvz., </w:t>
      </w:r>
      <w:proofErr w:type="spellStart"/>
      <w:r w:rsidRPr="00975CA4">
        <w:rPr>
          <w:rFonts w:ascii="Times New Roman" w:eastAsia="SimSun" w:hAnsi="Times New Roman" w:cs="Times New Roman"/>
          <w:color w:val="000000"/>
          <w:lang w:eastAsia="ar-SA"/>
        </w:rPr>
        <w:t>omeprazol</w:t>
      </w:r>
      <w:r w:rsidRPr="00975CA4">
        <w:rPr>
          <w:rFonts w:ascii="Times New Roman" w:eastAsia="MS Mincho" w:hAnsi="Times New Roman" w:cs="Times New Roman"/>
          <w:color w:val="000000"/>
          <w:lang w:eastAsia="ar-SA"/>
        </w:rPr>
        <w:t>u</w:t>
      </w:r>
      <w:proofErr w:type="spellEnd"/>
      <w:r w:rsidRPr="00975CA4">
        <w:rPr>
          <w:rFonts w:ascii="Times New Roman" w:eastAsia="SimSun" w:hAnsi="Times New Roman" w:cs="Times New Roman"/>
          <w:color w:val="000000"/>
          <w:lang w:eastAsia="ar-SA"/>
        </w:rPr>
        <w:t>), aliuminio hidroksid</w:t>
      </w:r>
      <w:r w:rsidRPr="00975CA4">
        <w:rPr>
          <w:rFonts w:ascii="Times New Roman" w:eastAsia="MS Mincho" w:hAnsi="Times New Roman" w:cs="Times New Roman"/>
          <w:color w:val="000000"/>
          <w:lang w:eastAsia="ar-SA"/>
        </w:rPr>
        <w:t>o ir</w:t>
      </w:r>
      <w:r w:rsidRPr="00975CA4">
        <w:rPr>
          <w:rFonts w:ascii="Times New Roman" w:eastAsia="SimSun" w:hAnsi="Times New Roman" w:cs="Times New Roman"/>
          <w:color w:val="000000"/>
          <w:lang w:eastAsia="ar-SA"/>
        </w:rPr>
        <w:t xml:space="preserve"> magnio hidroksid</w:t>
      </w:r>
      <w:r w:rsidRPr="00975CA4">
        <w:rPr>
          <w:rFonts w:ascii="Times New Roman" w:eastAsia="MS Mincho" w:hAnsi="Times New Roman" w:cs="Times New Roman"/>
          <w:color w:val="000000"/>
          <w:lang w:eastAsia="ar-SA"/>
        </w:rPr>
        <w:t>o deriniu</w:t>
      </w:r>
      <w:r w:rsidRPr="00975CA4">
        <w:rPr>
          <w:rFonts w:ascii="Times New Roman" w:eastAsia="SimSun" w:hAnsi="Times New Roman" w:cs="Times New Roman"/>
          <w:color w:val="000000"/>
          <w:lang w:eastAsia="ar-SA"/>
        </w:rPr>
        <w:t>, gali suma</w:t>
      </w:r>
      <w:r w:rsidRPr="00975CA4">
        <w:rPr>
          <w:rFonts w:ascii="Times New Roman" w:eastAsia="MS Mincho" w:hAnsi="Times New Roman" w:cs="Times New Roman"/>
          <w:color w:val="000000"/>
          <w:lang w:eastAsia="ar-SA"/>
        </w:rPr>
        <w:t>žė</w:t>
      </w:r>
      <w:r w:rsidRPr="00975CA4">
        <w:rPr>
          <w:rFonts w:ascii="Times New Roman" w:eastAsia="SimSun" w:hAnsi="Times New Roman" w:cs="Times New Roman"/>
          <w:color w:val="000000"/>
          <w:lang w:eastAsia="ar-SA"/>
        </w:rPr>
        <w:t xml:space="preserve">ti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ekspozicija. 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l to H</w:t>
      </w:r>
      <w:r w:rsidRPr="00975CA4">
        <w:rPr>
          <w:rFonts w:ascii="Times New Roman" w:eastAsia="SimSun" w:hAnsi="Times New Roman" w:cs="Times New Roman"/>
          <w:color w:val="000000"/>
          <w:vertAlign w:val="subscript"/>
          <w:lang w:eastAsia="ar-SA"/>
        </w:rPr>
        <w:t>2</w:t>
      </w:r>
      <w:r w:rsidRPr="00975CA4">
        <w:rPr>
          <w:rFonts w:ascii="Times New Roman" w:eastAsia="SimSun" w:hAnsi="Times New Roman" w:cs="Times New Roman"/>
          <w:color w:val="000000"/>
          <w:lang w:eastAsia="ar-SA"/>
        </w:rPr>
        <w:t xml:space="preserve"> antagonist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ir proton</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siurblio inhibitori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w:t>
      </w:r>
      <w:r w:rsidR="00934FA2" w:rsidRPr="00975CA4">
        <w:rPr>
          <w:rFonts w:ascii="Times New Roman" w:eastAsia="SimSun" w:hAnsi="Times New Roman" w:cs="Times New Roman"/>
          <w:color w:val="000000"/>
          <w:lang w:eastAsia="ar-SA"/>
        </w:rPr>
        <w:t xml:space="preserve">derinyje </w:t>
      </w:r>
      <w:r w:rsidRPr="00975CA4">
        <w:rPr>
          <w:rFonts w:ascii="Times New Roman" w:eastAsia="SimSun" w:hAnsi="Times New Roman" w:cs="Times New Roman"/>
          <w:color w:val="000000"/>
          <w:lang w:eastAsia="ar-SA"/>
        </w:rPr>
        <w:t xml:space="preserve">su šiuo vaistiniu </w:t>
      </w:r>
      <w:r w:rsidRPr="00975CA4">
        <w:rPr>
          <w:rFonts w:ascii="Times New Roman" w:eastAsia="SimSun" w:hAnsi="Times New Roman" w:cs="Times New Roman"/>
          <w:color w:val="000000"/>
          <w:lang w:eastAsia="ar-SA"/>
        </w:rPr>
        <w:lastRenderedPageBreak/>
        <w:t>preparatu vartoti nerekomenduojama ir aliuminio hidroksido bei magnio hidroksido derinio preparat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turi būti geriama iki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vartojimo likus ne mažiau kaip 2</w:t>
      </w:r>
      <w:r w:rsidR="00623C70"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val. arba praėjus 2 valandoms po jo suvartojimo (</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r. 4.5 skyri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w:t>
      </w:r>
    </w:p>
    <w:p w14:paraId="40BBDF00"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0266C9A9"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Ypatingos populiacijos</w:t>
      </w:r>
    </w:p>
    <w:p w14:paraId="3C5316E3"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Remiantis vienkartin</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s doz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s farmakokinetikos tyrimo duomenimis, pacientams, kuriems yra lengvas, vidutinio sunkumo ar sunkus kepen</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funkcijos sutrikimas, galima vartoti rekomenduojam</w:t>
      </w:r>
      <w:r w:rsidRPr="00975CA4">
        <w:rPr>
          <w:rFonts w:ascii="Times New Roman" w:eastAsia="MS Mincho" w:hAnsi="Times New Roman" w:cs="Times New Roman"/>
          <w:color w:val="000000"/>
          <w:lang w:eastAsia="ar-SA"/>
        </w:rPr>
        <w:t xml:space="preserve">ą </w:t>
      </w:r>
      <w:r w:rsidRPr="00975CA4">
        <w:rPr>
          <w:rFonts w:ascii="Times New Roman" w:eastAsia="SimSun" w:hAnsi="Times New Roman" w:cs="Times New Roman"/>
          <w:color w:val="000000"/>
          <w:lang w:eastAsia="ar-SA"/>
        </w:rPr>
        <w:t>pradin</w:t>
      </w:r>
      <w:r w:rsidRPr="00975CA4">
        <w:rPr>
          <w:rFonts w:ascii="Times New Roman" w:eastAsia="MS Mincho" w:hAnsi="Times New Roman" w:cs="Times New Roman"/>
          <w:color w:val="000000"/>
          <w:lang w:eastAsia="ar-SA"/>
        </w:rPr>
        <w:t>ę</w:t>
      </w:r>
      <w:r w:rsidRPr="00975CA4">
        <w:rPr>
          <w:rFonts w:ascii="Times New Roman" w:eastAsia="SimSun" w:hAnsi="Times New Roman" w:cs="Times New Roman"/>
          <w:color w:val="000000"/>
          <w:lang w:eastAsia="ar-SA"/>
        </w:rPr>
        <w:t xml:space="preserve"> doz</w:t>
      </w:r>
      <w:r w:rsidRPr="00975CA4">
        <w:rPr>
          <w:rFonts w:ascii="Times New Roman" w:eastAsia="MS Mincho" w:hAnsi="Times New Roman" w:cs="Times New Roman"/>
          <w:color w:val="000000"/>
          <w:lang w:eastAsia="ar-SA"/>
        </w:rPr>
        <w:t>ę</w:t>
      </w:r>
      <w:r w:rsidRPr="00975CA4">
        <w:rPr>
          <w:rFonts w:ascii="Times New Roman" w:eastAsia="SimSun" w:hAnsi="Times New Roman" w:cs="Times New Roman"/>
          <w:color w:val="000000"/>
          <w:lang w:eastAsia="ar-SA"/>
        </w:rPr>
        <w:t xml:space="preserve"> (</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r. 5.2 skyrių). 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l šio klinikinio tyrimo trūkumų, pacientams, kuriems yra kepen</w:t>
      </w:r>
      <w:r w:rsidRPr="00975CA4">
        <w:rPr>
          <w:rFonts w:ascii="Times New Roman" w:eastAsia="MS Mincho" w:hAnsi="Times New Roman" w:cs="Times New Roman"/>
          <w:color w:val="000000"/>
          <w:lang w:eastAsia="ar-SA"/>
        </w:rPr>
        <w:t>ų funkcijos</w:t>
      </w:r>
      <w:r w:rsidRPr="00975CA4">
        <w:rPr>
          <w:rFonts w:ascii="Times New Roman" w:eastAsia="SimSun" w:hAnsi="Times New Roman" w:cs="Times New Roman"/>
          <w:color w:val="000000"/>
          <w:lang w:eastAsia="ar-SA"/>
        </w:rPr>
        <w:t xml:space="preserve"> sutrikimas, skiriant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rekomenduojama laikytis atsargumo.</w:t>
      </w:r>
    </w:p>
    <w:p w14:paraId="5AA1C8AC"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0B9C66E6" w14:textId="77777777" w:rsidR="00B436E7" w:rsidRPr="00975CA4" w:rsidRDefault="00B436E7" w:rsidP="00B436E7">
      <w:pPr>
        <w:suppressAutoHyphens/>
        <w:spacing w:after="0" w:line="240" w:lineRule="auto"/>
        <w:rPr>
          <w:rFonts w:ascii="Times New Roman" w:eastAsia="SimSun" w:hAnsi="Times New Roman" w:cs="Times New Roman"/>
          <w:i/>
          <w:iCs/>
          <w:color w:val="000000"/>
          <w:u w:val="single"/>
          <w:lang w:eastAsia="ar-SA"/>
        </w:rPr>
      </w:pPr>
      <w:r w:rsidRPr="00975CA4">
        <w:rPr>
          <w:rFonts w:ascii="Times New Roman" w:eastAsia="SimSun" w:hAnsi="Times New Roman" w:cs="Times New Roman"/>
          <w:color w:val="000000"/>
          <w:u w:val="single"/>
          <w:lang w:eastAsia="ar-SA"/>
        </w:rPr>
        <w:t>Svarbios nepageidaujamos reakcijos</w:t>
      </w:r>
    </w:p>
    <w:p w14:paraId="0A243510"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iCs/>
          <w:color w:val="000000"/>
          <w:lang w:eastAsia="ar-SA"/>
        </w:rPr>
        <w:t>Kaulų čiulpų slopinimas</w:t>
      </w:r>
    </w:p>
    <w:p w14:paraId="2A14606F" w14:textId="3FAD6D94" w:rsidR="00B436E7" w:rsidRPr="00975CA4" w:rsidRDefault="00B436E7" w:rsidP="00B436E7">
      <w:pPr>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color w:val="000000"/>
          <w:lang w:eastAsia="ar-SA"/>
        </w:rPr>
        <w:t xml:space="preserve">Gydymas </w:t>
      </w:r>
      <w:proofErr w:type="spellStart"/>
      <w:r w:rsidRPr="00975CA4">
        <w:rPr>
          <w:rFonts w:ascii="Times New Roman" w:eastAsia="SimSun" w:hAnsi="Times New Roman" w:cs="Times New Roman"/>
          <w:color w:val="000000"/>
          <w:lang w:eastAsia="ar-SA"/>
        </w:rPr>
        <w:t>dazatinib</w:t>
      </w:r>
      <w:r w:rsidRPr="00975CA4">
        <w:rPr>
          <w:rFonts w:ascii="Times New Roman" w:eastAsia="MS Mincho" w:hAnsi="Times New Roman" w:cs="Times New Roman"/>
          <w:color w:val="000000"/>
          <w:lang w:eastAsia="ar-SA"/>
        </w:rPr>
        <w:t>u</w:t>
      </w:r>
      <w:proofErr w:type="spellEnd"/>
      <w:r w:rsidRPr="00975CA4">
        <w:rPr>
          <w:rFonts w:ascii="Times New Roman" w:eastAsia="MS Mincho" w:hAnsi="Times New Roman" w:cs="Times New Roman"/>
          <w:color w:val="000000"/>
          <w:lang w:eastAsia="ar-SA"/>
        </w:rPr>
        <w:t xml:space="preserve"> yra susijęs su</w:t>
      </w:r>
      <w:r w:rsidRPr="00975CA4">
        <w:rPr>
          <w:rFonts w:ascii="Times New Roman" w:eastAsia="SimSun" w:hAnsi="Times New Roman" w:cs="Times New Roman"/>
          <w:color w:val="000000"/>
          <w:lang w:eastAsia="ar-SA"/>
        </w:rPr>
        <w:t xml:space="preserve"> anemija, </w:t>
      </w:r>
      <w:proofErr w:type="spellStart"/>
      <w:r w:rsidRPr="00975CA4">
        <w:rPr>
          <w:rFonts w:ascii="Times New Roman" w:eastAsia="SimSun" w:hAnsi="Times New Roman" w:cs="Times New Roman"/>
          <w:color w:val="000000"/>
          <w:lang w:eastAsia="ar-SA"/>
        </w:rPr>
        <w:t>neutropenija</w:t>
      </w:r>
      <w:proofErr w:type="spellEnd"/>
      <w:r w:rsidRPr="00975CA4">
        <w:rPr>
          <w:rFonts w:ascii="Times New Roman" w:eastAsia="SimSun" w:hAnsi="Times New Roman" w:cs="Times New Roman"/>
          <w:color w:val="000000"/>
          <w:lang w:eastAsia="ar-SA"/>
        </w:rPr>
        <w:t xml:space="preserve"> ir </w:t>
      </w:r>
      <w:proofErr w:type="spellStart"/>
      <w:r w:rsidRPr="00975CA4">
        <w:rPr>
          <w:rFonts w:ascii="Times New Roman" w:eastAsia="SimSun" w:hAnsi="Times New Roman" w:cs="Times New Roman"/>
          <w:color w:val="000000"/>
          <w:lang w:eastAsia="ar-SA"/>
        </w:rPr>
        <w:t>trombocitopenija</w:t>
      </w:r>
      <w:proofErr w:type="spellEnd"/>
      <w:r w:rsidRPr="00975CA4">
        <w:rPr>
          <w:rFonts w:ascii="Times New Roman" w:eastAsia="SimSun" w:hAnsi="Times New Roman" w:cs="Times New Roman"/>
          <w:color w:val="000000"/>
          <w:lang w:eastAsia="ar-SA"/>
        </w:rPr>
        <w:t xml:space="preserve"> (progresavusia LML arba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w:t>
      </w:r>
      <w:r w:rsidRPr="00975CA4">
        <w:rPr>
          <w:rFonts w:ascii="Times New Roman" w:eastAsia="MS Mincho" w:hAnsi="Times New Roman" w:cs="Times New Roman"/>
          <w:color w:val="000000"/>
          <w:lang w:eastAsia="ar-SA"/>
        </w:rPr>
        <w:t>Ū</w:t>
      </w:r>
      <w:r w:rsidRPr="00975CA4">
        <w:rPr>
          <w:rFonts w:ascii="Times New Roman" w:eastAsia="SimSun" w:hAnsi="Times New Roman" w:cs="Times New Roman"/>
          <w:color w:val="000000"/>
          <w:lang w:eastAsia="ar-SA"/>
        </w:rPr>
        <w:t>LL sergantiems pacientams anksčiau ir da</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niau negu pacientams, kuriems yra lėtinė LML fazė). Suaugusiesiems pacientams, kuriems yra progresavusi LML faz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arba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w:t>
      </w:r>
      <w:r w:rsidRPr="00975CA4">
        <w:rPr>
          <w:rFonts w:ascii="Times New Roman" w:eastAsia="MS Mincho" w:hAnsi="Times New Roman" w:cs="Times New Roman"/>
          <w:color w:val="000000"/>
          <w:lang w:eastAsia="ar-SA"/>
        </w:rPr>
        <w:t>Ū</w:t>
      </w:r>
      <w:r w:rsidRPr="00975CA4">
        <w:rPr>
          <w:rFonts w:ascii="Times New Roman" w:eastAsia="SimSun" w:hAnsi="Times New Roman" w:cs="Times New Roman"/>
          <w:color w:val="000000"/>
          <w:lang w:eastAsia="ar-SA"/>
        </w:rPr>
        <w:t xml:space="preserve">LL, taikant </w:t>
      </w:r>
      <w:proofErr w:type="spellStart"/>
      <w:r w:rsidRPr="00975CA4">
        <w:rPr>
          <w:rFonts w:ascii="Times New Roman" w:eastAsia="SimSun" w:hAnsi="Times New Roman" w:cs="Times New Roman"/>
          <w:color w:val="000000"/>
          <w:lang w:eastAsia="ar-SA"/>
        </w:rPr>
        <w:t>monoterapiją</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bendrą kraujo tyrimą (BKT) reikia atlikti kas savait</w:t>
      </w:r>
      <w:r w:rsidRPr="00975CA4">
        <w:rPr>
          <w:rFonts w:ascii="Times New Roman" w:eastAsia="MS Mincho" w:hAnsi="Times New Roman" w:cs="Times New Roman"/>
          <w:color w:val="000000"/>
          <w:lang w:eastAsia="ar-SA"/>
        </w:rPr>
        <w:t>ę</w:t>
      </w:r>
      <w:r w:rsidRPr="00975CA4">
        <w:rPr>
          <w:rFonts w:ascii="Times New Roman" w:eastAsia="SimSun" w:hAnsi="Times New Roman" w:cs="Times New Roman"/>
          <w:color w:val="000000"/>
          <w:lang w:eastAsia="ar-SA"/>
        </w:rPr>
        <w:t xml:space="preserve"> pirmuosius 2 m</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nesius, v</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liau kas m</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nes</w:t>
      </w:r>
      <w:r w:rsidRPr="00975CA4">
        <w:rPr>
          <w:rFonts w:ascii="Times New Roman" w:eastAsia="MS Mincho" w:hAnsi="Times New Roman" w:cs="Times New Roman"/>
          <w:color w:val="000000"/>
          <w:lang w:eastAsia="ar-SA"/>
        </w:rPr>
        <w:t>į</w:t>
      </w:r>
      <w:r w:rsidRPr="00975CA4">
        <w:rPr>
          <w:rFonts w:ascii="Times New Roman" w:eastAsia="SimSun" w:hAnsi="Times New Roman" w:cs="Times New Roman"/>
          <w:color w:val="000000"/>
          <w:lang w:eastAsia="ar-SA"/>
        </w:rPr>
        <w:t xml:space="preserve"> ar pagal klinikin</w:t>
      </w:r>
      <w:r w:rsidRPr="00975CA4">
        <w:rPr>
          <w:rFonts w:ascii="Times New Roman" w:eastAsia="MS Mincho" w:hAnsi="Times New Roman" w:cs="Times New Roman"/>
          <w:color w:val="000000"/>
          <w:lang w:eastAsia="ar-SA"/>
        </w:rPr>
        <w:t>į</w:t>
      </w:r>
      <w:r w:rsidRPr="00975CA4">
        <w:rPr>
          <w:rFonts w:ascii="Times New Roman" w:eastAsia="SimSun" w:hAnsi="Times New Roman" w:cs="Times New Roman"/>
          <w:color w:val="000000"/>
          <w:lang w:eastAsia="ar-SA"/>
        </w:rPr>
        <w:t xml:space="preserve"> poreik</w:t>
      </w:r>
      <w:r w:rsidRPr="00975CA4">
        <w:rPr>
          <w:rFonts w:ascii="Times New Roman" w:eastAsia="MS Mincho" w:hAnsi="Times New Roman" w:cs="Times New Roman"/>
          <w:color w:val="000000"/>
          <w:lang w:eastAsia="ar-SA"/>
        </w:rPr>
        <w:t>į</w:t>
      </w:r>
      <w:r w:rsidRPr="00975CA4">
        <w:rPr>
          <w:rFonts w:ascii="Times New Roman" w:eastAsia="SimSun" w:hAnsi="Times New Roman" w:cs="Times New Roman"/>
          <w:color w:val="000000"/>
          <w:lang w:eastAsia="ar-SA"/>
        </w:rPr>
        <w:t>. Suaugusiesiems ir vaikų populiacijos pacientams, kuriems yra LML l</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tin</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faz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bendrą kraujo tyrimą pirm</w:t>
      </w:r>
      <w:r w:rsidRPr="00975CA4">
        <w:rPr>
          <w:rFonts w:ascii="Times New Roman" w:eastAsia="MS Mincho" w:hAnsi="Times New Roman" w:cs="Times New Roman"/>
          <w:color w:val="000000"/>
          <w:lang w:eastAsia="ar-SA"/>
        </w:rPr>
        <w:t>ą</w:t>
      </w:r>
      <w:r w:rsidRPr="00975CA4">
        <w:rPr>
          <w:rFonts w:ascii="Times New Roman" w:eastAsia="SimSun" w:hAnsi="Times New Roman" w:cs="Times New Roman"/>
          <w:color w:val="000000"/>
          <w:lang w:eastAsia="ar-SA"/>
        </w:rPr>
        <w:t>sias 12 savaičių reikia atlikti kas 2 savaites, paskui – kas 3 m</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nesius ar pagal klinikin</w:t>
      </w:r>
      <w:r w:rsidRPr="00975CA4">
        <w:rPr>
          <w:rFonts w:ascii="Times New Roman" w:eastAsia="MS Mincho" w:hAnsi="Times New Roman" w:cs="Times New Roman"/>
          <w:color w:val="000000"/>
          <w:lang w:eastAsia="ar-SA"/>
        </w:rPr>
        <w:t>į</w:t>
      </w:r>
      <w:r w:rsidRPr="00975CA4">
        <w:rPr>
          <w:rFonts w:ascii="Times New Roman" w:eastAsia="SimSun" w:hAnsi="Times New Roman" w:cs="Times New Roman"/>
          <w:color w:val="000000"/>
          <w:lang w:eastAsia="ar-SA"/>
        </w:rPr>
        <w:t xml:space="preserve"> poreik</w:t>
      </w:r>
      <w:r w:rsidRPr="00975CA4">
        <w:rPr>
          <w:rFonts w:ascii="Times New Roman" w:eastAsia="MS Mincho" w:hAnsi="Times New Roman" w:cs="Times New Roman"/>
          <w:color w:val="000000"/>
          <w:lang w:eastAsia="ar-SA"/>
        </w:rPr>
        <w:t>į</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ŪLL sergantiems vaikams, gydomiems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chemoterapijos deriniu, </w:t>
      </w:r>
      <w:r w:rsidR="0081353C" w:rsidRPr="00975CA4">
        <w:rPr>
          <w:rFonts w:ascii="Times New Roman" w:eastAsia="SimSun" w:hAnsi="Times New Roman" w:cs="Times New Roman"/>
          <w:color w:val="000000"/>
          <w:lang w:eastAsia="ar-SA"/>
        </w:rPr>
        <w:t>bendrą kraujo tyrimą</w:t>
      </w:r>
      <w:r w:rsidRPr="00975CA4">
        <w:rPr>
          <w:rFonts w:ascii="Times New Roman" w:eastAsia="SimSun" w:hAnsi="Times New Roman" w:cs="Times New Roman"/>
          <w:color w:val="000000"/>
          <w:lang w:eastAsia="ar-SA"/>
        </w:rPr>
        <w:t xml:space="preserve"> reikia </w:t>
      </w:r>
      <w:r w:rsidR="0081353C" w:rsidRPr="00975CA4">
        <w:rPr>
          <w:rFonts w:ascii="Times New Roman" w:eastAsia="SimSun" w:hAnsi="Times New Roman" w:cs="Times New Roman"/>
          <w:color w:val="000000"/>
          <w:lang w:eastAsia="ar-SA"/>
        </w:rPr>
        <w:t xml:space="preserve">atlikti </w:t>
      </w:r>
      <w:r w:rsidRPr="00975CA4">
        <w:rPr>
          <w:rFonts w:ascii="Times New Roman" w:eastAsia="SimSun" w:hAnsi="Times New Roman" w:cs="Times New Roman"/>
          <w:color w:val="000000"/>
          <w:lang w:eastAsia="ar-SA"/>
        </w:rPr>
        <w:t xml:space="preserve">prieš kiekvieną chemoterapijos kursą ir pagal klinikinį poreikį. Konsoliduojamosios chemoterapijos kursų metu </w:t>
      </w:r>
      <w:r w:rsidR="0081353C" w:rsidRPr="00975CA4">
        <w:rPr>
          <w:rFonts w:ascii="Times New Roman" w:eastAsia="SimSun" w:hAnsi="Times New Roman" w:cs="Times New Roman"/>
          <w:color w:val="000000"/>
          <w:lang w:eastAsia="ar-SA"/>
        </w:rPr>
        <w:t>bendrą kraujo tyrimą</w:t>
      </w:r>
      <w:r w:rsidRPr="00975CA4">
        <w:rPr>
          <w:rFonts w:ascii="Times New Roman" w:eastAsia="SimSun" w:hAnsi="Times New Roman" w:cs="Times New Roman"/>
          <w:color w:val="000000"/>
          <w:lang w:eastAsia="ar-SA"/>
        </w:rPr>
        <w:t xml:space="preserve"> reikia </w:t>
      </w:r>
      <w:r w:rsidR="0081353C" w:rsidRPr="00975CA4">
        <w:rPr>
          <w:rFonts w:ascii="Times New Roman" w:eastAsia="SimSun" w:hAnsi="Times New Roman" w:cs="Times New Roman"/>
          <w:color w:val="000000"/>
          <w:lang w:eastAsia="ar-SA"/>
        </w:rPr>
        <w:t xml:space="preserve">atlikti </w:t>
      </w:r>
      <w:r w:rsidRPr="00975CA4">
        <w:rPr>
          <w:rFonts w:ascii="Times New Roman" w:eastAsia="SimSun" w:hAnsi="Times New Roman" w:cs="Times New Roman"/>
          <w:color w:val="000000"/>
          <w:lang w:eastAsia="ar-SA"/>
        </w:rPr>
        <w:t xml:space="preserve">kas 2 dienas, kol jis sunormalės (žr. 4.2 ir 4.8 skyrius). </w:t>
      </w:r>
      <w:r w:rsidRPr="00975CA4">
        <w:rPr>
          <w:rFonts w:ascii="Times New Roman" w:eastAsia="SimSun" w:hAnsi="Times New Roman" w:cs="Times New Roman"/>
          <w:iCs/>
          <w:color w:val="000000"/>
          <w:lang w:eastAsia="ar-SA"/>
        </w:rPr>
        <w:t xml:space="preserve">Kaulų čiulpų funkcijos </w:t>
      </w:r>
      <w:r w:rsidR="0081353C" w:rsidRPr="00975CA4">
        <w:rPr>
          <w:rFonts w:ascii="Times New Roman" w:eastAsia="SimSun" w:hAnsi="Times New Roman" w:cs="Times New Roman"/>
          <w:iCs/>
          <w:color w:val="000000"/>
          <w:lang w:eastAsia="ar-SA"/>
        </w:rPr>
        <w:t xml:space="preserve">slopinimas </w:t>
      </w:r>
      <w:r w:rsidRPr="00975CA4">
        <w:rPr>
          <w:rFonts w:ascii="Times New Roman" w:eastAsia="SimSun" w:hAnsi="Times New Roman" w:cs="Times New Roman"/>
          <w:iCs/>
          <w:color w:val="000000"/>
          <w:lang w:eastAsia="ar-SA"/>
        </w:rPr>
        <w:t xml:space="preserve">paprastai būna laikinas ir dažniausiai praeina laikinai nutraukus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vartojimą arba sumažinus jo dozę.</w:t>
      </w:r>
    </w:p>
    <w:p w14:paraId="6AC44FF3" w14:textId="77777777" w:rsidR="00B436E7" w:rsidRPr="00975CA4" w:rsidRDefault="00B436E7" w:rsidP="00B436E7">
      <w:pPr>
        <w:suppressAutoHyphens/>
        <w:spacing w:after="0" w:line="240" w:lineRule="auto"/>
        <w:rPr>
          <w:rFonts w:ascii="Times New Roman" w:eastAsia="SimSun" w:hAnsi="Times New Roman" w:cs="Times New Roman"/>
          <w:i/>
          <w:iCs/>
          <w:color w:val="000000"/>
          <w:lang w:eastAsia="ar-SA"/>
        </w:rPr>
      </w:pPr>
    </w:p>
    <w:p w14:paraId="083BFE03"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iCs/>
          <w:color w:val="000000"/>
          <w:lang w:eastAsia="ar-SA"/>
        </w:rPr>
        <w:t>Kraujavimas</w:t>
      </w:r>
    </w:p>
    <w:p w14:paraId="008C7FC0" w14:textId="3FBF7C90"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5 iš 548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vartojusi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pacient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(1</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kuriems buvo l</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tin</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LML faz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u</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fiksuotas 3 ar 4 laipsnio kraujavimas. Klinikini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tyrim</w:t>
      </w:r>
      <w:r w:rsidRPr="00975CA4">
        <w:rPr>
          <w:rFonts w:ascii="Times New Roman" w:eastAsia="MS Mincho" w:hAnsi="Times New Roman" w:cs="Times New Roman"/>
          <w:color w:val="000000"/>
          <w:lang w:eastAsia="ar-SA"/>
        </w:rPr>
        <w:t>ų, kuriuose dalyvavusiems pacientams buvo</w:t>
      </w:r>
      <w:r w:rsidRPr="00975CA4">
        <w:rPr>
          <w:rFonts w:ascii="Times New Roman" w:eastAsia="SimSun" w:hAnsi="Times New Roman" w:cs="Times New Roman"/>
          <w:color w:val="000000"/>
          <w:lang w:eastAsia="ar-SA"/>
        </w:rPr>
        <w:t xml:space="preserve"> progresavusi LML faz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metu stiprus kraujavimas centrin</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je nerv</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sistemoje (CNS) u</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fiksuotas 1</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pacient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vartojusi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rekomenduojam</w:t>
      </w:r>
      <w:r w:rsidRPr="00975CA4">
        <w:rPr>
          <w:rFonts w:ascii="Times New Roman" w:eastAsia="MS Mincho" w:hAnsi="Times New Roman" w:cs="Times New Roman"/>
          <w:color w:val="000000"/>
          <w:lang w:eastAsia="ar-SA"/>
        </w:rPr>
        <w:t xml:space="preserve">ą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w:t>
      </w:r>
      <w:r w:rsidRPr="00975CA4">
        <w:rPr>
          <w:rFonts w:ascii="Times New Roman" w:eastAsia="MS Mincho" w:hAnsi="Times New Roman" w:cs="Times New Roman"/>
          <w:color w:val="000000"/>
          <w:lang w:eastAsia="ar-SA"/>
        </w:rPr>
        <w:t>ę</w:t>
      </w:r>
      <w:r w:rsidRPr="00975CA4">
        <w:rPr>
          <w:rFonts w:ascii="Times New Roman" w:eastAsia="SimSun" w:hAnsi="Times New Roman" w:cs="Times New Roman"/>
          <w:color w:val="000000"/>
          <w:lang w:eastAsia="ar-SA"/>
        </w:rPr>
        <w:t xml:space="preserve"> (n</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304). 1 atvejis baig</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si mirtimi (jis buvo susij</w:t>
      </w:r>
      <w:r w:rsidRPr="00975CA4">
        <w:rPr>
          <w:rFonts w:ascii="Times New Roman" w:eastAsia="MS Mincho" w:hAnsi="Times New Roman" w:cs="Times New Roman"/>
          <w:color w:val="000000"/>
          <w:lang w:eastAsia="ar-SA"/>
        </w:rPr>
        <w:t>ę</w:t>
      </w:r>
      <w:r w:rsidRPr="00975CA4">
        <w:rPr>
          <w:rFonts w:ascii="Times New Roman" w:eastAsia="SimSun" w:hAnsi="Times New Roman" w:cs="Times New Roman"/>
          <w:color w:val="000000"/>
          <w:lang w:eastAsia="ar-SA"/>
        </w:rPr>
        <w:t xml:space="preserve">s su 4 laipsnio </w:t>
      </w:r>
      <w:proofErr w:type="spellStart"/>
      <w:r w:rsidRPr="00975CA4">
        <w:rPr>
          <w:rFonts w:ascii="Times New Roman" w:eastAsia="SimSun" w:hAnsi="Times New Roman" w:cs="Times New Roman"/>
          <w:color w:val="000000"/>
          <w:lang w:eastAsia="ar-SA"/>
        </w:rPr>
        <w:t>trombocitopenija</w:t>
      </w:r>
      <w:proofErr w:type="spellEnd"/>
      <w:r w:rsidRPr="00975CA4">
        <w:rPr>
          <w:rFonts w:ascii="Times New Roman" w:eastAsia="SimSun" w:hAnsi="Times New Roman" w:cs="Times New Roman"/>
          <w:color w:val="000000"/>
          <w:lang w:eastAsia="ar-SA"/>
        </w:rPr>
        <w:t xml:space="preserve"> pagal bendruosius toksiškumo kriterijus </w:t>
      </w:r>
      <w:r w:rsidR="00C8797B"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angl</w:t>
      </w:r>
      <w:r w:rsidRPr="00975CA4">
        <w:rPr>
          <w:rFonts w:ascii="Times New Roman" w:eastAsia="SimSun" w:hAnsi="Times New Roman" w:cs="Times New Roman"/>
          <w:i/>
          <w:color w:val="000000"/>
          <w:lang w:eastAsia="ar-SA"/>
        </w:rPr>
        <w:t>.</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i/>
          <w:color w:val="000000"/>
          <w:lang w:eastAsia="ar-SA"/>
        </w:rPr>
        <w:t>Common</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Toxicity</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Criteria</w:t>
      </w:r>
      <w:proofErr w:type="spellEnd"/>
      <w:r w:rsidRPr="00975CA4">
        <w:rPr>
          <w:rFonts w:ascii="Times New Roman" w:eastAsia="SimSun" w:hAnsi="Times New Roman" w:cs="Times New Roman"/>
          <w:i/>
          <w:color w:val="000000"/>
          <w:lang w:eastAsia="ar-SA"/>
        </w:rPr>
        <w:t xml:space="preserve">, </w:t>
      </w:r>
      <w:r w:rsidRPr="00975CA4">
        <w:rPr>
          <w:rFonts w:ascii="Times New Roman" w:eastAsia="SimSun" w:hAnsi="Times New Roman" w:cs="Times New Roman"/>
          <w:color w:val="000000"/>
          <w:lang w:eastAsia="ar-SA"/>
        </w:rPr>
        <w:t>CTC</w:t>
      </w:r>
      <w:r w:rsidR="00C8797B" w:rsidRPr="00975CA4">
        <w:rPr>
          <w:rFonts w:ascii="Times New Roman" w:eastAsia="SimSun" w:hAnsi="Times New Roman" w:cs="Times New Roman"/>
          <w:i/>
          <w:color w:val="000000"/>
          <w:lang w:eastAsia="ar-SA"/>
        </w:rPr>
        <w:t>)</w:t>
      </w:r>
      <w:r w:rsidRPr="00975CA4">
        <w:rPr>
          <w:rFonts w:ascii="Times New Roman" w:eastAsia="SimSun" w:hAnsi="Times New Roman" w:cs="Times New Roman"/>
          <w:color w:val="000000"/>
          <w:lang w:eastAsia="ar-SA"/>
        </w:rPr>
        <w:t>). 3 ar 4 laipsnio kraujavimas virškinimo trakte pasireiškė 6</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pacientų, kuriems buvo progresavusi LML fazė, 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l jo da</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niausiai reik</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davo laikino gydymo nutraukimo ir transfuzij</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Kitas 3 ar 4 laipsnio kraujavimas pasireišk</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2</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pacientų, kuriems buvo progresavusi LML fazė. Dauguma su kraujavimu siejamų nepageidaujam</w:t>
      </w:r>
      <w:r w:rsidRPr="00975CA4">
        <w:rPr>
          <w:rFonts w:ascii="Times New Roman" w:eastAsia="MS Mincho" w:hAnsi="Times New Roman" w:cs="Times New Roman"/>
          <w:color w:val="000000"/>
          <w:lang w:eastAsia="ar-SA"/>
        </w:rPr>
        <w:t xml:space="preserve">ų </w:t>
      </w:r>
      <w:r w:rsidRPr="00975CA4">
        <w:rPr>
          <w:rFonts w:ascii="Times New Roman" w:eastAsia="SimSun" w:hAnsi="Times New Roman" w:cs="Times New Roman"/>
          <w:color w:val="000000"/>
          <w:lang w:eastAsia="ar-SA"/>
        </w:rPr>
        <w:t>reakcij</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šiems pacientams da</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 xml:space="preserve">niausiai būdavo susijusios su 3 ar 4 laipsnio </w:t>
      </w:r>
      <w:proofErr w:type="spellStart"/>
      <w:r w:rsidRPr="00975CA4">
        <w:rPr>
          <w:rFonts w:ascii="Times New Roman" w:eastAsia="SimSun" w:hAnsi="Times New Roman" w:cs="Times New Roman"/>
          <w:color w:val="000000"/>
          <w:lang w:eastAsia="ar-SA"/>
        </w:rPr>
        <w:t>trombocitopenija</w:t>
      </w:r>
      <w:proofErr w:type="spellEnd"/>
      <w:r w:rsidRPr="00975CA4">
        <w:rPr>
          <w:rFonts w:ascii="Times New Roman" w:eastAsia="SimSun" w:hAnsi="Times New Roman" w:cs="Times New Roman"/>
          <w:color w:val="000000"/>
          <w:lang w:eastAsia="ar-SA"/>
        </w:rPr>
        <w:t xml:space="preserve"> (</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r. 4.8 skyri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Be to, trombocit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tyrim</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i/>
          <w:iCs/>
          <w:color w:val="000000"/>
          <w:lang w:eastAsia="ar-SA"/>
        </w:rPr>
        <w:t>in</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vitro</w:t>
      </w:r>
      <w:proofErr w:type="spellEnd"/>
      <w:r w:rsidRPr="00975CA4">
        <w:rPr>
          <w:rFonts w:ascii="Times New Roman" w:eastAsia="SimSun" w:hAnsi="Times New Roman" w:cs="Times New Roman"/>
          <w:i/>
          <w:iCs/>
          <w:color w:val="000000"/>
          <w:lang w:eastAsia="ar-SA"/>
        </w:rPr>
        <w:t xml:space="preserve"> </w:t>
      </w:r>
      <w:r w:rsidRPr="00975CA4">
        <w:rPr>
          <w:rFonts w:ascii="Times New Roman" w:eastAsia="SimSun" w:hAnsi="Times New Roman" w:cs="Times New Roman"/>
          <w:color w:val="000000"/>
          <w:lang w:eastAsia="ar-SA"/>
        </w:rPr>
        <w:t xml:space="preserve">ir </w:t>
      </w:r>
      <w:proofErr w:type="spellStart"/>
      <w:r w:rsidRPr="00975CA4">
        <w:rPr>
          <w:rFonts w:ascii="Times New Roman" w:eastAsia="SimSun" w:hAnsi="Times New Roman" w:cs="Times New Roman"/>
          <w:i/>
          <w:iCs/>
          <w:color w:val="000000"/>
          <w:lang w:eastAsia="ar-SA"/>
        </w:rPr>
        <w:t>in</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vivo</w:t>
      </w:r>
      <w:proofErr w:type="spellEnd"/>
      <w:r w:rsidRPr="00975CA4">
        <w:rPr>
          <w:rFonts w:ascii="Times New Roman" w:eastAsia="SimSun" w:hAnsi="Times New Roman" w:cs="Times New Roman"/>
          <w:i/>
          <w:iCs/>
          <w:color w:val="000000"/>
          <w:lang w:eastAsia="ar-SA"/>
        </w:rPr>
        <w:t xml:space="preserve"> </w:t>
      </w:r>
      <w:r w:rsidRPr="00975CA4">
        <w:rPr>
          <w:rFonts w:ascii="Times New Roman" w:eastAsia="SimSun" w:hAnsi="Times New Roman" w:cs="Times New Roman"/>
          <w:color w:val="000000"/>
          <w:lang w:eastAsia="ar-SA"/>
        </w:rPr>
        <w:t>duomenys leid</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ia daryti prielaid</w:t>
      </w:r>
      <w:r w:rsidRPr="00975CA4">
        <w:rPr>
          <w:rFonts w:ascii="Times New Roman" w:eastAsia="MS Mincho" w:hAnsi="Times New Roman" w:cs="Times New Roman"/>
          <w:color w:val="000000"/>
          <w:lang w:eastAsia="ar-SA"/>
        </w:rPr>
        <w:t>ą</w:t>
      </w:r>
      <w:r w:rsidRPr="00975CA4">
        <w:rPr>
          <w:rFonts w:ascii="Times New Roman" w:eastAsia="SimSun" w:hAnsi="Times New Roman" w:cs="Times New Roman"/>
          <w:color w:val="000000"/>
          <w:lang w:eastAsia="ar-SA"/>
        </w:rPr>
        <w:t xml:space="preserve">, kad </w:t>
      </w: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laikinai paveikia trombocit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aktyvacij</w:t>
      </w:r>
      <w:r w:rsidRPr="00975CA4">
        <w:rPr>
          <w:rFonts w:ascii="Times New Roman" w:eastAsia="MS Mincho" w:hAnsi="Times New Roman" w:cs="Times New Roman"/>
          <w:color w:val="000000"/>
          <w:lang w:eastAsia="ar-SA"/>
        </w:rPr>
        <w:t>ą</w:t>
      </w:r>
      <w:r w:rsidRPr="00975CA4">
        <w:rPr>
          <w:rFonts w:ascii="Times New Roman" w:eastAsia="SimSun" w:hAnsi="Times New Roman" w:cs="Times New Roman"/>
          <w:color w:val="000000"/>
          <w:lang w:eastAsia="ar-SA"/>
        </w:rPr>
        <w:t xml:space="preserve">. </w:t>
      </w:r>
    </w:p>
    <w:p w14:paraId="290DA73E"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0BD5BBBC" w14:textId="77777777" w:rsidR="00B436E7" w:rsidRPr="00975CA4" w:rsidRDefault="00B436E7" w:rsidP="00B436E7">
      <w:pPr>
        <w:suppressAutoHyphens/>
        <w:spacing w:after="0" w:line="240" w:lineRule="auto"/>
        <w:rPr>
          <w:rFonts w:ascii="Times New Roman" w:eastAsia="SimSun" w:hAnsi="Times New Roman" w:cs="Times New Roman"/>
          <w:i/>
          <w:iCs/>
          <w:color w:val="000000"/>
          <w:lang w:eastAsia="ar-SA"/>
        </w:rPr>
      </w:pPr>
      <w:r w:rsidRPr="00975CA4">
        <w:rPr>
          <w:rFonts w:ascii="Times New Roman" w:eastAsia="SimSun" w:hAnsi="Times New Roman" w:cs="Times New Roman"/>
          <w:color w:val="000000"/>
          <w:lang w:eastAsia="ar-SA"/>
        </w:rPr>
        <w:t>Jeigu pacientui kartu būtina vartoti trombocit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funkcij</w:t>
      </w:r>
      <w:r w:rsidRPr="00975CA4">
        <w:rPr>
          <w:rFonts w:ascii="Times New Roman" w:eastAsia="MS Mincho" w:hAnsi="Times New Roman" w:cs="Times New Roman"/>
          <w:color w:val="000000"/>
          <w:lang w:eastAsia="ar-SA"/>
        </w:rPr>
        <w:t>ą</w:t>
      </w:r>
      <w:r w:rsidRPr="00975CA4">
        <w:rPr>
          <w:rFonts w:ascii="Times New Roman" w:eastAsia="SimSun" w:hAnsi="Times New Roman" w:cs="Times New Roman"/>
          <w:color w:val="000000"/>
          <w:lang w:eastAsia="ar-SA"/>
        </w:rPr>
        <w:t xml:space="preserve"> slopinančių vaistinių preparatų arba antikoaguliantų, reikia laikytis atsargumo.</w:t>
      </w:r>
    </w:p>
    <w:p w14:paraId="218FE1D8" w14:textId="77777777" w:rsidR="00B436E7" w:rsidRPr="00975CA4" w:rsidRDefault="00B436E7" w:rsidP="00B436E7">
      <w:pPr>
        <w:suppressAutoHyphens/>
        <w:spacing w:after="0" w:line="240" w:lineRule="auto"/>
        <w:rPr>
          <w:rFonts w:ascii="Times New Roman" w:eastAsia="SimSun" w:hAnsi="Times New Roman" w:cs="Times New Roman"/>
          <w:i/>
          <w:iCs/>
          <w:color w:val="000000"/>
          <w:lang w:eastAsia="ar-SA"/>
        </w:rPr>
      </w:pPr>
    </w:p>
    <w:p w14:paraId="27D7E2B1"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iCs/>
          <w:color w:val="000000"/>
          <w:lang w:eastAsia="ar-SA"/>
        </w:rPr>
        <w:t>Skysčio susilaikymas</w:t>
      </w:r>
    </w:p>
    <w:p w14:paraId="20205983" w14:textId="6CC5BB6D" w:rsidR="00B436E7" w:rsidRPr="00975CA4" w:rsidRDefault="00B436E7" w:rsidP="00B436E7">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vartojimas yra susij</w:t>
      </w:r>
      <w:r w:rsidRPr="00975CA4">
        <w:rPr>
          <w:rFonts w:ascii="Times New Roman" w:eastAsia="MS Mincho" w:hAnsi="Times New Roman" w:cs="Times New Roman"/>
          <w:color w:val="000000"/>
          <w:lang w:eastAsia="ar-SA"/>
        </w:rPr>
        <w:t>ę</w:t>
      </w:r>
      <w:r w:rsidRPr="00975CA4">
        <w:rPr>
          <w:rFonts w:ascii="Times New Roman" w:eastAsia="SimSun" w:hAnsi="Times New Roman" w:cs="Times New Roman"/>
          <w:color w:val="000000"/>
          <w:lang w:eastAsia="ar-SA"/>
        </w:rPr>
        <w:t>s su skysči</w:t>
      </w:r>
      <w:r w:rsidRPr="00975CA4">
        <w:rPr>
          <w:rFonts w:ascii="Times New Roman" w:eastAsia="MS Mincho" w:hAnsi="Times New Roman" w:cs="Times New Roman"/>
          <w:color w:val="000000"/>
          <w:lang w:eastAsia="ar-SA"/>
        </w:rPr>
        <w:t>o</w:t>
      </w:r>
      <w:r w:rsidRPr="00975CA4">
        <w:rPr>
          <w:rFonts w:ascii="Times New Roman" w:eastAsia="SimSun" w:hAnsi="Times New Roman" w:cs="Times New Roman"/>
          <w:color w:val="000000"/>
          <w:lang w:eastAsia="ar-SA"/>
        </w:rPr>
        <w:t xml:space="preserve"> susilaikymu. III faz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s klinikinio tyrimo, kuriame dalyvavusiems pacientams buvo naujai diagnozuota l</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tin</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LML faz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metu per ne trumpesn</w:t>
      </w:r>
      <w:r w:rsidRPr="00975CA4">
        <w:rPr>
          <w:rFonts w:ascii="Times New Roman" w:eastAsia="MS Mincho" w:hAnsi="Times New Roman" w:cs="Times New Roman"/>
          <w:color w:val="000000"/>
          <w:lang w:eastAsia="ar-SA"/>
        </w:rPr>
        <w:t>į</w:t>
      </w:r>
      <w:r w:rsidRPr="00975CA4">
        <w:rPr>
          <w:rFonts w:ascii="Times New Roman" w:eastAsia="SimSun" w:hAnsi="Times New Roman" w:cs="Times New Roman"/>
          <w:color w:val="000000"/>
          <w:lang w:eastAsia="ar-SA"/>
        </w:rPr>
        <w:t xml:space="preserve"> kaip 60</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n. steb</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jimo laikotarp</w:t>
      </w:r>
      <w:r w:rsidRPr="00975CA4">
        <w:rPr>
          <w:rFonts w:ascii="Times New Roman" w:eastAsia="MS Mincho" w:hAnsi="Times New Roman" w:cs="Times New Roman"/>
          <w:color w:val="000000"/>
          <w:lang w:eastAsia="ar-SA"/>
        </w:rPr>
        <w:t>į</w:t>
      </w:r>
      <w:r w:rsidRPr="00975CA4">
        <w:rPr>
          <w:rFonts w:ascii="Times New Roman" w:eastAsia="SimSun" w:hAnsi="Times New Roman" w:cs="Times New Roman"/>
          <w:color w:val="000000"/>
          <w:lang w:eastAsia="ar-SA"/>
        </w:rPr>
        <w:t xml:space="preserve"> 3 ar 4 laipsnio skysči</w:t>
      </w:r>
      <w:r w:rsidRPr="00975CA4">
        <w:rPr>
          <w:rFonts w:ascii="Times New Roman" w:eastAsia="MS Mincho" w:hAnsi="Times New Roman" w:cs="Times New Roman"/>
          <w:color w:val="000000"/>
          <w:lang w:eastAsia="ar-SA"/>
        </w:rPr>
        <w:t>o</w:t>
      </w:r>
      <w:r w:rsidRPr="00975CA4">
        <w:rPr>
          <w:rFonts w:ascii="Times New Roman" w:eastAsia="SimSun" w:hAnsi="Times New Roman" w:cs="Times New Roman"/>
          <w:color w:val="000000"/>
          <w:lang w:eastAsia="ar-SA"/>
        </w:rPr>
        <w:t xml:space="preserve"> susilaikymas u</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fiksuotas 13 (5</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vartojusi</w:t>
      </w:r>
      <w:r w:rsidRPr="00975CA4">
        <w:rPr>
          <w:rFonts w:ascii="Times New Roman" w:eastAsia="MS Mincho" w:hAnsi="Times New Roman" w:cs="Times New Roman"/>
          <w:color w:val="000000"/>
          <w:lang w:eastAsia="ar-SA"/>
        </w:rPr>
        <w:t xml:space="preserve">ų </w:t>
      </w:r>
      <w:r w:rsidRPr="00975CA4">
        <w:rPr>
          <w:rFonts w:ascii="Times New Roman" w:eastAsia="SimSun" w:hAnsi="Times New Roman" w:cs="Times New Roman"/>
          <w:color w:val="000000"/>
          <w:lang w:eastAsia="ar-SA"/>
        </w:rPr>
        <w:t>pacient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ir 2 (1</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gydytos grup</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s pacientams (</w:t>
      </w:r>
      <w:r w:rsidRPr="00975CA4">
        <w:rPr>
          <w:rFonts w:ascii="Times New Roman" w:eastAsia="MS Mincho" w:hAnsi="Times New Roman" w:cs="Times New Roman"/>
          <w:color w:val="000000"/>
          <w:lang w:eastAsia="ar-SA"/>
        </w:rPr>
        <w:t>ž</w:t>
      </w:r>
      <w:r w:rsidRPr="00975CA4">
        <w:rPr>
          <w:rFonts w:ascii="Times New Roman" w:eastAsia="SimSun" w:hAnsi="Times New Roman" w:cs="Times New Roman"/>
          <w:color w:val="000000"/>
          <w:lang w:eastAsia="ar-SA"/>
        </w:rPr>
        <w:t>r. 4.8 skyri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Tarp vis</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vartojusi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rekomenduojam</w:t>
      </w:r>
      <w:r w:rsidRPr="00975CA4">
        <w:rPr>
          <w:rFonts w:ascii="Times New Roman" w:eastAsia="MS Mincho" w:hAnsi="Times New Roman" w:cs="Times New Roman"/>
          <w:color w:val="000000"/>
          <w:lang w:eastAsia="ar-SA"/>
        </w:rPr>
        <w:t xml:space="preserve">ą dozę </w:t>
      </w:r>
      <w:r w:rsidRPr="00975CA4">
        <w:rPr>
          <w:rFonts w:ascii="Times New Roman" w:eastAsia="SimSun" w:hAnsi="Times New Roman" w:cs="Times New Roman"/>
          <w:color w:val="000000"/>
          <w:lang w:eastAsia="ar-SA"/>
        </w:rPr>
        <w:t>pacient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kuriems buvo lėtinė LML faz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(n</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548), didelio laipsnio skysčio</w:t>
      </w:r>
      <w:r w:rsidRPr="00975CA4">
        <w:rPr>
          <w:rFonts w:ascii="Times New Roman" w:eastAsia="MS Mincho" w:hAnsi="Times New Roman" w:cs="Times New Roman"/>
          <w:color w:val="000000"/>
          <w:lang w:eastAsia="ar-SA"/>
        </w:rPr>
        <w:t xml:space="preserve"> </w:t>
      </w:r>
      <w:r w:rsidRPr="00975CA4">
        <w:rPr>
          <w:rFonts w:ascii="Times New Roman" w:eastAsia="SimSun" w:hAnsi="Times New Roman" w:cs="Times New Roman"/>
          <w:color w:val="000000"/>
          <w:lang w:eastAsia="ar-SA"/>
        </w:rPr>
        <w:t>susilaikymas pasireišk</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32 pacientams (6</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r w:rsidR="000839CA" w:rsidRPr="00975CA4">
        <w:rPr>
          <w:rFonts w:ascii="Times New Roman" w:eastAsia="SimSun" w:hAnsi="Times New Roman" w:cs="Times New Roman"/>
          <w:color w:val="000000"/>
          <w:lang w:eastAsia="ar-SA"/>
        </w:rPr>
        <w:t>8 %</w:t>
      </w:r>
      <w:r w:rsidRPr="00975CA4">
        <w:rPr>
          <w:rFonts w:ascii="Times New Roman" w:eastAsia="SimSun" w:hAnsi="Times New Roman" w:cs="Times New Roman"/>
          <w:color w:val="000000"/>
          <w:lang w:eastAsia="ar-SA"/>
        </w:rPr>
        <w:t xml:space="preserve"> </w:t>
      </w:r>
      <w:r w:rsidR="000839CA" w:rsidRPr="00975CA4">
        <w:rPr>
          <w:rFonts w:ascii="Times New Roman" w:eastAsia="SimSun" w:hAnsi="Times New Roman" w:cs="Times New Roman"/>
          <w:color w:val="000000"/>
          <w:lang w:eastAsia="ar-SA"/>
        </w:rPr>
        <w:t>p</w:t>
      </w:r>
      <w:r w:rsidRPr="00975CA4">
        <w:rPr>
          <w:rFonts w:ascii="Times New Roman" w:eastAsia="SimSun" w:hAnsi="Times New Roman" w:cs="Times New Roman"/>
          <w:color w:val="000000"/>
          <w:lang w:eastAsia="ar-SA"/>
        </w:rPr>
        <w:t>acient</w:t>
      </w:r>
      <w:r w:rsidRPr="00975CA4">
        <w:rPr>
          <w:rFonts w:ascii="Times New Roman" w:eastAsia="MS Mincho" w:hAnsi="Times New Roman" w:cs="Times New Roman"/>
          <w:color w:val="000000"/>
          <w:lang w:eastAsia="ar-SA"/>
        </w:rPr>
        <w:t xml:space="preserve">ų, kuriems yra </w:t>
      </w:r>
      <w:r w:rsidRPr="00975CA4">
        <w:rPr>
          <w:rFonts w:ascii="Times New Roman" w:eastAsia="SimSun" w:hAnsi="Times New Roman" w:cs="Times New Roman"/>
          <w:color w:val="000000"/>
          <w:lang w:eastAsia="ar-SA"/>
        </w:rPr>
        <w:t xml:space="preserve">progresavusi LML ar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faz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faz</w:t>
      </w:r>
      <w:r w:rsidRPr="00975CA4">
        <w:rPr>
          <w:rFonts w:ascii="Times New Roman" w:eastAsia="MS Mincho" w:hAnsi="Times New Roman" w:cs="Times New Roman"/>
          <w:color w:val="000000"/>
          <w:lang w:eastAsia="ar-SA"/>
        </w:rPr>
        <w:t>ė</w:t>
      </w:r>
      <w:proofErr w:type="spellEnd"/>
      <w:r w:rsidRPr="00975CA4">
        <w:rPr>
          <w:rFonts w:ascii="Times New Roman" w:eastAsia="MS Mincho" w:hAnsi="Times New Roman" w:cs="Times New Roman"/>
          <w:color w:val="000000"/>
          <w:lang w:eastAsia="ar-SA"/>
        </w:rPr>
        <w:t>,</w:t>
      </w:r>
      <w:r w:rsidRPr="00975CA4">
        <w:rPr>
          <w:rFonts w:ascii="Times New Roman" w:eastAsia="SimSun" w:hAnsi="Times New Roman" w:cs="Times New Roman"/>
          <w:color w:val="000000"/>
          <w:lang w:eastAsia="ar-SA"/>
        </w:rPr>
        <w:t xml:space="preserve"> klinikini</w:t>
      </w:r>
      <w:r w:rsidRPr="00975CA4">
        <w:rPr>
          <w:rFonts w:ascii="Times New Roman" w:eastAsia="MS Mincho" w:hAnsi="Times New Roman" w:cs="Times New Roman"/>
          <w:color w:val="000000"/>
          <w:lang w:eastAsia="ar-SA"/>
        </w:rPr>
        <w:t xml:space="preserve">ų </w:t>
      </w:r>
      <w:r w:rsidRPr="00975CA4">
        <w:rPr>
          <w:rFonts w:ascii="Times New Roman" w:eastAsia="SimSun" w:hAnsi="Times New Roman" w:cs="Times New Roman"/>
          <w:color w:val="000000"/>
          <w:lang w:eastAsia="ar-SA"/>
        </w:rPr>
        <w:t>tyrim</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metu </w:t>
      </w:r>
      <w:r w:rsidR="000839CA" w:rsidRPr="00975CA4">
        <w:rPr>
          <w:rFonts w:ascii="Times New Roman" w:eastAsia="SimSun" w:hAnsi="Times New Roman" w:cs="Times New Roman"/>
          <w:color w:val="000000"/>
          <w:lang w:eastAsia="ar-SA"/>
        </w:rPr>
        <w:t>vartojusi</w:t>
      </w:r>
      <w:r w:rsidR="000839CA" w:rsidRPr="00975CA4">
        <w:rPr>
          <w:rFonts w:ascii="Times New Roman" w:eastAsia="MS Mincho" w:hAnsi="Times New Roman" w:cs="Times New Roman"/>
          <w:color w:val="000000"/>
          <w:lang w:eastAsia="ar-SA"/>
        </w:rPr>
        <w:t>ų</w:t>
      </w:r>
      <w:r w:rsidR="000839CA" w:rsidRPr="00975CA4">
        <w:rPr>
          <w:rFonts w:ascii="Times New Roman" w:eastAsia="SimSun" w:hAnsi="Times New Roman" w:cs="Times New Roman"/>
          <w:color w:val="000000"/>
          <w:lang w:eastAsia="ar-SA"/>
        </w:rPr>
        <w:t xml:space="preserve"> rekomenduojam</w:t>
      </w:r>
      <w:r w:rsidR="000839CA" w:rsidRPr="00975CA4">
        <w:rPr>
          <w:rFonts w:ascii="Times New Roman" w:eastAsia="MS Mincho" w:hAnsi="Times New Roman" w:cs="Times New Roman"/>
          <w:color w:val="000000"/>
          <w:lang w:eastAsia="ar-SA"/>
        </w:rPr>
        <w:t>ą</w:t>
      </w:r>
      <w:r w:rsidR="000839CA" w:rsidRPr="00975CA4">
        <w:rPr>
          <w:rFonts w:ascii="Times New Roman" w:eastAsia="SimSun" w:hAnsi="Times New Roman" w:cs="Times New Roman"/>
          <w:color w:val="000000"/>
          <w:lang w:eastAsia="ar-SA"/>
        </w:rPr>
        <w:t xml:space="preserve"> </w:t>
      </w:r>
      <w:proofErr w:type="spellStart"/>
      <w:r w:rsidR="000839CA" w:rsidRPr="00975CA4">
        <w:rPr>
          <w:rFonts w:ascii="Times New Roman" w:eastAsia="SimSun" w:hAnsi="Times New Roman" w:cs="Times New Roman"/>
          <w:color w:val="000000"/>
          <w:lang w:eastAsia="ar-SA"/>
        </w:rPr>
        <w:t>dazatinibo</w:t>
      </w:r>
      <w:proofErr w:type="spellEnd"/>
      <w:r w:rsidR="000839CA" w:rsidRPr="00975CA4">
        <w:rPr>
          <w:rFonts w:ascii="Times New Roman" w:eastAsia="SimSun" w:hAnsi="Times New Roman" w:cs="Times New Roman"/>
          <w:color w:val="000000"/>
          <w:lang w:eastAsia="ar-SA"/>
        </w:rPr>
        <w:t xml:space="preserve"> doz</w:t>
      </w:r>
      <w:r w:rsidR="000839CA" w:rsidRPr="00975CA4">
        <w:rPr>
          <w:rFonts w:ascii="Times New Roman" w:eastAsia="MS Mincho" w:hAnsi="Times New Roman" w:cs="Times New Roman"/>
          <w:color w:val="000000"/>
          <w:lang w:eastAsia="ar-SA"/>
        </w:rPr>
        <w:t xml:space="preserve">ę </w:t>
      </w:r>
      <w:r w:rsidR="000839CA" w:rsidRPr="00975CA4">
        <w:rPr>
          <w:rFonts w:ascii="Times New Roman" w:eastAsia="SimSun" w:hAnsi="Times New Roman" w:cs="Times New Roman"/>
          <w:color w:val="000000"/>
          <w:lang w:eastAsia="ar-SA"/>
        </w:rPr>
        <w:t>(n = 304)</w:t>
      </w:r>
      <w:r w:rsidR="0048641A" w:rsidRPr="00975CA4">
        <w:rPr>
          <w:rFonts w:ascii="Times New Roman" w:eastAsia="SimSun" w:hAnsi="Times New Roman" w:cs="Times New Roman"/>
          <w:color w:val="000000"/>
          <w:lang w:eastAsia="ar-SA"/>
        </w:rPr>
        <w:t>,</w:t>
      </w:r>
      <w:r w:rsidR="000839CA" w:rsidRPr="00975CA4">
        <w:rPr>
          <w:rFonts w:ascii="Times New Roman" w:eastAsia="SimSun" w:hAnsi="Times New Roman" w:cs="Times New Roman"/>
          <w:color w:val="000000"/>
          <w:lang w:eastAsia="ar-SA"/>
        </w:rPr>
        <w:t xml:space="preserve"> </w:t>
      </w:r>
      <w:r w:rsidR="0048641A" w:rsidRPr="00975CA4">
        <w:rPr>
          <w:rFonts w:ascii="Times New Roman" w:eastAsia="SimSun" w:hAnsi="Times New Roman" w:cs="Times New Roman"/>
          <w:color w:val="000000"/>
          <w:lang w:eastAsia="ar-SA"/>
        </w:rPr>
        <w:t xml:space="preserve">nustatytas </w:t>
      </w:r>
      <w:r w:rsidRPr="00975CA4">
        <w:rPr>
          <w:rFonts w:ascii="Times New Roman" w:eastAsia="SimSun" w:hAnsi="Times New Roman" w:cs="Times New Roman"/>
          <w:color w:val="000000"/>
          <w:lang w:eastAsia="ar-SA"/>
        </w:rPr>
        <w:t>3 ar 4 laipsnio skysčio susilaikymas (7</w:t>
      </w:r>
      <w:r w:rsidR="002B0FC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pasireišk</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3 ar 4 laipsnio </w:t>
      </w:r>
      <w:r w:rsidR="00CA4EFF" w:rsidRPr="00975CA4">
        <w:rPr>
          <w:rFonts w:ascii="Times New Roman" w:eastAsia="SimSun" w:hAnsi="Times New Roman" w:cs="Times New Roman"/>
          <w:color w:val="000000"/>
          <w:lang w:eastAsia="ar-SA"/>
        </w:rPr>
        <w:t>skys</w:t>
      </w:r>
      <w:r w:rsidR="006D56F9" w:rsidRPr="00975CA4">
        <w:rPr>
          <w:rFonts w:ascii="Times New Roman" w:eastAsia="SimSun" w:hAnsi="Times New Roman" w:cs="Times New Roman"/>
          <w:color w:val="000000"/>
          <w:lang w:eastAsia="ar-SA"/>
        </w:rPr>
        <w:t xml:space="preserve">tis </w:t>
      </w:r>
      <w:r w:rsidRPr="00975CA4">
        <w:rPr>
          <w:rFonts w:ascii="Times New Roman" w:eastAsia="SimSun" w:hAnsi="Times New Roman" w:cs="Times New Roman"/>
          <w:color w:val="000000"/>
          <w:lang w:eastAsia="ar-SA"/>
        </w:rPr>
        <w:t xml:space="preserve">pleuros </w:t>
      </w:r>
      <w:r w:rsidR="00CA4EFF" w:rsidRPr="00975CA4">
        <w:rPr>
          <w:rFonts w:ascii="Times New Roman" w:eastAsia="SimSun" w:hAnsi="Times New Roman" w:cs="Times New Roman"/>
          <w:color w:val="000000"/>
          <w:lang w:eastAsia="ar-SA"/>
        </w:rPr>
        <w:t xml:space="preserve">ertmėje </w:t>
      </w:r>
      <w:r w:rsidR="009B67DE" w:rsidRPr="00975CA4">
        <w:rPr>
          <w:rFonts w:ascii="Times New Roman" w:eastAsia="SimSun" w:hAnsi="Times New Roman" w:cs="Times New Roman"/>
          <w:color w:val="000000"/>
          <w:lang w:eastAsia="ar-SA"/>
        </w:rPr>
        <w:t>1 </w:t>
      </w:r>
      <w:r w:rsidRPr="00975CA4">
        <w:rPr>
          <w:rFonts w:ascii="Times New Roman" w:eastAsia="SimSun" w:hAnsi="Times New Roman" w:cs="Times New Roman"/>
          <w:color w:val="000000"/>
          <w:lang w:eastAsia="ar-SA"/>
        </w:rPr>
        <w:t xml:space="preserve">% – 3 ar 4 laipsnio </w:t>
      </w:r>
      <w:r w:rsidR="00CA4EFF" w:rsidRPr="00975CA4">
        <w:rPr>
          <w:rFonts w:ascii="Times New Roman" w:eastAsia="SimSun" w:hAnsi="Times New Roman" w:cs="Times New Roman"/>
          <w:color w:val="000000"/>
          <w:lang w:eastAsia="ar-SA"/>
        </w:rPr>
        <w:t>skys</w:t>
      </w:r>
      <w:r w:rsidR="006D56F9" w:rsidRPr="00975CA4">
        <w:rPr>
          <w:rFonts w:ascii="Times New Roman" w:eastAsia="SimSun" w:hAnsi="Times New Roman" w:cs="Times New Roman"/>
          <w:color w:val="000000"/>
          <w:lang w:eastAsia="ar-SA"/>
        </w:rPr>
        <w:t>tis</w:t>
      </w:r>
      <w:r w:rsidR="00CA4EFF"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 xml:space="preserve">perikardo </w:t>
      </w:r>
      <w:r w:rsidR="00CA4EFF" w:rsidRPr="00975CA4">
        <w:rPr>
          <w:rFonts w:ascii="Times New Roman" w:eastAsia="SimSun" w:hAnsi="Times New Roman" w:cs="Times New Roman"/>
          <w:color w:val="000000"/>
          <w:lang w:eastAsia="ar-SA"/>
        </w:rPr>
        <w:t>ertmėje</w:t>
      </w:r>
      <w:r w:rsidRPr="00975CA4">
        <w:rPr>
          <w:rFonts w:ascii="Times New Roman" w:eastAsia="SimSun" w:hAnsi="Times New Roman" w:cs="Times New Roman"/>
          <w:color w:val="000000"/>
          <w:lang w:eastAsia="ar-SA"/>
        </w:rPr>
        <w:t xml:space="preserve">),. 3 ar 4 laipsnio plaučių edema ir </w:t>
      </w:r>
      <w:proofErr w:type="spellStart"/>
      <w:r w:rsidRPr="00975CA4">
        <w:rPr>
          <w:rFonts w:ascii="Times New Roman" w:eastAsia="SimSun" w:hAnsi="Times New Roman" w:cs="Times New Roman"/>
          <w:color w:val="000000"/>
          <w:lang w:eastAsia="ar-SA"/>
        </w:rPr>
        <w:t>plau</w:t>
      </w:r>
      <w:r w:rsidR="00D37AFE" w:rsidRPr="00975CA4">
        <w:rPr>
          <w:rFonts w:ascii="Times New Roman" w:eastAsia="MS Mincho" w:hAnsi="Times New Roman" w:cs="Times New Roman"/>
          <w:color w:val="000000"/>
          <w:lang w:eastAsia="ar-SA"/>
        </w:rPr>
        <w:t>tinė</w:t>
      </w:r>
      <w:proofErr w:type="spellEnd"/>
      <w:r w:rsidRPr="00975CA4">
        <w:rPr>
          <w:rFonts w:ascii="Times New Roman" w:eastAsia="SimSun" w:hAnsi="Times New Roman" w:cs="Times New Roman"/>
          <w:color w:val="000000"/>
          <w:lang w:eastAsia="ar-SA"/>
        </w:rPr>
        <w:t xml:space="preserve"> hipertenzija pasireišk</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po </w:t>
      </w:r>
      <w:r w:rsidR="00853098" w:rsidRPr="00975CA4">
        <w:rPr>
          <w:rFonts w:ascii="Times New Roman" w:eastAsia="SimSun" w:hAnsi="Times New Roman" w:cs="Times New Roman"/>
          <w:color w:val="000000"/>
          <w:lang w:eastAsia="ar-SA"/>
        </w:rPr>
        <w:t>1 </w:t>
      </w:r>
      <w:r w:rsidRPr="00975CA4">
        <w:rPr>
          <w:rFonts w:ascii="Times New Roman" w:eastAsia="SimSun" w:hAnsi="Times New Roman" w:cs="Times New Roman"/>
          <w:color w:val="000000"/>
          <w:lang w:eastAsia="ar-SA"/>
        </w:rPr>
        <w:t>% ši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pacient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w:t>
      </w:r>
    </w:p>
    <w:p w14:paraId="1416B113" w14:textId="77777777" w:rsidR="00B436E7" w:rsidRPr="00975CA4" w:rsidRDefault="00B436E7" w:rsidP="000839CA">
      <w:pPr>
        <w:suppressAutoHyphens/>
        <w:spacing w:after="0" w:line="240" w:lineRule="auto"/>
        <w:rPr>
          <w:rFonts w:ascii="Times New Roman" w:eastAsia="SimSun" w:hAnsi="Times New Roman" w:cs="Times New Roman"/>
          <w:color w:val="000000"/>
          <w:lang w:eastAsia="ar-SA"/>
        </w:rPr>
      </w:pPr>
    </w:p>
    <w:p w14:paraId="4593E3C1" w14:textId="013A9B80" w:rsidR="00B436E7" w:rsidRPr="00975CA4" w:rsidRDefault="00B436E7" w:rsidP="00B43F42">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lastRenderedPageBreak/>
        <w:t xml:space="preserve">Nustačius </w:t>
      </w:r>
      <w:r w:rsidR="005523EE" w:rsidRPr="00975CA4">
        <w:rPr>
          <w:rFonts w:ascii="Times New Roman" w:eastAsia="SimSun" w:hAnsi="Times New Roman" w:cs="Times New Roman"/>
          <w:color w:val="000000"/>
          <w:lang w:eastAsia="ar-SA"/>
        </w:rPr>
        <w:t xml:space="preserve">skystį </w:t>
      </w:r>
      <w:r w:rsidRPr="00975CA4">
        <w:rPr>
          <w:rFonts w:ascii="Times New Roman" w:eastAsia="SimSun" w:hAnsi="Times New Roman" w:cs="Times New Roman"/>
          <w:color w:val="000000"/>
          <w:lang w:eastAsia="ar-SA"/>
        </w:rPr>
        <w:t xml:space="preserve">pleuros </w:t>
      </w:r>
      <w:r w:rsidR="005523EE" w:rsidRPr="00975CA4">
        <w:rPr>
          <w:rFonts w:ascii="Times New Roman" w:eastAsia="SimSun" w:hAnsi="Times New Roman" w:cs="Times New Roman"/>
          <w:color w:val="000000"/>
          <w:lang w:eastAsia="ar-SA"/>
        </w:rPr>
        <w:t xml:space="preserve">ertmėje </w:t>
      </w:r>
      <w:r w:rsidRPr="00975CA4">
        <w:rPr>
          <w:rFonts w:ascii="Times New Roman" w:eastAsia="SimSun" w:hAnsi="Times New Roman" w:cs="Times New Roman"/>
          <w:color w:val="000000"/>
          <w:lang w:eastAsia="ar-SA"/>
        </w:rPr>
        <w:t xml:space="preserve">galinčių rodyti simptomų (pvz., dusulį arba sausą kosulį), pacientui reikia atlikti krūtinės rentgenogramą. Dėl 3 ar 4 laipsnio </w:t>
      </w:r>
      <w:r w:rsidR="005523EE" w:rsidRPr="00975CA4">
        <w:rPr>
          <w:rFonts w:ascii="Times New Roman" w:eastAsia="SimSun" w:hAnsi="Times New Roman" w:cs="Times New Roman"/>
          <w:color w:val="000000"/>
          <w:lang w:eastAsia="ar-SA"/>
        </w:rPr>
        <w:t xml:space="preserve">skysčio </w:t>
      </w:r>
      <w:r w:rsidRPr="00975CA4">
        <w:rPr>
          <w:rFonts w:ascii="Times New Roman" w:eastAsia="SimSun" w:hAnsi="Times New Roman" w:cs="Times New Roman"/>
          <w:color w:val="000000"/>
          <w:lang w:eastAsia="ar-SA"/>
        </w:rPr>
        <w:t xml:space="preserve">pleuros </w:t>
      </w:r>
      <w:r w:rsidR="005523EE" w:rsidRPr="00975CA4">
        <w:rPr>
          <w:rFonts w:ascii="Times New Roman" w:eastAsia="SimSun" w:hAnsi="Times New Roman" w:cs="Times New Roman"/>
          <w:color w:val="000000"/>
          <w:lang w:eastAsia="ar-SA"/>
        </w:rPr>
        <w:t xml:space="preserve">ertmėje </w:t>
      </w:r>
      <w:r w:rsidRPr="00975CA4">
        <w:rPr>
          <w:rFonts w:ascii="Times New Roman" w:eastAsia="SimSun" w:hAnsi="Times New Roman" w:cs="Times New Roman"/>
          <w:color w:val="000000"/>
          <w:lang w:eastAsia="ar-SA"/>
        </w:rPr>
        <w:t xml:space="preserve">gali tekti atlikti </w:t>
      </w:r>
      <w:proofErr w:type="spellStart"/>
      <w:r w:rsidRPr="00975CA4">
        <w:rPr>
          <w:rFonts w:ascii="Times New Roman" w:eastAsia="SimSun" w:hAnsi="Times New Roman" w:cs="Times New Roman"/>
          <w:color w:val="000000"/>
          <w:lang w:eastAsia="ar-SA"/>
        </w:rPr>
        <w:t>torakocentezę</w:t>
      </w:r>
      <w:proofErr w:type="spellEnd"/>
      <w:r w:rsidRPr="00975CA4">
        <w:rPr>
          <w:rFonts w:ascii="Times New Roman" w:eastAsia="SimSun" w:hAnsi="Times New Roman" w:cs="Times New Roman"/>
          <w:color w:val="000000"/>
          <w:lang w:eastAsia="ar-SA"/>
        </w:rPr>
        <w:t xml:space="preserve"> ir gydyti deguonimi. Su skysčio susilaikymu susijusios nepageidaujamos reakcijos paprastai buvo koreguojamos palaikomosiomis priemonėmis, įskaitant diuretikus ir trumpus steroidų kursus (žr. 4.2 ir 4.8 skyrius). 65 metų ir vyresniems pacientams, palyginti su </w:t>
      </w:r>
      <w:proofErr w:type="spellStart"/>
      <w:r w:rsidRPr="00975CA4">
        <w:rPr>
          <w:rFonts w:ascii="Times New Roman" w:eastAsia="SimSun" w:hAnsi="Times New Roman" w:cs="Times New Roman"/>
          <w:color w:val="000000"/>
          <w:lang w:eastAsia="ar-SA"/>
        </w:rPr>
        <w:t>jaunesniais,</w:t>
      </w:r>
      <w:r w:rsidR="005523EE" w:rsidRPr="00975CA4">
        <w:rPr>
          <w:rFonts w:ascii="Times New Roman" w:eastAsia="SimSun" w:hAnsi="Times New Roman" w:cs="Times New Roman"/>
          <w:color w:val="000000"/>
          <w:lang w:eastAsia="ar-SA"/>
        </w:rPr>
        <w:t>skysčio</w:t>
      </w:r>
      <w:proofErr w:type="spellEnd"/>
      <w:r w:rsidRPr="00975CA4">
        <w:rPr>
          <w:rFonts w:ascii="Times New Roman" w:eastAsia="SimSun" w:hAnsi="Times New Roman" w:cs="Times New Roman"/>
          <w:color w:val="000000"/>
          <w:lang w:eastAsia="ar-SA"/>
        </w:rPr>
        <w:t xml:space="preserve"> pleuros </w:t>
      </w:r>
      <w:r w:rsidR="005523EE" w:rsidRPr="00975CA4">
        <w:rPr>
          <w:rFonts w:ascii="Times New Roman" w:eastAsia="SimSun" w:hAnsi="Times New Roman" w:cs="Times New Roman"/>
          <w:color w:val="000000"/>
          <w:lang w:eastAsia="ar-SA"/>
        </w:rPr>
        <w:t>ertmėje</w:t>
      </w:r>
      <w:r w:rsidRPr="00975CA4">
        <w:rPr>
          <w:rFonts w:ascii="Times New Roman" w:eastAsia="SimSun" w:hAnsi="Times New Roman" w:cs="Times New Roman"/>
          <w:color w:val="000000"/>
          <w:lang w:eastAsia="ar-SA"/>
        </w:rPr>
        <w:t xml:space="preserve">, dusulio, kosulio, </w:t>
      </w:r>
      <w:r w:rsidR="005523EE" w:rsidRPr="00975CA4">
        <w:rPr>
          <w:rFonts w:ascii="Times New Roman" w:eastAsia="SimSun" w:hAnsi="Times New Roman" w:cs="Times New Roman"/>
          <w:color w:val="000000"/>
          <w:lang w:eastAsia="ar-SA"/>
        </w:rPr>
        <w:t xml:space="preserve">skysčio </w:t>
      </w:r>
      <w:r w:rsidRPr="00975CA4">
        <w:rPr>
          <w:rFonts w:ascii="Times New Roman" w:eastAsia="SimSun" w:hAnsi="Times New Roman" w:cs="Times New Roman"/>
          <w:color w:val="000000"/>
          <w:lang w:eastAsia="ar-SA"/>
        </w:rPr>
        <w:t xml:space="preserve">perikardo </w:t>
      </w:r>
      <w:r w:rsidR="005523EE" w:rsidRPr="00975CA4">
        <w:rPr>
          <w:rFonts w:ascii="Times New Roman" w:eastAsia="SimSun" w:hAnsi="Times New Roman" w:cs="Times New Roman"/>
          <w:color w:val="000000"/>
          <w:lang w:eastAsia="ar-SA"/>
        </w:rPr>
        <w:t xml:space="preserve">ertmėje </w:t>
      </w:r>
      <w:r w:rsidRPr="00975CA4">
        <w:rPr>
          <w:rFonts w:ascii="Times New Roman" w:eastAsia="SimSun" w:hAnsi="Times New Roman" w:cs="Times New Roman"/>
          <w:color w:val="000000"/>
          <w:lang w:eastAsia="ar-SA"/>
        </w:rPr>
        <w:t xml:space="preserve">ir </w:t>
      </w:r>
      <w:proofErr w:type="spellStart"/>
      <w:r w:rsidRPr="00975CA4">
        <w:rPr>
          <w:rFonts w:ascii="Times New Roman" w:eastAsia="SimSun" w:hAnsi="Times New Roman" w:cs="Times New Roman"/>
          <w:color w:val="000000"/>
          <w:lang w:eastAsia="ar-SA"/>
        </w:rPr>
        <w:t>stazinio</w:t>
      </w:r>
      <w:proofErr w:type="spellEnd"/>
      <w:r w:rsidRPr="00975CA4">
        <w:rPr>
          <w:rFonts w:ascii="Times New Roman" w:eastAsia="SimSun" w:hAnsi="Times New Roman" w:cs="Times New Roman"/>
          <w:color w:val="000000"/>
          <w:lang w:eastAsia="ar-SA"/>
        </w:rPr>
        <w:t xml:space="preserve"> širdies nepakankamumo rizika yra didesnė, todėl juos reikia atidžiai stebėti.</w:t>
      </w:r>
      <w:r w:rsidR="00B43F42" w:rsidRPr="00975CA4">
        <w:rPr>
          <w:rFonts w:ascii="Times New Roman" w:eastAsia="SimSun" w:hAnsi="Times New Roman" w:cs="Times New Roman"/>
          <w:color w:val="000000"/>
          <w:lang w:eastAsia="ar-SA"/>
        </w:rPr>
        <w:t xml:space="preserve"> Buvo pranešta apie </w:t>
      </w:r>
      <w:proofErr w:type="spellStart"/>
      <w:r w:rsidR="00B43F42" w:rsidRPr="00975CA4">
        <w:rPr>
          <w:rFonts w:ascii="Times New Roman" w:eastAsia="SimSun" w:hAnsi="Times New Roman" w:cs="Times New Roman"/>
          <w:color w:val="000000"/>
          <w:lang w:eastAsia="ar-SA"/>
        </w:rPr>
        <w:t>chilotorakso</w:t>
      </w:r>
      <w:proofErr w:type="spellEnd"/>
      <w:r w:rsidR="00B43F42" w:rsidRPr="00975CA4">
        <w:rPr>
          <w:rFonts w:ascii="Times New Roman" w:eastAsia="SimSun" w:hAnsi="Times New Roman" w:cs="Times New Roman"/>
          <w:color w:val="000000"/>
          <w:lang w:eastAsia="ar-SA"/>
        </w:rPr>
        <w:t xml:space="preserve"> atvejus pacientams, kuriems pasireiškė pleuros </w:t>
      </w:r>
      <w:proofErr w:type="spellStart"/>
      <w:r w:rsidR="00B43F42" w:rsidRPr="00975CA4">
        <w:rPr>
          <w:rFonts w:ascii="Times New Roman" w:eastAsia="SimSun" w:hAnsi="Times New Roman" w:cs="Times New Roman"/>
          <w:color w:val="000000"/>
          <w:lang w:eastAsia="ar-SA"/>
        </w:rPr>
        <w:t>efuzija</w:t>
      </w:r>
      <w:proofErr w:type="spellEnd"/>
      <w:r w:rsidR="00B43F42" w:rsidRPr="00975CA4">
        <w:rPr>
          <w:rFonts w:ascii="Times New Roman" w:eastAsia="SimSun" w:hAnsi="Times New Roman" w:cs="Times New Roman"/>
          <w:color w:val="000000"/>
          <w:lang w:eastAsia="ar-SA"/>
        </w:rPr>
        <w:t xml:space="preserve"> (žr. 4.8 skyrių).</w:t>
      </w:r>
    </w:p>
    <w:p w14:paraId="55954DFF"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5BDE20ED"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Plaučių arterijos hipertenzija (PAH)</w:t>
      </w:r>
    </w:p>
    <w:p w14:paraId="73A21683"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Gauta pranešimų apie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vartojimo metu pasireiškusią PAH (</w:t>
      </w:r>
      <w:proofErr w:type="spellStart"/>
      <w:r w:rsidRPr="00975CA4">
        <w:rPr>
          <w:rFonts w:ascii="Times New Roman" w:eastAsia="SimSun" w:hAnsi="Times New Roman" w:cs="Times New Roman"/>
          <w:color w:val="000000"/>
          <w:lang w:eastAsia="ar-SA"/>
        </w:rPr>
        <w:t>prekapiliarinę</w:t>
      </w:r>
      <w:proofErr w:type="spellEnd"/>
      <w:r w:rsidRPr="00975CA4">
        <w:rPr>
          <w:rFonts w:ascii="Times New Roman" w:eastAsia="SimSun" w:hAnsi="Times New Roman" w:cs="Times New Roman"/>
          <w:color w:val="000000"/>
          <w:lang w:eastAsia="ar-SA"/>
        </w:rPr>
        <w:t xml:space="preserve"> plaučių arterijos hipertenziją, patvirtintą </w:t>
      </w:r>
      <w:proofErr w:type="spellStart"/>
      <w:r w:rsidRPr="00975CA4">
        <w:rPr>
          <w:rFonts w:ascii="Times New Roman" w:eastAsia="SimSun" w:hAnsi="Times New Roman" w:cs="Times New Roman"/>
          <w:color w:val="000000"/>
          <w:lang w:eastAsia="ar-SA"/>
        </w:rPr>
        <w:t>kateterizuojant</w:t>
      </w:r>
      <w:proofErr w:type="spellEnd"/>
      <w:r w:rsidRPr="00975CA4">
        <w:rPr>
          <w:rFonts w:ascii="Times New Roman" w:eastAsia="SimSun" w:hAnsi="Times New Roman" w:cs="Times New Roman"/>
          <w:color w:val="000000"/>
          <w:lang w:eastAsia="ar-SA"/>
        </w:rPr>
        <w:t xml:space="preserve"> dešinę širdies pusę) (žr. 4.8 skyrių). Šiais atvejais apie PAH pranešta po gydymo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pradžios, įskaitant atvejus po ilgesnio nei vienerių metų gydymo.</w:t>
      </w:r>
    </w:p>
    <w:p w14:paraId="2C468771"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28C6CA9A" w14:textId="06DB3E5A" w:rsidR="00341AEC"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Prieš pradedant gydymą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reikia ištirti, ar nėra širdies ir plaučių ligos požymių ir simptomų. Pradedant gydymą, reikia atlikti ultragarsinį tyrimą kiekvienam pacientui, kuriam yra širdies ligos simptomų, ir apsvarsčius tiems pacientams, kuriems yra širdies ar plaučių ligos rizikos veiksnių. Jeigu pradėjus gydymą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pacientui pasireiškia dusulys ir nuovargis, reikia ištirti, ar nėra dažnai pasitaikančių priežasčių (pvz., </w:t>
      </w:r>
      <w:r w:rsidR="005523EE" w:rsidRPr="00975CA4">
        <w:rPr>
          <w:rFonts w:ascii="Times New Roman" w:eastAsia="SimSun" w:hAnsi="Times New Roman" w:cs="Times New Roman"/>
          <w:color w:val="000000"/>
          <w:lang w:eastAsia="ar-SA"/>
        </w:rPr>
        <w:t xml:space="preserve">skysčio </w:t>
      </w:r>
      <w:r w:rsidRPr="00975CA4">
        <w:rPr>
          <w:rFonts w:ascii="Times New Roman" w:eastAsia="SimSun" w:hAnsi="Times New Roman" w:cs="Times New Roman"/>
          <w:color w:val="000000"/>
          <w:lang w:eastAsia="ar-SA"/>
        </w:rPr>
        <w:t xml:space="preserve">pleuros </w:t>
      </w:r>
      <w:r w:rsidR="005523EE" w:rsidRPr="00975CA4">
        <w:rPr>
          <w:rFonts w:ascii="Times New Roman" w:eastAsia="SimSun" w:hAnsi="Times New Roman" w:cs="Times New Roman"/>
          <w:color w:val="000000"/>
          <w:lang w:eastAsia="ar-SA"/>
        </w:rPr>
        <w:t>ertmėje</w:t>
      </w:r>
      <w:r w:rsidRPr="00975CA4">
        <w:rPr>
          <w:rFonts w:ascii="Times New Roman" w:eastAsia="SimSun" w:hAnsi="Times New Roman" w:cs="Times New Roman"/>
          <w:color w:val="000000"/>
          <w:lang w:eastAsia="ar-SA"/>
        </w:rPr>
        <w:t xml:space="preserve">, plaučių edemos, anemijos arba plaučių infiltracijos). Laikantis nehematologinių nepageidaujamų reakcijų gydymo rekomendacijų (žr. 4.2 skyrių), tokiu atveju reikia sumažinti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dozę arba laikinai nutraukti jo vartojimą, kol bus baigti šie tyrimai. Jeigu nenustačius kitos priežasties arba jei sumažinus šio vaistinio preparato dozę ar jo vartojimą laikinai nutraukus būklė nepagerėja, reikia atsižvelgti į PAH diagnozės galimybę. PAH diagnozuojama laikantis standartinės praktikos rekomendacijų. Patvirtinus PAH diagnozę,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vartojimas turi būti nutrauktas visam laikui. </w:t>
      </w:r>
    </w:p>
    <w:p w14:paraId="6D573389" w14:textId="77777777" w:rsidR="00341AEC" w:rsidRPr="00975CA4" w:rsidRDefault="00341AEC" w:rsidP="00B436E7">
      <w:pPr>
        <w:suppressAutoHyphens/>
        <w:spacing w:after="0" w:line="240" w:lineRule="auto"/>
        <w:rPr>
          <w:rFonts w:ascii="Times New Roman" w:eastAsia="SimSun" w:hAnsi="Times New Roman" w:cs="Times New Roman"/>
          <w:color w:val="000000"/>
          <w:lang w:eastAsia="ar-SA"/>
        </w:rPr>
      </w:pPr>
    </w:p>
    <w:p w14:paraId="4560F472"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Pacientai, kuriems diagnozuota PAH, turi būti stebimi ir gydomi laikantis standartinės praktikos rekomendacijų.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gydomiems pacientams, kuriems pasireiškė PAH, pastebėtas hemodinamikos ir klinikinių rodiklių pagerėjimas po gydymo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nutraukimo.</w:t>
      </w:r>
    </w:p>
    <w:p w14:paraId="338EA5FC"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028295F5"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QT pailgėjimas</w:t>
      </w:r>
    </w:p>
    <w:p w14:paraId="66BF9093" w14:textId="36A8615A"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Tyrimų </w:t>
      </w:r>
      <w:proofErr w:type="spellStart"/>
      <w:r w:rsidRPr="00975CA4">
        <w:rPr>
          <w:rFonts w:ascii="Times New Roman" w:eastAsia="SimSun" w:hAnsi="Times New Roman" w:cs="Times New Roman"/>
          <w:i/>
          <w:color w:val="000000"/>
          <w:lang w:eastAsia="ar-SA"/>
        </w:rPr>
        <w:t>in</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vitro</w:t>
      </w:r>
      <w:proofErr w:type="spellEnd"/>
      <w:r w:rsidRPr="00975CA4">
        <w:rPr>
          <w:rFonts w:ascii="Times New Roman" w:eastAsia="SimSun" w:hAnsi="Times New Roman" w:cs="Times New Roman"/>
          <w:color w:val="000000"/>
          <w:lang w:eastAsia="ar-SA"/>
        </w:rPr>
        <w:t xml:space="preserve"> duomenimis, </w:t>
      </w: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gali pailginti širdies skilvelių </w:t>
      </w:r>
      <w:proofErr w:type="spellStart"/>
      <w:r w:rsidRPr="00975CA4">
        <w:rPr>
          <w:rFonts w:ascii="Times New Roman" w:eastAsia="SimSun" w:hAnsi="Times New Roman" w:cs="Times New Roman"/>
          <w:color w:val="000000"/>
          <w:lang w:eastAsia="ar-SA"/>
        </w:rPr>
        <w:t>repoliarizacijos</w:t>
      </w:r>
      <w:proofErr w:type="spellEnd"/>
      <w:r w:rsidRPr="00975CA4">
        <w:rPr>
          <w:rFonts w:ascii="Times New Roman" w:eastAsia="SimSun" w:hAnsi="Times New Roman" w:cs="Times New Roman"/>
          <w:color w:val="000000"/>
          <w:lang w:eastAsia="ar-SA"/>
        </w:rPr>
        <w:t xml:space="preserve"> trukmę (QT intervalą) (žr. 5.3 skyrių). Naujai diagnozuotos lėtinės LML III fazės tyrimo metu per ne trumpesnį kaip </w:t>
      </w:r>
      <w:r w:rsidR="00360AE2" w:rsidRPr="00975CA4">
        <w:rPr>
          <w:rFonts w:ascii="Times New Roman" w:eastAsia="SimSun" w:hAnsi="Times New Roman" w:cs="Times New Roman"/>
          <w:color w:val="000000"/>
          <w:lang w:eastAsia="ar-SA"/>
        </w:rPr>
        <w:t>60 </w:t>
      </w:r>
      <w:r w:rsidRPr="00975CA4">
        <w:rPr>
          <w:rFonts w:ascii="Times New Roman" w:eastAsia="SimSun" w:hAnsi="Times New Roman" w:cs="Times New Roman"/>
          <w:color w:val="000000"/>
          <w:lang w:eastAsia="ar-SA"/>
        </w:rPr>
        <w:t>mėn. stebėjimo laikotarpį gauta pranešimų apie koreguoto QT intervalo (</w:t>
      </w:r>
      <w:proofErr w:type="spellStart"/>
      <w:r w:rsidRPr="00975CA4">
        <w:rPr>
          <w:rFonts w:ascii="Times New Roman" w:eastAsia="SimSun" w:hAnsi="Times New Roman" w:cs="Times New Roman"/>
          <w:color w:val="000000"/>
          <w:lang w:eastAsia="ar-SA"/>
        </w:rPr>
        <w:t>QTc</w:t>
      </w:r>
      <w:proofErr w:type="spellEnd"/>
      <w:r w:rsidRPr="00975CA4">
        <w:rPr>
          <w:rFonts w:ascii="Times New Roman" w:eastAsia="SimSun" w:hAnsi="Times New Roman" w:cs="Times New Roman"/>
          <w:color w:val="000000"/>
          <w:lang w:eastAsia="ar-SA"/>
        </w:rPr>
        <w:t xml:space="preserve">) pailgėjimą kaip nepageidaujamą reakciją, pasireiškusią vienam </w:t>
      </w:r>
      <w:r w:rsidR="00360AE2" w:rsidRPr="00975CA4">
        <w:rPr>
          <w:rFonts w:ascii="Times New Roman" w:eastAsia="SimSun" w:hAnsi="Times New Roman" w:cs="Times New Roman"/>
          <w:color w:val="000000"/>
          <w:lang w:eastAsia="ar-SA"/>
        </w:rPr>
        <w:t>(&lt; 1 </w:t>
      </w:r>
      <w:r w:rsidRPr="00975CA4">
        <w:rPr>
          <w:rFonts w:ascii="Times New Roman" w:eastAsia="SimSun" w:hAnsi="Times New Roman" w:cs="Times New Roman"/>
          <w:color w:val="000000"/>
          <w:lang w:eastAsia="ar-SA"/>
        </w:rPr>
        <w:t xml:space="preserve">%) iš 258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vienam </w:t>
      </w:r>
      <w:r w:rsidR="00360AE2" w:rsidRPr="00975CA4">
        <w:rPr>
          <w:rFonts w:ascii="Times New Roman" w:eastAsia="SimSun" w:hAnsi="Times New Roman" w:cs="Times New Roman"/>
          <w:color w:val="000000"/>
          <w:lang w:eastAsia="ar-SA"/>
        </w:rPr>
        <w:t>(&lt; 1 </w:t>
      </w:r>
      <w:r w:rsidRPr="00975CA4">
        <w:rPr>
          <w:rFonts w:ascii="Times New Roman" w:eastAsia="SimSun" w:hAnsi="Times New Roman" w:cs="Times New Roman"/>
          <w:color w:val="000000"/>
          <w:lang w:eastAsia="ar-SA"/>
        </w:rPr>
        <w:t xml:space="preserve">%) iš 258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vartojusių pacientų.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vartojusių pacientų </w:t>
      </w:r>
      <w:proofErr w:type="spellStart"/>
      <w:r w:rsidRPr="00975CA4">
        <w:rPr>
          <w:rFonts w:ascii="Times New Roman" w:eastAsia="SimSun" w:hAnsi="Times New Roman" w:cs="Times New Roman"/>
          <w:color w:val="000000"/>
          <w:lang w:eastAsia="ar-SA"/>
        </w:rPr>
        <w:t>QTcF</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QTc</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i/>
          <w:color w:val="000000"/>
          <w:lang w:eastAsia="ar-SA"/>
        </w:rPr>
        <w:t>Fridericia</w:t>
      </w:r>
      <w:proofErr w:type="spellEnd"/>
      <w:r w:rsidRPr="00975CA4">
        <w:rPr>
          <w:rFonts w:ascii="Times New Roman" w:eastAsia="SimSun" w:hAnsi="Times New Roman" w:cs="Times New Roman"/>
          <w:color w:val="000000"/>
          <w:lang w:eastAsia="ar-SA"/>
        </w:rPr>
        <w:t xml:space="preserve"> metodu) pokyčio, palyginus su buvusiu iki gydymo, mediana buvo 3,</w:t>
      </w:r>
      <w:r w:rsidR="00360AE2" w:rsidRPr="00975CA4">
        <w:rPr>
          <w:rFonts w:ascii="Times New Roman" w:eastAsia="SimSun" w:hAnsi="Times New Roman" w:cs="Times New Roman"/>
          <w:color w:val="000000"/>
          <w:lang w:eastAsia="ar-SA"/>
        </w:rPr>
        <w:t>0 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 xml:space="preserve">, vartojusių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 8,</w:t>
      </w:r>
      <w:r w:rsidR="00360AE2" w:rsidRPr="00975CA4">
        <w:rPr>
          <w:rFonts w:ascii="Times New Roman" w:eastAsia="SimSun" w:hAnsi="Times New Roman" w:cs="Times New Roman"/>
          <w:color w:val="000000"/>
          <w:lang w:eastAsia="ar-SA"/>
        </w:rPr>
        <w:t>2 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 xml:space="preserve">. </w:t>
      </w:r>
      <w:r w:rsidR="00DD6A0A" w:rsidRPr="00975CA4">
        <w:rPr>
          <w:rFonts w:ascii="Times New Roman" w:eastAsia="SimSun" w:hAnsi="Times New Roman" w:cs="Times New Roman"/>
          <w:color w:val="000000"/>
          <w:lang w:eastAsia="ar-SA"/>
        </w:rPr>
        <w:t>Dviem pacientams (p</w:t>
      </w:r>
      <w:r w:rsidRPr="00975CA4">
        <w:rPr>
          <w:rFonts w:ascii="Times New Roman" w:eastAsia="SimSun" w:hAnsi="Times New Roman" w:cs="Times New Roman"/>
          <w:color w:val="000000"/>
          <w:lang w:eastAsia="ar-SA"/>
        </w:rPr>
        <w:t xml:space="preserve">o vieną </w:t>
      </w:r>
      <w:r w:rsidR="00DD6A0A" w:rsidRPr="00975CA4">
        <w:rPr>
          <w:rFonts w:ascii="Times New Roman" w:eastAsia="SimSun" w:hAnsi="Times New Roman" w:cs="Times New Roman"/>
          <w:color w:val="000000"/>
          <w:lang w:eastAsia="ar-SA"/>
        </w:rPr>
        <w:t xml:space="preserve">iš kiekvienos </w:t>
      </w:r>
      <w:r w:rsidRPr="00975CA4">
        <w:rPr>
          <w:rFonts w:ascii="Times New Roman" w:eastAsia="SimSun" w:hAnsi="Times New Roman" w:cs="Times New Roman"/>
          <w:color w:val="000000"/>
          <w:lang w:eastAsia="ar-SA"/>
        </w:rPr>
        <w:t>grup</w:t>
      </w:r>
      <w:r w:rsidR="00DD6A0A" w:rsidRPr="00975CA4">
        <w:rPr>
          <w:rFonts w:ascii="Times New Roman" w:eastAsia="SimSun" w:hAnsi="Times New Roman" w:cs="Times New Roman"/>
          <w:color w:val="000000"/>
          <w:lang w:eastAsia="ar-SA"/>
        </w:rPr>
        <w:t>ės)</w:t>
      </w:r>
      <w:r w:rsidRPr="00975CA4">
        <w:rPr>
          <w:rFonts w:ascii="Times New Roman" w:eastAsia="SimSun" w:hAnsi="Times New Roman" w:cs="Times New Roman"/>
          <w:color w:val="000000"/>
          <w:lang w:eastAsia="ar-SA"/>
        </w:rPr>
        <w:t xml:space="preserve"> </w:t>
      </w:r>
      <w:r w:rsidR="00360AE2" w:rsidRPr="00975CA4">
        <w:rPr>
          <w:rFonts w:ascii="Times New Roman" w:eastAsia="SimSun" w:hAnsi="Times New Roman" w:cs="Times New Roman"/>
          <w:color w:val="000000"/>
          <w:lang w:eastAsia="ar-SA"/>
        </w:rPr>
        <w:t>(&lt; 1 </w:t>
      </w:r>
      <w:r w:rsidRPr="00975CA4">
        <w:rPr>
          <w:rFonts w:ascii="Times New Roman" w:eastAsia="SimSun" w:hAnsi="Times New Roman" w:cs="Times New Roman"/>
          <w:color w:val="000000"/>
          <w:lang w:eastAsia="ar-SA"/>
        </w:rPr>
        <w:t xml:space="preserve">%) nustatytas </w:t>
      </w:r>
      <w:proofErr w:type="spellStart"/>
      <w:r w:rsidRPr="00975CA4">
        <w:rPr>
          <w:rFonts w:ascii="Times New Roman" w:eastAsia="SimSun" w:hAnsi="Times New Roman" w:cs="Times New Roman"/>
          <w:color w:val="000000"/>
          <w:lang w:eastAsia="ar-SA"/>
        </w:rPr>
        <w:t>QTcF</w:t>
      </w:r>
      <w:proofErr w:type="spellEnd"/>
      <w:r w:rsidRPr="00975CA4">
        <w:rPr>
          <w:rFonts w:ascii="Times New Roman" w:eastAsia="SimSun" w:hAnsi="Times New Roman" w:cs="Times New Roman"/>
          <w:color w:val="000000"/>
          <w:lang w:eastAsia="ar-SA"/>
        </w:rPr>
        <w:t xml:space="preserve"> </w:t>
      </w:r>
      <w:r w:rsidR="00360AE2" w:rsidRPr="00975CA4">
        <w:rPr>
          <w:rFonts w:ascii="Times New Roman" w:eastAsia="SimSun" w:hAnsi="Times New Roman" w:cs="Times New Roman"/>
          <w:color w:val="000000"/>
          <w:lang w:eastAsia="ar-SA"/>
        </w:rPr>
        <w:t>&gt; 500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 xml:space="preserve">. II fazės klinikinių tyrimų metu 865 leukemija sirgusiems pacientams vartojus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vidutinis </w:t>
      </w:r>
      <w:proofErr w:type="spellStart"/>
      <w:r w:rsidRPr="00975CA4">
        <w:rPr>
          <w:rFonts w:ascii="Times New Roman" w:eastAsia="SimSun" w:hAnsi="Times New Roman" w:cs="Times New Roman"/>
          <w:color w:val="000000"/>
          <w:lang w:eastAsia="ar-SA"/>
        </w:rPr>
        <w:t>QTcF</w:t>
      </w:r>
      <w:proofErr w:type="spellEnd"/>
      <w:r w:rsidRPr="00975CA4">
        <w:rPr>
          <w:rFonts w:ascii="Times New Roman" w:eastAsia="SimSun" w:hAnsi="Times New Roman" w:cs="Times New Roman"/>
          <w:color w:val="000000"/>
          <w:lang w:eastAsia="ar-SA"/>
        </w:rPr>
        <w:t xml:space="preserve"> intervalo pokytis (palyginus su buvusiu iki gydymo) buvo 4-</w:t>
      </w:r>
      <w:r w:rsidR="00360AE2" w:rsidRPr="00975CA4">
        <w:rPr>
          <w:rFonts w:ascii="Times New Roman" w:eastAsia="SimSun" w:hAnsi="Times New Roman" w:cs="Times New Roman"/>
          <w:color w:val="000000"/>
          <w:lang w:eastAsia="ar-SA"/>
        </w:rPr>
        <w:t>6 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 xml:space="preserve">, visų vidurkių pokyčių </w:t>
      </w:r>
      <w:r w:rsidR="00360AE2" w:rsidRPr="00975CA4">
        <w:rPr>
          <w:rFonts w:ascii="Times New Roman" w:eastAsia="SimSun" w:hAnsi="Times New Roman" w:cs="Times New Roman"/>
          <w:color w:val="000000"/>
          <w:lang w:eastAsia="ar-SA"/>
        </w:rPr>
        <w:t>95 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pasikliautinojo</w:t>
      </w:r>
      <w:proofErr w:type="spellEnd"/>
      <w:r w:rsidRPr="00975CA4">
        <w:rPr>
          <w:rFonts w:ascii="Times New Roman" w:eastAsia="SimSun" w:hAnsi="Times New Roman" w:cs="Times New Roman"/>
          <w:color w:val="000000"/>
          <w:lang w:eastAsia="ar-SA"/>
        </w:rPr>
        <w:t xml:space="preserve"> intervalo viršutinė riba buvo </w:t>
      </w:r>
      <w:r w:rsidR="00360AE2" w:rsidRPr="00975CA4">
        <w:rPr>
          <w:rFonts w:ascii="Times New Roman" w:eastAsia="SimSun" w:hAnsi="Times New Roman" w:cs="Times New Roman"/>
          <w:color w:val="000000"/>
          <w:lang w:eastAsia="ar-SA"/>
        </w:rPr>
        <w:t>&lt; 7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 xml:space="preserve"> (žr. 4.8 skyrių).</w:t>
      </w:r>
    </w:p>
    <w:p w14:paraId="5E1A3690" w14:textId="77777777" w:rsidR="00341AEC" w:rsidRPr="00975CA4" w:rsidRDefault="00341AEC" w:rsidP="00B436E7">
      <w:pPr>
        <w:suppressAutoHyphens/>
        <w:spacing w:after="0" w:line="240" w:lineRule="auto"/>
        <w:rPr>
          <w:rFonts w:ascii="Times New Roman" w:eastAsia="SimSun" w:hAnsi="Times New Roman" w:cs="Times New Roman"/>
          <w:color w:val="000000"/>
          <w:lang w:eastAsia="ar-SA"/>
        </w:rPr>
      </w:pPr>
    </w:p>
    <w:p w14:paraId="2EAC1704" w14:textId="5C6F68D0"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15 iš 2182 ankstesniam gydymui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atsparia liga sirgusių arba jo netoleravusių pacientų (</w:t>
      </w:r>
      <w:r w:rsidR="00C27905" w:rsidRPr="00975CA4">
        <w:rPr>
          <w:rFonts w:ascii="Times New Roman" w:eastAsia="SimSun" w:hAnsi="Times New Roman" w:cs="Times New Roman"/>
          <w:color w:val="000000"/>
          <w:lang w:eastAsia="ar-SA"/>
        </w:rPr>
        <w:t>1 </w:t>
      </w:r>
      <w:r w:rsidRPr="00975CA4">
        <w:rPr>
          <w:rFonts w:ascii="Times New Roman" w:eastAsia="SimSun" w:hAnsi="Times New Roman" w:cs="Times New Roman"/>
          <w:color w:val="000000"/>
          <w:lang w:eastAsia="ar-SA"/>
        </w:rPr>
        <w:t xml:space="preserve">%), vartojusių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klinikinių tyrimų metu, kaip nepageidaujama reakcija užfiksuotas koreguoto QT pailgėjimas. 21 iš jų (</w:t>
      </w:r>
      <w:r w:rsidR="00C27905" w:rsidRPr="00975CA4">
        <w:rPr>
          <w:rFonts w:ascii="Times New Roman" w:eastAsia="SimSun" w:hAnsi="Times New Roman" w:cs="Times New Roman"/>
          <w:color w:val="000000"/>
          <w:lang w:eastAsia="ar-SA"/>
        </w:rPr>
        <w:t>1 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QTcF</w:t>
      </w:r>
      <w:proofErr w:type="spellEnd"/>
      <w:r w:rsidRPr="00975CA4">
        <w:rPr>
          <w:rFonts w:ascii="Times New Roman" w:eastAsia="SimSun" w:hAnsi="Times New Roman" w:cs="Times New Roman"/>
          <w:color w:val="000000"/>
          <w:lang w:eastAsia="ar-SA"/>
        </w:rPr>
        <w:t xml:space="preserve"> buvo </w:t>
      </w:r>
      <w:r w:rsidR="00C27905" w:rsidRPr="00975CA4">
        <w:rPr>
          <w:rFonts w:ascii="Times New Roman" w:eastAsia="SimSun" w:hAnsi="Times New Roman" w:cs="Times New Roman"/>
          <w:color w:val="000000"/>
          <w:lang w:eastAsia="ar-SA"/>
        </w:rPr>
        <w:t>&gt; 500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w:t>
      </w:r>
    </w:p>
    <w:p w14:paraId="1AFBD317"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49DDDCA4" w14:textId="3914EC7F"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Esant pailgėjusiam QT intervalui arba jo pailgėjimo rizikai (</w:t>
      </w:r>
      <w:proofErr w:type="spellStart"/>
      <w:r w:rsidRPr="00975CA4">
        <w:rPr>
          <w:rFonts w:ascii="Times New Roman" w:eastAsia="SimSun" w:hAnsi="Times New Roman" w:cs="Times New Roman"/>
          <w:color w:val="000000"/>
          <w:lang w:eastAsia="ar-SA"/>
        </w:rPr>
        <w:t>hipokalemija</w:t>
      </w:r>
      <w:proofErr w:type="spellEnd"/>
      <w:r w:rsidRPr="00975CA4">
        <w:rPr>
          <w:rFonts w:ascii="Times New Roman" w:eastAsia="SimSun" w:hAnsi="Times New Roman" w:cs="Times New Roman"/>
          <w:color w:val="000000"/>
          <w:lang w:eastAsia="ar-SA"/>
        </w:rPr>
        <w:t xml:space="preserve"> ar </w:t>
      </w:r>
      <w:proofErr w:type="spellStart"/>
      <w:r w:rsidRPr="00975CA4">
        <w:rPr>
          <w:rFonts w:ascii="Times New Roman" w:eastAsia="SimSun" w:hAnsi="Times New Roman" w:cs="Times New Roman"/>
          <w:color w:val="000000"/>
          <w:lang w:eastAsia="ar-SA"/>
        </w:rPr>
        <w:t>hipomagnezemija</w:t>
      </w:r>
      <w:proofErr w:type="spellEnd"/>
      <w:r w:rsidRPr="00975CA4">
        <w:rPr>
          <w:rFonts w:ascii="Times New Roman" w:eastAsia="SimSun" w:hAnsi="Times New Roman" w:cs="Times New Roman"/>
          <w:color w:val="000000"/>
          <w:lang w:eastAsia="ar-SA"/>
        </w:rPr>
        <w:t xml:space="preserve">, įgimtas ilgo QT sindromas, vartojami nuo aritmijos ar kiti galintys pailginti QT vaistiniai preparatai, suvartota didelė kumuliacinė </w:t>
      </w:r>
      <w:proofErr w:type="spellStart"/>
      <w:r w:rsidRPr="00975CA4">
        <w:rPr>
          <w:rFonts w:ascii="Times New Roman" w:eastAsia="SimSun" w:hAnsi="Times New Roman" w:cs="Times New Roman"/>
          <w:color w:val="000000"/>
          <w:lang w:eastAsia="ar-SA"/>
        </w:rPr>
        <w:t>antraciklinų</w:t>
      </w:r>
      <w:proofErr w:type="spellEnd"/>
      <w:r w:rsidRPr="00975CA4">
        <w:rPr>
          <w:rFonts w:ascii="Times New Roman" w:eastAsia="SimSun" w:hAnsi="Times New Roman" w:cs="Times New Roman"/>
          <w:color w:val="000000"/>
          <w:lang w:eastAsia="ar-SA"/>
        </w:rPr>
        <w:t xml:space="preserve"> dozė),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skir</w:t>
      </w:r>
      <w:r w:rsidR="00D1676C" w:rsidRPr="00975CA4">
        <w:rPr>
          <w:rFonts w:ascii="Times New Roman" w:eastAsia="SimSun" w:hAnsi="Times New Roman" w:cs="Times New Roman"/>
          <w:color w:val="000000"/>
          <w:lang w:eastAsia="ar-SA"/>
        </w:rPr>
        <w:t>ti</w:t>
      </w:r>
      <w:r w:rsidRPr="00975CA4">
        <w:rPr>
          <w:rFonts w:ascii="Times New Roman" w:eastAsia="SimSun" w:hAnsi="Times New Roman" w:cs="Times New Roman"/>
          <w:color w:val="000000"/>
          <w:lang w:eastAsia="ar-SA"/>
        </w:rPr>
        <w:t xml:space="preserve"> atsargiai. Prieš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vartojimą turi būti pašalinta </w:t>
      </w:r>
      <w:proofErr w:type="spellStart"/>
      <w:r w:rsidRPr="00975CA4">
        <w:rPr>
          <w:rFonts w:ascii="Times New Roman" w:eastAsia="SimSun" w:hAnsi="Times New Roman" w:cs="Times New Roman"/>
          <w:color w:val="000000"/>
          <w:lang w:eastAsia="ar-SA"/>
        </w:rPr>
        <w:t>hipokalemija</w:t>
      </w:r>
      <w:proofErr w:type="spellEnd"/>
      <w:r w:rsidRPr="00975CA4">
        <w:rPr>
          <w:rFonts w:ascii="Times New Roman" w:eastAsia="SimSun" w:hAnsi="Times New Roman" w:cs="Times New Roman"/>
          <w:color w:val="000000"/>
          <w:lang w:eastAsia="ar-SA"/>
        </w:rPr>
        <w:t xml:space="preserve"> ar </w:t>
      </w:r>
      <w:proofErr w:type="spellStart"/>
      <w:r w:rsidRPr="00975CA4">
        <w:rPr>
          <w:rFonts w:ascii="Times New Roman" w:eastAsia="SimSun" w:hAnsi="Times New Roman" w:cs="Times New Roman"/>
          <w:color w:val="000000"/>
          <w:lang w:eastAsia="ar-SA"/>
        </w:rPr>
        <w:t>hipomagnezemija</w:t>
      </w:r>
      <w:proofErr w:type="spellEnd"/>
      <w:r w:rsidRPr="00975CA4">
        <w:rPr>
          <w:rFonts w:ascii="Times New Roman" w:eastAsia="SimSun" w:hAnsi="Times New Roman" w:cs="Times New Roman"/>
          <w:color w:val="000000"/>
          <w:lang w:eastAsia="ar-SA"/>
        </w:rPr>
        <w:t>.</w:t>
      </w:r>
    </w:p>
    <w:p w14:paraId="5F665DC3"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7527E80A"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Širdies nepageidaujamos reakcijos</w:t>
      </w:r>
    </w:p>
    <w:p w14:paraId="16FDBE8C" w14:textId="54F122F1"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lastRenderedPageBreak/>
        <w:t xml:space="preserve">Atsitiktinės atrankos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klinikiniame tyrime dalyvavo 519 pacientų, kuriems naujai diagnozuota lėtinė LML fazė (buvo įtraukti ir sirgę širdies liga pacientai). Gauta pranešimų apie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vartojimo metu pasireiškusias širdies nepageidaujamas reakcijas</w:t>
      </w:r>
      <w:r w:rsidR="003F05AC"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stazinį</w:t>
      </w:r>
      <w:proofErr w:type="spellEnd"/>
      <w:r w:rsidRPr="00975CA4">
        <w:rPr>
          <w:rFonts w:ascii="Times New Roman" w:eastAsia="SimSun" w:hAnsi="Times New Roman" w:cs="Times New Roman"/>
          <w:color w:val="000000"/>
          <w:lang w:eastAsia="ar-SA"/>
        </w:rPr>
        <w:t xml:space="preserve"> širdies nepakankamumą ar sutrikusią širdies funkciją, </w:t>
      </w:r>
      <w:r w:rsidR="003F05AC" w:rsidRPr="00975CA4">
        <w:rPr>
          <w:rFonts w:ascii="Times New Roman" w:eastAsia="SimSun" w:hAnsi="Times New Roman" w:cs="Times New Roman"/>
          <w:color w:val="000000"/>
          <w:lang w:eastAsia="ar-SA"/>
        </w:rPr>
        <w:t xml:space="preserve">skystį </w:t>
      </w:r>
      <w:r w:rsidRPr="00975CA4">
        <w:rPr>
          <w:rFonts w:ascii="Times New Roman" w:eastAsia="SimSun" w:hAnsi="Times New Roman" w:cs="Times New Roman"/>
          <w:color w:val="000000"/>
          <w:lang w:eastAsia="ar-SA"/>
        </w:rPr>
        <w:t>perikard</w:t>
      </w:r>
      <w:r w:rsidR="00D179DE" w:rsidRPr="00975CA4">
        <w:rPr>
          <w:rFonts w:ascii="Times New Roman" w:eastAsia="SimSun" w:hAnsi="Times New Roman" w:cs="Times New Roman"/>
          <w:color w:val="000000"/>
          <w:lang w:eastAsia="ar-SA"/>
        </w:rPr>
        <w:t>o ertmėje</w:t>
      </w:r>
      <w:r w:rsidRPr="00975CA4">
        <w:rPr>
          <w:rFonts w:ascii="Times New Roman" w:eastAsia="SimSun" w:hAnsi="Times New Roman" w:cs="Times New Roman"/>
          <w:color w:val="000000"/>
          <w:lang w:eastAsia="ar-SA"/>
        </w:rPr>
        <w:t xml:space="preserve">, aritmijas, </w:t>
      </w:r>
      <w:proofErr w:type="spellStart"/>
      <w:r w:rsidRPr="00975CA4">
        <w:rPr>
          <w:rFonts w:ascii="Times New Roman" w:eastAsia="SimSun" w:hAnsi="Times New Roman" w:cs="Times New Roman"/>
          <w:color w:val="000000"/>
          <w:lang w:eastAsia="ar-SA"/>
        </w:rPr>
        <w:t>palpitaciją</w:t>
      </w:r>
      <w:proofErr w:type="spellEnd"/>
      <w:r w:rsidRPr="00975CA4">
        <w:rPr>
          <w:rFonts w:ascii="Times New Roman" w:eastAsia="SimSun" w:hAnsi="Times New Roman" w:cs="Times New Roman"/>
          <w:color w:val="000000"/>
          <w:lang w:eastAsia="ar-SA"/>
        </w:rPr>
        <w:t>, QT pailgėjimą bei miokardo infarktą (įskaitant mirtinus atvejus). Širdies nepageidaujam</w:t>
      </w:r>
      <w:r w:rsidR="003F05AC" w:rsidRPr="00975CA4">
        <w:rPr>
          <w:rFonts w:ascii="Times New Roman" w:eastAsia="SimSun" w:hAnsi="Times New Roman" w:cs="Times New Roman"/>
          <w:color w:val="000000"/>
          <w:lang w:eastAsia="ar-SA"/>
        </w:rPr>
        <w:t>os</w:t>
      </w:r>
      <w:r w:rsidRPr="00975CA4">
        <w:rPr>
          <w:rFonts w:ascii="Times New Roman" w:eastAsia="SimSun" w:hAnsi="Times New Roman" w:cs="Times New Roman"/>
          <w:color w:val="000000"/>
          <w:lang w:eastAsia="ar-SA"/>
        </w:rPr>
        <w:t xml:space="preserve"> reakcij</w:t>
      </w:r>
      <w:r w:rsidR="003F05AC" w:rsidRPr="00975CA4">
        <w:rPr>
          <w:rFonts w:ascii="Times New Roman" w:eastAsia="SimSun" w:hAnsi="Times New Roman" w:cs="Times New Roman"/>
          <w:color w:val="000000"/>
          <w:lang w:eastAsia="ar-SA"/>
        </w:rPr>
        <w:t>os</w:t>
      </w:r>
      <w:r w:rsidRPr="00975CA4">
        <w:rPr>
          <w:rFonts w:ascii="Times New Roman" w:eastAsia="SimSun" w:hAnsi="Times New Roman" w:cs="Times New Roman"/>
          <w:color w:val="000000"/>
          <w:lang w:eastAsia="ar-SA"/>
        </w:rPr>
        <w:t xml:space="preserve"> dažniau nustatyt</w:t>
      </w:r>
      <w:r w:rsidR="003F05AC" w:rsidRPr="00975CA4">
        <w:rPr>
          <w:rFonts w:ascii="Times New Roman" w:eastAsia="SimSun" w:hAnsi="Times New Roman" w:cs="Times New Roman"/>
          <w:color w:val="000000"/>
          <w:lang w:eastAsia="ar-SA"/>
        </w:rPr>
        <w:t>os</w:t>
      </w:r>
      <w:r w:rsidRPr="00975CA4">
        <w:rPr>
          <w:rFonts w:ascii="Times New Roman" w:eastAsia="SimSun" w:hAnsi="Times New Roman" w:cs="Times New Roman"/>
          <w:color w:val="000000"/>
          <w:lang w:eastAsia="ar-SA"/>
        </w:rPr>
        <w:t xml:space="preserve"> pacientams, kuriems buvo širdies ligos rizikos veiksnių arba kurie anksčiau sirgo </w:t>
      </w:r>
      <w:r w:rsidR="003F05AC" w:rsidRPr="00975CA4">
        <w:rPr>
          <w:rFonts w:ascii="Times New Roman" w:eastAsia="SimSun" w:hAnsi="Times New Roman" w:cs="Times New Roman"/>
          <w:color w:val="000000"/>
          <w:lang w:eastAsia="ar-SA"/>
        </w:rPr>
        <w:t>širdies</w:t>
      </w:r>
      <w:r w:rsidRPr="00975CA4">
        <w:rPr>
          <w:rFonts w:ascii="Times New Roman" w:eastAsia="SimSun" w:hAnsi="Times New Roman" w:cs="Times New Roman"/>
          <w:color w:val="000000"/>
          <w:lang w:eastAsia="ar-SA"/>
        </w:rPr>
        <w:t xml:space="preserve"> liga. Dėl to jei nustatyta rizikos veiksnių (pvz., hipertenzija, </w:t>
      </w:r>
      <w:proofErr w:type="spellStart"/>
      <w:r w:rsidRPr="00975CA4">
        <w:rPr>
          <w:rFonts w:ascii="Times New Roman" w:eastAsia="SimSun" w:hAnsi="Times New Roman" w:cs="Times New Roman"/>
          <w:color w:val="000000"/>
          <w:lang w:eastAsia="ar-SA"/>
        </w:rPr>
        <w:t>hiperlipidemija</w:t>
      </w:r>
      <w:proofErr w:type="spellEnd"/>
      <w:r w:rsidRPr="00975CA4">
        <w:rPr>
          <w:rFonts w:ascii="Times New Roman" w:eastAsia="SimSun" w:hAnsi="Times New Roman" w:cs="Times New Roman"/>
          <w:color w:val="000000"/>
          <w:lang w:eastAsia="ar-SA"/>
        </w:rPr>
        <w:t xml:space="preserve">, cukrinis diabetas) arba pacientas serga ar yra sirgęs širdies liga (pvz., daryta </w:t>
      </w:r>
      <w:proofErr w:type="spellStart"/>
      <w:r w:rsidRPr="00975CA4">
        <w:rPr>
          <w:rFonts w:ascii="Times New Roman" w:eastAsia="SimSun" w:hAnsi="Times New Roman" w:cs="Times New Roman"/>
          <w:color w:val="000000"/>
          <w:lang w:eastAsia="ar-SA"/>
        </w:rPr>
        <w:t>perkutaninė</w:t>
      </w:r>
      <w:proofErr w:type="spellEnd"/>
      <w:r w:rsidRPr="00975CA4">
        <w:rPr>
          <w:rFonts w:ascii="Times New Roman" w:eastAsia="SimSun" w:hAnsi="Times New Roman" w:cs="Times New Roman"/>
          <w:color w:val="000000"/>
          <w:lang w:eastAsia="ar-SA"/>
        </w:rPr>
        <w:t xml:space="preserve"> koronarinė intervencija, dokumentuota išeminė širdies liga), būtina atidžiai stebėti, ar nepasireiškė sutrikusiai širdies funkcijai būdingų klinikinių požymių ar simptomų (pvz., krūtinės skausmas, dusulys, prakaitavimas).</w:t>
      </w:r>
    </w:p>
    <w:p w14:paraId="1F83BE87"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1C310754" w14:textId="67FD9B1B"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Pasireiškus tokių klinikinių požymių ar simptomų, </w:t>
      </w:r>
      <w:r w:rsidRPr="00975CA4">
        <w:rPr>
          <w:rFonts w:ascii="Times New Roman" w:eastAsia="Times New Roman" w:hAnsi="Times New Roman" w:cs="Times New Roman"/>
          <w:color w:val="000000"/>
          <w:lang w:eastAsia="ar-SA"/>
        </w:rPr>
        <w:t xml:space="preserve">gydytojui patartina laikinai nutraukti gydymą </w:t>
      </w:r>
      <w:proofErr w:type="spellStart"/>
      <w:r w:rsidRPr="00975CA4">
        <w:rPr>
          <w:rFonts w:ascii="Times New Roman" w:eastAsia="Times New Roman" w:hAnsi="Times New Roman" w:cs="Times New Roman"/>
          <w:color w:val="000000"/>
          <w:lang w:eastAsia="ar-SA"/>
        </w:rPr>
        <w:t>dazatinibu</w:t>
      </w:r>
      <w:proofErr w:type="spellEnd"/>
      <w:r w:rsidRPr="00975CA4">
        <w:rPr>
          <w:rFonts w:ascii="Times New Roman" w:eastAsia="Times New Roman" w:hAnsi="Times New Roman" w:cs="Times New Roman"/>
          <w:color w:val="000000"/>
          <w:lang w:eastAsia="ar-SA"/>
        </w:rPr>
        <w:t xml:space="preserve"> ir apsvarstyti kitokio specifinio LML gydymo </w:t>
      </w:r>
      <w:r w:rsidRPr="00975CA4">
        <w:rPr>
          <w:rFonts w:ascii="Times New Roman" w:eastAsia="SimSun" w:hAnsi="Times New Roman" w:cs="Times New Roman"/>
          <w:color w:val="000000"/>
          <w:lang w:eastAsia="ar-SA"/>
        </w:rPr>
        <w:t xml:space="preserve">reikalingumą. Jiems praėjus prieš vėl pradedant gydymą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turi būti atliktas funkcinis įvertinimas. Jeigu nepageidaujama reakcija buvo lengvo ar vidutinio sunkumo (2 ar mažesnio laipsnio), galima vėl skirti tokią pačią, o jeigu sunki (3 ar didesnio laipsnio) – </w:t>
      </w:r>
      <w:r w:rsidR="009176FF" w:rsidRPr="00975CA4">
        <w:rPr>
          <w:rFonts w:ascii="Times New Roman" w:eastAsia="SimSun" w:hAnsi="Times New Roman" w:cs="Times New Roman"/>
          <w:color w:val="000000"/>
          <w:lang w:eastAsia="ar-SA"/>
        </w:rPr>
        <w:t>pakopa</w:t>
      </w:r>
      <w:r w:rsidR="000068FC"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mažesn</w:t>
      </w:r>
      <w:r w:rsidR="000068FC" w:rsidRPr="00975CA4">
        <w:rPr>
          <w:rFonts w:ascii="Times New Roman" w:eastAsia="SimSun" w:hAnsi="Times New Roman" w:cs="Times New Roman"/>
          <w:color w:val="000000"/>
          <w:lang w:eastAsia="ar-SA"/>
        </w:rPr>
        <w:t xml:space="preserve">ę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dozę (žr. 4.2 skyrių). Toliau gydomų pacientų būklę reikia periodiškai tirti.</w:t>
      </w:r>
    </w:p>
    <w:p w14:paraId="1FF2E388"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440F8CDB" w14:textId="07343F24" w:rsidR="00B436E7" w:rsidRPr="00975CA4" w:rsidRDefault="00B436E7" w:rsidP="00B436E7">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Dekompensuotomis</w:t>
      </w:r>
      <w:proofErr w:type="spellEnd"/>
      <w:r w:rsidRPr="00975CA4">
        <w:rPr>
          <w:rFonts w:ascii="Times New Roman" w:eastAsia="SimSun" w:hAnsi="Times New Roman" w:cs="Times New Roman"/>
          <w:color w:val="000000"/>
          <w:lang w:eastAsia="ar-SA"/>
        </w:rPr>
        <w:t xml:space="preserve"> ar reikšmingomis širdies ir kraujagyslių ligomis sergantys pacientai į klinikinius tyrimus neb</w:t>
      </w:r>
      <w:r w:rsidR="00AC1FAE" w:rsidRPr="00975CA4">
        <w:rPr>
          <w:rFonts w:ascii="Times New Roman" w:eastAsia="SimSun" w:hAnsi="Times New Roman" w:cs="Times New Roman"/>
          <w:color w:val="000000"/>
          <w:lang w:eastAsia="ar-SA"/>
        </w:rPr>
        <w:t>uvo</w:t>
      </w:r>
      <w:r w:rsidRPr="00975CA4">
        <w:rPr>
          <w:rFonts w:ascii="Times New Roman" w:eastAsia="SimSun" w:hAnsi="Times New Roman" w:cs="Times New Roman"/>
          <w:color w:val="000000"/>
          <w:lang w:eastAsia="ar-SA"/>
        </w:rPr>
        <w:t xml:space="preserve"> įtraukti.</w:t>
      </w:r>
    </w:p>
    <w:p w14:paraId="239B8D18"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21809BE6"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iCs/>
          <w:color w:val="000000"/>
          <w:lang w:eastAsia="ar-SA"/>
        </w:rPr>
        <w:t xml:space="preserve">Trombinė </w:t>
      </w:r>
      <w:proofErr w:type="spellStart"/>
      <w:r w:rsidRPr="00975CA4">
        <w:rPr>
          <w:rFonts w:ascii="Times New Roman" w:eastAsia="SimSun" w:hAnsi="Times New Roman" w:cs="Times New Roman"/>
          <w:i/>
          <w:iCs/>
          <w:color w:val="000000"/>
          <w:lang w:eastAsia="ar-SA"/>
        </w:rPr>
        <w:t>mikroangiopatija</w:t>
      </w:r>
      <w:proofErr w:type="spellEnd"/>
      <w:r w:rsidRPr="00975CA4">
        <w:rPr>
          <w:rFonts w:ascii="Times New Roman" w:eastAsia="SimSun" w:hAnsi="Times New Roman" w:cs="Times New Roman"/>
          <w:i/>
          <w:iCs/>
          <w:color w:val="000000"/>
          <w:lang w:eastAsia="ar-SA"/>
        </w:rPr>
        <w:t xml:space="preserve"> (TMA)</w:t>
      </w:r>
      <w:r w:rsidRPr="00975CA4">
        <w:rPr>
          <w:rFonts w:ascii="Times New Roman" w:eastAsia="SimSun" w:hAnsi="Times New Roman" w:cs="Times New Roman"/>
          <w:color w:val="000000"/>
          <w:lang w:eastAsia="ar-SA"/>
        </w:rPr>
        <w:t xml:space="preserve"> </w:t>
      </w:r>
    </w:p>
    <w:p w14:paraId="5DE999A6" w14:textId="1ADABBC1"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BCR-ABL </w:t>
      </w:r>
      <w:proofErr w:type="spellStart"/>
      <w:r w:rsidRPr="00975CA4">
        <w:rPr>
          <w:rFonts w:ascii="Times New Roman" w:eastAsia="SimSun" w:hAnsi="Times New Roman" w:cs="Times New Roman"/>
          <w:color w:val="000000"/>
          <w:lang w:eastAsia="ar-SA"/>
        </w:rPr>
        <w:t>tirozino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kinazės</w:t>
      </w:r>
      <w:proofErr w:type="spellEnd"/>
      <w:r w:rsidRPr="00975CA4">
        <w:rPr>
          <w:rFonts w:ascii="Times New Roman" w:eastAsia="SimSun" w:hAnsi="Times New Roman" w:cs="Times New Roman"/>
          <w:color w:val="000000"/>
          <w:lang w:eastAsia="ar-SA"/>
        </w:rPr>
        <w:t xml:space="preserve"> inhibitoriai buvo siejami su trombine </w:t>
      </w:r>
      <w:proofErr w:type="spellStart"/>
      <w:r w:rsidRPr="00975CA4">
        <w:rPr>
          <w:rFonts w:ascii="Times New Roman" w:eastAsia="SimSun" w:hAnsi="Times New Roman" w:cs="Times New Roman"/>
          <w:color w:val="000000"/>
          <w:lang w:eastAsia="ar-SA"/>
        </w:rPr>
        <w:t>mikroangiopatija</w:t>
      </w:r>
      <w:proofErr w:type="spellEnd"/>
      <w:r w:rsidRPr="00975CA4">
        <w:rPr>
          <w:rFonts w:ascii="Times New Roman" w:eastAsia="SimSun" w:hAnsi="Times New Roman" w:cs="Times New Roman"/>
          <w:color w:val="000000"/>
          <w:lang w:eastAsia="ar-SA"/>
        </w:rPr>
        <w:t xml:space="preserve"> (TMA), įskaitant pavienių atvejų pranešimus vartojant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(žr. 4.8 skyrių). Jei pacientams vartojusiems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pasireiškė laboratoriniai arba klinikiniai radiniai susiję su TMA, gydymas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turi būti nutrauktas ir turi būti atliktas išsamus </w:t>
      </w:r>
      <w:r w:rsidR="00AC1FAE" w:rsidRPr="00975CA4">
        <w:rPr>
          <w:rFonts w:ascii="Times New Roman" w:eastAsia="SimSun" w:hAnsi="Times New Roman" w:cs="Times New Roman"/>
          <w:color w:val="000000"/>
          <w:lang w:eastAsia="ar-SA"/>
        </w:rPr>
        <w:t xml:space="preserve">ištyrimas dėl </w:t>
      </w:r>
      <w:r w:rsidRPr="00975CA4">
        <w:rPr>
          <w:rFonts w:ascii="Times New Roman" w:eastAsia="SimSun" w:hAnsi="Times New Roman" w:cs="Times New Roman"/>
          <w:color w:val="000000"/>
          <w:lang w:eastAsia="ar-SA"/>
        </w:rPr>
        <w:t>TMA, įskaitant ADAMTS13 aktyvumo ir anti-ADAMTS13-antikūnų nustatymo</w:t>
      </w:r>
      <w:r w:rsidR="00AC1FAE" w:rsidRPr="00975CA4">
        <w:rPr>
          <w:rFonts w:ascii="Times New Roman" w:eastAsia="SimSun" w:hAnsi="Times New Roman" w:cs="Times New Roman"/>
          <w:color w:val="000000"/>
          <w:lang w:eastAsia="ar-SA"/>
        </w:rPr>
        <w:t xml:space="preserve"> tyrimus</w:t>
      </w:r>
      <w:r w:rsidRPr="00975CA4">
        <w:rPr>
          <w:rFonts w:ascii="Times New Roman" w:eastAsia="SimSun" w:hAnsi="Times New Roman" w:cs="Times New Roman"/>
          <w:color w:val="000000"/>
          <w:lang w:eastAsia="ar-SA"/>
        </w:rPr>
        <w:t>. Jei anti-ADAMTS13-antikūnų yra padidėję kartu su mažu ADAMTS13 aktyvumu, gydym</w:t>
      </w:r>
      <w:r w:rsidR="00553F25" w:rsidRPr="00975CA4">
        <w:rPr>
          <w:rFonts w:ascii="Times New Roman" w:eastAsia="SimSun" w:hAnsi="Times New Roman" w:cs="Times New Roman"/>
          <w:color w:val="000000"/>
          <w:lang w:eastAsia="ar-SA"/>
        </w:rPr>
        <w:t>o</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atnaujin</w:t>
      </w:r>
      <w:r w:rsidR="00AC1FAE" w:rsidRPr="00975CA4">
        <w:rPr>
          <w:rFonts w:ascii="Times New Roman" w:eastAsia="SimSun" w:hAnsi="Times New Roman" w:cs="Times New Roman"/>
          <w:color w:val="000000"/>
          <w:lang w:eastAsia="ar-SA"/>
        </w:rPr>
        <w:t>ti negalima</w:t>
      </w:r>
      <w:r w:rsidRPr="00975CA4">
        <w:rPr>
          <w:rFonts w:ascii="Times New Roman" w:eastAsia="SimSun" w:hAnsi="Times New Roman" w:cs="Times New Roman"/>
          <w:color w:val="000000"/>
          <w:lang w:eastAsia="ar-SA"/>
        </w:rPr>
        <w:t xml:space="preserve">. </w:t>
      </w:r>
    </w:p>
    <w:p w14:paraId="65B86000"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6D47D303"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 xml:space="preserve">Hepatito B </w:t>
      </w:r>
      <w:proofErr w:type="spellStart"/>
      <w:r w:rsidRPr="00975CA4">
        <w:rPr>
          <w:rFonts w:ascii="Times New Roman" w:eastAsia="SimSun" w:hAnsi="Times New Roman" w:cs="Times New Roman"/>
          <w:i/>
          <w:color w:val="000000"/>
          <w:lang w:eastAsia="ar-SA"/>
        </w:rPr>
        <w:t>reaktyvacija</w:t>
      </w:r>
      <w:proofErr w:type="spellEnd"/>
    </w:p>
    <w:p w14:paraId="77771352"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Pacientams, kurie yra ilgalaikiai šio viruso nešiotojai, pavartojus BCR-ABL </w:t>
      </w:r>
      <w:proofErr w:type="spellStart"/>
      <w:r w:rsidRPr="00975CA4">
        <w:rPr>
          <w:rFonts w:ascii="Times New Roman" w:eastAsia="SimSun" w:hAnsi="Times New Roman" w:cs="Times New Roman"/>
          <w:color w:val="000000"/>
          <w:lang w:eastAsia="ar-SA"/>
        </w:rPr>
        <w:t>tirozinkinazės</w:t>
      </w:r>
      <w:proofErr w:type="spellEnd"/>
      <w:r w:rsidRPr="00975CA4">
        <w:rPr>
          <w:rFonts w:ascii="Times New Roman" w:eastAsia="SimSun" w:hAnsi="Times New Roman" w:cs="Times New Roman"/>
          <w:color w:val="000000"/>
          <w:lang w:eastAsia="ar-SA"/>
        </w:rPr>
        <w:t xml:space="preserve"> inhibitorių, pasireiškė hepatito B </w:t>
      </w:r>
      <w:proofErr w:type="spellStart"/>
      <w:r w:rsidRPr="00975CA4">
        <w:rPr>
          <w:rFonts w:ascii="Times New Roman" w:eastAsia="SimSun" w:hAnsi="Times New Roman" w:cs="Times New Roman"/>
          <w:color w:val="000000"/>
          <w:lang w:eastAsia="ar-SA"/>
        </w:rPr>
        <w:t>reaktyvacija</w:t>
      </w:r>
      <w:proofErr w:type="spellEnd"/>
      <w:r w:rsidRPr="00975CA4">
        <w:rPr>
          <w:rFonts w:ascii="Times New Roman" w:eastAsia="SimSun" w:hAnsi="Times New Roman" w:cs="Times New Roman"/>
          <w:color w:val="000000"/>
          <w:lang w:eastAsia="ar-SA"/>
        </w:rPr>
        <w:t>. Kai kuriais atvejais tai sukėlė ūminį kepenų nepakankamumą arba žaibinį hepatitą, dėl kurio pacientui teko persodinti kepenis arba pacientą ištiko mirtis.</w:t>
      </w:r>
    </w:p>
    <w:p w14:paraId="2E2D2D19"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Prieš pradedant gydymą </w:t>
      </w:r>
      <w:proofErr w:type="spellStart"/>
      <w:r w:rsidR="00341AEC" w:rsidRPr="00975CA4">
        <w:rPr>
          <w:rFonts w:ascii="Times New Roman" w:eastAsia="SimSun" w:hAnsi="Times New Roman" w:cs="Times New Roman"/>
          <w:color w:val="000000"/>
          <w:lang w:eastAsia="ar-SA"/>
        </w:rPr>
        <w:t>Dasatinib</w:t>
      </w:r>
      <w:proofErr w:type="spellEnd"/>
      <w:r w:rsidR="00341AEC" w:rsidRPr="00975CA4">
        <w:rPr>
          <w:rFonts w:ascii="Times New Roman" w:eastAsia="SimSun" w:hAnsi="Times New Roman" w:cs="Times New Roman"/>
          <w:color w:val="000000"/>
          <w:lang w:eastAsia="ar-SA"/>
        </w:rPr>
        <w:t xml:space="preserve"> </w:t>
      </w:r>
      <w:proofErr w:type="spellStart"/>
      <w:r w:rsidR="00341AEC" w:rsidRPr="00975CA4">
        <w:rPr>
          <w:rFonts w:ascii="Times New Roman" w:eastAsia="SimSun" w:hAnsi="Times New Roman" w:cs="Times New Roman"/>
          <w:color w:val="000000"/>
          <w:lang w:eastAsia="ar-SA"/>
        </w:rPr>
        <w:t>Zentiva</w:t>
      </w:r>
      <w:proofErr w:type="spellEnd"/>
      <w:r w:rsidRPr="00975CA4">
        <w:rPr>
          <w:rFonts w:ascii="Times New Roman" w:eastAsia="SimSun" w:hAnsi="Times New Roman" w:cs="Times New Roman"/>
          <w:color w:val="000000"/>
          <w:lang w:eastAsia="ar-SA"/>
        </w:rPr>
        <w:t xml:space="preserve"> reikia ištirti, ar pacientas neužsikrėtęs HBV. </w:t>
      </w:r>
    </w:p>
    <w:p w14:paraId="1627D8BF"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Prieš pradedant gydyti pacientus, kuriems nustatytas </w:t>
      </w:r>
      <w:proofErr w:type="spellStart"/>
      <w:r w:rsidRPr="00975CA4">
        <w:rPr>
          <w:rFonts w:ascii="Times New Roman" w:eastAsia="SimSun" w:hAnsi="Times New Roman" w:cs="Times New Roman"/>
          <w:color w:val="000000"/>
          <w:lang w:eastAsia="ar-SA"/>
        </w:rPr>
        <w:t>serologiškai</w:t>
      </w:r>
      <w:proofErr w:type="spellEnd"/>
      <w:r w:rsidRPr="00975CA4">
        <w:rPr>
          <w:rFonts w:ascii="Times New Roman" w:eastAsia="SimSun" w:hAnsi="Times New Roman" w:cs="Times New Roman"/>
          <w:color w:val="000000"/>
          <w:lang w:eastAsia="ar-SA"/>
        </w:rPr>
        <w:t xml:space="preserve"> teigiamas hepatitas B (įskaitant aktyvia liga sergančius pacientus), ir dėl pacientų, kuriems gydymo laikotarpiu nustatyta HBV infekcija, turi būti pasikonsultuota su kepenų ligų ir hepatito B gydymo ekspertais. Gydymo metu ir kelis mėnesius po jo pabaigos reikia atidžiai stebėti, ar HBV nešiotojams, kuriems būtinas gydymas</w:t>
      </w:r>
      <w:r w:rsidR="00341AEC" w:rsidRPr="00975CA4">
        <w:rPr>
          <w:rFonts w:ascii="Times New Roman" w:eastAsia="SimSun" w:hAnsi="Times New Roman" w:cs="Times New Roman"/>
          <w:color w:val="000000"/>
          <w:lang w:eastAsia="ar-SA"/>
        </w:rPr>
        <w:t xml:space="preserve"> </w:t>
      </w:r>
      <w:proofErr w:type="spellStart"/>
      <w:r w:rsidR="00341AEC" w:rsidRPr="00975CA4">
        <w:rPr>
          <w:rFonts w:ascii="Times New Roman" w:eastAsia="SimSun" w:hAnsi="Times New Roman" w:cs="Times New Roman"/>
          <w:color w:val="000000"/>
          <w:lang w:eastAsia="ar-SA"/>
        </w:rPr>
        <w:t>Dasatinib</w:t>
      </w:r>
      <w:proofErr w:type="spellEnd"/>
      <w:r w:rsidR="00341AEC" w:rsidRPr="00975CA4">
        <w:rPr>
          <w:rFonts w:ascii="Times New Roman" w:eastAsia="SimSun" w:hAnsi="Times New Roman" w:cs="Times New Roman"/>
          <w:color w:val="000000"/>
          <w:lang w:eastAsia="ar-SA"/>
        </w:rPr>
        <w:t xml:space="preserve"> </w:t>
      </w:r>
      <w:proofErr w:type="spellStart"/>
      <w:r w:rsidR="00341AEC" w:rsidRPr="00975CA4">
        <w:rPr>
          <w:rFonts w:ascii="Times New Roman" w:eastAsia="SimSun" w:hAnsi="Times New Roman" w:cs="Times New Roman"/>
          <w:color w:val="000000"/>
          <w:lang w:eastAsia="ar-SA"/>
        </w:rPr>
        <w:t>Zentiva</w:t>
      </w:r>
      <w:proofErr w:type="spellEnd"/>
      <w:r w:rsidRPr="00975CA4">
        <w:rPr>
          <w:rFonts w:ascii="Times New Roman" w:eastAsia="SimSun" w:hAnsi="Times New Roman" w:cs="Times New Roman"/>
          <w:color w:val="000000"/>
          <w:lang w:eastAsia="ar-SA"/>
        </w:rPr>
        <w:t>, nepasireiškia aktyvios HBV infekcijos požymiai ir simptomai (žr. 4.8 skyrių).</w:t>
      </w:r>
    </w:p>
    <w:p w14:paraId="11B2E7DD"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1775BFE9" w14:textId="54619B7A"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iCs/>
          <w:color w:val="000000"/>
          <w:lang w:eastAsia="ar-SA"/>
        </w:rPr>
        <w:t>Poveikis vaikų augimui ir vystymuisi</w:t>
      </w:r>
    </w:p>
    <w:p w14:paraId="1B501115" w14:textId="4798BFB5"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Tiriant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poveikį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LML LF sergantiems </w:t>
      </w:r>
      <w:r w:rsidRPr="00975CA4">
        <w:rPr>
          <w:rFonts w:ascii="Times New Roman" w:eastAsia="SimSun" w:hAnsi="Times New Roman" w:cs="Times New Roman"/>
          <w:i/>
          <w:iCs/>
          <w:color w:val="000000"/>
          <w:lang w:eastAsia="ar-SA"/>
        </w:rPr>
        <w:t>v</w:t>
      </w:r>
      <w:r w:rsidRPr="00975CA4">
        <w:rPr>
          <w:rFonts w:ascii="Times New Roman" w:eastAsia="SimSun" w:hAnsi="Times New Roman" w:cs="Times New Roman"/>
          <w:color w:val="000000"/>
          <w:lang w:eastAsia="ar-SA"/>
        </w:rPr>
        <w:t>aik</w:t>
      </w:r>
      <w:r w:rsidR="00EE285B" w:rsidRPr="00975CA4">
        <w:rPr>
          <w:rFonts w:ascii="Times New Roman" w:eastAsia="SimSun" w:hAnsi="Times New Roman" w:cs="Times New Roman"/>
          <w:color w:val="000000"/>
          <w:lang w:eastAsia="ar-SA"/>
        </w:rPr>
        <w:t>a</w:t>
      </w:r>
      <w:r w:rsidRPr="00975CA4">
        <w:rPr>
          <w:rFonts w:ascii="Times New Roman" w:eastAsia="SimSun" w:hAnsi="Times New Roman" w:cs="Times New Roman"/>
          <w:color w:val="000000"/>
          <w:lang w:eastAsia="ar-SA"/>
        </w:rPr>
        <w:t xml:space="preserve">ms, atspariems gydymui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arba anksčiau patyrusiems jo netoleravimą, bei anksčiau negydytiems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LML LF sergantiems vaikams, per bent dvejus gydymo metus su juo susijusių kaulų augimo ir vystymosi sutrikimų nustatyta 6 pacientams (4,</w:t>
      </w:r>
      <w:r w:rsidR="00AA28A3" w:rsidRPr="00975CA4">
        <w:rPr>
          <w:rFonts w:ascii="Times New Roman" w:eastAsia="SimSun" w:hAnsi="Times New Roman" w:cs="Times New Roman"/>
          <w:color w:val="000000"/>
          <w:lang w:eastAsia="ar-SA"/>
        </w:rPr>
        <w:t>6 </w:t>
      </w:r>
      <w:r w:rsidRPr="00975CA4">
        <w:rPr>
          <w:rFonts w:ascii="Times New Roman" w:eastAsia="SimSun" w:hAnsi="Times New Roman" w:cs="Times New Roman"/>
          <w:color w:val="000000"/>
          <w:lang w:eastAsia="ar-SA"/>
        </w:rPr>
        <w:t xml:space="preserve">%), iš jų 1 – stipriai išreikštas (3 laipsnio augimo sulėtėjimas). Tarp šių 6 atvejų buvo </w:t>
      </w:r>
      <w:r w:rsidR="00C85C46" w:rsidRPr="00975CA4">
        <w:rPr>
          <w:rFonts w:ascii="Times New Roman" w:eastAsia="SimSun" w:hAnsi="Times New Roman" w:cs="Times New Roman"/>
          <w:color w:val="000000"/>
          <w:lang w:eastAsia="ar-SA"/>
        </w:rPr>
        <w:t xml:space="preserve">vėluojantis </w:t>
      </w:r>
      <w:r w:rsidR="00F8523B" w:rsidRPr="00975CA4">
        <w:rPr>
          <w:rFonts w:ascii="Times New Roman" w:eastAsia="SimSun" w:hAnsi="Times New Roman" w:cs="Times New Roman"/>
          <w:color w:val="000000"/>
          <w:lang w:eastAsia="ar-SA"/>
        </w:rPr>
        <w:t xml:space="preserve">augimo zonų </w:t>
      </w:r>
      <w:r w:rsidR="00C85C46" w:rsidRPr="00975CA4">
        <w:rPr>
          <w:rFonts w:ascii="Times New Roman" w:eastAsia="SimSun" w:hAnsi="Times New Roman" w:cs="Times New Roman"/>
          <w:color w:val="000000"/>
          <w:lang w:eastAsia="ar-SA"/>
        </w:rPr>
        <w:t>užsidarymas</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osteopenija</w:t>
      </w:r>
      <w:proofErr w:type="spellEnd"/>
      <w:r w:rsidRPr="00975CA4">
        <w:rPr>
          <w:rFonts w:ascii="Times New Roman" w:eastAsia="SimSun" w:hAnsi="Times New Roman" w:cs="Times New Roman"/>
          <w:color w:val="000000"/>
          <w:lang w:eastAsia="ar-SA"/>
        </w:rPr>
        <w:t xml:space="preserve">, sulėtėjęs augimas ir </w:t>
      </w:r>
      <w:proofErr w:type="spellStart"/>
      <w:r w:rsidRPr="00975CA4">
        <w:rPr>
          <w:rFonts w:ascii="Times New Roman" w:eastAsia="SimSun" w:hAnsi="Times New Roman" w:cs="Times New Roman"/>
          <w:color w:val="000000"/>
          <w:lang w:eastAsia="ar-SA"/>
        </w:rPr>
        <w:t>ginekomastija</w:t>
      </w:r>
      <w:proofErr w:type="spellEnd"/>
      <w:r w:rsidRPr="00975CA4">
        <w:rPr>
          <w:rFonts w:ascii="Times New Roman" w:eastAsia="SimSun" w:hAnsi="Times New Roman" w:cs="Times New Roman"/>
          <w:color w:val="000000"/>
          <w:lang w:eastAsia="ar-SA"/>
        </w:rPr>
        <w:t xml:space="preserve"> (žr. 5.1 skyrių). Vis dėlto esant lėtinei ligai </w:t>
      </w:r>
      <w:r w:rsidR="00C85C46" w:rsidRPr="00975CA4">
        <w:rPr>
          <w:rFonts w:ascii="Times New Roman" w:eastAsia="SimSun" w:hAnsi="Times New Roman" w:cs="Times New Roman"/>
          <w:color w:val="000000"/>
          <w:lang w:eastAsia="ar-SA"/>
        </w:rPr>
        <w:t xml:space="preserve">tokiai kaip </w:t>
      </w:r>
      <w:r w:rsidRPr="00975CA4">
        <w:rPr>
          <w:rFonts w:ascii="Times New Roman" w:eastAsia="SimSun" w:hAnsi="Times New Roman" w:cs="Times New Roman"/>
          <w:color w:val="000000"/>
          <w:lang w:eastAsia="ar-SA"/>
        </w:rPr>
        <w:t>LML</w:t>
      </w:r>
      <w:r w:rsidR="00C85C46"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 xml:space="preserve"> interpretuoti šiuos rezultatus sudėtinga ir reikalingas ilgalaikis stebėjimas. </w:t>
      </w:r>
    </w:p>
    <w:p w14:paraId="69AC1863"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0A306BEE" w14:textId="49FF674F" w:rsidR="00B436E7" w:rsidRPr="00975CA4" w:rsidRDefault="00B436E7" w:rsidP="00B436E7">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derinio su chemoterapija poveikio naujai diagnozuota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sergantiems vaikams tyrimų metu per iki 2 metų laikotarpį su gydymu susijusių kaulų augimo ir vystymosi nepageidaujamų reiškinių nustatyta 1 pacientui (0,</w:t>
      </w:r>
      <w:r w:rsidR="002263B5" w:rsidRPr="00975CA4">
        <w:rPr>
          <w:rFonts w:ascii="Times New Roman" w:eastAsia="SimSun" w:hAnsi="Times New Roman" w:cs="Times New Roman"/>
          <w:color w:val="000000"/>
          <w:lang w:eastAsia="ar-SA"/>
        </w:rPr>
        <w:t>6 </w:t>
      </w:r>
      <w:r w:rsidRPr="00975CA4">
        <w:rPr>
          <w:rFonts w:ascii="Times New Roman" w:eastAsia="SimSun" w:hAnsi="Times New Roman" w:cs="Times New Roman"/>
          <w:color w:val="000000"/>
          <w:lang w:eastAsia="ar-SA"/>
        </w:rPr>
        <w:t xml:space="preserve">%). Šis atvejis buvo 1 laipsnio </w:t>
      </w:r>
      <w:proofErr w:type="spellStart"/>
      <w:r w:rsidRPr="00975CA4">
        <w:rPr>
          <w:rFonts w:ascii="Times New Roman" w:eastAsia="SimSun" w:hAnsi="Times New Roman" w:cs="Times New Roman"/>
          <w:color w:val="000000"/>
          <w:lang w:eastAsia="ar-SA"/>
        </w:rPr>
        <w:t>osteopenija</w:t>
      </w:r>
      <w:proofErr w:type="spellEnd"/>
      <w:r w:rsidRPr="00975CA4">
        <w:rPr>
          <w:rFonts w:ascii="Times New Roman" w:eastAsia="SimSun" w:hAnsi="Times New Roman" w:cs="Times New Roman"/>
          <w:color w:val="000000"/>
          <w:lang w:eastAsia="ar-SA"/>
        </w:rPr>
        <w:t xml:space="preserve">. </w:t>
      </w:r>
    </w:p>
    <w:p w14:paraId="7EA93464"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46D35321" w14:textId="66D0ECF2" w:rsidR="005B486D" w:rsidRPr="00975CA4" w:rsidRDefault="005B486D" w:rsidP="005B486D">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lastRenderedPageBreak/>
        <w:t xml:space="preserve">Klinikinių tyrimų metu stebėtas vaikų, gydytų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augimo sulėtėjimas (žr. 4.8 skyrių).</w:t>
      </w:r>
      <w:r w:rsidR="00E40B51" w:rsidRPr="00975CA4">
        <w:rPr>
          <w:rFonts w:ascii="Times New Roman" w:eastAsia="SimSun" w:hAnsi="Times New Roman" w:cs="Times New Roman"/>
          <w:color w:val="000000"/>
          <w:lang w:eastAsia="ar-SA"/>
        </w:rPr>
        <w:t xml:space="preserve"> Po</w:t>
      </w:r>
      <w:r w:rsidR="00133EAC" w:rsidRPr="00975CA4">
        <w:rPr>
          <w:rFonts w:ascii="Times New Roman" w:eastAsia="SimSun" w:hAnsi="Times New Roman" w:cs="Times New Roman"/>
          <w:color w:val="000000"/>
          <w:lang w:eastAsia="ar-SA"/>
        </w:rPr>
        <w:t xml:space="preserve"> </w:t>
      </w:r>
      <w:r w:rsidR="00E40B51" w:rsidRPr="00975CA4">
        <w:rPr>
          <w:rFonts w:ascii="Times New Roman" w:eastAsia="SimSun" w:hAnsi="Times New Roman" w:cs="Times New Roman"/>
          <w:color w:val="000000"/>
          <w:lang w:eastAsia="ar-SA"/>
        </w:rPr>
        <w:t>daugiausiai 2 metų gydymo buvo pastebėta tikėtino ūgio mažėjimo tendencija, kuri buvo tokia pat,</w:t>
      </w:r>
      <w:r w:rsidR="00133EAC" w:rsidRPr="00975CA4">
        <w:rPr>
          <w:rFonts w:ascii="Times New Roman" w:eastAsia="SimSun" w:hAnsi="Times New Roman" w:cs="Times New Roman"/>
          <w:color w:val="000000"/>
          <w:lang w:eastAsia="ar-SA"/>
        </w:rPr>
        <w:t xml:space="preserve"> </w:t>
      </w:r>
      <w:r w:rsidR="00E40B51" w:rsidRPr="00975CA4">
        <w:rPr>
          <w:rFonts w:ascii="Times New Roman" w:eastAsia="SimSun" w:hAnsi="Times New Roman" w:cs="Times New Roman"/>
          <w:color w:val="000000"/>
          <w:lang w:eastAsia="ar-SA"/>
        </w:rPr>
        <w:t>kaip ir taikant vien chemoterapiją, be poveikio tikėtinam svoriui ir KMI, ir nesusijusi su hormonų</w:t>
      </w:r>
      <w:r w:rsidR="00133EAC" w:rsidRPr="00975CA4">
        <w:rPr>
          <w:rFonts w:ascii="Times New Roman" w:eastAsia="SimSun" w:hAnsi="Times New Roman" w:cs="Times New Roman"/>
          <w:color w:val="000000"/>
          <w:lang w:eastAsia="ar-SA"/>
        </w:rPr>
        <w:t xml:space="preserve"> </w:t>
      </w:r>
      <w:r w:rsidR="00E40B51" w:rsidRPr="00975CA4">
        <w:rPr>
          <w:rFonts w:ascii="Times New Roman" w:eastAsia="SimSun" w:hAnsi="Times New Roman" w:cs="Times New Roman"/>
          <w:color w:val="000000"/>
          <w:lang w:eastAsia="ar-SA"/>
        </w:rPr>
        <w:t xml:space="preserve">sutrikimais ar kitais laboratoriniais parametrais. </w:t>
      </w:r>
      <w:r w:rsidRPr="00975CA4">
        <w:rPr>
          <w:rFonts w:ascii="Times New Roman" w:eastAsia="SimSun" w:hAnsi="Times New Roman" w:cs="Times New Roman"/>
          <w:color w:val="000000"/>
          <w:lang w:eastAsia="ar-SA"/>
        </w:rPr>
        <w:t>Rekomenduojama stebėti vaikų kaulų augimą ir vystymąsi.</w:t>
      </w:r>
    </w:p>
    <w:p w14:paraId="3428EC89" w14:textId="77777777" w:rsidR="005B486D" w:rsidRPr="00975CA4" w:rsidRDefault="005B486D" w:rsidP="005B486D">
      <w:pPr>
        <w:suppressAutoHyphens/>
        <w:spacing w:after="0" w:line="240" w:lineRule="auto"/>
        <w:rPr>
          <w:rFonts w:ascii="Times New Roman" w:eastAsia="SimSun" w:hAnsi="Times New Roman" w:cs="Times New Roman"/>
          <w:color w:val="000000"/>
          <w:lang w:eastAsia="ar-SA"/>
        </w:rPr>
      </w:pPr>
    </w:p>
    <w:p w14:paraId="3C4BE39A" w14:textId="77777777" w:rsidR="00EE285B" w:rsidRPr="00975CA4" w:rsidRDefault="00EE285B" w:rsidP="002D3411">
      <w:pPr>
        <w:keepNext/>
        <w:suppressAutoHyphens/>
        <w:spacing w:after="0" w:line="240" w:lineRule="auto"/>
        <w:rPr>
          <w:rFonts w:ascii="Times New Roman" w:eastAsia="SimSun" w:hAnsi="Times New Roman" w:cs="Times New Roman"/>
          <w:color w:val="000000"/>
          <w:u w:val="single"/>
          <w:lang w:eastAsia="ar-SA"/>
        </w:rPr>
      </w:pPr>
      <w:bookmarkStart w:id="0" w:name="_Hlk62378458"/>
      <w:r w:rsidRPr="00975CA4">
        <w:rPr>
          <w:rFonts w:ascii="Times New Roman" w:eastAsia="SimSun" w:hAnsi="Times New Roman" w:cs="Times New Roman"/>
          <w:color w:val="000000"/>
          <w:u w:val="single"/>
          <w:lang w:eastAsia="ar-SA"/>
        </w:rPr>
        <w:t>Pagalbinės medžiagos</w:t>
      </w:r>
    </w:p>
    <w:p w14:paraId="46676DC7"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Šio vaistinio preparato sudėtyje yra</w:t>
      </w:r>
      <w:r w:rsidR="00EE285B" w:rsidRPr="00975CA4">
        <w:rPr>
          <w:rFonts w:ascii="Times New Roman" w:eastAsia="SimSun" w:hAnsi="Times New Roman" w:cs="Times New Roman"/>
          <w:color w:val="000000"/>
          <w:lang w:eastAsia="ar-SA"/>
        </w:rPr>
        <w:t xml:space="preserve"> laktozės </w:t>
      </w:r>
      <w:proofErr w:type="spellStart"/>
      <w:r w:rsidR="00EE285B" w:rsidRPr="00975CA4">
        <w:rPr>
          <w:rFonts w:ascii="Times New Roman" w:eastAsia="SimSun" w:hAnsi="Times New Roman" w:cs="Times New Roman"/>
          <w:color w:val="000000"/>
          <w:lang w:eastAsia="ar-SA"/>
        </w:rPr>
        <w:t>monohidrato</w:t>
      </w:r>
      <w:proofErr w:type="spellEnd"/>
      <w:r w:rsidR="00EE285B"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 xml:space="preserve">Šio vaistinio preparato negalima vartoti pacientams, kuriems nustatytas retas paveldimas sutrikimas – </w:t>
      </w:r>
      <w:proofErr w:type="spellStart"/>
      <w:r w:rsidRPr="00975CA4">
        <w:rPr>
          <w:rFonts w:ascii="Times New Roman" w:eastAsia="SimSun" w:hAnsi="Times New Roman" w:cs="Times New Roman"/>
          <w:color w:val="000000"/>
          <w:lang w:eastAsia="ar-SA"/>
        </w:rPr>
        <w:t>galaktozės</w:t>
      </w:r>
      <w:proofErr w:type="spellEnd"/>
      <w:r w:rsidRPr="00975CA4">
        <w:rPr>
          <w:rFonts w:ascii="Times New Roman" w:eastAsia="SimSun" w:hAnsi="Times New Roman" w:cs="Times New Roman"/>
          <w:color w:val="000000"/>
          <w:lang w:eastAsia="ar-SA"/>
        </w:rPr>
        <w:t xml:space="preserve"> netoleravimas, visiškas laktazės stygius arba gliukozės ir </w:t>
      </w:r>
      <w:proofErr w:type="spellStart"/>
      <w:r w:rsidRPr="00975CA4">
        <w:rPr>
          <w:rFonts w:ascii="Times New Roman" w:eastAsia="SimSun" w:hAnsi="Times New Roman" w:cs="Times New Roman"/>
          <w:color w:val="000000"/>
          <w:lang w:eastAsia="ar-SA"/>
        </w:rPr>
        <w:t>galaktozės</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malabsorbcija</w:t>
      </w:r>
      <w:proofErr w:type="spellEnd"/>
      <w:r w:rsidRPr="00975CA4">
        <w:rPr>
          <w:rFonts w:ascii="Times New Roman" w:eastAsia="SimSun" w:hAnsi="Times New Roman" w:cs="Times New Roman"/>
          <w:color w:val="000000"/>
          <w:lang w:eastAsia="ar-SA"/>
        </w:rPr>
        <w:t>.</w:t>
      </w:r>
    </w:p>
    <w:p w14:paraId="08EB352D"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4263B692"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Šio vaistinio preparato </w:t>
      </w:r>
      <w:r w:rsidR="00EE285B" w:rsidRPr="00975CA4">
        <w:rPr>
          <w:rFonts w:ascii="Times New Roman" w:eastAsia="SimSun" w:hAnsi="Times New Roman" w:cs="Times New Roman"/>
          <w:color w:val="000000"/>
          <w:lang w:eastAsia="ar-SA"/>
        </w:rPr>
        <w:t>vienoje plėvele dengtoje tabletėje</w:t>
      </w:r>
      <w:r w:rsidRPr="00975CA4">
        <w:rPr>
          <w:rFonts w:ascii="Times New Roman" w:eastAsia="SimSun" w:hAnsi="Times New Roman" w:cs="Times New Roman"/>
          <w:color w:val="000000"/>
          <w:lang w:eastAsia="ar-SA"/>
        </w:rPr>
        <w:t xml:space="preserve"> yra mažiau kaip 1 </w:t>
      </w:r>
      <w:proofErr w:type="spellStart"/>
      <w:r w:rsidRPr="00975CA4">
        <w:rPr>
          <w:rFonts w:ascii="Times New Roman" w:eastAsia="SimSun" w:hAnsi="Times New Roman" w:cs="Times New Roman"/>
          <w:color w:val="000000"/>
          <w:lang w:eastAsia="ar-SA"/>
        </w:rPr>
        <w:t>mmol</w:t>
      </w:r>
      <w:proofErr w:type="spellEnd"/>
      <w:r w:rsidRPr="00975CA4">
        <w:rPr>
          <w:rFonts w:ascii="Times New Roman" w:eastAsia="SimSun" w:hAnsi="Times New Roman" w:cs="Times New Roman"/>
          <w:color w:val="000000"/>
          <w:lang w:eastAsia="ar-SA"/>
        </w:rPr>
        <w:t xml:space="preserve"> (23 mg) natrio, </w:t>
      </w:r>
      <w:proofErr w:type="spellStart"/>
      <w:r w:rsidRPr="00975CA4">
        <w:rPr>
          <w:rFonts w:ascii="Times New Roman" w:eastAsia="SimSun" w:hAnsi="Times New Roman" w:cs="Times New Roman"/>
          <w:color w:val="000000"/>
          <w:lang w:eastAsia="ar-SA"/>
        </w:rPr>
        <w:t>t.y</w:t>
      </w:r>
      <w:proofErr w:type="spellEnd"/>
      <w:r w:rsidRPr="00975CA4">
        <w:rPr>
          <w:rFonts w:ascii="Times New Roman" w:eastAsia="SimSun" w:hAnsi="Times New Roman" w:cs="Times New Roman"/>
          <w:color w:val="000000"/>
          <w:lang w:eastAsia="ar-SA"/>
        </w:rPr>
        <w:t>. jis beveik neturi reikšmės.</w:t>
      </w:r>
    </w:p>
    <w:bookmarkEnd w:id="0"/>
    <w:p w14:paraId="065FD3DD"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p>
    <w:p w14:paraId="254F6A14" w14:textId="77777777" w:rsidR="00B436E7" w:rsidRPr="00975CA4" w:rsidRDefault="00B436E7" w:rsidP="00B436E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4.5</w:t>
      </w:r>
      <w:r w:rsidRPr="00975CA4">
        <w:rPr>
          <w:rFonts w:ascii="Times New Roman" w:eastAsia="SimSun" w:hAnsi="Times New Roman" w:cs="Times New Roman"/>
          <w:b/>
          <w:color w:val="000000"/>
          <w:lang w:eastAsia="ar-SA"/>
        </w:rPr>
        <w:tab/>
        <w:t>Sąveika su kitais vaistiniais preparatais ir kitokia sąveika</w:t>
      </w:r>
    </w:p>
    <w:p w14:paraId="72A53BDB" w14:textId="77777777" w:rsidR="00B436E7" w:rsidRPr="00975CA4" w:rsidRDefault="00B436E7" w:rsidP="0046310B">
      <w:pPr>
        <w:spacing w:after="0" w:line="240" w:lineRule="auto"/>
        <w:rPr>
          <w:rFonts w:ascii="Times New Roman" w:eastAsia="Calibri" w:hAnsi="Times New Roman" w:cs="Times New Roman"/>
          <w:color w:val="000000"/>
          <w:lang w:eastAsia="ar-SA"/>
        </w:rPr>
      </w:pPr>
    </w:p>
    <w:p w14:paraId="47F64269"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 xml:space="preserve">Veikliosios medžiagos, kurios gali didinti </w:t>
      </w:r>
      <w:proofErr w:type="spellStart"/>
      <w:r w:rsidRPr="00975CA4">
        <w:rPr>
          <w:rFonts w:ascii="Times New Roman" w:eastAsia="SimSun" w:hAnsi="Times New Roman" w:cs="Times New Roman"/>
          <w:color w:val="000000"/>
          <w:u w:val="single"/>
          <w:lang w:eastAsia="ar-SA"/>
        </w:rPr>
        <w:t>dazatinibo</w:t>
      </w:r>
      <w:proofErr w:type="spellEnd"/>
      <w:r w:rsidRPr="00975CA4">
        <w:rPr>
          <w:rFonts w:ascii="Times New Roman" w:eastAsia="SimSun" w:hAnsi="Times New Roman" w:cs="Times New Roman"/>
          <w:color w:val="000000"/>
          <w:u w:val="single"/>
          <w:lang w:eastAsia="ar-SA"/>
        </w:rPr>
        <w:t xml:space="preserve"> koncentracijas kraujo plazmoje</w:t>
      </w:r>
    </w:p>
    <w:p w14:paraId="4D5E87BE"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Tyrimų </w:t>
      </w:r>
      <w:proofErr w:type="spellStart"/>
      <w:r w:rsidRPr="00975CA4">
        <w:rPr>
          <w:rFonts w:ascii="Times New Roman" w:eastAsia="SimSun" w:hAnsi="Times New Roman" w:cs="Times New Roman"/>
          <w:i/>
          <w:color w:val="000000"/>
          <w:lang w:eastAsia="ar-SA"/>
        </w:rPr>
        <w:t>in</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vitro</w:t>
      </w:r>
      <w:proofErr w:type="spellEnd"/>
      <w:r w:rsidRPr="00975CA4">
        <w:rPr>
          <w:rFonts w:ascii="Times New Roman" w:eastAsia="SimSun" w:hAnsi="Times New Roman" w:cs="Times New Roman"/>
          <w:color w:val="000000"/>
          <w:lang w:eastAsia="ar-SA"/>
        </w:rPr>
        <w:t xml:space="preserve"> duomenimis, </w:t>
      </w: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yra CYP3A4 substratas. Derinyje vartojant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vaistinių preparatų ar kitų medžiagų, galinčių slopinti CYP3A4 (pvz., </w:t>
      </w:r>
      <w:proofErr w:type="spellStart"/>
      <w:r w:rsidRPr="00975CA4">
        <w:rPr>
          <w:rFonts w:ascii="Times New Roman" w:eastAsia="SimSun" w:hAnsi="Times New Roman" w:cs="Times New Roman"/>
          <w:color w:val="000000"/>
          <w:lang w:eastAsia="ar-SA"/>
        </w:rPr>
        <w:t>ketokonazolo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itrakonazolo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eritromicino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klaritromicino</w:t>
      </w:r>
      <w:proofErr w:type="spellEnd"/>
      <w:r w:rsidRPr="00975CA4">
        <w:rPr>
          <w:rFonts w:ascii="Times New Roman" w:eastAsia="SimSun" w:hAnsi="Times New Roman" w:cs="Times New Roman"/>
          <w:color w:val="000000"/>
          <w:lang w:eastAsia="ar-SA"/>
        </w:rPr>
        <w:t xml:space="preserve">, ritonaviro, </w:t>
      </w:r>
      <w:proofErr w:type="spellStart"/>
      <w:r w:rsidRPr="00975CA4">
        <w:rPr>
          <w:rFonts w:ascii="Times New Roman" w:eastAsia="SimSun" w:hAnsi="Times New Roman" w:cs="Times New Roman"/>
          <w:color w:val="000000"/>
          <w:lang w:eastAsia="ar-SA"/>
        </w:rPr>
        <w:t>telitromicino</w:t>
      </w:r>
      <w:proofErr w:type="spellEnd"/>
      <w:r w:rsidRPr="00975CA4">
        <w:rPr>
          <w:rFonts w:ascii="Times New Roman" w:eastAsia="SimSun" w:hAnsi="Times New Roman" w:cs="Times New Roman"/>
          <w:color w:val="000000"/>
          <w:lang w:eastAsia="ar-SA"/>
        </w:rPr>
        <w:t xml:space="preserve">, greipfrutų sulčių), gali padidėti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ekspozicija, todėl derinyje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stipriai CYP3A4 slopinančių vaistinių preparatų sisteminiu būdu vartoti nerekomenduojama (žr. 4.2 skyrių).</w:t>
      </w:r>
    </w:p>
    <w:p w14:paraId="3E8A5672"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p>
    <w:p w14:paraId="5C2325C2" w14:textId="1D6D9E96" w:rsidR="00EE285B" w:rsidRPr="00975CA4" w:rsidRDefault="00EE285B" w:rsidP="00EE285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Eksperimentų </w:t>
      </w:r>
      <w:proofErr w:type="spellStart"/>
      <w:r w:rsidRPr="00975CA4">
        <w:rPr>
          <w:rFonts w:ascii="Times New Roman" w:eastAsia="SimSun" w:hAnsi="Times New Roman" w:cs="Times New Roman"/>
          <w:i/>
          <w:color w:val="000000"/>
          <w:lang w:eastAsia="ar-SA"/>
        </w:rPr>
        <w:t>in</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vitro</w:t>
      </w:r>
      <w:proofErr w:type="spellEnd"/>
      <w:r w:rsidRPr="00975CA4">
        <w:rPr>
          <w:rFonts w:ascii="Times New Roman" w:eastAsia="SimSun" w:hAnsi="Times New Roman" w:cs="Times New Roman"/>
          <w:color w:val="000000"/>
          <w:lang w:eastAsia="ar-SA"/>
        </w:rPr>
        <w:t xml:space="preserve"> duomenimis, esant kliniškai reikšmingoms koncentracijoms maždaug </w:t>
      </w:r>
      <w:r w:rsidR="00213A25" w:rsidRPr="00975CA4">
        <w:rPr>
          <w:rFonts w:ascii="Times New Roman" w:eastAsia="SimSun" w:hAnsi="Times New Roman" w:cs="Times New Roman"/>
          <w:color w:val="000000"/>
          <w:lang w:eastAsia="ar-SA"/>
        </w:rPr>
        <w:t>96 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būna prisijung</w:t>
      </w:r>
      <w:r w:rsidR="00831FCC" w:rsidRPr="00975CA4">
        <w:rPr>
          <w:rFonts w:ascii="Times New Roman" w:eastAsia="SimSun" w:hAnsi="Times New Roman" w:cs="Times New Roman"/>
          <w:color w:val="000000"/>
          <w:lang w:eastAsia="ar-SA"/>
        </w:rPr>
        <w:t>ę</w:t>
      </w:r>
      <w:r w:rsidRPr="00975CA4">
        <w:rPr>
          <w:rFonts w:ascii="Times New Roman" w:eastAsia="SimSun" w:hAnsi="Times New Roman" w:cs="Times New Roman"/>
          <w:color w:val="000000"/>
          <w:lang w:eastAsia="ar-SA"/>
        </w:rPr>
        <w:t xml:space="preserve"> prie kraujo plazmos baltymų.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sąveikos su kitais vaistiniais preparatais, kurie būna prisijungę prie baltymų, tyrimų neatlikta. Išstūmimo iš junginių su baltymais galimybė ir jo klinikinė reikšmė nežinoma.</w:t>
      </w:r>
    </w:p>
    <w:p w14:paraId="4B6C7538"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p>
    <w:p w14:paraId="1AD9B4D8"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 xml:space="preserve">Veikliosios medžiagos, kurios gali mažinti </w:t>
      </w:r>
      <w:proofErr w:type="spellStart"/>
      <w:r w:rsidRPr="00975CA4">
        <w:rPr>
          <w:rFonts w:ascii="Times New Roman" w:eastAsia="SimSun" w:hAnsi="Times New Roman" w:cs="Times New Roman"/>
          <w:color w:val="000000"/>
          <w:u w:val="single"/>
          <w:lang w:eastAsia="ar-SA"/>
        </w:rPr>
        <w:t>dazatinibo</w:t>
      </w:r>
      <w:proofErr w:type="spellEnd"/>
      <w:r w:rsidRPr="00975CA4">
        <w:rPr>
          <w:rFonts w:ascii="Times New Roman" w:eastAsia="SimSun" w:hAnsi="Times New Roman" w:cs="Times New Roman"/>
          <w:color w:val="000000"/>
          <w:u w:val="single"/>
          <w:lang w:eastAsia="ar-SA"/>
        </w:rPr>
        <w:t xml:space="preserve"> koncentracijas kraujo plazmoje</w:t>
      </w:r>
    </w:p>
    <w:p w14:paraId="2CFB9198" w14:textId="22809D1C" w:rsidR="00EE285B" w:rsidRPr="00975CA4" w:rsidRDefault="00EE285B" w:rsidP="00EE285B">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išgėrus prieš tai 8 dienas kas vakarą vartojus po </w:t>
      </w:r>
      <w:r w:rsidR="00852B23" w:rsidRPr="00975CA4">
        <w:rPr>
          <w:rFonts w:ascii="Times New Roman" w:eastAsia="SimSun" w:hAnsi="Times New Roman" w:cs="Times New Roman"/>
          <w:color w:val="000000"/>
          <w:lang w:eastAsia="ar-SA"/>
        </w:rPr>
        <w:t>600 </w:t>
      </w:r>
      <w:r w:rsidRPr="00975CA4">
        <w:rPr>
          <w:rFonts w:ascii="Times New Roman" w:eastAsia="SimSun" w:hAnsi="Times New Roman" w:cs="Times New Roman"/>
          <w:color w:val="000000"/>
          <w:lang w:eastAsia="ar-SA"/>
        </w:rPr>
        <w:t xml:space="preserve">mg </w:t>
      </w:r>
      <w:proofErr w:type="spellStart"/>
      <w:r w:rsidRPr="00975CA4">
        <w:rPr>
          <w:rFonts w:ascii="Times New Roman" w:eastAsia="SimSun" w:hAnsi="Times New Roman" w:cs="Times New Roman"/>
          <w:color w:val="000000"/>
          <w:lang w:eastAsia="ar-SA"/>
        </w:rPr>
        <w:t>rifampicino</w:t>
      </w:r>
      <w:proofErr w:type="spellEnd"/>
      <w:r w:rsidRPr="00975CA4">
        <w:rPr>
          <w:rFonts w:ascii="Times New Roman" w:eastAsia="SimSun" w:hAnsi="Times New Roman" w:cs="Times New Roman"/>
          <w:color w:val="000000"/>
          <w:lang w:eastAsia="ar-SA"/>
        </w:rPr>
        <w:t xml:space="preserve">, kuris stipriai indukuoja CYP3A4,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AUC buvo </w:t>
      </w:r>
      <w:r w:rsidR="00852B23" w:rsidRPr="00975CA4">
        <w:rPr>
          <w:rFonts w:ascii="Times New Roman" w:eastAsia="SimSun" w:hAnsi="Times New Roman" w:cs="Times New Roman"/>
          <w:color w:val="000000"/>
          <w:lang w:eastAsia="ar-SA"/>
        </w:rPr>
        <w:t>82 </w:t>
      </w:r>
      <w:r w:rsidRPr="00975CA4">
        <w:rPr>
          <w:rFonts w:ascii="Times New Roman" w:eastAsia="SimSun" w:hAnsi="Times New Roman" w:cs="Times New Roman"/>
          <w:color w:val="000000"/>
          <w:lang w:eastAsia="ar-SA"/>
        </w:rPr>
        <w:t xml:space="preserve">% mažesnis. Kiti vaistiniai preparatai, kurie didina CYP3A4 aktyvumą (pvz., </w:t>
      </w:r>
      <w:proofErr w:type="spellStart"/>
      <w:r w:rsidRPr="00975CA4">
        <w:rPr>
          <w:rFonts w:ascii="Times New Roman" w:eastAsia="SimSun" w:hAnsi="Times New Roman" w:cs="Times New Roman"/>
          <w:color w:val="000000"/>
          <w:lang w:eastAsia="ar-SA"/>
        </w:rPr>
        <w:t>deksametazonas</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fenitoinas</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karbamazepinas</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fenobarbitalis</w:t>
      </w:r>
      <w:proofErr w:type="spellEnd"/>
      <w:r w:rsidRPr="00975CA4">
        <w:rPr>
          <w:rFonts w:ascii="Times New Roman" w:eastAsia="SimSun" w:hAnsi="Times New Roman" w:cs="Times New Roman"/>
          <w:color w:val="000000"/>
          <w:lang w:eastAsia="ar-SA"/>
        </w:rPr>
        <w:t xml:space="preserve"> ir </w:t>
      </w:r>
      <w:proofErr w:type="spellStart"/>
      <w:r w:rsidRPr="00975CA4">
        <w:rPr>
          <w:rFonts w:ascii="Times New Roman" w:eastAsia="SimSun" w:hAnsi="Times New Roman" w:cs="Times New Roman"/>
          <w:color w:val="000000"/>
          <w:lang w:eastAsia="ar-SA"/>
        </w:rPr>
        <w:t>vaistažoliniai</w:t>
      </w:r>
      <w:proofErr w:type="spellEnd"/>
      <w:r w:rsidRPr="00975CA4">
        <w:rPr>
          <w:rFonts w:ascii="Times New Roman" w:eastAsia="SimSun" w:hAnsi="Times New Roman" w:cs="Times New Roman"/>
          <w:color w:val="000000"/>
          <w:lang w:eastAsia="ar-SA"/>
        </w:rPr>
        <w:t xml:space="preserve"> preparatai, kurių sudėtyje yra </w:t>
      </w:r>
      <w:proofErr w:type="spellStart"/>
      <w:r w:rsidRPr="00975CA4">
        <w:rPr>
          <w:rFonts w:ascii="Times New Roman" w:eastAsia="SimSun" w:hAnsi="Times New Roman" w:cs="Times New Roman"/>
          <w:i/>
          <w:color w:val="000000"/>
          <w:lang w:eastAsia="ar-SA"/>
        </w:rPr>
        <w:t>Hypericum</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perforatum</w:t>
      </w:r>
      <w:proofErr w:type="spellEnd"/>
      <w:r w:rsidRPr="00975CA4">
        <w:rPr>
          <w:rFonts w:ascii="Times New Roman" w:eastAsia="SimSun" w:hAnsi="Times New Roman" w:cs="Times New Roman"/>
          <w:color w:val="000000"/>
          <w:lang w:eastAsia="ar-SA"/>
        </w:rPr>
        <w:t xml:space="preserve">, taip pat žinomo kaip jonažolė), taip pat gali paskatinti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metabolizmą ir sumažinti jo koncentracijas kraujo plazmoje. Dėl to vaistinių preparatų, kurie stipriai indukuoja CYP3A4, derinyje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vartoti nerekomenduojama. Pacientams, kuriems reikalinga vartoti </w:t>
      </w:r>
      <w:proofErr w:type="spellStart"/>
      <w:r w:rsidRPr="00975CA4">
        <w:rPr>
          <w:rFonts w:ascii="Times New Roman" w:eastAsia="SimSun" w:hAnsi="Times New Roman" w:cs="Times New Roman"/>
          <w:color w:val="000000"/>
          <w:lang w:eastAsia="ar-SA"/>
        </w:rPr>
        <w:t>rifampicino</w:t>
      </w:r>
      <w:proofErr w:type="spellEnd"/>
      <w:r w:rsidRPr="00975CA4">
        <w:rPr>
          <w:rFonts w:ascii="Times New Roman" w:eastAsia="SimSun" w:hAnsi="Times New Roman" w:cs="Times New Roman"/>
          <w:color w:val="000000"/>
          <w:lang w:eastAsia="ar-SA"/>
        </w:rPr>
        <w:t xml:space="preserve"> arba kitų CYP3A4 </w:t>
      </w:r>
      <w:proofErr w:type="spellStart"/>
      <w:r w:rsidRPr="00975CA4">
        <w:rPr>
          <w:rFonts w:ascii="Times New Roman" w:eastAsia="SimSun" w:hAnsi="Times New Roman" w:cs="Times New Roman"/>
          <w:color w:val="000000"/>
          <w:lang w:eastAsia="ar-SA"/>
        </w:rPr>
        <w:t>induktorių</w:t>
      </w:r>
      <w:proofErr w:type="spellEnd"/>
      <w:r w:rsidRPr="00975CA4">
        <w:rPr>
          <w:rFonts w:ascii="Times New Roman" w:eastAsia="SimSun" w:hAnsi="Times New Roman" w:cs="Times New Roman"/>
          <w:color w:val="000000"/>
          <w:lang w:eastAsia="ar-SA"/>
        </w:rPr>
        <w:t xml:space="preserve">, turi būti paskirta alternatyvių vaistinių preparatų, kurių pajėgumas indukuoti CYP3A4 yra mažesnis. Derinyje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vartoti </w:t>
      </w:r>
      <w:proofErr w:type="spellStart"/>
      <w:r w:rsidRPr="00975CA4">
        <w:rPr>
          <w:rFonts w:ascii="Times New Roman" w:eastAsia="SimSun" w:hAnsi="Times New Roman" w:cs="Times New Roman"/>
          <w:color w:val="000000"/>
          <w:lang w:eastAsia="ar-SA"/>
        </w:rPr>
        <w:t>deksametazono</w:t>
      </w:r>
      <w:proofErr w:type="spellEnd"/>
      <w:r w:rsidRPr="00975CA4">
        <w:rPr>
          <w:rFonts w:ascii="Times New Roman" w:eastAsia="SimSun" w:hAnsi="Times New Roman" w:cs="Times New Roman"/>
          <w:color w:val="000000"/>
          <w:lang w:eastAsia="ar-SA"/>
        </w:rPr>
        <w:t xml:space="preserve">, kuris silpnai indukuoja CYP3A4 galima </w:t>
      </w:r>
      <w:r w:rsidR="00852B23" w:rsidRPr="00975CA4">
        <w:rPr>
          <w:rFonts w:ascii="Times New Roman" w:eastAsia="SimSun" w:hAnsi="Times New Roman" w:cs="Times New Roman"/>
          <w:color w:val="000000"/>
          <w:lang w:eastAsia="ar-SA"/>
        </w:rPr>
        <w:t>T</w:t>
      </w:r>
      <w:r w:rsidRPr="00975CA4">
        <w:rPr>
          <w:rFonts w:ascii="Times New Roman" w:eastAsia="SimSun" w:hAnsi="Times New Roman" w:cs="Times New Roman"/>
          <w:color w:val="000000"/>
          <w:lang w:eastAsia="ar-SA"/>
        </w:rPr>
        <w:t xml:space="preserve">ikėtinas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AUC sumažėjimas maždaug 25</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kai derinyje vartojamas </w:t>
      </w:r>
      <w:proofErr w:type="spellStart"/>
      <w:r w:rsidRPr="00975CA4">
        <w:rPr>
          <w:rFonts w:ascii="Times New Roman" w:eastAsia="SimSun" w:hAnsi="Times New Roman" w:cs="Times New Roman"/>
          <w:color w:val="000000"/>
          <w:lang w:eastAsia="ar-SA"/>
        </w:rPr>
        <w:t>deksametazonas</w:t>
      </w:r>
      <w:proofErr w:type="spellEnd"/>
      <w:r w:rsidRPr="00975CA4">
        <w:rPr>
          <w:rFonts w:ascii="Times New Roman" w:eastAsia="SimSun" w:hAnsi="Times New Roman" w:cs="Times New Roman"/>
          <w:color w:val="000000"/>
          <w:lang w:eastAsia="ar-SA"/>
        </w:rPr>
        <w:t>. Nepanašu, kad šis sumažėjimas būtų reikšmingas klini</w:t>
      </w:r>
      <w:r w:rsidR="00852B23" w:rsidRPr="00975CA4">
        <w:rPr>
          <w:rFonts w:ascii="Times New Roman" w:eastAsia="SimSun" w:hAnsi="Times New Roman" w:cs="Times New Roman"/>
          <w:color w:val="000000"/>
          <w:lang w:eastAsia="ar-SA"/>
        </w:rPr>
        <w:t>š</w:t>
      </w:r>
      <w:r w:rsidRPr="00975CA4">
        <w:rPr>
          <w:rFonts w:ascii="Times New Roman" w:eastAsia="SimSun" w:hAnsi="Times New Roman" w:cs="Times New Roman"/>
          <w:color w:val="000000"/>
          <w:lang w:eastAsia="ar-SA"/>
        </w:rPr>
        <w:t xml:space="preserve">kai. </w:t>
      </w:r>
    </w:p>
    <w:p w14:paraId="4A0D46DD"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p>
    <w:p w14:paraId="7A647388"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u w:val="single"/>
          <w:lang w:eastAsia="ar-SA"/>
        </w:rPr>
        <w:t>Histamino-2 antagonistai ir protonų siurblio inhibitoriai</w:t>
      </w:r>
    </w:p>
    <w:p w14:paraId="7AB13425" w14:textId="74886C2D" w:rsidR="00EE285B" w:rsidRPr="00975CA4" w:rsidRDefault="00EE285B" w:rsidP="00EE285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Ilgai slopinus skrandžio rūgšties sekreciją H</w:t>
      </w:r>
      <w:r w:rsidRPr="00975CA4">
        <w:rPr>
          <w:rFonts w:ascii="Times New Roman" w:eastAsia="SimSun" w:hAnsi="Times New Roman" w:cs="Times New Roman"/>
          <w:color w:val="000000"/>
          <w:vertAlign w:val="subscript"/>
          <w:lang w:eastAsia="ar-SA"/>
        </w:rPr>
        <w:t>2</w:t>
      </w:r>
      <w:r w:rsidRPr="00975CA4">
        <w:rPr>
          <w:rFonts w:ascii="Times New Roman" w:eastAsia="SimSun" w:hAnsi="Times New Roman" w:cs="Times New Roman"/>
          <w:color w:val="000000"/>
          <w:lang w:eastAsia="ar-SA"/>
        </w:rPr>
        <w:t xml:space="preserve"> antagonistais arba protonų siurblio inhibitoriais (pvz., </w:t>
      </w:r>
      <w:proofErr w:type="spellStart"/>
      <w:r w:rsidRPr="00975CA4">
        <w:rPr>
          <w:rFonts w:ascii="Times New Roman" w:eastAsia="SimSun" w:hAnsi="Times New Roman" w:cs="Times New Roman"/>
          <w:color w:val="000000"/>
          <w:lang w:eastAsia="ar-SA"/>
        </w:rPr>
        <w:t>famotidinu</w:t>
      </w:r>
      <w:proofErr w:type="spellEnd"/>
      <w:r w:rsidRPr="00975CA4">
        <w:rPr>
          <w:rFonts w:ascii="Times New Roman" w:eastAsia="SimSun" w:hAnsi="Times New Roman" w:cs="Times New Roman"/>
          <w:color w:val="000000"/>
          <w:lang w:eastAsia="ar-SA"/>
        </w:rPr>
        <w:t xml:space="preserve"> ar </w:t>
      </w:r>
      <w:proofErr w:type="spellStart"/>
      <w:r w:rsidRPr="00975CA4">
        <w:rPr>
          <w:rFonts w:ascii="Times New Roman" w:eastAsia="SimSun" w:hAnsi="Times New Roman" w:cs="Times New Roman"/>
          <w:color w:val="000000"/>
          <w:lang w:eastAsia="ar-SA"/>
        </w:rPr>
        <w:t>omeprazolu</w:t>
      </w:r>
      <w:proofErr w:type="spellEnd"/>
      <w:r w:rsidRPr="00975CA4">
        <w:rPr>
          <w:rFonts w:ascii="Times New Roman" w:eastAsia="SimSun" w:hAnsi="Times New Roman" w:cs="Times New Roman"/>
          <w:color w:val="000000"/>
          <w:lang w:eastAsia="ar-SA"/>
        </w:rPr>
        <w:t xml:space="preserve">), tikėtinas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ekspozicijos sumažėjimas. Su sveikais asmenimis atlikto vienos dozės tyrimo metu pavartojus </w:t>
      </w:r>
      <w:proofErr w:type="spellStart"/>
      <w:r w:rsidRPr="00975CA4">
        <w:rPr>
          <w:rFonts w:ascii="Times New Roman" w:eastAsia="SimSun" w:hAnsi="Times New Roman" w:cs="Times New Roman"/>
          <w:color w:val="000000"/>
          <w:lang w:eastAsia="ar-SA"/>
        </w:rPr>
        <w:t>famotidino</w:t>
      </w:r>
      <w:proofErr w:type="spellEnd"/>
      <w:r w:rsidRPr="00975CA4">
        <w:rPr>
          <w:rFonts w:ascii="Times New Roman" w:eastAsia="SimSun" w:hAnsi="Times New Roman" w:cs="Times New Roman"/>
          <w:color w:val="000000"/>
          <w:lang w:eastAsia="ar-SA"/>
        </w:rPr>
        <w:t xml:space="preserve"> 10</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val. prieš išgeriant vieną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dozę,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ekspozicija sumažėjo 61</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Tyrimo metu 14</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sveikų asmenų 4 paras vartojo 40</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w:t>
      </w:r>
      <w:proofErr w:type="spellStart"/>
      <w:r w:rsidRPr="00975CA4">
        <w:rPr>
          <w:rFonts w:ascii="Times New Roman" w:eastAsia="SimSun" w:hAnsi="Times New Roman" w:cs="Times New Roman"/>
          <w:color w:val="000000"/>
          <w:lang w:eastAsia="ar-SA"/>
        </w:rPr>
        <w:t>omeprazolo</w:t>
      </w:r>
      <w:proofErr w:type="spellEnd"/>
      <w:r w:rsidRPr="00975CA4">
        <w:rPr>
          <w:rFonts w:ascii="Times New Roman" w:eastAsia="SimSun" w:hAnsi="Times New Roman" w:cs="Times New Roman"/>
          <w:color w:val="000000"/>
          <w:lang w:eastAsia="ar-SA"/>
        </w:rPr>
        <w:t xml:space="preserve"> dozę, kol nusistovėjo jo </w:t>
      </w:r>
      <w:proofErr w:type="spellStart"/>
      <w:r w:rsidRPr="00975CA4">
        <w:rPr>
          <w:rFonts w:ascii="Times New Roman" w:eastAsia="SimSun" w:hAnsi="Times New Roman" w:cs="Times New Roman"/>
          <w:color w:val="000000"/>
          <w:lang w:eastAsia="ar-SA"/>
        </w:rPr>
        <w:t>pusiausvyrinė</w:t>
      </w:r>
      <w:proofErr w:type="spellEnd"/>
      <w:r w:rsidRPr="00975CA4">
        <w:rPr>
          <w:rFonts w:ascii="Times New Roman" w:eastAsia="SimSun" w:hAnsi="Times New Roman" w:cs="Times New Roman"/>
          <w:color w:val="000000"/>
          <w:lang w:eastAsia="ar-SA"/>
        </w:rPr>
        <w:t xml:space="preserve"> apykaita; paskui po 22</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val. jiems pavartojus vieną 100</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dozę,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AUC buvo mažesn</w:t>
      </w:r>
      <w:r w:rsidR="0056350B" w:rsidRPr="00975CA4">
        <w:rPr>
          <w:rFonts w:ascii="Times New Roman" w:eastAsia="SimSun" w:hAnsi="Times New Roman" w:cs="Times New Roman"/>
          <w:color w:val="000000"/>
          <w:lang w:eastAsia="ar-SA"/>
        </w:rPr>
        <w:t>is</w:t>
      </w:r>
      <w:r w:rsidRPr="00975CA4">
        <w:rPr>
          <w:rFonts w:ascii="Times New Roman" w:eastAsia="SimSun" w:hAnsi="Times New Roman" w:cs="Times New Roman"/>
          <w:color w:val="000000"/>
          <w:lang w:eastAsia="ar-SA"/>
        </w:rPr>
        <w:t xml:space="preserve"> 43</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o </w:t>
      </w:r>
      <w:proofErr w:type="spellStart"/>
      <w:r w:rsidRPr="00975CA4">
        <w:rPr>
          <w:rFonts w:ascii="Times New Roman" w:eastAsia="SimSun" w:hAnsi="Times New Roman" w:cs="Times New Roman"/>
          <w:color w:val="000000"/>
          <w:lang w:eastAsia="ar-SA"/>
        </w:rPr>
        <w:t>C</w:t>
      </w:r>
      <w:r w:rsidRPr="00975CA4">
        <w:rPr>
          <w:rFonts w:ascii="Times New Roman" w:eastAsia="SimSun" w:hAnsi="Times New Roman" w:cs="Times New Roman"/>
          <w:color w:val="000000"/>
          <w:vertAlign w:val="subscript"/>
          <w:lang w:eastAsia="ar-SA"/>
        </w:rPr>
        <w:t>max</w:t>
      </w:r>
      <w:proofErr w:type="spellEnd"/>
      <w:r w:rsidRPr="00975CA4">
        <w:rPr>
          <w:rFonts w:ascii="Times New Roman" w:eastAsia="SimSun" w:hAnsi="Times New Roman" w:cs="Times New Roman"/>
          <w:color w:val="000000"/>
          <w:lang w:eastAsia="ar-SA"/>
        </w:rPr>
        <w:t xml:space="preserve"> – 42</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Dazatinibą</w:t>
      </w:r>
      <w:proofErr w:type="spellEnd"/>
      <w:r w:rsidRPr="00975CA4">
        <w:rPr>
          <w:rFonts w:ascii="Times New Roman" w:eastAsia="SimSun" w:hAnsi="Times New Roman" w:cs="Times New Roman"/>
          <w:color w:val="000000"/>
          <w:lang w:eastAsia="ar-SA"/>
        </w:rPr>
        <w:t xml:space="preserve"> vartojantiems pacientams turi būti apgalvotas rūgštį neutralizuojančių vaistinių preparatų vartojimas vietoje H</w:t>
      </w:r>
      <w:r w:rsidRPr="00975CA4">
        <w:rPr>
          <w:rFonts w:ascii="Times New Roman" w:eastAsia="SimSun" w:hAnsi="Times New Roman" w:cs="Times New Roman"/>
          <w:color w:val="000000"/>
          <w:vertAlign w:val="subscript"/>
          <w:lang w:eastAsia="ar-SA"/>
        </w:rPr>
        <w:t>2</w:t>
      </w:r>
      <w:r w:rsidRPr="00975CA4">
        <w:rPr>
          <w:rFonts w:ascii="Times New Roman" w:eastAsia="SimSun" w:hAnsi="Times New Roman" w:cs="Times New Roman"/>
          <w:color w:val="000000"/>
          <w:lang w:eastAsia="ar-SA"/>
        </w:rPr>
        <w:t xml:space="preserve"> antagonistų ar protonų siurblio inhibitorių (žr. 4.4 skyrių).</w:t>
      </w:r>
    </w:p>
    <w:p w14:paraId="7B2A6680"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p>
    <w:p w14:paraId="24AB2E78"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i/>
          <w:color w:val="000000"/>
          <w:u w:val="single"/>
          <w:lang w:eastAsia="ar-SA"/>
        </w:rPr>
        <w:t>Antacidiniai</w:t>
      </w:r>
      <w:proofErr w:type="spellEnd"/>
      <w:r w:rsidRPr="00975CA4">
        <w:rPr>
          <w:rFonts w:ascii="Times New Roman" w:eastAsia="SimSun" w:hAnsi="Times New Roman" w:cs="Times New Roman"/>
          <w:i/>
          <w:color w:val="000000"/>
          <w:u w:val="single"/>
          <w:lang w:eastAsia="ar-SA"/>
        </w:rPr>
        <w:t xml:space="preserve"> vaistiniai preparatai</w:t>
      </w:r>
    </w:p>
    <w:p w14:paraId="56226FB5" w14:textId="05D8F7A9" w:rsidR="00EE285B" w:rsidRPr="00975CA4" w:rsidRDefault="00EE285B" w:rsidP="00EE285B">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Ikiklinikiniais</w:t>
      </w:r>
      <w:proofErr w:type="spellEnd"/>
      <w:r w:rsidRPr="00975CA4">
        <w:rPr>
          <w:rFonts w:ascii="Times New Roman" w:eastAsia="SimSun" w:hAnsi="Times New Roman" w:cs="Times New Roman"/>
          <w:color w:val="000000"/>
          <w:lang w:eastAsia="ar-SA"/>
        </w:rPr>
        <w:t xml:space="preserve"> duomenimis,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tirpumas priklauso nuo terpės pH. Sveikiems asmenims rūgštį neutralizuojančių vaistinių preparatų (aliuminio hidroksid</w:t>
      </w:r>
      <w:r w:rsidR="006D7C38" w:rsidRPr="00975CA4">
        <w:rPr>
          <w:rFonts w:ascii="Times New Roman" w:eastAsia="SimSun" w:hAnsi="Times New Roman" w:cs="Times New Roman"/>
          <w:color w:val="000000"/>
          <w:lang w:eastAsia="ar-SA"/>
        </w:rPr>
        <w:t>o</w:t>
      </w:r>
      <w:r w:rsidRPr="00975CA4">
        <w:rPr>
          <w:rFonts w:ascii="Times New Roman" w:eastAsia="SimSun" w:hAnsi="Times New Roman" w:cs="Times New Roman"/>
          <w:color w:val="000000"/>
          <w:lang w:eastAsia="ar-SA"/>
        </w:rPr>
        <w:t>, magnio hidroksid</w:t>
      </w:r>
      <w:r w:rsidR="006D7C38" w:rsidRPr="00975CA4">
        <w:rPr>
          <w:rFonts w:ascii="Times New Roman" w:eastAsia="SimSun" w:hAnsi="Times New Roman" w:cs="Times New Roman"/>
          <w:color w:val="000000"/>
          <w:lang w:eastAsia="ar-SA"/>
        </w:rPr>
        <w:t>o</w:t>
      </w:r>
      <w:r w:rsidRPr="00975CA4">
        <w:rPr>
          <w:rFonts w:ascii="Times New Roman" w:eastAsia="SimSun" w:hAnsi="Times New Roman" w:cs="Times New Roman"/>
          <w:color w:val="000000"/>
          <w:lang w:eastAsia="ar-SA"/>
        </w:rPr>
        <w:t xml:space="preserve">) vartojimas derinyje su </w:t>
      </w:r>
      <w:proofErr w:type="spellStart"/>
      <w:r w:rsidRPr="00975CA4">
        <w:rPr>
          <w:rFonts w:ascii="Times New Roman" w:eastAsia="SimSun" w:hAnsi="Times New Roman" w:cs="Times New Roman"/>
          <w:color w:val="000000"/>
          <w:lang w:eastAsia="ar-SA"/>
        </w:rPr>
        <w:lastRenderedPageBreak/>
        <w:t>dazatinibu</w:t>
      </w:r>
      <w:proofErr w:type="spellEnd"/>
      <w:r w:rsidRPr="00975CA4">
        <w:rPr>
          <w:rFonts w:ascii="Times New Roman" w:eastAsia="SimSun" w:hAnsi="Times New Roman" w:cs="Times New Roman"/>
          <w:color w:val="000000"/>
          <w:lang w:eastAsia="ar-SA"/>
        </w:rPr>
        <w:t xml:space="preserve"> sumažino vienkartinės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dozės AUC 55</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C</w:t>
      </w:r>
      <w:r w:rsidRPr="00975CA4">
        <w:rPr>
          <w:rFonts w:ascii="Times New Roman" w:eastAsia="SimSun" w:hAnsi="Times New Roman" w:cs="Times New Roman"/>
          <w:color w:val="000000"/>
          <w:vertAlign w:val="subscript"/>
          <w:lang w:eastAsia="ar-SA"/>
        </w:rPr>
        <w:t>max</w:t>
      </w:r>
      <w:proofErr w:type="spellEnd"/>
      <w:r w:rsidRPr="00975CA4">
        <w:rPr>
          <w:rFonts w:ascii="Times New Roman" w:eastAsia="SimSun" w:hAnsi="Times New Roman" w:cs="Times New Roman"/>
          <w:color w:val="000000"/>
          <w:lang w:eastAsia="ar-SA"/>
        </w:rPr>
        <w:t xml:space="preserve"> – 58</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r w:rsidR="006D7C38" w:rsidRPr="00975CA4">
        <w:rPr>
          <w:rFonts w:ascii="Times New Roman" w:eastAsia="SimSun" w:hAnsi="Times New Roman" w:cs="Times New Roman"/>
          <w:color w:val="000000"/>
          <w:lang w:eastAsia="ar-SA"/>
        </w:rPr>
        <w:t xml:space="preserve">Išgėrus </w:t>
      </w:r>
      <w:r w:rsidR="0056350B" w:rsidRPr="00975CA4">
        <w:rPr>
          <w:rFonts w:ascii="Times New Roman" w:eastAsia="SimSun" w:hAnsi="Times New Roman" w:cs="Times New Roman"/>
          <w:color w:val="000000"/>
          <w:lang w:eastAsia="ar-SA"/>
        </w:rPr>
        <w:t>r</w:t>
      </w:r>
      <w:r w:rsidRPr="00975CA4">
        <w:rPr>
          <w:rFonts w:ascii="Times New Roman" w:eastAsia="SimSun" w:hAnsi="Times New Roman" w:cs="Times New Roman"/>
          <w:color w:val="000000"/>
          <w:lang w:eastAsia="ar-SA"/>
        </w:rPr>
        <w:t>ūgštį neutralizuojančių vaistinių preparatų, likus 2</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val. iki vienkartinės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dozės suvartojimo, reikšmingos įtakos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koncentracijai ar </w:t>
      </w:r>
      <w:proofErr w:type="spellStart"/>
      <w:r w:rsidRPr="00975CA4">
        <w:rPr>
          <w:rFonts w:ascii="Times New Roman" w:eastAsia="SimSun" w:hAnsi="Times New Roman" w:cs="Times New Roman"/>
          <w:color w:val="000000"/>
          <w:lang w:eastAsia="ar-SA"/>
        </w:rPr>
        <w:t>ekspozijai</w:t>
      </w:r>
      <w:proofErr w:type="spellEnd"/>
      <w:r w:rsidRPr="00975CA4">
        <w:rPr>
          <w:rFonts w:ascii="Times New Roman" w:eastAsia="SimSun" w:hAnsi="Times New Roman" w:cs="Times New Roman"/>
          <w:color w:val="000000"/>
          <w:lang w:eastAsia="ar-SA"/>
        </w:rPr>
        <w:t xml:space="preserve"> nepastebėta. Taigi, šių vaistinių preparatų galima gerti iki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vartojimo likus ne mažiau kaip 2</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val</w:t>
      </w:r>
      <w:r w:rsidR="00A44C3B"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 xml:space="preserve"> arba praėjus 2</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val</w:t>
      </w:r>
      <w:r w:rsidR="00A44C3B"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 xml:space="preserve"> po jo suvartojimo (žr. 4.4 skyrių).</w:t>
      </w:r>
    </w:p>
    <w:p w14:paraId="022462DA"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p>
    <w:p w14:paraId="48F0EE7B"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 xml:space="preserve">Veikliosios medžiagos, kurių koncentracijos kraujo plazmoje gali pakisti dėl </w:t>
      </w:r>
      <w:proofErr w:type="spellStart"/>
      <w:r w:rsidRPr="00975CA4">
        <w:rPr>
          <w:rFonts w:ascii="Times New Roman" w:eastAsia="SimSun" w:hAnsi="Times New Roman" w:cs="Times New Roman"/>
          <w:color w:val="000000"/>
          <w:u w:val="single"/>
          <w:lang w:eastAsia="ar-SA"/>
        </w:rPr>
        <w:t>dazatinibo</w:t>
      </w:r>
      <w:proofErr w:type="spellEnd"/>
      <w:r w:rsidRPr="00975CA4">
        <w:rPr>
          <w:rFonts w:ascii="Times New Roman" w:eastAsia="SimSun" w:hAnsi="Times New Roman" w:cs="Times New Roman"/>
          <w:color w:val="000000"/>
          <w:u w:val="single"/>
          <w:lang w:eastAsia="ar-SA"/>
        </w:rPr>
        <w:t xml:space="preserve"> poveikio</w:t>
      </w:r>
    </w:p>
    <w:p w14:paraId="5DF9C1BF" w14:textId="39FC04FB" w:rsidR="00EE285B" w:rsidRPr="00975CA4" w:rsidRDefault="00EE285B" w:rsidP="00EE285B">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vartojimas </w:t>
      </w:r>
      <w:r w:rsidR="00A44C3B" w:rsidRPr="00975CA4">
        <w:rPr>
          <w:rFonts w:ascii="Times New Roman" w:eastAsia="SimSun" w:hAnsi="Times New Roman" w:cs="Times New Roman"/>
          <w:color w:val="000000"/>
          <w:lang w:eastAsia="ar-SA"/>
        </w:rPr>
        <w:t>derinyje</w:t>
      </w:r>
      <w:r w:rsidRPr="00975CA4">
        <w:rPr>
          <w:rFonts w:ascii="Times New Roman" w:eastAsia="SimSun" w:hAnsi="Times New Roman" w:cs="Times New Roman"/>
          <w:color w:val="000000"/>
          <w:lang w:eastAsia="ar-SA"/>
        </w:rPr>
        <w:t xml:space="preserve"> su CYP3A4 substratu gali padidinti CYP3A4 substrato ekspoziciją. Su sveikais savanoriais atlikto tyrimo metu vienkartinė 100</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dozė padidino CYP3A4 substrato </w:t>
      </w:r>
      <w:proofErr w:type="spellStart"/>
      <w:r w:rsidRPr="00975CA4">
        <w:rPr>
          <w:rFonts w:ascii="Times New Roman" w:eastAsia="SimSun" w:hAnsi="Times New Roman" w:cs="Times New Roman"/>
          <w:color w:val="000000"/>
          <w:lang w:eastAsia="ar-SA"/>
        </w:rPr>
        <w:t>simvastatino</w:t>
      </w:r>
      <w:proofErr w:type="spellEnd"/>
      <w:r w:rsidRPr="00975CA4">
        <w:rPr>
          <w:rFonts w:ascii="Times New Roman" w:eastAsia="SimSun" w:hAnsi="Times New Roman" w:cs="Times New Roman"/>
          <w:color w:val="000000"/>
          <w:lang w:eastAsia="ar-SA"/>
        </w:rPr>
        <w:t xml:space="preserve"> AUC 20</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ir </w:t>
      </w:r>
      <w:proofErr w:type="spellStart"/>
      <w:r w:rsidRPr="00975CA4">
        <w:rPr>
          <w:rFonts w:ascii="Times New Roman" w:eastAsia="SimSun" w:hAnsi="Times New Roman" w:cs="Times New Roman"/>
          <w:color w:val="000000"/>
          <w:lang w:eastAsia="ar-SA"/>
        </w:rPr>
        <w:t>C</w:t>
      </w:r>
      <w:r w:rsidRPr="00975CA4">
        <w:rPr>
          <w:rFonts w:ascii="Times New Roman" w:eastAsia="SimSun" w:hAnsi="Times New Roman" w:cs="Times New Roman"/>
          <w:color w:val="000000"/>
          <w:vertAlign w:val="subscript"/>
          <w:lang w:eastAsia="ar-SA"/>
        </w:rPr>
        <w:t>max</w:t>
      </w:r>
      <w:proofErr w:type="spellEnd"/>
      <w:r w:rsidRPr="00975CA4">
        <w:rPr>
          <w:rFonts w:ascii="Times New Roman" w:eastAsia="SimSun" w:hAnsi="Times New Roman" w:cs="Times New Roman"/>
          <w:color w:val="000000"/>
          <w:lang w:eastAsia="ar-SA"/>
        </w:rPr>
        <w:t xml:space="preserve"> – 37</w:t>
      </w:r>
      <w:r w:rsidR="003D2556"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Nepaneigta galimybė, kad atitinkamas daugkartinių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dozių poveikis yra stipresnis. Dėl to CYP3A4 substratų, kurių terapinis indeksas siauras (pvz., </w:t>
      </w:r>
      <w:proofErr w:type="spellStart"/>
      <w:r w:rsidRPr="00975CA4">
        <w:rPr>
          <w:rFonts w:ascii="Times New Roman" w:eastAsia="SimSun" w:hAnsi="Times New Roman" w:cs="Times New Roman"/>
          <w:color w:val="000000"/>
          <w:lang w:eastAsia="ar-SA"/>
        </w:rPr>
        <w:t>astemizolo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terfenadino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cisaprido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pimozido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chinidino</w:t>
      </w:r>
      <w:proofErr w:type="spellEnd"/>
      <w:r w:rsidRPr="00975CA4">
        <w:rPr>
          <w:rFonts w:ascii="Times New Roman" w:eastAsia="SimSun" w:hAnsi="Times New Roman" w:cs="Times New Roman"/>
          <w:color w:val="000000"/>
          <w:lang w:eastAsia="ar-SA"/>
        </w:rPr>
        <w:t xml:space="preserve">, bepridilo ar skalsių alkaloidų </w:t>
      </w:r>
      <w:r w:rsidR="003B138D" w:rsidRPr="00975CA4">
        <w:rPr>
          <w:rFonts w:ascii="Times New Roman" w:eastAsia="SimSun" w:hAnsi="Times New Roman" w:cs="Times New Roman"/>
          <w:color w:val="000000"/>
          <w:lang w:eastAsia="ar-SA"/>
        </w:rPr>
        <w:t>(</w:t>
      </w:r>
      <w:proofErr w:type="spellStart"/>
      <w:r w:rsidRPr="00975CA4">
        <w:rPr>
          <w:rFonts w:ascii="Times New Roman" w:eastAsia="SimSun" w:hAnsi="Times New Roman" w:cs="Times New Roman"/>
          <w:color w:val="000000"/>
          <w:lang w:eastAsia="ar-SA"/>
        </w:rPr>
        <w:t>ergotamino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dihidroergotamino</w:t>
      </w:r>
      <w:proofErr w:type="spellEnd"/>
      <w:r w:rsidR="003B138D"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vartojantiems pacientams  turi būti skiriama atsargiai (žr. 4.4 skyrių).</w:t>
      </w:r>
    </w:p>
    <w:p w14:paraId="518A9DCB" w14:textId="77777777" w:rsidR="00A44C3B" w:rsidRPr="00975CA4" w:rsidRDefault="00A44C3B" w:rsidP="00EE285B">
      <w:pPr>
        <w:suppressAutoHyphens/>
        <w:spacing w:after="0" w:line="240" w:lineRule="auto"/>
        <w:rPr>
          <w:rFonts w:ascii="Times New Roman" w:eastAsia="SimSun" w:hAnsi="Times New Roman" w:cs="Times New Roman"/>
          <w:i/>
          <w:color w:val="000000"/>
          <w:lang w:eastAsia="ar-SA"/>
        </w:rPr>
      </w:pPr>
    </w:p>
    <w:p w14:paraId="4DD453AE" w14:textId="1457DD9D" w:rsidR="00EE285B" w:rsidRPr="00975CA4" w:rsidRDefault="00EE285B" w:rsidP="00EE285B">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i/>
          <w:color w:val="000000"/>
          <w:lang w:eastAsia="ar-SA"/>
        </w:rPr>
        <w:t>In</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vitro</w:t>
      </w:r>
      <w:proofErr w:type="spellEnd"/>
      <w:r w:rsidRPr="00975CA4">
        <w:rPr>
          <w:rFonts w:ascii="Times New Roman" w:eastAsia="SimSun" w:hAnsi="Times New Roman" w:cs="Times New Roman"/>
          <w:color w:val="000000"/>
          <w:lang w:eastAsia="ar-SA"/>
        </w:rPr>
        <w:t xml:space="preserve"> tyrimų duomenys rodo galimą sąveikos su CYP</w:t>
      </w:r>
      <w:r w:rsidR="00C5072F" w:rsidRPr="00975CA4">
        <w:rPr>
          <w:rFonts w:ascii="Times New Roman" w:eastAsia="SimSun" w:hAnsi="Times New Roman" w:cs="Times New Roman"/>
          <w:color w:val="000000"/>
          <w:lang w:eastAsia="ar-SA"/>
        </w:rPr>
        <w:t>2C8</w:t>
      </w:r>
      <w:r w:rsidRPr="00975CA4">
        <w:rPr>
          <w:rFonts w:ascii="Times New Roman" w:eastAsia="SimSun" w:hAnsi="Times New Roman" w:cs="Times New Roman"/>
          <w:color w:val="000000"/>
          <w:lang w:eastAsia="ar-SA"/>
        </w:rPr>
        <w:t xml:space="preserve"> substratais (tokiais, kaip </w:t>
      </w:r>
      <w:proofErr w:type="spellStart"/>
      <w:r w:rsidRPr="00975CA4">
        <w:rPr>
          <w:rFonts w:ascii="Times New Roman" w:eastAsia="SimSun" w:hAnsi="Times New Roman" w:cs="Times New Roman"/>
          <w:color w:val="000000"/>
          <w:lang w:eastAsia="ar-SA"/>
        </w:rPr>
        <w:t>glitazonai</w:t>
      </w:r>
      <w:proofErr w:type="spellEnd"/>
      <w:r w:rsidRPr="00975CA4">
        <w:rPr>
          <w:rFonts w:ascii="Times New Roman" w:eastAsia="SimSun" w:hAnsi="Times New Roman" w:cs="Times New Roman"/>
          <w:color w:val="000000"/>
          <w:lang w:eastAsia="ar-SA"/>
        </w:rPr>
        <w:t>) riziką.</w:t>
      </w:r>
    </w:p>
    <w:p w14:paraId="659B195E"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p>
    <w:p w14:paraId="0A291F37"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Vaikų populiacija</w:t>
      </w:r>
      <w:r w:rsidRPr="00975CA4">
        <w:rPr>
          <w:rFonts w:ascii="Times New Roman" w:eastAsia="SimSun" w:hAnsi="Times New Roman" w:cs="Times New Roman"/>
          <w:color w:val="000000"/>
          <w:lang w:eastAsia="ar-SA"/>
        </w:rPr>
        <w:t xml:space="preserve"> </w:t>
      </w:r>
    </w:p>
    <w:p w14:paraId="669F4251" w14:textId="77777777" w:rsidR="00EE285B" w:rsidRPr="00975CA4" w:rsidRDefault="00EE285B" w:rsidP="00EE285B">
      <w:pPr>
        <w:suppressAutoHyphens/>
        <w:spacing w:after="0" w:line="240" w:lineRule="auto"/>
        <w:rPr>
          <w:rFonts w:ascii="Times New Roman" w:eastAsia="SimSun" w:hAnsi="Times New Roman" w:cs="Times New Roman"/>
          <w:b/>
          <w:color w:val="000000"/>
          <w:lang w:eastAsia="ar-SA"/>
        </w:rPr>
      </w:pPr>
      <w:r w:rsidRPr="00975CA4">
        <w:rPr>
          <w:rFonts w:ascii="Times New Roman" w:eastAsia="SimSun" w:hAnsi="Times New Roman" w:cs="Times New Roman"/>
          <w:color w:val="000000"/>
          <w:lang w:eastAsia="ar-SA"/>
        </w:rPr>
        <w:t xml:space="preserve">Sąveikos tyrimai atlikti tik suaugusiesiems. </w:t>
      </w:r>
    </w:p>
    <w:p w14:paraId="06C00641" w14:textId="77777777" w:rsidR="00EE285B" w:rsidRPr="00975CA4" w:rsidRDefault="00EE285B" w:rsidP="00EE285B">
      <w:pPr>
        <w:suppressAutoHyphens/>
        <w:spacing w:after="0" w:line="240" w:lineRule="auto"/>
        <w:rPr>
          <w:rFonts w:ascii="Times New Roman" w:eastAsia="SimSun" w:hAnsi="Times New Roman" w:cs="Times New Roman"/>
          <w:b/>
          <w:color w:val="000000"/>
          <w:lang w:eastAsia="ar-SA"/>
        </w:rPr>
      </w:pPr>
    </w:p>
    <w:p w14:paraId="0FBCA383"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4.6</w:t>
      </w:r>
      <w:r w:rsidRPr="00975CA4">
        <w:rPr>
          <w:rFonts w:ascii="Times New Roman" w:eastAsia="SimSun" w:hAnsi="Times New Roman" w:cs="Times New Roman"/>
          <w:b/>
          <w:color w:val="000000"/>
          <w:lang w:eastAsia="ar-SA"/>
        </w:rPr>
        <w:tab/>
        <w:t>Vaisingumas, nėštumo ir žindymo laikotarpis</w:t>
      </w:r>
    </w:p>
    <w:p w14:paraId="52D99F65" w14:textId="77777777" w:rsidR="00EE285B" w:rsidRPr="00975CA4" w:rsidRDefault="00EE285B" w:rsidP="00EE285B">
      <w:pPr>
        <w:suppressAutoHyphens/>
        <w:spacing w:after="0" w:line="240" w:lineRule="auto"/>
        <w:rPr>
          <w:rFonts w:ascii="Times New Roman" w:eastAsia="SimSun" w:hAnsi="Times New Roman" w:cs="Times New Roman"/>
          <w:color w:val="000000"/>
          <w:lang w:eastAsia="ar-SA"/>
        </w:rPr>
      </w:pPr>
    </w:p>
    <w:p w14:paraId="01C4D87C"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Vaisingos moterys / vyrų ir moterų kontracepcija</w:t>
      </w:r>
    </w:p>
    <w:p w14:paraId="77B1CB02" w14:textId="77777777" w:rsidR="00A44C3B" w:rsidRPr="00975CA4" w:rsidRDefault="00A44C3B" w:rsidP="00A44C3B">
      <w:pPr>
        <w:suppressAutoHyphens/>
        <w:spacing w:after="0" w:line="240" w:lineRule="auto"/>
        <w:rPr>
          <w:rFonts w:ascii="Times New Roman" w:eastAsia="SimSun" w:hAnsi="Times New Roman" w:cs="Times New Roman"/>
          <w:color w:val="000000"/>
          <w:u w:val="single"/>
          <w:lang w:eastAsia="ar-SA"/>
        </w:rPr>
      </w:pPr>
      <w:r w:rsidRPr="00975CA4">
        <w:rPr>
          <w:rFonts w:ascii="Times New Roman" w:eastAsia="SimSun" w:hAnsi="Times New Roman" w:cs="Times New Roman"/>
          <w:color w:val="000000"/>
          <w:lang w:eastAsia="ar-SA"/>
        </w:rPr>
        <w:t>Lytiškai aktyvūs vyrai ir vaisingos moterys gydymo metu turi naudoti veiksmingus kontracepcijos metodus.</w:t>
      </w:r>
    </w:p>
    <w:p w14:paraId="7AC6143F" w14:textId="77777777" w:rsidR="00A44C3B" w:rsidRPr="00975CA4" w:rsidRDefault="00A44C3B" w:rsidP="00A44C3B">
      <w:pPr>
        <w:suppressAutoHyphens/>
        <w:spacing w:after="0" w:line="240" w:lineRule="auto"/>
        <w:rPr>
          <w:rFonts w:ascii="Times New Roman" w:eastAsia="SimSun" w:hAnsi="Times New Roman" w:cs="Times New Roman"/>
          <w:color w:val="000000"/>
          <w:u w:val="single"/>
          <w:lang w:eastAsia="ar-SA"/>
        </w:rPr>
      </w:pPr>
    </w:p>
    <w:p w14:paraId="1C03A3DC"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Nėštumas</w:t>
      </w:r>
    </w:p>
    <w:p w14:paraId="52B1E2D9"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Remiantis patyrimu su žmonėmis įtariama, kad </w:t>
      </w: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jeigu jo vartojama nėštumo metu, sukelia apsigimimus, įskaitant nervinio vamzdelio defektus, ir kenksmingą farmakologinį poveikį vaisiui. Su gyvūnais atlikti tyrimai parodė toksinį poveikį reprodukcijai (žr. 5.3 skyrių).</w:t>
      </w:r>
    </w:p>
    <w:p w14:paraId="0D5873F4" w14:textId="77777777" w:rsidR="00F466BC" w:rsidRPr="00975CA4" w:rsidRDefault="00F466BC" w:rsidP="00A44C3B">
      <w:pPr>
        <w:suppressAutoHyphens/>
        <w:spacing w:after="0" w:line="240" w:lineRule="auto"/>
        <w:rPr>
          <w:rFonts w:ascii="Times New Roman" w:eastAsia="SimSun" w:hAnsi="Times New Roman" w:cs="Times New Roman"/>
          <w:color w:val="000000"/>
          <w:lang w:eastAsia="ar-SA"/>
        </w:rPr>
      </w:pPr>
    </w:p>
    <w:p w14:paraId="1565184F"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Dasatinib</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Zentiva</w:t>
      </w:r>
      <w:proofErr w:type="spellEnd"/>
      <w:r w:rsidRPr="00975CA4">
        <w:rPr>
          <w:rFonts w:ascii="Times New Roman" w:eastAsia="SimSun" w:hAnsi="Times New Roman" w:cs="Times New Roman"/>
          <w:color w:val="000000"/>
          <w:lang w:eastAsia="ar-SA"/>
        </w:rPr>
        <w:t xml:space="preserve"> nėštumo metu vartoti negalima, nebent moters klinikinė būklė yra tokia, kad ją būtina gydyti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Jeigu </w:t>
      </w:r>
      <w:proofErr w:type="spellStart"/>
      <w:r w:rsidRPr="00975CA4">
        <w:rPr>
          <w:rFonts w:ascii="Times New Roman" w:eastAsia="SimSun" w:hAnsi="Times New Roman" w:cs="Times New Roman"/>
          <w:color w:val="000000"/>
          <w:lang w:eastAsia="ar-SA"/>
        </w:rPr>
        <w:t>Dasatinib</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Zentiva</w:t>
      </w:r>
      <w:proofErr w:type="spellEnd"/>
      <w:r w:rsidRPr="00975CA4">
        <w:rPr>
          <w:rFonts w:ascii="Times New Roman" w:eastAsia="SimSun" w:hAnsi="Times New Roman" w:cs="Times New Roman"/>
          <w:color w:val="000000"/>
          <w:lang w:eastAsia="ar-SA"/>
        </w:rPr>
        <w:t xml:space="preserve"> vartojamas nėštumo laikotarpiu, pacientė turi būti informuota apie galimą riziką vaisiui.</w:t>
      </w:r>
    </w:p>
    <w:p w14:paraId="626238CF"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p>
    <w:p w14:paraId="6D2A3A2F"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Žindymas</w:t>
      </w:r>
    </w:p>
    <w:p w14:paraId="080706E0"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Duomenų apie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išskyrimą į žmogaus ar gyvūnų pieną nepakanka.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fizikocheminiai</w:t>
      </w:r>
      <w:proofErr w:type="spellEnd"/>
      <w:r w:rsidRPr="00975CA4">
        <w:rPr>
          <w:rFonts w:ascii="Times New Roman" w:eastAsia="SimSun" w:hAnsi="Times New Roman" w:cs="Times New Roman"/>
          <w:color w:val="000000"/>
          <w:lang w:eastAsia="ar-SA"/>
        </w:rPr>
        <w:t xml:space="preserve"> bei turimi </w:t>
      </w:r>
      <w:proofErr w:type="spellStart"/>
      <w:r w:rsidRPr="00975CA4">
        <w:rPr>
          <w:rFonts w:ascii="Times New Roman" w:eastAsia="SimSun" w:hAnsi="Times New Roman" w:cs="Times New Roman"/>
          <w:color w:val="000000"/>
          <w:lang w:eastAsia="ar-SA"/>
        </w:rPr>
        <w:t>farmakodinaminiai</w:t>
      </w:r>
      <w:proofErr w:type="spellEnd"/>
      <w:r w:rsidRPr="00975CA4">
        <w:rPr>
          <w:rFonts w:ascii="Times New Roman" w:eastAsia="SimSun" w:hAnsi="Times New Roman" w:cs="Times New Roman"/>
          <w:color w:val="000000"/>
          <w:lang w:eastAsia="ar-SA"/>
        </w:rPr>
        <w:t xml:space="preserve"> ir </w:t>
      </w:r>
      <w:proofErr w:type="spellStart"/>
      <w:r w:rsidRPr="00975CA4">
        <w:rPr>
          <w:rFonts w:ascii="Times New Roman" w:eastAsia="SimSun" w:hAnsi="Times New Roman" w:cs="Times New Roman"/>
          <w:color w:val="000000"/>
          <w:lang w:eastAsia="ar-SA"/>
        </w:rPr>
        <w:t>toksikologiniai</w:t>
      </w:r>
      <w:proofErr w:type="spellEnd"/>
      <w:r w:rsidRPr="00975CA4">
        <w:rPr>
          <w:rFonts w:ascii="Times New Roman" w:eastAsia="SimSun" w:hAnsi="Times New Roman" w:cs="Times New Roman"/>
          <w:color w:val="000000"/>
          <w:lang w:eastAsia="ar-SA"/>
        </w:rPr>
        <w:t xml:space="preserve"> duomenys rodo galimą jo išskyrimą į pieną ir paneigti riziką žindomam kūdikiui negalima.</w:t>
      </w:r>
    </w:p>
    <w:p w14:paraId="109F8523" w14:textId="77777777" w:rsidR="00F466BC" w:rsidRPr="00975CA4" w:rsidRDefault="00F466BC" w:rsidP="00A44C3B">
      <w:pPr>
        <w:suppressAutoHyphens/>
        <w:spacing w:after="0" w:line="240" w:lineRule="auto"/>
        <w:rPr>
          <w:rFonts w:ascii="Times New Roman" w:eastAsia="SimSun" w:hAnsi="Times New Roman" w:cs="Times New Roman"/>
          <w:color w:val="000000"/>
          <w:lang w:eastAsia="ar-SA"/>
        </w:rPr>
      </w:pPr>
    </w:p>
    <w:p w14:paraId="52C34750"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Gydymo </w:t>
      </w:r>
      <w:proofErr w:type="spellStart"/>
      <w:r w:rsidRPr="00975CA4">
        <w:rPr>
          <w:rFonts w:ascii="Times New Roman" w:eastAsia="SimSun" w:hAnsi="Times New Roman" w:cs="Times New Roman"/>
          <w:color w:val="000000"/>
          <w:lang w:eastAsia="ar-SA"/>
        </w:rPr>
        <w:t>Dasatinib</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Zentiva</w:t>
      </w:r>
      <w:proofErr w:type="spellEnd"/>
      <w:r w:rsidRPr="00975CA4">
        <w:rPr>
          <w:rFonts w:ascii="Times New Roman" w:eastAsia="SimSun" w:hAnsi="Times New Roman" w:cs="Times New Roman"/>
          <w:color w:val="000000"/>
          <w:lang w:eastAsia="ar-SA"/>
        </w:rPr>
        <w:t xml:space="preserve"> metu žindymas turi būti nutrauktas.</w:t>
      </w:r>
    </w:p>
    <w:p w14:paraId="2893995D"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p>
    <w:p w14:paraId="416F3B55"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Vaisingumas</w:t>
      </w:r>
    </w:p>
    <w:p w14:paraId="63440EB5"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Gyvūnų tyrimų metu </w:t>
      </w: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neveikė žiurkių patinų ir patelių vaisingumo (žr. 5.3 skyrių). Gydytojai ir kiti sveikatos priežiūros specialistai turi patarti atitinkamo amžiaus vyrams dėl galimo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poveikio vaisingumui ir šis patarimas gali apimti sėklos atidavimo saugojimui apsvarstymą.</w:t>
      </w:r>
    </w:p>
    <w:p w14:paraId="44F525FF"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p>
    <w:p w14:paraId="0BBF853A"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4.7</w:t>
      </w:r>
      <w:r w:rsidRPr="00975CA4">
        <w:rPr>
          <w:rFonts w:ascii="Times New Roman" w:eastAsia="SimSun" w:hAnsi="Times New Roman" w:cs="Times New Roman"/>
          <w:b/>
          <w:color w:val="000000"/>
          <w:lang w:eastAsia="ar-SA"/>
        </w:rPr>
        <w:tab/>
        <w:t>Poveikis gebėjimui vairuoti ir valdyti mechanizmus</w:t>
      </w:r>
    </w:p>
    <w:p w14:paraId="4D66B086"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p>
    <w:p w14:paraId="778EF631"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Dasatinib</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Zentiva</w:t>
      </w:r>
      <w:proofErr w:type="spellEnd"/>
      <w:r w:rsidRPr="00975CA4">
        <w:rPr>
          <w:rFonts w:ascii="Times New Roman" w:eastAsia="SimSun" w:hAnsi="Times New Roman" w:cs="Times New Roman"/>
          <w:color w:val="000000"/>
          <w:lang w:eastAsia="ar-SA"/>
        </w:rPr>
        <w:t xml:space="preserve"> daro nedidelę įtaką gebėjimui vairuoti ir valdyti mechanizmus. Pacientas turi būti informuotas, kad vartojant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gali pasireikšti nepageidaujamų reakcijų (pvz., svaigulys arba regėjimas tapti miglotas), todėl vairuojant automobilį ar valdant mechanizmus rekomenduojama laikytis atsargumo.</w:t>
      </w:r>
    </w:p>
    <w:p w14:paraId="4287BD1F"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p>
    <w:p w14:paraId="6C6F29E6"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lastRenderedPageBreak/>
        <w:t>4.8</w:t>
      </w:r>
      <w:r w:rsidRPr="00975CA4">
        <w:rPr>
          <w:rFonts w:ascii="Times New Roman" w:eastAsia="SimSun" w:hAnsi="Times New Roman" w:cs="Times New Roman"/>
          <w:b/>
          <w:color w:val="000000"/>
          <w:lang w:eastAsia="ar-SA"/>
        </w:rPr>
        <w:tab/>
        <w:t>Nepageidaujamas poveikis</w:t>
      </w:r>
    </w:p>
    <w:p w14:paraId="7FA73C03"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p>
    <w:p w14:paraId="4DB628D0"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Saugumo duomenų santrauka</w:t>
      </w:r>
    </w:p>
    <w:p w14:paraId="604898CA" w14:textId="6CF4018B"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Žemiau pateikti duomenys gauti taikant </w:t>
      </w:r>
      <w:proofErr w:type="spellStart"/>
      <w:r w:rsidRPr="00975CA4">
        <w:rPr>
          <w:rFonts w:ascii="Times New Roman" w:eastAsia="SimSun" w:hAnsi="Times New Roman" w:cs="Times New Roman"/>
          <w:color w:val="000000"/>
          <w:lang w:eastAsia="ar-SA"/>
        </w:rPr>
        <w:t>monoterapiją</w:t>
      </w:r>
      <w:proofErr w:type="spellEnd"/>
      <w:r w:rsidRPr="00975CA4">
        <w:rPr>
          <w:rFonts w:ascii="Times New Roman" w:eastAsia="SimSun" w:hAnsi="Times New Roman" w:cs="Times New Roman"/>
          <w:color w:val="000000"/>
          <w:lang w:eastAsia="ar-SA"/>
        </w:rPr>
        <w:t xml:space="preserve"> visomis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dozėmis, tirtomis klinikinių tyrimų metu (</w:t>
      </w:r>
      <w:r w:rsidR="00586B39" w:rsidRPr="00975CA4">
        <w:rPr>
          <w:rFonts w:ascii="Times New Roman" w:eastAsia="SimSun" w:hAnsi="Times New Roman" w:cs="Times New Roman"/>
          <w:color w:val="000000"/>
          <w:lang w:eastAsia="ar-SA"/>
        </w:rPr>
        <w:t>n = </w:t>
      </w:r>
      <w:r w:rsidRPr="00975CA4">
        <w:rPr>
          <w:rFonts w:ascii="Times New Roman" w:eastAsia="SimSun" w:hAnsi="Times New Roman" w:cs="Times New Roman"/>
          <w:color w:val="000000"/>
          <w:lang w:eastAsia="ar-SA"/>
        </w:rPr>
        <w:t xml:space="preserve">2900). Jas vartojo 324 suaugusieji pacientai, sirgę naujai diagnozuota lėtinės fazės LML, ir 2388 suaugusieji pacientai, sirgę lėtinės arba progresavusios fazės LML arba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ŪLL ir anksčiau patyrę atsparumą </w:t>
      </w:r>
      <w:proofErr w:type="spellStart"/>
      <w:r w:rsidRPr="00975CA4">
        <w:rPr>
          <w:rFonts w:ascii="Times New Roman" w:eastAsia="SimSun" w:hAnsi="Times New Roman" w:cs="Times New Roman"/>
          <w:color w:val="000000"/>
          <w:lang w:eastAsia="ar-SA"/>
        </w:rPr>
        <w:t>imatinibui</w:t>
      </w:r>
      <w:proofErr w:type="spellEnd"/>
      <w:r w:rsidRPr="00975CA4">
        <w:rPr>
          <w:rFonts w:ascii="Times New Roman" w:eastAsia="SimSun" w:hAnsi="Times New Roman" w:cs="Times New Roman"/>
          <w:color w:val="000000"/>
          <w:lang w:eastAsia="ar-SA"/>
        </w:rPr>
        <w:t xml:space="preserve"> arba jo netoleravimą, bei 188 vaikai. 2712 suaugusiųjų pacientų, sirgusių lėtinės fazės LML, progresavusios fazės LML arba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gydymo trukmės mediana buvo 19,2</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(diapazonas – 0-93,2</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w:t>
      </w:r>
    </w:p>
    <w:p w14:paraId="5C1A666E"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p>
    <w:p w14:paraId="7BD87D1F" w14:textId="18719B75" w:rsidR="00A44C3B" w:rsidRPr="00975CA4" w:rsidRDefault="00A44C3B" w:rsidP="00A44C3B">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Randomizuoto</w:t>
      </w:r>
      <w:proofErr w:type="spellEnd"/>
      <w:r w:rsidRPr="00975CA4">
        <w:rPr>
          <w:rFonts w:ascii="Times New Roman" w:eastAsia="SimSun" w:hAnsi="Times New Roman" w:cs="Times New Roman"/>
          <w:color w:val="000000"/>
          <w:lang w:eastAsia="ar-SA"/>
        </w:rPr>
        <w:t xml:space="preserve"> tyrimo metu naujai diagnozuota lėtinės fazės LML sirgusių pacientų gydymo trukmės mediana buvo maždaug 60</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1618 suaugusių pacientų, sirgusių lėtinės fazės LML, gydymo trukmės mediana buvo 29</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(diapazonas – 0-92,9</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1094 suaugusių pacientų, sirgusių progresavusia LML faze arba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gydymo trukmės mediana buvo 6,2</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(diapazonas – 0-93,2</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188 pacientų, dalyvavusių pediatriniuose tyrimuose, gydymo trukmės mediana buvo 26,3</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(diapazonas – 0-99,6</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130 lėtinės fazės LML sirgusių vaikų, vartojusių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pogrupio gydymo trukmės mediana buvo 42,3</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(diapazonas – 0,1-99,6</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w:t>
      </w:r>
    </w:p>
    <w:p w14:paraId="3B45156F" w14:textId="77777777" w:rsidR="006668FC" w:rsidRPr="00975CA4" w:rsidRDefault="006668FC" w:rsidP="00A44C3B">
      <w:pPr>
        <w:suppressAutoHyphens/>
        <w:spacing w:after="0" w:line="240" w:lineRule="auto"/>
        <w:rPr>
          <w:rFonts w:ascii="Times New Roman" w:eastAsia="SimSun" w:hAnsi="Times New Roman" w:cs="Times New Roman"/>
          <w:color w:val="000000"/>
          <w:lang w:eastAsia="ar-SA"/>
        </w:rPr>
      </w:pPr>
    </w:p>
    <w:p w14:paraId="645410E0" w14:textId="5965A1E8"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Daugumai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vartojusių pacientų įvairiu laiku pasireiškė nepageidaujamų reakcijų. 520 iš 2712 (19</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visų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vartojusių suaugusiųjų pacientų patyrė nepageidaujamų reakcijų, dėl kurių teko nutraukti gydymą. </w:t>
      </w:r>
    </w:p>
    <w:p w14:paraId="08183B25" w14:textId="77777777" w:rsidR="006668FC" w:rsidRPr="00975CA4" w:rsidRDefault="006668FC" w:rsidP="00A44C3B">
      <w:pPr>
        <w:suppressAutoHyphens/>
        <w:spacing w:after="0" w:line="240" w:lineRule="auto"/>
        <w:rPr>
          <w:rFonts w:ascii="Times New Roman" w:eastAsia="SimSun" w:hAnsi="Times New Roman" w:cs="Times New Roman"/>
          <w:color w:val="000000"/>
          <w:lang w:eastAsia="ar-SA"/>
        </w:rPr>
      </w:pPr>
    </w:p>
    <w:p w14:paraId="24A19EC9" w14:textId="2B012949" w:rsidR="00A44C3B" w:rsidRPr="00975CA4" w:rsidRDefault="00A44C3B" w:rsidP="00A44C3B">
      <w:pPr>
        <w:suppressAutoHyphens/>
        <w:spacing w:after="0" w:line="240" w:lineRule="auto"/>
        <w:rPr>
          <w:rFonts w:ascii="Times New Roman" w:eastAsia="SimSun" w:hAnsi="Times New Roman" w:cs="Times New Roman"/>
          <w:color w:val="000000"/>
          <w:u w:val="single"/>
          <w:lang w:eastAsia="ar-SA"/>
        </w:rPr>
      </w:pPr>
      <w:r w:rsidRPr="00975CA4">
        <w:rPr>
          <w:rFonts w:ascii="Times New Roman" w:eastAsia="SimSun" w:hAnsi="Times New Roman" w:cs="Times New Roman"/>
          <w:color w:val="000000"/>
          <w:lang w:eastAsia="ar-SA"/>
        </w:rPr>
        <w:t xml:space="preserve">Bendras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saugumo pobūdis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LML LF sergančių vaikų populiacijai buvo panašus į suaugusiųjų (nepriklausomai nuo farmacinės formos), tik vaikams neužfiksuota skysčio susikaupimo perikardo ertmėje, skysčio pleuros ertmėje, plaučių edemos ir plaučių hipertenzijos atvejų. 2 iš 130 (1,5</w:t>
      </w:r>
      <w:r w:rsidR="00586B3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vartojusių vaikų, sirgusių LML LF, pasireiškė nepageidaujamų reakcijų, dėl kurių teko nutraukti gydymą.</w:t>
      </w:r>
    </w:p>
    <w:p w14:paraId="67553C2A" w14:textId="77777777" w:rsidR="00A44C3B" w:rsidRPr="00975CA4" w:rsidRDefault="00A44C3B" w:rsidP="00A44C3B">
      <w:pPr>
        <w:suppressAutoHyphens/>
        <w:spacing w:after="0" w:line="240" w:lineRule="auto"/>
        <w:rPr>
          <w:rFonts w:ascii="Times New Roman" w:eastAsia="SimSun" w:hAnsi="Times New Roman" w:cs="Times New Roman"/>
          <w:color w:val="000000"/>
          <w:u w:val="single"/>
          <w:lang w:eastAsia="ar-SA"/>
        </w:rPr>
      </w:pPr>
    </w:p>
    <w:p w14:paraId="4BF20B79"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Nepageidaujamų reakcijų santrauka lentelėje</w:t>
      </w:r>
    </w:p>
    <w:p w14:paraId="1FAEF03C" w14:textId="3C421C29"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Žemiau išvardytos nepageidaujamos reakcijos (išskyrus laboratorinių duomenų pokyčius), apie kurias buvo pranešta </w:t>
      </w:r>
      <w:proofErr w:type="spellStart"/>
      <w:r w:rsidRPr="00975CA4">
        <w:rPr>
          <w:rFonts w:ascii="Times New Roman" w:eastAsia="SimSun" w:hAnsi="Times New Roman" w:cs="Times New Roman"/>
          <w:color w:val="000000"/>
          <w:lang w:eastAsia="ar-SA"/>
        </w:rPr>
        <w:t>monoterapijos</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klinikinių tyrimų metu ir šį vaistinį preparatą pateikus į rinką (žr. 5 lentelę). Jos pateikiamos pagal organų sistemų klases ir dažnį. Nepageidaujamo poveikio dažnis apibūdinamas taip: labai dažnas (≥</w:t>
      </w:r>
      <w:r w:rsidR="00737285"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1/10), dažnas (nuo ≥</w:t>
      </w:r>
      <w:r w:rsidR="00737285"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1/100 iki &lt;</w:t>
      </w:r>
      <w:r w:rsidR="00737285"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1/10), nedažnas (nuo ≥</w:t>
      </w:r>
      <w:r w:rsidR="00737285"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1/1</w:t>
      </w:r>
      <w:r w:rsidR="009C582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000 iki &lt;</w:t>
      </w:r>
      <w:r w:rsidR="00737285"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1/100), retas (nuo ≥</w:t>
      </w:r>
      <w:r w:rsidR="00737285"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1/10 000 iki &lt;</w:t>
      </w:r>
      <w:r w:rsidR="00737285"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1/1</w:t>
      </w:r>
      <w:r w:rsidR="009C582D"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000)</w:t>
      </w:r>
      <w:r w:rsidR="00156791"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ir nežinomas (negali būti apskaičiuotas pagal turimus duomenis).</w:t>
      </w:r>
    </w:p>
    <w:p w14:paraId="1542E805" w14:textId="77777777" w:rsidR="00156791" w:rsidRPr="00975CA4" w:rsidRDefault="00156791" w:rsidP="00A44C3B">
      <w:pPr>
        <w:suppressAutoHyphens/>
        <w:spacing w:after="0" w:line="240" w:lineRule="auto"/>
        <w:rPr>
          <w:rFonts w:ascii="Times New Roman" w:eastAsia="SimSun" w:hAnsi="Times New Roman" w:cs="Times New Roman"/>
          <w:color w:val="000000"/>
          <w:lang w:eastAsia="ar-SA"/>
        </w:rPr>
      </w:pPr>
    </w:p>
    <w:p w14:paraId="42CBC076"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Kiekvienoje dažnio grupėje nepageidaujamos reakcijos pateikiamos mažėjančio sunkumo tvarka.</w:t>
      </w:r>
    </w:p>
    <w:p w14:paraId="1DA354FF"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p>
    <w:p w14:paraId="1E008438" w14:textId="77777777" w:rsidR="00A44C3B" w:rsidRPr="00975CA4" w:rsidRDefault="00A44C3B" w:rsidP="00A44C3B">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5 lentelė. Nepageidaujamų reakcijų santrauka lentelėje</w:t>
      </w:r>
    </w:p>
    <w:p w14:paraId="14DD1A0F" w14:textId="77777777" w:rsidR="00EE285B" w:rsidRPr="00975CA4" w:rsidRDefault="00EE285B" w:rsidP="0046310B">
      <w:pPr>
        <w:spacing w:after="0" w:line="240" w:lineRule="auto"/>
        <w:rPr>
          <w:rFonts w:ascii="Times New Roman" w:eastAsia="Calibri" w:hAnsi="Times New Roman" w:cs="Times New Roman"/>
          <w:color w:val="000000"/>
          <w:lang w:eastAsia="ar-SA"/>
        </w:rPr>
      </w:pPr>
    </w:p>
    <w:tbl>
      <w:tblPr>
        <w:tblW w:w="0" w:type="auto"/>
        <w:tblInd w:w="83" w:type="dxa"/>
        <w:tblLayout w:type="fixed"/>
        <w:tblCellMar>
          <w:left w:w="0" w:type="dxa"/>
          <w:right w:w="0" w:type="dxa"/>
        </w:tblCellMar>
        <w:tblLook w:val="04A0" w:firstRow="1" w:lastRow="0" w:firstColumn="1" w:lastColumn="0" w:noHBand="0" w:noVBand="1"/>
      </w:tblPr>
      <w:tblGrid>
        <w:gridCol w:w="1755"/>
        <w:gridCol w:w="7660"/>
        <w:gridCol w:w="25"/>
      </w:tblGrid>
      <w:tr w:rsidR="00156791" w:rsidRPr="00975CA4" w14:paraId="78740D3A"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013D7065"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 xml:space="preserve">Infekcijos ir </w:t>
            </w:r>
            <w:proofErr w:type="spellStart"/>
            <w:r w:rsidRPr="00975CA4">
              <w:rPr>
                <w:rFonts w:ascii="Times New Roman" w:eastAsia="Times New Roman" w:hAnsi="Times New Roman" w:cs="Times New Roman"/>
                <w:b/>
                <w:bCs/>
                <w:color w:val="000000"/>
                <w:lang w:eastAsia="ar-SA"/>
              </w:rPr>
              <w:t>infestacijos</w:t>
            </w:r>
            <w:proofErr w:type="spellEnd"/>
          </w:p>
        </w:tc>
        <w:tc>
          <w:tcPr>
            <w:tcW w:w="25" w:type="dxa"/>
            <w:tcBorders>
              <w:top w:val="nil"/>
              <w:left w:val="single" w:sz="4" w:space="0" w:color="000000"/>
              <w:bottom w:val="nil"/>
              <w:right w:val="nil"/>
            </w:tcBorders>
          </w:tcPr>
          <w:p w14:paraId="2D0D75FC"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43C13B20"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72C56C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1B0902E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Infekcija (bakterinė, virusinė, grybelinė, nepatikslinta).</w:t>
            </w:r>
          </w:p>
        </w:tc>
      </w:tr>
      <w:tr w:rsidR="00156791" w:rsidRPr="00975CA4" w14:paraId="4EFBEDBC" w14:textId="77777777" w:rsidTr="003A0B67">
        <w:trPr>
          <w:gridAfter w:val="1"/>
          <w:wAfter w:w="25" w:type="dxa"/>
          <w:trHeight w:hRule="exact" w:val="831"/>
        </w:trPr>
        <w:tc>
          <w:tcPr>
            <w:tcW w:w="1755" w:type="dxa"/>
            <w:tcBorders>
              <w:top w:val="single" w:sz="4" w:space="0" w:color="000000"/>
              <w:left w:val="single" w:sz="4" w:space="0" w:color="000000"/>
              <w:bottom w:val="single" w:sz="4" w:space="0" w:color="000000"/>
              <w:right w:val="nil"/>
            </w:tcBorders>
            <w:hideMark/>
          </w:tcPr>
          <w:p w14:paraId="670600FB"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6C608C86" w14:textId="693474C7" w:rsidR="00156791" w:rsidRPr="00975CA4" w:rsidRDefault="00156791" w:rsidP="00F36CE2">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Pneumonija (bakterinė, virusinė, grybelinė), viršutinių kvėpavimo takų infekcija ar uždegimas, </w:t>
            </w:r>
            <w:proofErr w:type="spellStart"/>
            <w:r w:rsidR="00F36CE2" w:rsidRPr="00975CA4">
              <w:rPr>
                <w:rFonts w:ascii="Times New Roman" w:eastAsia="Times New Roman" w:hAnsi="Times New Roman" w:cs="Times New Roman"/>
                <w:color w:val="000000"/>
                <w:lang w:eastAsia="ar-SA"/>
              </w:rPr>
              <w:t>herpes</w:t>
            </w:r>
            <w:proofErr w:type="spellEnd"/>
            <w:r w:rsidR="00F36CE2" w:rsidRPr="00975CA4">
              <w:rPr>
                <w:rFonts w:ascii="Times New Roman" w:eastAsia="Times New Roman" w:hAnsi="Times New Roman" w:cs="Times New Roman"/>
                <w:color w:val="000000"/>
                <w:lang w:eastAsia="ar-SA"/>
              </w:rPr>
              <w:t xml:space="preserve"> </w:t>
            </w:r>
            <w:r w:rsidRPr="00975CA4">
              <w:rPr>
                <w:rFonts w:ascii="Times New Roman" w:eastAsia="Times New Roman" w:hAnsi="Times New Roman" w:cs="Times New Roman"/>
                <w:color w:val="000000"/>
                <w:lang w:eastAsia="ar-SA"/>
              </w:rPr>
              <w:t xml:space="preserve">viruso </w:t>
            </w:r>
            <w:r w:rsidR="00F36CE2" w:rsidRPr="00975CA4">
              <w:rPr>
                <w:rFonts w:ascii="Times New Roman" w:eastAsia="Times New Roman" w:hAnsi="Times New Roman" w:cs="Times New Roman"/>
                <w:color w:val="000000"/>
                <w:lang w:eastAsia="ar-SA"/>
              </w:rPr>
              <w:t>sukeliama infekcija</w:t>
            </w:r>
            <w:r w:rsidRPr="00975CA4">
              <w:rPr>
                <w:rFonts w:ascii="Times New Roman" w:eastAsia="Times New Roman" w:hAnsi="Times New Roman" w:cs="Times New Roman"/>
                <w:color w:val="000000"/>
                <w:lang w:eastAsia="ar-SA"/>
              </w:rPr>
              <w:t xml:space="preserve">, įskaitant </w:t>
            </w:r>
            <w:proofErr w:type="spellStart"/>
            <w:r w:rsidRPr="00975CA4">
              <w:rPr>
                <w:rFonts w:ascii="Times New Roman" w:eastAsia="Times New Roman" w:hAnsi="Times New Roman" w:cs="Times New Roman"/>
                <w:color w:val="000000"/>
                <w:lang w:eastAsia="ar-SA"/>
              </w:rPr>
              <w:t>citomegalovirusą</w:t>
            </w:r>
            <w:proofErr w:type="spellEnd"/>
            <w:r w:rsidRPr="00975CA4">
              <w:rPr>
                <w:rFonts w:ascii="Times New Roman" w:eastAsia="Times New Roman" w:hAnsi="Times New Roman" w:cs="Times New Roman"/>
                <w:color w:val="000000"/>
                <w:lang w:eastAsia="ar-SA"/>
              </w:rPr>
              <w:t xml:space="preserve"> (CMV),</w:t>
            </w:r>
            <w:r w:rsidR="009659E9" w:rsidRPr="00975CA4">
              <w:rPr>
                <w:rFonts w:ascii="Times New Roman" w:eastAsia="Times New Roman" w:hAnsi="Times New Roman" w:cs="Times New Roman"/>
                <w:color w:val="000000"/>
                <w:lang w:eastAsia="ar-SA"/>
              </w:rPr>
              <w:t xml:space="preserve"> infekcinis</w:t>
            </w:r>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enterokolit</w:t>
            </w:r>
            <w:r w:rsidR="00F36CE2" w:rsidRPr="00975CA4">
              <w:rPr>
                <w:rFonts w:ascii="Times New Roman" w:eastAsia="Times New Roman" w:hAnsi="Times New Roman" w:cs="Times New Roman"/>
                <w:color w:val="000000"/>
                <w:lang w:eastAsia="ar-SA"/>
              </w:rPr>
              <w:t>as</w:t>
            </w:r>
            <w:proofErr w:type="spellEnd"/>
            <w:r w:rsidRPr="00975CA4">
              <w:rPr>
                <w:rFonts w:ascii="Times New Roman" w:eastAsia="Times New Roman" w:hAnsi="Times New Roman" w:cs="Times New Roman"/>
                <w:color w:val="000000"/>
                <w:lang w:eastAsia="ar-SA"/>
              </w:rPr>
              <w:t>, sepsis (buvo ir nedažnų mirties atvejų).</w:t>
            </w:r>
          </w:p>
        </w:tc>
      </w:tr>
      <w:tr w:rsidR="00156791" w:rsidRPr="00975CA4" w14:paraId="3B50C164"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31DC254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658F08C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Hepatito B </w:t>
            </w:r>
            <w:proofErr w:type="spellStart"/>
            <w:r w:rsidRPr="00975CA4">
              <w:rPr>
                <w:rFonts w:ascii="Times New Roman" w:eastAsia="Times New Roman" w:hAnsi="Times New Roman" w:cs="Times New Roman"/>
                <w:color w:val="000000"/>
                <w:lang w:eastAsia="ar-SA"/>
              </w:rPr>
              <w:t>reaktyvacija</w:t>
            </w:r>
            <w:proofErr w:type="spellEnd"/>
          </w:p>
        </w:tc>
      </w:tr>
      <w:tr w:rsidR="00156791" w:rsidRPr="00975CA4" w14:paraId="6A8DEABC" w14:textId="77777777" w:rsidTr="003A0B67">
        <w:trPr>
          <w:trHeight w:hRule="exact" w:val="264"/>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2417DFEA"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Kraujo ir limfinės sistemos sutrikimai</w:t>
            </w:r>
          </w:p>
        </w:tc>
        <w:tc>
          <w:tcPr>
            <w:tcW w:w="25" w:type="dxa"/>
            <w:tcBorders>
              <w:top w:val="nil"/>
              <w:left w:val="single" w:sz="4" w:space="0" w:color="000000"/>
              <w:bottom w:val="nil"/>
              <w:right w:val="nil"/>
            </w:tcBorders>
          </w:tcPr>
          <w:p w14:paraId="42F5CB88"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61AC7CDB" w14:textId="77777777" w:rsidTr="00ED5F32">
        <w:trPr>
          <w:gridAfter w:val="1"/>
          <w:wAfter w:w="25" w:type="dxa"/>
          <w:trHeight w:hRule="exact" w:val="487"/>
        </w:trPr>
        <w:tc>
          <w:tcPr>
            <w:tcW w:w="1755" w:type="dxa"/>
            <w:tcBorders>
              <w:top w:val="single" w:sz="4" w:space="0" w:color="000000"/>
              <w:left w:val="single" w:sz="4" w:space="0" w:color="000000"/>
              <w:bottom w:val="single" w:sz="4" w:space="0" w:color="000000"/>
              <w:right w:val="nil"/>
            </w:tcBorders>
            <w:hideMark/>
          </w:tcPr>
          <w:p w14:paraId="61730F54" w14:textId="1C70DAA0" w:rsidR="00156791" w:rsidRPr="00975CA4" w:rsidRDefault="00156791">
            <w:pPr>
              <w:suppressAutoHyphens/>
              <w:spacing w:after="0" w:line="240" w:lineRule="auto"/>
              <w:rPr>
                <w:rFonts w:ascii="Times New Roman" w:eastAsia="Times New Roman" w:hAnsi="Times New Roman" w:cs="Times New Roman"/>
                <w:color w:val="000000"/>
                <w:spacing w:val="2"/>
                <w:lang w:eastAsia="ar-SA"/>
              </w:rPr>
            </w:pPr>
            <w:r w:rsidRPr="00975CA4">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161FEBF9"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spacing w:val="2"/>
                <w:lang w:eastAsia="ar-SA"/>
              </w:rPr>
              <w:t xml:space="preserve">Susilpnėjusi kaulų čiulpų funkcija (įskaitant anemiją, </w:t>
            </w:r>
            <w:proofErr w:type="spellStart"/>
            <w:r w:rsidRPr="00975CA4">
              <w:rPr>
                <w:rFonts w:ascii="Times New Roman" w:eastAsia="Times New Roman" w:hAnsi="Times New Roman" w:cs="Times New Roman"/>
                <w:color w:val="000000"/>
                <w:spacing w:val="2"/>
                <w:lang w:eastAsia="ar-SA"/>
              </w:rPr>
              <w:t>neutropeniją</w:t>
            </w:r>
            <w:proofErr w:type="spellEnd"/>
            <w:r w:rsidRPr="00975CA4">
              <w:rPr>
                <w:rFonts w:ascii="Times New Roman" w:eastAsia="Times New Roman" w:hAnsi="Times New Roman" w:cs="Times New Roman"/>
                <w:color w:val="000000"/>
                <w:spacing w:val="2"/>
                <w:lang w:eastAsia="ar-SA"/>
              </w:rPr>
              <w:t xml:space="preserve">, </w:t>
            </w:r>
            <w:proofErr w:type="spellStart"/>
            <w:r w:rsidRPr="00975CA4">
              <w:rPr>
                <w:rFonts w:ascii="Times New Roman" w:eastAsia="Times New Roman" w:hAnsi="Times New Roman" w:cs="Times New Roman"/>
                <w:color w:val="000000"/>
                <w:spacing w:val="2"/>
                <w:lang w:eastAsia="ar-SA"/>
              </w:rPr>
              <w:t>trombocitopeniją</w:t>
            </w:r>
            <w:proofErr w:type="spellEnd"/>
            <w:r w:rsidRPr="00975CA4">
              <w:rPr>
                <w:rFonts w:ascii="Times New Roman" w:eastAsia="Times New Roman" w:hAnsi="Times New Roman" w:cs="Times New Roman"/>
                <w:color w:val="000000"/>
                <w:spacing w:val="2"/>
                <w:lang w:eastAsia="ar-SA"/>
              </w:rPr>
              <w:t>).</w:t>
            </w:r>
          </w:p>
        </w:tc>
      </w:tr>
      <w:tr w:rsidR="00156791" w:rsidRPr="00975CA4" w14:paraId="1FF7486D"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313ECFC0" w14:textId="307FE7EB" w:rsidR="00156791" w:rsidRPr="00975CA4" w:rsidRDefault="00156791">
            <w:pPr>
              <w:suppressAutoHyphens/>
              <w:spacing w:after="0" w:line="240" w:lineRule="auto"/>
              <w:rPr>
                <w:rFonts w:ascii="Times New Roman" w:eastAsia="Times New Roman" w:hAnsi="Times New Roman" w:cs="Times New Roman"/>
                <w:color w:val="000000"/>
                <w:spacing w:val="4"/>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51B4CBB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spacing w:val="4"/>
                <w:lang w:eastAsia="ar-SA"/>
              </w:rPr>
              <w:t>Febrilinė</w:t>
            </w:r>
            <w:proofErr w:type="spellEnd"/>
            <w:r w:rsidRPr="00975CA4">
              <w:rPr>
                <w:rFonts w:ascii="Times New Roman" w:eastAsia="Times New Roman" w:hAnsi="Times New Roman" w:cs="Times New Roman"/>
                <w:color w:val="000000"/>
                <w:spacing w:val="4"/>
                <w:lang w:eastAsia="ar-SA"/>
              </w:rPr>
              <w:t xml:space="preserve"> </w:t>
            </w:r>
            <w:proofErr w:type="spellStart"/>
            <w:r w:rsidRPr="00975CA4">
              <w:rPr>
                <w:rFonts w:ascii="Times New Roman" w:eastAsia="Times New Roman" w:hAnsi="Times New Roman" w:cs="Times New Roman"/>
                <w:color w:val="000000"/>
                <w:spacing w:val="4"/>
                <w:lang w:eastAsia="ar-SA"/>
              </w:rPr>
              <w:t>neutropenija</w:t>
            </w:r>
            <w:proofErr w:type="spellEnd"/>
            <w:r w:rsidRPr="00975CA4">
              <w:rPr>
                <w:rFonts w:ascii="Times New Roman" w:eastAsia="Times New Roman" w:hAnsi="Times New Roman" w:cs="Times New Roman"/>
                <w:color w:val="000000"/>
                <w:spacing w:val="4"/>
                <w:lang w:eastAsia="ar-SA"/>
              </w:rPr>
              <w:t>.</w:t>
            </w:r>
          </w:p>
        </w:tc>
      </w:tr>
      <w:tr w:rsidR="00156791" w:rsidRPr="00975CA4" w14:paraId="7A419706"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6CA2527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spacing w:val="3"/>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A437DE6"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spacing w:val="3"/>
                <w:lang w:eastAsia="ar-SA"/>
              </w:rPr>
              <w:t>Limfadenopatija</w:t>
            </w:r>
            <w:proofErr w:type="spellEnd"/>
            <w:r w:rsidRPr="00975CA4">
              <w:rPr>
                <w:rFonts w:ascii="Times New Roman" w:eastAsia="Times New Roman" w:hAnsi="Times New Roman" w:cs="Times New Roman"/>
                <w:color w:val="000000"/>
                <w:spacing w:val="3"/>
                <w:lang w:eastAsia="ar-SA"/>
              </w:rPr>
              <w:t xml:space="preserve">, </w:t>
            </w:r>
            <w:proofErr w:type="spellStart"/>
            <w:r w:rsidRPr="00975CA4">
              <w:rPr>
                <w:rFonts w:ascii="Times New Roman" w:eastAsia="Times New Roman" w:hAnsi="Times New Roman" w:cs="Times New Roman"/>
                <w:color w:val="000000"/>
                <w:spacing w:val="3"/>
                <w:lang w:eastAsia="ar-SA"/>
              </w:rPr>
              <w:t>limfopenija</w:t>
            </w:r>
            <w:proofErr w:type="spellEnd"/>
            <w:r w:rsidRPr="00975CA4">
              <w:rPr>
                <w:rFonts w:ascii="Times New Roman" w:eastAsia="Times New Roman" w:hAnsi="Times New Roman" w:cs="Times New Roman"/>
                <w:color w:val="000000"/>
                <w:spacing w:val="3"/>
                <w:lang w:eastAsia="ar-SA"/>
              </w:rPr>
              <w:t>.</w:t>
            </w:r>
          </w:p>
        </w:tc>
      </w:tr>
      <w:tr w:rsidR="00156791" w:rsidRPr="00975CA4" w14:paraId="5BA5A79B" w14:textId="77777777" w:rsidTr="003A0B67">
        <w:trPr>
          <w:gridAfter w:val="1"/>
          <w:wAfter w:w="25" w:type="dxa"/>
          <w:trHeight w:hRule="exact" w:val="301"/>
        </w:trPr>
        <w:tc>
          <w:tcPr>
            <w:tcW w:w="1755" w:type="dxa"/>
            <w:tcBorders>
              <w:top w:val="single" w:sz="4" w:space="0" w:color="000000"/>
              <w:left w:val="single" w:sz="4" w:space="0" w:color="000000"/>
              <w:bottom w:val="single" w:sz="4" w:space="0" w:color="000000"/>
              <w:right w:val="nil"/>
            </w:tcBorders>
            <w:hideMark/>
          </w:tcPr>
          <w:p w14:paraId="414BC36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spacing w:val="3"/>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12943AEF"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spacing w:val="3"/>
                <w:lang w:eastAsia="ar-SA"/>
              </w:rPr>
              <w:t xml:space="preserve">Grynoji eritrocitų </w:t>
            </w:r>
            <w:proofErr w:type="spellStart"/>
            <w:r w:rsidRPr="00975CA4">
              <w:rPr>
                <w:rFonts w:ascii="Times New Roman" w:eastAsia="Times New Roman" w:hAnsi="Times New Roman" w:cs="Times New Roman"/>
                <w:color w:val="000000"/>
                <w:spacing w:val="3"/>
                <w:lang w:eastAsia="ar-SA"/>
              </w:rPr>
              <w:t>aplazija</w:t>
            </w:r>
            <w:proofErr w:type="spellEnd"/>
            <w:r w:rsidRPr="00975CA4">
              <w:rPr>
                <w:rFonts w:ascii="Times New Roman" w:eastAsia="Times New Roman" w:hAnsi="Times New Roman" w:cs="Times New Roman"/>
                <w:color w:val="000000"/>
                <w:spacing w:val="3"/>
                <w:lang w:eastAsia="ar-SA"/>
              </w:rPr>
              <w:t>.</w:t>
            </w:r>
          </w:p>
        </w:tc>
      </w:tr>
      <w:tr w:rsidR="00156791" w:rsidRPr="00975CA4" w14:paraId="7528B1F1"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7D1BDBC4"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lastRenderedPageBreak/>
              <w:t>Imuninės sistemos sutrikimai</w:t>
            </w:r>
          </w:p>
        </w:tc>
        <w:tc>
          <w:tcPr>
            <w:tcW w:w="25" w:type="dxa"/>
            <w:tcBorders>
              <w:top w:val="nil"/>
              <w:left w:val="single" w:sz="4" w:space="0" w:color="000000"/>
              <w:bottom w:val="nil"/>
              <w:right w:val="nil"/>
            </w:tcBorders>
          </w:tcPr>
          <w:p w14:paraId="30CAF513"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2ADD6930"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353F54C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spacing w:val="3"/>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59A505D4" w14:textId="35F0FA43"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spacing w:val="3"/>
                <w:lang w:eastAsia="ar-SA"/>
              </w:rPr>
              <w:t>Padidėjęs jautrumas (įskaitant mazginę raudonę (</w:t>
            </w:r>
            <w:proofErr w:type="spellStart"/>
            <w:r w:rsidRPr="00975CA4">
              <w:rPr>
                <w:rFonts w:ascii="Times New Roman" w:eastAsia="Times New Roman" w:hAnsi="Times New Roman" w:cs="Times New Roman"/>
                <w:i/>
                <w:color w:val="000000"/>
                <w:spacing w:val="3"/>
                <w:lang w:eastAsia="ar-SA"/>
              </w:rPr>
              <w:t>erythema</w:t>
            </w:r>
            <w:proofErr w:type="spellEnd"/>
            <w:r w:rsidRPr="00975CA4">
              <w:rPr>
                <w:rFonts w:ascii="Times New Roman" w:eastAsia="Times New Roman" w:hAnsi="Times New Roman" w:cs="Times New Roman"/>
                <w:i/>
                <w:color w:val="000000"/>
                <w:spacing w:val="3"/>
                <w:lang w:eastAsia="ar-SA"/>
              </w:rPr>
              <w:t xml:space="preserve"> </w:t>
            </w:r>
            <w:proofErr w:type="spellStart"/>
            <w:r w:rsidRPr="00975CA4">
              <w:rPr>
                <w:rFonts w:ascii="Times New Roman" w:eastAsia="Times New Roman" w:hAnsi="Times New Roman" w:cs="Times New Roman"/>
                <w:i/>
                <w:color w:val="000000"/>
                <w:spacing w:val="3"/>
                <w:lang w:eastAsia="ar-SA"/>
              </w:rPr>
              <w:t>nodosum</w:t>
            </w:r>
            <w:proofErr w:type="spellEnd"/>
            <w:r w:rsidRPr="00975CA4">
              <w:rPr>
                <w:rFonts w:ascii="Times New Roman" w:eastAsia="Times New Roman" w:hAnsi="Times New Roman" w:cs="Times New Roman"/>
                <w:color w:val="000000"/>
                <w:spacing w:val="3"/>
                <w:lang w:eastAsia="ar-SA"/>
              </w:rPr>
              <w:t>)).</w:t>
            </w:r>
          </w:p>
        </w:tc>
      </w:tr>
      <w:tr w:rsidR="00156791" w:rsidRPr="00975CA4" w14:paraId="7BDCA0D4" w14:textId="77777777" w:rsidTr="003A0B67">
        <w:trPr>
          <w:gridAfter w:val="1"/>
          <w:wAfter w:w="25" w:type="dxa"/>
          <w:trHeight w:hRule="exact" w:val="263"/>
        </w:trPr>
        <w:tc>
          <w:tcPr>
            <w:tcW w:w="1755" w:type="dxa"/>
            <w:tcBorders>
              <w:top w:val="nil"/>
              <w:left w:val="single" w:sz="4" w:space="0" w:color="000000"/>
              <w:bottom w:val="single" w:sz="4" w:space="0" w:color="000000"/>
              <w:right w:val="nil"/>
            </w:tcBorders>
            <w:hideMark/>
          </w:tcPr>
          <w:p w14:paraId="0B1921BE"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nil"/>
              <w:left w:val="single" w:sz="4" w:space="0" w:color="000000"/>
              <w:bottom w:val="single" w:sz="4" w:space="0" w:color="000000"/>
              <w:right w:val="single" w:sz="4" w:space="0" w:color="000000"/>
            </w:tcBorders>
            <w:hideMark/>
          </w:tcPr>
          <w:p w14:paraId="5E303E8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Anafilaksinis šokas.</w:t>
            </w:r>
          </w:p>
        </w:tc>
      </w:tr>
      <w:tr w:rsidR="00156791" w:rsidRPr="00975CA4" w14:paraId="1CEAD6A1" w14:textId="77777777" w:rsidTr="003A0B67">
        <w:trPr>
          <w:trHeight w:hRule="exact" w:val="264"/>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5A12DDA6"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Endokrininiai sutrikimai</w:t>
            </w:r>
          </w:p>
        </w:tc>
        <w:tc>
          <w:tcPr>
            <w:tcW w:w="25" w:type="dxa"/>
            <w:tcBorders>
              <w:top w:val="nil"/>
              <w:left w:val="single" w:sz="4" w:space="0" w:color="000000"/>
              <w:bottom w:val="nil"/>
              <w:right w:val="nil"/>
            </w:tcBorders>
          </w:tcPr>
          <w:p w14:paraId="20CE143B"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2228930A"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7838A4FE"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spacing w:val="3"/>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301EA18E"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spacing w:val="3"/>
                <w:lang w:eastAsia="ar-SA"/>
              </w:rPr>
              <w:t>Hipotirozė</w:t>
            </w:r>
            <w:proofErr w:type="spellEnd"/>
            <w:r w:rsidRPr="00975CA4">
              <w:rPr>
                <w:rFonts w:ascii="Times New Roman" w:eastAsia="Times New Roman" w:hAnsi="Times New Roman" w:cs="Times New Roman"/>
                <w:color w:val="000000"/>
                <w:spacing w:val="3"/>
                <w:lang w:eastAsia="ar-SA"/>
              </w:rPr>
              <w:t>.</w:t>
            </w:r>
          </w:p>
        </w:tc>
      </w:tr>
      <w:tr w:rsidR="00156791" w:rsidRPr="00975CA4" w14:paraId="7744DCE8"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099DA0EE"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spacing w:val="3"/>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7F338A12" w14:textId="78BDB8A6"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spacing w:val="3"/>
                <w:lang w:eastAsia="ar-SA"/>
              </w:rPr>
              <w:t>Hipertirozė</w:t>
            </w:r>
            <w:proofErr w:type="spellEnd"/>
            <w:r w:rsidRPr="00975CA4">
              <w:rPr>
                <w:rFonts w:ascii="Times New Roman" w:eastAsia="Times New Roman" w:hAnsi="Times New Roman" w:cs="Times New Roman"/>
                <w:color w:val="000000"/>
                <w:spacing w:val="3"/>
                <w:lang w:eastAsia="ar-SA"/>
              </w:rPr>
              <w:t xml:space="preserve">, </w:t>
            </w:r>
            <w:proofErr w:type="spellStart"/>
            <w:r w:rsidRPr="00975CA4">
              <w:rPr>
                <w:rFonts w:ascii="Times New Roman" w:eastAsia="Times New Roman" w:hAnsi="Times New Roman" w:cs="Times New Roman"/>
                <w:color w:val="000000"/>
                <w:spacing w:val="3"/>
                <w:lang w:eastAsia="ar-SA"/>
              </w:rPr>
              <w:t>tiroiditas</w:t>
            </w:r>
            <w:proofErr w:type="spellEnd"/>
            <w:r w:rsidRPr="00975CA4">
              <w:rPr>
                <w:rFonts w:ascii="Times New Roman" w:eastAsia="Times New Roman" w:hAnsi="Times New Roman" w:cs="Times New Roman"/>
                <w:color w:val="000000"/>
                <w:spacing w:val="3"/>
                <w:lang w:eastAsia="ar-SA"/>
              </w:rPr>
              <w:t>.</w:t>
            </w:r>
          </w:p>
        </w:tc>
      </w:tr>
      <w:tr w:rsidR="00156791" w:rsidRPr="00975CA4" w14:paraId="18D4D949"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27DBA09A"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Metabolizmo ir mitybos sutrikimai</w:t>
            </w:r>
          </w:p>
        </w:tc>
        <w:tc>
          <w:tcPr>
            <w:tcW w:w="25" w:type="dxa"/>
            <w:tcBorders>
              <w:top w:val="nil"/>
              <w:left w:val="single" w:sz="4" w:space="0" w:color="000000"/>
              <w:bottom w:val="nil"/>
              <w:right w:val="nil"/>
            </w:tcBorders>
          </w:tcPr>
          <w:p w14:paraId="2FACF236"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1B92D702"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38A08CE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024B3DE9"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Apetito </w:t>
            </w:r>
            <w:proofErr w:type="spellStart"/>
            <w:r w:rsidRPr="00975CA4">
              <w:rPr>
                <w:rFonts w:ascii="Times New Roman" w:eastAsia="Times New Roman" w:hAnsi="Times New Roman" w:cs="Times New Roman"/>
                <w:color w:val="000000"/>
                <w:lang w:eastAsia="ar-SA"/>
              </w:rPr>
              <w:t>sutrikimai</w:t>
            </w:r>
            <w:r w:rsidRPr="00975CA4">
              <w:rPr>
                <w:rFonts w:ascii="Times New Roman" w:eastAsia="Times New Roman" w:hAnsi="Times New Roman" w:cs="Times New Roman"/>
                <w:color w:val="000000"/>
                <w:vertAlign w:val="superscript"/>
                <w:lang w:eastAsia="ar-SA"/>
              </w:rPr>
              <w:t>a</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hiperurikemija</w:t>
            </w:r>
            <w:proofErr w:type="spellEnd"/>
            <w:r w:rsidRPr="00975CA4">
              <w:rPr>
                <w:rFonts w:ascii="Times New Roman" w:eastAsia="Times New Roman" w:hAnsi="Times New Roman" w:cs="Times New Roman"/>
                <w:color w:val="000000"/>
                <w:lang w:eastAsia="ar-SA"/>
              </w:rPr>
              <w:t>.</w:t>
            </w:r>
          </w:p>
        </w:tc>
      </w:tr>
      <w:tr w:rsidR="00156791" w:rsidRPr="00975CA4" w14:paraId="5CCD3A7D"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6B4F2684"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56858F09"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Naviko irimo sindromas, </w:t>
            </w:r>
            <w:proofErr w:type="spellStart"/>
            <w:r w:rsidRPr="00975CA4">
              <w:rPr>
                <w:rFonts w:ascii="Times New Roman" w:eastAsia="Times New Roman" w:hAnsi="Times New Roman" w:cs="Times New Roman"/>
                <w:color w:val="000000"/>
                <w:lang w:eastAsia="ar-SA"/>
              </w:rPr>
              <w:t>dehidracija</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hipoalbuminemija</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hipercholesterolemija</w:t>
            </w:r>
            <w:proofErr w:type="spellEnd"/>
            <w:r w:rsidRPr="00975CA4">
              <w:rPr>
                <w:rFonts w:ascii="Times New Roman" w:eastAsia="Times New Roman" w:hAnsi="Times New Roman" w:cs="Times New Roman"/>
                <w:color w:val="000000"/>
                <w:lang w:eastAsia="ar-SA"/>
              </w:rPr>
              <w:t>.</w:t>
            </w:r>
          </w:p>
        </w:tc>
      </w:tr>
      <w:tr w:rsidR="00156791" w:rsidRPr="00975CA4" w14:paraId="261E114D"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4849AEAB"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4DBEA71E"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Cukrinis diabetas.</w:t>
            </w:r>
          </w:p>
        </w:tc>
      </w:tr>
      <w:tr w:rsidR="00156791" w:rsidRPr="00975CA4" w14:paraId="4D6AAAFE" w14:textId="77777777" w:rsidTr="003A0B67">
        <w:trPr>
          <w:trHeight w:hRule="exact" w:val="264"/>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6A8A83EC"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Psichikos sutrikimai</w:t>
            </w:r>
          </w:p>
        </w:tc>
        <w:tc>
          <w:tcPr>
            <w:tcW w:w="25" w:type="dxa"/>
            <w:tcBorders>
              <w:top w:val="nil"/>
              <w:left w:val="single" w:sz="4" w:space="0" w:color="000000"/>
              <w:bottom w:val="nil"/>
              <w:right w:val="nil"/>
            </w:tcBorders>
          </w:tcPr>
          <w:p w14:paraId="5EF3E37A"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5AA7D1A8"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02EACCA"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69A7850A"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Depresija, nemiga.</w:t>
            </w:r>
          </w:p>
        </w:tc>
      </w:tr>
      <w:tr w:rsidR="00156791" w:rsidRPr="00975CA4" w14:paraId="0344F204"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732311F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3760FB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Nerimas, sumišimas, nuotaikos </w:t>
            </w:r>
            <w:proofErr w:type="spellStart"/>
            <w:r w:rsidRPr="00975CA4">
              <w:rPr>
                <w:rFonts w:ascii="Times New Roman" w:eastAsia="Times New Roman" w:hAnsi="Times New Roman" w:cs="Times New Roman"/>
                <w:color w:val="000000"/>
                <w:lang w:eastAsia="ar-SA"/>
              </w:rPr>
              <w:t>labilumas</w:t>
            </w:r>
            <w:proofErr w:type="spellEnd"/>
            <w:r w:rsidRPr="00975CA4">
              <w:rPr>
                <w:rFonts w:ascii="Times New Roman" w:eastAsia="Times New Roman" w:hAnsi="Times New Roman" w:cs="Times New Roman"/>
                <w:color w:val="000000"/>
                <w:lang w:eastAsia="ar-SA"/>
              </w:rPr>
              <w:t>, susilpnėjęs lytinis potraukis.</w:t>
            </w:r>
          </w:p>
        </w:tc>
      </w:tr>
      <w:tr w:rsidR="00156791" w:rsidRPr="00975CA4" w14:paraId="30F6A5D7"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07052879"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Nervų sistemos sutrikimai</w:t>
            </w:r>
          </w:p>
        </w:tc>
        <w:tc>
          <w:tcPr>
            <w:tcW w:w="25" w:type="dxa"/>
            <w:tcBorders>
              <w:top w:val="nil"/>
              <w:left w:val="single" w:sz="4" w:space="0" w:color="000000"/>
              <w:bottom w:val="nil"/>
              <w:right w:val="nil"/>
            </w:tcBorders>
          </w:tcPr>
          <w:p w14:paraId="6BEE5318"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4938CCCE"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0144E37B"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4AD785E7"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Galvos skausmas.</w:t>
            </w:r>
          </w:p>
        </w:tc>
      </w:tr>
      <w:tr w:rsidR="00156791" w:rsidRPr="00975CA4" w14:paraId="4B34EB9C" w14:textId="77777777" w:rsidTr="003A0B67">
        <w:trPr>
          <w:gridAfter w:val="1"/>
          <w:wAfter w:w="25" w:type="dxa"/>
          <w:trHeight w:hRule="exact" w:val="347"/>
        </w:trPr>
        <w:tc>
          <w:tcPr>
            <w:tcW w:w="1755" w:type="dxa"/>
            <w:tcBorders>
              <w:top w:val="single" w:sz="4" w:space="0" w:color="000000"/>
              <w:left w:val="single" w:sz="4" w:space="0" w:color="000000"/>
              <w:bottom w:val="single" w:sz="4" w:space="0" w:color="000000"/>
              <w:right w:val="nil"/>
            </w:tcBorders>
            <w:hideMark/>
          </w:tcPr>
          <w:p w14:paraId="2315D0A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16F18982" w14:textId="77777777" w:rsidR="00156791" w:rsidRPr="00975CA4" w:rsidRDefault="00156791" w:rsidP="00D125F0">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Neuropatija (įskaitant periferinę neuropatiją), svaigulys, </w:t>
            </w:r>
            <w:proofErr w:type="spellStart"/>
            <w:r w:rsidRPr="00975CA4">
              <w:rPr>
                <w:rFonts w:ascii="Times New Roman" w:eastAsia="Times New Roman" w:hAnsi="Times New Roman" w:cs="Times New Roman"/>
                <w:color w:val="000000"/>
                <w:lang w:eastAsia="ar-SA"/>
              </w:rPr>
              <w:t>disgeuzija</w:t>
            </w:r>
            <w:proofErr w:type="spellEnd"/>
            <w:r w:rsidRPr="00975CA4">
              <w:rPr>
                <w:rFonts w:ascii="Times New Roman" w:eastAsia="Times New Roman" w:hAnsi="Times New Roman" w:cs="Times New Roman"/>
                <w:color w:val="000000"/>
                <w:lang w:eastAsia="ar-SA"/>
              </w:rPr>
              <w:t>, mieguistumas.</w:t>
            </w:r>
          </w:p>
        </w:tc>
      </w:tr>
      <w:tr w:rsidR="00156791" w:rsidRPr="00975CA4" w14:paraId="15C4C838"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483FA00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4BEB1D03"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Kraujavimas CNS</w:t>
            </w:r>
            <w:r w:rsidRPr="00975CA4">
              <w:rPr>
                <w:rFonts w:ascii="Times New Roman" w:eastAsia="Times New Roman" w:hAnsi="Times New Roman" w:cs="Times New Roman"/>
                <w:color w:val="000000"/>
                <w:vertAlign w:val="superscript"/>
                <w:lang w:eastAsia="ar-SA"/>
              </w:rPr>
              <w:t>*b</w:t>
            </w:r>
            <w:r w:rsidRPr="00975CA4">
              <w:rPr>
                <w:rFonts w:ascii="Times New Roman" w:eastAsia="Times New Roman" w:hAnsi="Times New Roman" w:cs="Times New Roman"/>
                <w:color w:val="000000"/>
                <w:lang w:eastAsia="ar-SA"/>
              </w:rPr>
              <w:t>, sinkopė, drebulys, amnezija, sutrikusi pusiausvyra.</w:t>
            </w:r>
          </w:p>
        </w:tc>
      </w:tr>
      <w:tr w:rsidR="00156791" w:rsidRPr="00975CA4" w14:paraId="29C40425" w14:textId="77777777" w:rsidTr="003A0B67">
        <w:trPr>
          <w:gridAfter w:val="1"/>
          <w:wAfter w:w="25" w:type="dxa"/>
          <w:trHeight w:hRule="exact" w:val="515"/>
        </w:trPr>
        <w:tc>
          <w:tcPr>
            <w:tcW w:w="1755" w:type="dxa"/>
            <w:tcBorders>
              <w:top w:val="single" w:sz="4" w:space="0" w:color="000000"/>
              <w:left w:val="single" w:sz="4" w:space="0" w:color="000000"/>
              <w:bottom w:val="single" w:sz="4" w:space="0" w:color="000000"/>
              <w:right w:val="nil"/>
            </w:tcBorders>
            <w:hideMark/>
          </w:tcPr>
          <w:p w14:paraId="3941D4C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2D8D88C0" w14:textId="2161B01E" w:rsidR="00156791" w:rsidRPr="00975CA4" w:rsidRDefault="00156791" w:rsidP="00D125F0">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Smegenų kraujagyslių </w:t>
            </w:r>
            <w:r w:rsidR="00D125F0" w:rsidRPr="00975CA4">
              <w:rPr>
                <w:rFonts w:ascii="Times New Roman" w:eastAsia="Times New Roman" w:hAnsi="Times New Roman" w:cs="Times New Roman"/>
                <w:color w:val="000000"/>
                <w:lang w:eastAsia="ar-SA"/>
              </w:rPr>
              <w:t>įvykis</w:t>
            </w:r>
            <w:r w:rsidRPr="00975CA4">
              <w:rPr>
                <w:rFonts w:ascii="Times New Roman" w:eastAsia="Times New Roman" w:hAnsi="Times New Roman" w:cs="Times New Roman"/>
                <w:color w:val="000000"/>
                <w:lang w:eastAsia="ar-SA"/>
              </w:rPr>
              <w:t>, praeinantysis smegenų išemijos priepuolis, traukuliai, optinis neuritas, VII-</w:t>
            </w:r>
            <w:proofErr w:type="spellStart"/>
            <w:r w:rsidRPr="00975CA4">
              <w:rPr>
                <w:rFonts w:ascii="Times New Roman" w:eastAsia="Times New Roman" w:hAnsi="Times New Roman" w:cs="Times New Roman"/>
                <w:color w:val="000000"/>
                <w:lang w:eastAsia="ar-SA"/>
              </w:rPr>
              <w:t>ojo</w:t>
            </w:r>
            <w:proofErr w:type="spellEnd"/>
            <w:r w:rsidRPr="00975CA4">
              <w:rPr>
                <w:rFonts w:ascii="Times New Roman" w:eastAsia="Times New Roman" w:hAnsi="Times New Roman" w:cs="Times New Roman"/>
                <w:color w:val="000000"/>
                <w:lang w:eastAsia="ar-SA"/>
              </w:rPr>
              <w:t xml:space="preserve"> nervo paralyžius, demencija, </w:t>
            </w:r>
            <w:proofErr w:type="spellStart"/>
            <w:r w:rsidRPr="00975CA4">
              <w:rPr>
                <w:rFonts w:ascii="Times New Roman" w:eastAsia="Times New Roman" w:hAnsi="Times New Roman" w:cs="Times New Roman"/>
                <w:color w:val="000000"/>
                <w:lang w:eastAsia="ar-SA"/>
              </w:rPr>
              <w:t>ataksija</w:t>
            </w:r>
            <w:proofErr w:type="spellEnd"/>
            <w:r w:rsidRPr="00975CA4">
              <w:rPr>
                <w:rFonts w:ascii="Times New Roman" w:eastAsia="Times New Roman" w:hAnsi="Times New Roman" w:cs="Times New Roman"/>
                <w:color w:val="000000"/>
                <w:lang w:eastAsia="ar-SA"/>
              </w:rPr>
              <w:t>.</w:t>
            </w:r>
          </w:p>
        </w:tc>
      </w:tr>
      <w:tr w:rsidR="00156791" w:rsidRPr="00975CA4" w14:paraId="0AADF03A"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5FDFC37A"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Akių sutrikimai</w:t>
            </w:r>
          </w:p>
        </w:tc>
        <w:tc>
          <w:tcPr>
            <w:tcW w:w="25" w:type="dxa"/>
            <w:tcBorders>
              <w:top w:val="nil"/>
              <w:left w:val="single" w:sz="4" w:space="0" w:color="000000"/>
              <w:bottom w:val="nil"/>
              <w:right w:val="nil"/>
            </w:tcBorders>
          </w:tcPr>
          <w:p w14:paraId="265AF677"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2DDAEEE3" w14:textId="77777777" w:rsidTr="003A0B67">
        <w:trPr>
          <w:gridAfter w:val="1"/>
          <w:wAfter w:w="25" w:type="dxa"/>
          <w:trHeight w:hRule="exact" w:val="510"/>
        </w:trPr>
        <w:tc>
          <w:tcPr>
            <w:tcW w:w="1755" w:type="dxa"/>
            <w:tcBorders>
              <w:top w:val="single" w:sz="4" w:space="0" w:color="000000"/>
              <w:left w:val="single" w:sz="4" w:space="0" w:color="000000"/>
              <w:bottom w:val="single" w:sz="4" w:space="0" w:color="000000"/>
              <w:right w:val="nil"/>
            </w:tcBorders>
            <w:hideMark/>
          </w:tcPr>
          <w:p w14:paraId="4DE58F0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7AABDA19"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Regos sutrikimai (sutrikęs regėjimas, miglotas regėjimas, sumažėjęs regėjimo aštrumas), sausos akys.</w:t>
            </w:r>
          </w:p>
        </w:tc>
      </w:tr>
      <w:tr w:rsidR="00156791" w:rsidRPr="00975CA4" w14:paraId="17DC5D6E"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430B536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48B8790" w14:textId="3BAE3375" w:rsidR="00156791" w:rsidRPr="00975CA4" w:rsidRDefault="00FF31EE">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Regėjimo sutrikimas</w:t>
            </w:r>
            <w:r w:rsidR="00156791" w:rsidRPr="00975CA4">
              <w:rPr>
                <w:rFonts w:ascii="Times New Roman" w:eastAsia="Times New Roman" w:hAnsi="Times New Roman" w:cs="Times New Roman"/>
                <w:color w:val="000000"/>
                <w:lang w:eastAsia="ar-SA"/>
              </w:rPr>
              <w:t>, konjunktyvitas, šviesos baimė, padidėjęs ašarojimas.</w:t>
            </w:r>
          </w:p>
        </w:tc>
      </w:tr>
      <w:tr w:rsidR="00156791" w:rsidRPr="00975CA4" w14:paraId="76FB2669"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7BF90EB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Ausų ir labirintų sutrikimai</w:t>
            </w:r>
          </w:p>
        </w:tc>
        <w:tc>
          <w:tcPr>
            <w:tcW w:w="25" w:type="dxa"/>
            <w:tcBorders>
              <w:top w:val="nil"/>
              <w:left w:val="single" w:sz="4" w:space="0" w:color="000000"/>
              <w:bottom w:val="nil"/>
              <w:right w:val="nil"/>
            </w:tcBorders>
          </w:tcPr>
          <w:p w14:paraId="1CB56BF4"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4761E3D9"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BFD81E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676C78C4" w14:textId="7D44B951" w:rsidR="00156791" w:rsidRPr="00975CA4" w:rsidRDefault="00C609FE" w:rsidP="00C609FE">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Ūžesys</w:t>
            </w:r>
            <w:r w:rsidR="00156791" w:rsidRPr="00975CA4">
              <w:rPr>
                <w:rFonts w:ascii="Times New Roman" w:eastAsia="Times New Roman" w:hAnsi="Times New Roman" w:cs="Times New Roman"/>
                <w:color w:val="000000"/>
                <w:lang w:eastAsia="ar-SA"/>
              </w:rPr>
              <w:t>.</w:t>
            </w:r>
          </w:p>
        </w:tc>
      </w:tr>
      <w:tr w:rsidR="00156791" w:rsidRPr="00975CA4" w14:paraId="324A8BB6"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16EE436"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6635A011" w14:textId="508655B5" w:rsidR="00156791" w:rsidRPr="00975CA4" w:rsidRDefault="004B04C5">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Prikurtimas</w:t>
            </w:r>
            <w:r w:rsidR="00156791" w:rsidRPr="00975CA4">
              <w:rPr>
                <w:rFonts w:ascii="Times New Roman" w:eastAsia="Times New Roman" w:hAnsi="Times New Roman" w:cs="Times New Roman"/>
                <w:color w:val="000000"/>
                <w:lang w:eastAsia="ar-SA"/>
              </w:rPr>
              <w:t>, galvos svaigimas (</w:t>
            </w:r>
            <w:proofErr w:type="spellStart"/>
            <w:r w:rsidR="00156791" w:rsidRPr="00975CA4">
              <w:rPr>
                <w:rFonts w:ascii="Times New Roman" w:eastAsia="Times New Roman" w:hAnsi="Times New Roman" w:cs="Times New Roman"/>
                <w:i/>
                <w:color w:val="000000"/>
                <w:lang w:eastAsia="ar-SA"/>
              </w:rPr>
              <w:t>vertigo</w:t>
            </w:r>
            <w:proofErr w:type="spellEnd"/>
            <w:r w:rsidR="00156791" w:rsidRPr="00975CA4">
              <w:rPr>
                <w:rFonts w:ascii="Times New Roman" w:eastAsia="Times New Roman" w:hAnsi="Times New Roman" w:cs="Times New Roman"/>
                <w:color w:val="000000"/>
                <w:lang w:eastAsia="ar-SA"/>
              </w:rPr>
              <w:t>).</w:t>
            </w:r>
          </w:p>
        </w:tc>
      </w:tr>
      <w:tr w:rsidR="00156791" w:rsidRPr="00975CA4" w14:paraId="2A48C92A"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70DE8F4B"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Širdies sutrikimai</w:t>
            </w:r>
          </w:p>
        </w:tc>
        <w:tc>
          <w:tcPr>
            <w:tcW w:w="25" w:type="dxa"/>
            <w:tcBorders>
              <w:top w:val="nil"/>
              <w:left w:val="single" w:sz="4" w:space="0" w:color="000000"/>
              <w:bottom w:val="nil"/>
              <w:right w:val="nil"/>
            </w:tcBorders>
          </w:tcPr>
          <w:p w14:paraId="252C29B5"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7F86BA93" w14:textId="77777777" w:rsidTr="00ED5F32">
        <w:trPr>
          <w:gridAfter w:val="1"/>
          <w:wAfter w:w="25" w:type="dxa"/>
          <w:trHeight w:hRule="exact" w:val="852"/>
        </w:trPr>
        <w:tc>
          <w:tcPr>
            <w:tcW w:w="1755" w:type="dxa"/>
            <w:tcBorders>
              <w:top w:val="single" w:sz="4" w:space="0" w:color="000000"/>
              <w:left w:val="single" w:sz="4" w:space="0" w:color="000000"/>
              <w:bottom w:val="single" w:sz="4" w:space="0" w:color="000000"/>
              <w:right w:val="nil"/>
            </w:tcBorders>
            <w:hideMark/>
          </w:tcPr>
          <w:p w14:paraId="455A23E1"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2E1F3D7D" w14:textId="3723DE8D" w:rsidR="00156791" w:rsidRPr="00975CA4" w:rsidRDefault="00156791" w:rsidP="004B04C5">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Stazinis</w:t>
            </w:r>
            <w:proofErr w:type="spellEnd"/>
            <w:r w:rsidRPr="00975CA4">
              <w:rPr>
                <w:rFonts w:ascii="Times New Roman" w:eastAsia="Times New Roman" w:hAnsi="Times New Roman" w:cs="Times New Roman"/>
                <w:color w:val="000000"/>
                <w:lang w:eastAsia="ar-SA"/>
              </w:rPr>
              <w:t xml:space="preserve"> širdies nepakankamumas ar širdies funkcijos sutrikimas</w:t>
            </w:r>
            <w:r w:rsidRPr="00975CA4">
              <w:rPr>
                <w:rFonts w:ascii="Times New Roman" w:eastAsia="Times New Roman" w:hAnsi="Times New Roman" w:cs="Times New Roman"/>
                <w:color w:val="000000"/>
                <w:vertAlign w:val="superscript"/>
                <w:lang w:eastAsia="ar-SA"/>
              </w:rPr>
              <w:t>*c</w:t>
            </w:r>
            <w:r w:rsidRPr="00975CA4">
              <w:rPr>
                <w:rFonts w:ascii="Times New Roman" w:eastAsia="Times New Roman" w:hAnsi="Times New Roman" w:cs="Times New Roman"/>
                <w:color w:val="000000"/>
                <w:lang w:eastAsia="ar-SA"/>
              </w:rPr>
              <w:t xml:space="preserve">, </w:t>
            </w:r>
            <w:r w:rsidR="004B04C5" w:rsidRPr="00975CA4">
              <w:rPr>
                <w:rFonts w:ascii="Times New Roman" w:eastAsia="Times New Roman" w:hAnsi="Times New Roman" w:cs="Times New Roman"/>
                <w:color w:val="000000"/>
                <w:lang w:eastAsia="ar-SA"/>
              </w:rPr>
              <w:t xml:space="preserve">skystis </w:t>
            </w:r>
            <w:r w:rsidRPr="00975CA4">
              <w:rPr>
                <w:rFonts w:ascii="Times New Roman" w:eastAsia="Times New Roman" w:hAnsi="Times New Roman" w:cs="Times New Roman"/>
                <w:color w:val="000000"/>
                <w:lang w:eastAsia="ar-SA"/>
              </w:rPr>
              <w:t>perikard</w:t>
            </w:r>
            <w:r w:rsidR="003E4DE3" w:rsidRPr="00975CA4">
              <w:rPr>
                <w:rFonts w:ascii="Times New Roman" w:eastAsia="Times New Roman" w:hAnsi="Times New Roman" w:cs="Times New Roman"/>
                <w:color w:val="000000"/>
                <w:lang w:eastAsia="ar-SA"/>
              </w:rPr>
              <w:t>o ertmėje</w:t>
            </w:r>
            <w:r w:rsidRPr="00975CA4">
              <w:rPr>
                <w:rFonts w:ascii="Times New Roman" w:eastAsia="Times New Roman" w:hAnsi="Times New Roman" w:cs="Times New Roman"/>
                <w:color w:val="000000"/>
                <w:vertAlign w:val="superscript"/>
                <w:lang w:eastAsia="ar-SA"/>
              </w:rPr>
              <w:t>*</w:t>
            </w:r>
            <w:r w:rsidRPr="00975CA4">
              <w:rPr>
                <w:rFonts w:ascii="Times New Roman" w:eastAsia="Times New Roman" w:hAnsi="Times New Roman" w:cs="Times New Roman"/>
                <w:color w:val="000000"/>
                <w:lang w:eastAsia="ar-SA"/>
              </w:rPr>
              <w:t xml:space="preserve">, aritmija (įskaitant tachikardiją), </w:t>
            </w:r>
            <w:r w:rsidR="004B04C5" w:rsidRPr="00975CA4">
              <w:rPr>
                <w:rFonts w:ascii="Times New Roman" w:eastAsia="Times New Roman" w:hAnsi="Times New Roman" w:cs="Times New Roman"/>
                <w:color w:val="000000"/>
                <w:lang w:eastAsia="ar-SA"/>
              </w:rPr>
              <w:t>širdies plakimas</w:t>
            </w:r>
            <w:r w:rsidR="00646C52" w:rsidRPr="00975CA4">
              <w:rPr>
                <w:rFonts w:ascii="Times New Roman" w:eastAsia="Times New Roman" w:hAnsi="Times New Roman" w:cs="Times New Roman"/>
                <w:color w:val="000000"/>
                <w:lang w:eastAsia="ar-SA"/>
              </w:rPr>
              <w:t xml:space="preserve"> (</w:t>
            </w:r>
            <w:proofErr w:type="spellStart"/>
            <w:r w:rsidR="00646C52" w:rsidRPr="00975CA4">
              <w:rPr>
                <w:rFonts w:ascii="Times New Roman" w:eastAsia="Times New Roman" w:hAnsi="Times New Roman" w:cs="Times New Roman"/>
                <w:color w:val="000000"/>
                <w:lang w:eastAsia="ar-SA"/>
              </w:rPr>
              <w:t>palpitacijos</w:t>
            </w:r>
            <w:proofErr w:type="spellEnd"/>
            <w:r w:rsidR="00646C52" w:rsidRPr="00975CA4">
              <w:rPr>
                <w:rFonts w:ascii="Times New Roman" w:eastAsia="Times New Roman" w:hAnsi="Times New Roman" w:cs="Times New Roman"/>
                <w:color w:val="000000"/>
                <w:lang w:eastAsia="ar-SA"/>
              </w:rPr>
              <w:t>)</w:t>
            </w:r>
            <w:r w:rsidRPr="00975CA4">
              <w:rPr>
                <w:rFonts w:ascii="Times New Roman" w:eastAsia="Times New Roman" w:hAnsi="Times New Roman" w:cs="Times New Roman"/>
                <w:color w:val="000000"/>
                <w:lang w:eastAsia="ar-SA"/>
              </w:rPr>
              <w:t>.</w:t>
            </w:r>
          </w:p>
        </w:tc>
      </w:tr>
      <w:tr w:rsidR="00156791" w:rsidRPr="00975CA4" w14:paraId="459878DC" w14:textId="77777777" w:rsidTr="003A0B67">
        <w:trPr>
          <w:gridAfter w:val="1"/>
          <w:wAfter w:w="25" w:type="dxa"/>
          <w:trHeight w:hRule="exact" w:val="1077"/>
        </w:trPr>
        <w:tc>
          <w:tcPr>
            <w:tcW w:w="1755" w:type="dxa"/>
            <w:tcBorders>
              <w:top w:val="single" w:sz="4" w:space="0" w:color="000000"/>
              <w:left w:val="single" w:sz="4" w:space="0" w:color="000000"/>
              <w:bottom w:val="single" w:sz="4" w:space="0" w:color="000000"/>
              <w:right w:val="nil"/>
            </w:tcBorders>
            <w:hideMark/>
          </w:tcPr>
          <w:p w14:paraId="6EB0954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spacing w:val="-2"/>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075AE88F"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spacing w:val="-2"/>
                <w:lang w:eastAsia="ar-SA"/>
              </w:rPr>
              <w:t>Miokardo infarktas (įskaitant mirties atvejus)</w:t>
            </w:r>
            <w:r w:rsidRPr="00975CA4">
              <w:rPr>
                <w:rFonts w:ascii="Times New Roman" w:eastAsia="Times New Roman" w:hAnsi="Times New Roman" w:cs="Times New Roman"/>
                <w:color w:val="000000"/>
                <w:spacing w:val="-2"/>
                <w:vertAlign w:val="superscript"/>
                <w:lang w:eastAsia="ar-SA"/>
              </w:rPr>
              <w:t>*</w:t>
            </w:r>
            <w:r w:rsidRPr="00975CA4">
              <w:rPr>
                <w:rFonts w:ascii="Times New Roman" w:eastAsia="Times New Roman" w:hAnsi="Times New Roman" w:cs="Times New Roman"/>
                <w:color w:val="000000"/>
                <w:spacing w:val="-2"/>
                <w:lang w:eastAsia="ar-SA"/>
              </w:rPr>
              <w:t>, pailgėjęs QT intervalas elektrokardiogramoje</w:t>
            </w:r>
            <w:r w:rsidRPr="00975CA4">
              <w:rPr>
                <w:rFonts w:ascii="Times New Roman" w:eastAsia="Times New Roman" w:hAnsi="Times New Roman" w:cs="Times New Roman"/>
                <w:color w:val="000000"/>
                <w:spacing w:val="-2"/>
                <w:vertAlign w:val="superscript"/>
                <w:lang w:eastAsia="ar-SA"/>
              </w:rPr>
              <w:t>*</w:t>
            </w:r>
            <w:r w:rsidRPr="00975CA4">
              <w:rPr>
                <w:rFonts w:ascii="Times New Roman" w:eastAsia="Times New Roman" w:hAnsi="Times New Roman" w:cs="Times New Roman"/>
                <w:color w:val="000000"/>
                <w:spacing w:val="-2"/>
                <w:lang w:eastAsia="ar-SA"/>
              </w:rPr>
              <w:t xml:space="preserve">, </w:t>
            </w:r>
            <w:proofErr w:type="spellStart"/>
            <w:r w:rsidRPr="00975CA4">
              <w:rPr>
                <w:rFonts w:ascii="Times New Roman" w:eastAsia="Times New Roman" w:hAnsi="Times New Roman" w:cs="Times New Roman"/>
                <w:color w:val="000000"/>
                <w:spacing w:val="-2"/>
                <w:lang w:eastAsia="ar-SA"/>
              </w:rPr>
              <w:t>perikarditas</w:t>
            </w:r>
            <w:proofErr w:type="spellEnd"/>
            <w:r w:rsidRPr="00975CA4">
              <w:rPr>
                <w:rFonts w:ascii="Times New Roman" w:eastAsia="Times New Roman" w:hAnsi="Times New Roman" w:cs="Times New Roman"/>
                <w:color w:val="000000"/>
                <w:spacing w:val="-2"/>
                <w:lang w:eastAsia="ar-SA"/>
              </w:rPr>
              <w:t xml:space="preserve">, </w:t>
            </w:r>
            <w:proofErr w:type="spellStart"/>
            <w:r w:rsidRPr="00975CA4">
              <w:rPr>
                <w:rFonts w:ascii="Times New Roman" w:eastAsia="Times New Roman" w:hAnsi="Times New Roman" w:cs="Times New Roman"/>
                <w:color w:val="000000"/>
                <w:spacing w:val="-2"/>
                <w:lang w:eastAsia="ar-SA"/>
              </w:rPr>
              <w:t>skilvelinė</w:t>
            </w:r>
            <w:proofErr w:type="spellEnd"/>
            <w:r w:rsidRPr="00975CA4">
              <w:rPr>
                <w:rFonts w:ascii="Times New Roman" w:eastAsia="Times New Roman" w:hAnsi="Times New Roman" w:cs="Times New Roman"/>
                <w:color w:val="000000"/>
                <w:spacing w:val="-2"/>
                <w:lang w:eastAsia="ar-SA"/>
              </w:rPr>
              <w:t xml:space="preserve"> aritmija (įskaitant </w:t>
            </w:r>
            <w:proofErr w:type="spellStart"/>
            <w:r w:rsidRPr="00975CA4">
              <w:rPr>
                <w:rFonts w:ascii="Times New Roman" w:eastAsia="Times New Roman" w:hAnsi="Times New Roman" w:cs="Times New Roman"/>
                <w:color w:val="000000"/>
                <w:spacing w:val="-2"/>
                <w:lang w:eastAsia="ar-SA"/>
              </w:rPr>
              <w:t>skilvelinę</w:t>
            </w:r>
            <w:proofErr w:type="spellEnd"/>
            <w:r w:rsidRPr="00975CA4">
              <w:rPr>
                <w:rFonts w:ascii="Times New Roman" w:eastAsia="Times New Roman" w:hAnsi="Times New Roman" w:cs="Times New Roman"/>
                <w:color w:val="000000"/>
                <w:spacing w:val="-2"/>
                <w:lang w:eastAsia="ar-SA"/>
              </w:rPr>
              <w:t xml:space="preserve"> tachikardiją), krūtinės angina, </w:t>
            </w:r>
            <w:proofErr w:type="spellStart"/>
            <w:r w:rsidRPr="00975CA4">
              <w:rPr>
                <w:rFonts w:ascii="Times New Roman" w:eastAsia="Times New Roman" w:hAnsi="Times New Roman" w:cs="Times New Roman"/>
                <w:color w:val="000000"/>
                <w:spacing w:val="-2"/>
                <w:lang w:eastAsia="ar-SA"/>
              </w:rPr>
              <w:t>kardiomegalija</w:t>
            </w:r>
            <w:proofErr w:type="spellEnd"/>
            <w:r w:rsidRPr="00975CA4">
              <w:rPr>
                <w:rFonts w:ascii="Times New Roman" w:eastAsia="Times New Roman" w:hAnsi="Times New Roman" w:cs="Times New Roman"/>
                <w:color w:val="000000"/>
                <w:spacing w:val="-2"/>
                <w:lang w:eastAsia="ar-SA"/>
              </w:rPr>
              <w:t xml:space="preserve">, nenormalus T dantelis elektrokardiogramoje, padidėjusi </w:t>
            </w:r>
            <w:proofErr w:type="spellStart"/>
            <w:r w:rsidRPr="00975CA4">
              <w:rPr>
                <w:rFonts w:ascii="Times New Roman" w:eastAsia="Times New Roman" w:hAnsi="Times New Roman" w:cs="Times New Roman"/>
                <w:color w:val="000000"/>
                <w:spacing w:val="-2"/>
                <w:lang w:eastAsia="ar-SA"/>
              </w:rPr>
              <w:t>troponino</w:t>
            </w:r>
            <w:proofErr w:type="spellEnd"/>
            <w:r w:rsidRPr="00975CA4">
              <w:rPr>
                <w:rFonts w:ascii="Times New Roman" w:eastAsia="Times New Roman" w:hAnsi="Times New Roman" w:cs="Times New Roman"/>
                <w:color w:val="000000"/>
                <w:spacing w:val="-2"/>
                <w:lang w:eastAsia="ar-SA"/>
              </w:rPr>
              <w:t xml:space="preserve"> koncentracija.</w:t>
            </w:r>
          </w:p>
        </w:tc>
      </w:tr>
      <w:tr w:rsidR="00156791" w:rsidRPr="00975CA4" w14:paraId="6CC3FC7F" w14:textId="77777777" w:rsidTr="003A0B67">
        <w:trPr>
          <w:gridAfter w:val="1"/>
          <w:wAfter w:w="25" w:type="dxa"/>
          <w:trHeight w:hRule="exact" w:val="499"/>
        </w:trPr>
        <w:tc>
          <w:tcPr>
            <w:tcW w:w="1755" w:type="dxa"/>
            <w:tcBorders>
              <w:top w:val="single" w:sz="4" w:space="0" w:color="000000"/>
              <w:left w:val="single" w:sz="4" w:space="0" w:color="000000"/>
              <w:bottom w:val="single" w:sz="4" w:space="0" w:color="000000"/>
              <w:right w:val="nil"/>
            </w:tcBorders>
            <w:hideMark/>
          </w:tcPr>
          <w:p w14:paraId="056171A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065101F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Plautinė</w:t>
            </w:r>
            <w:proofErr w:type="spellEnd"/>
            <w:r w:rsidRPr="00975CA4">
              <w:rPr>
                <w:rFonts w:ascii="Times New Roman" w:eastAsia="Times New Roman" w:hAnsi="Times New Roman" w:cs="Times New Roman"/>
                <w:color w:val="000000"/>
                <w:lang w:eastAsia="ar-SA"/>
              </w:rPr>
              <w:t xml:space="preserve"> širdis, </w:t>
            </w:r>
            <w:proofErr w:type="spellStart"/>
            <w:r w:rsidRPr="00975CA4">
              <w:rPr>
                <w:rFonts w:ascii="Times New Roman" w:eastAsia="Times New Roman" w:hAnsi="Times New Roman" w:cs="Times New Roman"/>
                <w:color w:val="000000"/>
                <w:lang w:eastAsia="ar-SA"/>
              </w:rPr>
              <w:t>miokarditas</w:t>
            </w:r>
            <w:proofErr w:type="spellEnd"/>
            <w:r w:rsidRPr="00975CA4">
              <w:rPr>
                <w:rFonts w:ascii="Times New Roman" w:eastAsia="Times New Roman" w:hAnsi="Times New Roman" w:cs="Times New Roman"/>
                <w:color w:val="000000"/>
                <w:lang w:eastAsia="ar-SA"/>
              </w:rPr>
              <w:t xml:space="preserve">, ūminis koronarinis sindromas, širdies sustojimas, pailgėjęs PR intervalas elektrokardiogramoje, išeminė širdies liga, </w:t>
            </w:r>
            <w:proofErr w:type="spellStart"/>
            <w:r w:rsidRPr="00975CA4">
              <w:rPr>
                <w:rFonts w:ascii="Times New Roman" w:eastAsia="Times New Roman" w:hAnsi="Times New Roman" w:cs="Times New Roman"/>
                <w:color w:val="000000"/>
                <w:lang w:eastAsia="ar-SA"/>
              </w:rPr>
              <w:t>pleuroperikarditas</w:t>
            </w:r>
            <w:proofErr w:type="spellEnd"/>
            <w:r w:rsidRPr="00975CA4">
              <w:rPr>
                <w:rFonts w:ascii="Times New Roman" w:eastAsia="Times New Roman" w:hAnsi="Times New Roman" w:cs="Times New Roman"/>
                <w:color w:val="000000"/>
                <w:lang w:eastAsia="ar-SA"/>
              </w:rPr>
              <w:t>.</w:t>
            </w:r>
          </w:p>
        </w:tc>
      </w:tr>
      <w:tr w:rsidR="00156791" w:rsidRPr="00975CA4" w14:paraId="79B46393" w14:textId="77777777" w:rsidTr="003A0B67">
        <w:trPr>
          <w:gridAfter w:val="1"/>
          <w:wAfter w:w="25" w:type="dxa"/>
          <w:trHeight w:hRule="exact" w:val="293"/>
        </w:trPr>
        <w:tc>
          <w:tcPr>
            <w:tcW w:w="1755" w:type="dxa"/>
            <w:tcBorders>
              <w:top w:val="single" w:sz="4" w:space="0" w:color="000000"/>
              <w:left w:val="single" w:sz="4" w:space="0" w:color="000000"/>
              <w:bottom w:val="single" w:sz="4" w:space="0" w:color="000000"/>
              <w:right w:val="nil"/>
            </w:tcBorders>
            <w:hideMark/>
          </w:tcPr>
          <w:p w14:paraId="35BA89B3"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504171B7"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Prieširdžių virpėjimas ir (arba) plazdėjimas</w:t>
            </w:r>
          </w:p>
        </w:tc>
      </w:tr>
      <w:tr w:rsidR="00156791" w:rsidRPr="00975CA4" w14:paraId="6813C812"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185D0666"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Kraujagyslių sutrikimai</w:t>
            </w:r>
          </w:p>
        </w:tc>
        <w:tc>
          <w:tcPr>
            <w:tcW w:w="25" w:type="dxa"/>
            <w:tcBorders>
              <w:top w:val="nil"/>
              <w:left w:val="single" w:sz="4" w:space="0" w:color="000000"/>
              <w:bottom w:val="nil"/>
              <w:right w:val="nil"/>
            </w:tcBorders>
          </w:tcPr>
          <w:p w14:paraId="43CB449B"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0EF38425"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59EF4B9B"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spacing w:val="1"/>
                <w:lang w:eastAsia="ar-SA"/>
              </w:rPr>
            </w:pPr>
            <w:r w:rsidRPr="00975CA4">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4C3456D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spacing w:val="1"/>
                <w:lang w:eastAsia="ar-SA"/>
              </w:rPr>
              <w:t>Kraujavimas</w:t>
            </w:r>
            <w:r w:rsidRPr="00975CA4">
              <w:rPr>
                <w:rFonts w:ascii="Times New Roman" w:eastAsia="Times New Roman" w:hAnsi="Times New Roman" w:cs="Times New Roman"/>
                <w:color w:val="000000"/>
                <w:spacing w:val="1"/>
                <w:vertAlign w:val="superscript"/>
                <w:lang w:eastAsia="ar-SA"/>
              </w:rPr>
              <w:t>*d</w:t>
            </w:r>
            <w:r w:rsidRPr="00975CA4">
              <w:rPr>
                <w:rFonts w:ascii="Times New Roman" w:eastAsia="Times New Roman" w:hAnsi="Times New Roman" w:cs="Times New Roman"/>
                <w:color w:val="000000"/>
                <w:spacing w:val="1"/>
                <w:lang w:eastAsia="ar-SA"/>
              </w:rPr>
              <w:t>.</w:t>
            </w:r>
          </w:p>
        </w:tc>
      </w:tr>
      <w:tr w:rsidR="00156791" w:rsidRPr="00975CA4" w14:paraId="3109B3CE"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2F21285B"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spacing w:val="-1"/>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2615E548" w14:textId="77777777" w:rsidR="00156791" w:rsidRPr="00975CA4" w:rsidRDefault="00156791" w:rsidP="006A665A">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spacing w:val="-1"/>
                <w:lang w:eastAsia="ar-SA"/>
              </w:rPr>
              <w:t>Hipertenzija, veido ir kaklo paraudimas.</w:t>
            </w:r>
          </w:p>
        </w:tc>
      </w:tr>
      <w:tr w:rsidR="00156791" w:rsidRPr="00975CA4" w14:paraId="46E3D2C1"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5C43A599"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A34CE87"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Hipotenzija</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tromboflebitas</w:t>
            </w:r>
            <w:proofErr w:type="spellEnd"/>
            <w:r w:rsidRPr="00975CA4">
              <w:rPr>
                <w:rFonts w:ascii="Times New Roman" w:eastAsia="Times New Roman" w:hAnsi="Times New Roman" w:cs="Times New Roman"/>
                <w:color w:val="000000"/>
                <w:lang w:eastAsia="ar-SA"/>
              </w:rPr>
              <w:t>, trombozė.</w:t>
            </w:r>
          </w:p>
        </w:tc>
      </w:tr>
      <w:tr w:rsidR="00156791" w:rsidRPr="00975CA4" w14:paraId="526A80B9" w14:textId="77777777" w:rsidTr="001F4BCF">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2D191B6B"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373DA187" w14:textId="77777777" w:rsidR="00156791" w:rsidRPr="00975CA4" w:rsidRDefault="00156791" w:rsidP="001F4BCF">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Giliųjų venų trombozė, embolija, odos </w:t>
            </w:r>
            <w:proofErr w:type="spellStart"/>
            <w:r w:rsidRPr="00975CA4">
              <w:rPr>
                <w:rFonts w:ascii="Times New Roman" w:eastAsia="Times New Roman" w:hAnsi="Times New Roman" w:cs="Times New Roman"/>
                <w:color w:val="000000"/>
                <w:lang w:eastAsia="ar-SA"/>
              </w:rPr>
              <w:t>marmuruotumas</w:t>
            </w:r>
            <w:proofErr w:type="spellEnd"/>
            <w:r w:rsidR="001F4BCF" w:rsidRPr="00975CA4">
              <w:rPr>
                <w:rFonts w:ascii="Times New Roman" w:eastAsia="Times New Roman" w:hAnsi="Times New Roman" w:cs="Times New Roman"/>
                <w:color w:val="000000"/>
                <w:lang w:eastAsia="ar-SA"/>
              </w:rPr>
              <w:t xml:space="preserve"> (</w:t>
            </w:r>
            <w:proofErr w:type="spellStart"/>
            <w:r w:rsidR="001F4BCF" w:rsidRPr="00975CA4">
              <w:rPr>
                <w:rFonts w:ascii="Times New Roman" w:eastAsia="Times New Roman" w:hAnsi="Times New Roman" w:cs="Times New Roman"/>
                <w:i/>
                <w:color w:val="000000"/>
                <w:lang w:eastAsia="ar-SA"/>
              </w:rPr>
              <w:t>livedo</w:t>
            </w:r>
            <w:proofErr w:type="spellEnd"/>
            <w:r w:rsidR="001F4BCF" w:rsidRPr="00975CA4">
              <w:rPr>
                <w:rFonts w:ascii="Times New Roman" w:eastAsia="Times New Roman" w:hAnsi="Times New Roman" w:cs="Times New Roman"/>
                <w:i/>
                <w:color w:val="000000"/>
                <w:lang w:eastAsia="ar-SA"/>
              </w:rPr>
              <w:t xml:space="preserve"> </w:t>
            </w:r>
            <w:proofErr w:type="spellStart"/>
            <w:r w:rsidR="001F4BCF" w:rsidRPr="00975CA4">
              <w:rPr>
                <w:rFonts w:ascii="Times New Roman" w:eastAsia="Times New Roman" w:hAnsi="Times New Roman" w:cs="Times New Roman"/>
                <w:i/>
                <w:color w:val="000000"/>
                <w:lang w:eastAsia="ar-SA"/>
              </w:rPr>
              <w:t>reticularis</w:t>
            </w:r>
            <w:proofErr w:type="spellEnd"/>
            <w:r w:rsidR="001F4BCF" w:rsidRPr="00975CA4">
              <w:rPr>
                <w:rFonts w:ascii="Times New Roman" w:eastAsia="Times New Roman" w:hAnsi="Times New Roman" w:cs="Times New Roman"/>
                <w:color w:val="000000"/>
                <w:lang w:eastAsia="ar-SA"/>
              </w:rPr>
              <w:t>)</w:t>
            </w:r>
            <w:r w:rsidRPr="00975CA4">
              <w:rPr>
                <w:rFonts w:ascii="Times New Roman" w:eastAsia="Times New Roman" w:hAnsi="Times New Roman" w:cs="Times New Roman"/>
                <w:color w:val="000000"/>
                <w:lang w:eastAsia="ar-SA"/>
              </w:rPr>
              <w:t>.</w:t>
            </w:r>
          </w:p>
        </w:tc>
      </w:tr>
      <w:tr w:rsidR="00156791" w:rsidRPr="00975CA4" w14:paraId="163CE695" w14:textId="77777777" w:rsidTr="003A0B67">
        <w:trPr>
          <w:gridAfter w:val="1"/>
          <w:wAfter w:w="25" w:type="dxa"/>
          <w:trHeight w:hRule="exact" w:val="263"/>
        </w:trPr>
        <w:tc>
          <w:tcPr>
            <w:tcW w:w="1755" w:type="dxa"/>
            <w:tcBorders>
              <w:top w:val="nil"/>
              <w:left w:val="single" w:sz="4" w:space="0" w:color="000000"/>
              <w:bottom w:val="single" w:sz="4" w:space="0" w:color="000000"/>
              <w:right w:val="nil"/>
            </w:tcBorders>
            <w:hideMark/>
          </w:tcPr>
          <w:p w14:paraId="5AD91A63"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Nežinomas</w:t>
            </w:r>
          </w:p>
        </w:tc>
        <w:tc>
          <w:tcPr>
            <w:tcW w:w="7660" w:type="dxa"/>
            <w:tcBorders>
              <w:top w:val="nil"/>
              <w:left w:val="single" w:sz="4" w:space="0" w:color="000000"/>
              <w:bottom w:val="single" w:sz="4" w:space="0" w:color="000000"/>
              <w:right w:val="single" w:sz="4" w:space="0" w:color="000000"/>
            </w:tcBorders>
            <w:hideMark/>
          </w:tcPr>
          <w:p w14:paraId="55D6385B"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Trombinė </w:t>
            </w:r>
            <w:proofErr w:type="spellStart"/>
            <w:r w:rsidRPr="00975CA4">
              <w:rPr>
                <w:rFonts w:ascii="Times New Roman" w:eastAsia="Times New Roman" w:hAnsi="Times New Roman" w:cs="Times New Roman"/>
                <w:color w:val="000000"/>
                <w:lang w:eastAsia="ar-SA"/>
              </w:rPr>
              <w:t>mikroangiopatija</w:t>
            </w:r>
            <w:proofErr w:type="spellEnd"/>
            <w:r w:rsidRPr="00975CA4">
              <w:rPr>
                <w:rFonts w:ascii="Times New Roman" w:eastAsia="Times New Roman" w:hAnsi="Times New Roman" w:cs="Times New Roman"/>
                <w:color w:val="000000"/>
                <w:lang w:eastAsia="ar-SA"/>
              </w:rPr>
              <w:t>.</w:t>
            </w:r>
          </w:p>
        </w:tc>
      </w:tr>
      <w:tr w:rsidR="00156791" w:rsidRPr="00975CA4" w14:paraId="179D03F3"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3966AEB5"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Kvėpavimo sistemos, krūtinės ląstos ir tarpuplaučio sutrikimai</w:t>
            </w:r>
          </w:p>
        </w:tc>
        <w:tc>
          <w:tcPr>
            <w:tcW w:w="25" w:type="dxa"/>
            <w:tcBorders>
              <w:top w:val="nil"/>
              <w:left w:val="single" w:sz="4" w:space="0" w:color="000000"/>
              <w:bottom w:val="nil"/>
              <w:right w:val="nil"/>
            </w:tcBorders>
          </w:tcPr>
          <w:p w14:paraId="334921A8"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1F5DD750"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7DAD338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789FA3DA" w14:textId="65CAA1BF" w:rsidR="00156791" w:rsidRPr="00975CA4" w:rsidRDefault="00214CF4" w:rsidP="00214CF4">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Skystis p</w:t>
            </w:r>
            <w:r w:rsidR="00156791" w:rsidRPr="00975CA4">
              <w:rPr>
                <w:rFonts w:ascii="Times New Roman" w:eastAsia="Times New Roman" w:hAnsi="Times New Roman" w:cs="Times New Roman"/>
                <w:color w:val="000000"/>
                <w:lang w:eastAsia="ar-SA"/>
              </w:rPr>
              <w:t>leuro</w:t>
            </w:r>
            <w:r w:rsidR="003E4DE3" w:rsidRPr="00975CA4">
              <w:rPr>
                <w:rFonts w:ascii="Times New Roman" w:eastAsia="Times New Roman" w:hAnsi="Times New Roman" w:cs="Times New Roman"/>
                <w:color w:val="000000"/>
                <w:lang w:eastAsia="ar-SA"/>
              </w:rPr>
              <w:t>s ertmėje</w:t>
            </w:r>
            <w:r w:rsidR="00156791" w:rsidRPr="00975CA4">
              <w:rPr>
                <w:rFonts w:ascii="Times New Roman" w:eastAsia="Times New Roman" w:hAnsi="Times New Roman" w:cs="Times New Roman"/>
                <w:color w:val="000000"/>
                <w:lang w:eastAsia="ar-SA"/>
              </w:rPr>
              <w:t>*, dusulys.</w:t>
            </w:r>
          </w:p>
        </w:tc>
      </w:tr>
      <w:tr w:rsidR="00156791" w:rsidRPr="00975CA4" w14:paraId="341C63A0" w14:textId="77777777" w:rsidTr="003A0B67">
        <w:trPr>
          <w:gridAfter w:val="1"/>
          <w:wAfter w:w="25" w:type="dxa"/>
          <w:trHeight w:hRule="exact" w:val="299"/>
        </w:trPr>
        <w:tc>
          <w:tcPr>
            <w:tcW w:w="1755" w:type="dxa"/>
            <w:tcBorders>
              <w:top w:val="single" w:sz="4" w:space="0" w:color="000000"/>
              <w:left w:val="single" w:sz="4" w:space="0" w:color="000000"/>
              <w:bottom w:val="single" w:sz="4" w:space="0" w:color="000000"/>
              <w:right w:val="nil"/>
            </w:tcBorders>
            <w:hideMark/>
          </w:tcPr>
          <w:p w14:paraId="6E19C7F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6E184503" w14:textId="29AC0CB5"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Plaučių edema*, </w:t>
            </w:r>
            <w:proofErr w:type="spellStart"/>
            <w:r w:rsidRPr="00975CA4">
              <w:rPr>
                <w:rFonts w:ascii="Times New Roman" w:eastAsia="Times New Roman" w:hAnsi="Times New Roman" w:cs="Times New Roman"/>
                <w:color w:val="000000"/>
                <w:lang w:eastAsia="ar-SA"/>
              </w:rPr>
              <w:t>plau</w:t>
            </w:r>
            <w:r w:rsidR="00772BAE" w:rsidRPr="00975CA4">
              <w:rPr>
                <w:rFonts w:ascii="Times New Roman" w:eastAsia="Times New Roman" w:hAnsi="Times New Roman" w:cs="Times New Roman"/>
                <w:color w:val="000000"/>
                <w:lang w:eastAsia="ar-SA"/>
              </w:rPr>
              <w:t>tinė</w:t>
            </w:r>
            <w:proofErr w:type="spellEnd"/>
            <w:r w:rsidRPr="00975CA4">
              <w:rPr>
                <w:rFonts w:ascii="Times New Roman" w:eastAsia="Times New Roman" w:hAnsi="Times New Roman" w:cs="Times New Roman"/>
                <w:color w:val="000000"/>
                <w:lang w:eastAsia="ar-SA"/>
              </w:rPr>
              <w:t xml:space="preserve"> hipertenzija*, plaučių infiltracija, </w:t>
            </w:r>
            <w:proofErr w:type="spellStart"/>
            <w:r w:rsidRPr="00975CA4">
              <w:rPr>
                <w:rFonts w:ascii="Times New Roman" w:eastAsia="Times New Roman" w:hAnsi="Times New Roman" w:cs="Times New Roman"/>
                <w:color w:val="000000"/>
                <w:lang w:eastAsia="ar-SA"/>
              </w:rPr>
              <w:t>pneumonitas</w:t>
            </w:r>
            <w:proofErr w:type="spellEnd"/>
            <w:r w:rsidRPr="00975CA4">
              <w:rPr>
                <w:rFonts w:ascii="Times New Roman" w:eastAsia="Times New Roman" w:hAnsi="Times New Roman" w:cs="Times New Roman"/>
                <w:color w:val="000000"/>
                <w:lang w:eastAsia="ar-SA"/>
              </w:rPr>
              <w:t>, kosulys.</w:t>
            </w:r>
          </w:p>
        </w:tc>
      </w:tr>
      <w:tr w:rsidR="00156791" w:rsidRPr="00975CA4" w14:paraId="00353A8E"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4026BB61"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8EF524E" w14:textId="6B26532F"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Plaučių arterijos hipertenzija, bronchų spazmas, astma</w:t>
            </w:r>
            <w:r w:rsidR="003B7F81" w:rsidRPr="00975CA4">
              <w:rPr>
                <w:rFonts w:ascii="Times New Roman" w:eastAsia="Times New Roman" w:hAnsi="Times New Roman" w:cs="Times New Roman"/>
                <w:color w:val="000000"/>
                <w:lang w:eastAsia="ar-SA"/>
              </w:rPr>
              <w:t xml:space="preserve">, </w:t>
            </w:r>
            <w:proofErr w:type="spellStart"/>
            <w:r w:rsidR="003B7F81" w:rsidRPr="00975CA4">
              <w:rPr>
                <w:rFonts w:ascii="Times New Roman" w:eastAsia="Times New Roman" w:hAnsi="Times New Roman" w:cs="Times New Roman"/>
                <w:color w:val="000000"/>
                <w:lang w:eastAsia="ar-SA"/>
              </w:rPr>
              <w:t>chilotoraksas</w:t>
            </w:r>
            <w:proofErr w:type="spellEnd"/>
            <w:r w:rsidR="003B7F81" w:rsidRPr="00975CA4">
              <w:rPr>
                <w:rFonts w:ascii="Times New Roman" w:eastAsia="Times New Roman" w:hAnsi="Times New Roman" w:cs="Times New Roman"/>
                <w:color w:val="000000"/>
                <w:lang w:eastAsia="ar-SA"/>
              </w:rPr>
              <w:t>*</w:t>
            </w:r>
            <w:r w:rsidRPr="00975CA4">
              <w:rPr>
                <w:rFonts w:ascii="Times New Roman" w:eastAsia="Times New Roman" w:hAnsi="Times New Roman" w:cs="Times New Roman"/>
                <w:color w:val="000000"/>
                <w:lang w:eastAsia="ar-SA"/>
              </w:rPr>
              <w:t>.</w:t>
            </w:r>
          </w:p>
        </w:tc>
      </w:tr>
      <w:tr w:rsidR="00156791" w:rsidRPr="00975CA4" w14:paraId="161EF181"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514004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3B5A669A" w14:textId="146BC99D" w:rsidR="00156791" w:rsidRPr="00975CA4" w:rsidRDefault="00156791" w:rsidP="00214CF4">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Plaučių embolija, ūminis respiracini</w:t>
            </w:r>
            <w:r w:rsidR="00214CF4" w:rsidRPr="00975CA4">
              <w:rPr>
                <w:rFonts w:ascii="Times New Roman" w:eastAsia="Times New Roman" w:hAnsi="Times New Roman" w:cs="Times New Roman"/>
                <w:color w:val="000000"/>
                <w:lang w:eastAsia="ar-SA"/>
              </w:rPr>
              <w:t>s</w:t>
            </w:r>
            <w:r w:rsidRPr="00975CA4">
              <w:rPr>
                <w:rFonts w:ascii="Times New Roman" w:eastAsia="Times New Roman" w:hAnsi="Times New Roman" w:cs="Times New Roman"/>
                <w:color w:val="000000"/>
                <w:lang w:eastAsia="ar-SA"/>
              </w:rPr>
              <w:t xml:space="preserve"> sindromas.</w:t>
            </w:r>
          </w:p>
        </w:tc>
      </w:tr>
      <w:tr w:rsidR="00156791" w:rsidRPr="00975CA4" w14:paraId="230FC92C"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3C239976"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3CC3152A"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Intersticinė</w:t>
            </w:r>
            <w:proofErr w:type="spellEnd"/>
            <w:r w:rsidRPr="00975CA4">
              <w:rPr>
                <w:rFonts w:ascii="Times New Roman" w:eastAsia="Times New Roman" w:hAnsi="Times New Roman" w:cs="Times New Roman"/>
                <w:color w:val="000000"/>
                <w:lang w:eastAsia="ar-SA"/>
              </w:rPr>
              <w:t xml:space="preserve"> plaučių liga.</w:t>
            </w:r>
          </w:p>
        </w:tc>
      </w:tr>
      <w:tr w:rsidR="00156791" w:rsidRPr="00975CA4" w14:paraId="52137A67"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2FA55974"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Virškinimo trakto sutrikimai</w:t>
            </w:r>
          </w:p>
        </w:tc>
        <w:tc>
          <w:tcPr>
            <w:tcW w:w="25" w:type="dxa"/>
            <w:tcBorders>
              <w:top w:val="nil"/>
              <w:left w:val="single" w:sz="4" w:space="0" w:color="000000"/>
              <w:bottom w:val="nil"/>
              <w:right w:val="nil"/>
            </w:tcBorders>
          </w:tcPr>
          <w:p w14:paraId="75658104"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64E7E0E9"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504B965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lastRenderedPageBreak/>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7ED24D2E"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Viduriavimas, vėmimas, pykinimas, pilvo skausmas.</w:t>
            </w:r>
          </w:p>
        </w:tc>
      </w:tr>
      <w:tr w:rsidR="00156791" w:rsidRPr="00975CA4" w14:paraId="4624532C" w14:textId="77777777" w:rsidTr="003A0B67">
        <w:trPr>
          <w:gridAfter w:val="1"/>
          <w:wAfter w:w="25" w:type="dxa"/>
          <w:trHeight w:hRule="exact" w:val="747"/>
        </w:trPr>
        <w:tc>
          <w:tcPr>
            <w:tcW w:w="1755" w:type="dxa"/>
            <w:tcBorders>
              <w:top w:val="single" w:sz="4" w:space="0" w:color="000000"/>
              <w:left w:val="single" w:sz="4" w:space="0" w:color="000000"/>
              <w:bottom w:val="single" w:sz="4" w:space="0" w:color="000000"/>
              <w:right w:val="nil"/>
            </w:tcBorders>
            <w:hideMark/>
          </w:tcPr>
          <w:p w14:paraId="2EAC2695"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1D50F71A"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Kraujavimas iš virškinimo trakto*, kolitas (įskaitant </w:t>
            </w:r>
            <w:proofErr w:type="spellStart"/>
            <w:r w:rsidRPr="00975CA4">
              <w:rPr>
                <w:rFonts w:ascii="Times New Roman" w:eastAsia="Times New Roman" w:hAnsi="Times New Roman" w:cs="Times New Roman"/>
                <w:color w:val="000000"/>
                <w:lang w:eastAsia="ar-SA"/>
              </w:rPr>
              <w:t>neutropeninį</w:t>
            </w:r>
            <w:proofErr w:type="spellEnd"/>
            <w:r w:rsidRPr="00975CA4">
              <w:rPr>
                <w:rFonts w:ascii="Times New Roman" w:eastAsia="Times New Roman" w:hAnsi="Times New Roman" w:cs="Times New Roman"/>
                <w:color w:val="000000"/>
                <w:lang w:eastAsia="ar-SA"/>
              </w:rPr>
              <w:t xml:space="preserve">), gastritas, gleivinės uždegimas (įskaitant </w:t>
            </w:r>
            <w:proofErr w:type="spellStart"/>
            <w:r w:rsidRPr="00975CA4">
              <w:rPr>
                <w:rFonts w:ascii="Times New Roman" w:eastAsia="Times New Roman" w:hAnsi="Times New Roman" w:cs="Times New Roman"/>
                <w:color w:val="000000"/>
                <w:lang w:eastAsia="ar-SA"/>
              </w:rPr>
              <w:t>mukozitą</w:t>
            </w:r>
            <w:proofErr w:type="spellEnd"/>
            <w:r w:rsidRPr="00975CA4">
              <w:rPr>
                <w:rFonts w:ascii="Times New Roman" w:eastAsia="Times New Roman" w:hAnsi="Times New Roman" w:cs="Times New Roman"/>
                <w:color w:val="000000"/>
                <w:lang w:eastAsia="ar-SA"/>
              </w:rPr>
              <w:t>/stomatitą), dispepsija, pilvo pūtimas, vidurių užkietėjimas, burnos ertmės minkštųjų audinių sutrikimai.</w:t>
            </w:r>
          </w:p>
        </w:tc>
      </w:tr>
      <w:tr w:rsidR="00156791" w:rsidRPr="00975CA4" w14:paraId="30FC1D42" w14:textId="77777777" w:rsidTr="003A0B67">
        <w:trPr>
          <w:gridAfter w:val="1"/>
          <w:wAfter w:w="25" w:type="dxa"/>
          <w:trHeight w:hRule="exact" w:val="516"/>
        </w:trPr>
        <w:tc>
          <w:tcPr>
            <w:tcW w:w="1755" w:type="dxa"/>
            <w:tcBorders>
              <w:top w:val="single" w:sz="4" w:space="0" w:color="000000"/>
              <w:left w:val="single" w:sz="4" w:space="0" w:color="000000"/>
              <w:bottom w:val="single" w:sz="4" w:space="0" w:color="000000"/>
              <w:right w:val="nil"/>
            </w:tcBorders>
            <w:hideMark/>
          </w:tcPr>
          <w:p w14:paraId="7A9797B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24A38A44"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Pankreatitas (įskaitant ūminį), viršutinės virškinimo trakto dalies opa, </w:t>
            </w:r>
            <w:proofErr w:type="spellStart"/>
            <w:r w:rsidRPr="00975CA4">
              <w:rPr>
                <w:rFonts w:ascii="Times New Roman" w:eastAsia="Times New Roman" w:hAnsi="Times New Roman" w:cs="Times New Roman"/>
                <w:color w:val="000000"/>
                <w:lang w:eastAsia="ar-SA"/>
              </w:rPr>
              <w:t>ezofagitas</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ascitas</w:t>
            </w:r>
            <w:proofErr w:type="spellEnd"/>
            <w:r w:rsidRPr="00975CA4">
              <w:rPr>
                <w:rFonts w:ascii="Times New Roman" w:eastAsia="Times New Roman" w:hAnsi="Times New Roman" w:cs="Times New Roman"/>
                <w:color w:val="000000"/>
                <w:lang w:eastAsia="ar-SA"/>
              </w:rPr>
              <w:t xml:space="preserve">*, išeinamosios angos įplėša, </w:t>
            </w:r>
            <w:proofErr w:type="spellStart"/>
            <w:r w:rsidRPr="00975CA4">
              <w:rPr>
                <w:rFonts w:ascii="Times New Roman" w:eastAsia="Times New Roman" w:hAnsi="Times New Roman" w:cs="Times New Roman"/>
                <w:color w:val="000000"/>
                <w:lang w:eastAsia="ar-SA"/>
              </w:rPr>
              <w:t>disfagija</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gastroezofaginio</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refliukso</w:t>
            </w:r>
            <w:proofErr w:type="spellEnd"/>
            <w:r w:rsidRPr="00975CA4">
              <w:rPr>
                <w:rFonts w:ascii="Times New Roman" w:eastAsia="Times New Roman" w:hAnsi="Times New Roman" w:cs="Times New Roman"/>
                <w:color w:val="000000"/>
                <w:lang w:eastAsia="ar-SA"/>
              </w:rPr>
              <w:t xml:space="preserve"> liga.</w:t>
            </w:r>
          </w:p>
        </w:tc>
      </w:tr>
      <w:tr w:rsidR="00156791" w:rsidRPr="00975CA4" w14:paraId="67A7C8F3" w14:textId="77777777" w:rsidTr="003A0B67">
        <w:trPr>
          <w:gridAfter w:val="1"/>
          <w:wAfter w:w="25" w:type="dxa"/>
          <w:trHeight w:hRule="exact" w:val="294"/>
        </w:trPr>
        <w:tc>
          <w:tcPr>
            <w:tcW w:w="1755" w:type="dxa"/>
            <w:tcBorders>
              <w:top w:val="single" w:sz="4" w:space="0" w:color="000000"/>
              <w:left w:val="single" w:sz="4" w:space="0" w:color="000000"/>
              <w:bottom w:val="single" w:sz="4" w:space="0" w:color="000000"/>
              <w:right w:val="nil"/>
            </w:tcBorders>
            <w:hideMark/>
          </w:tcPr>
          <w:p w14:paraId="52FB3C8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0B4EC35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Baltymų netekimo </w:t>
            </w:r>
            <w:proofErr w:type="spellStart"/>
            <w:r w:rsidRPr="00975CA4">
              <w:rPr>
                <w:rFonts w:ascii="Times New Roman" w:eastAsia="Times New Roman" w:hAnsi="Times New Roman" w:cs="Times New Roman"/>
                <w:color w:val="000000"/>
                <w:lang w:eastAsia="ar-SA"/>
              </w:rPr>
              <w:t>gastroenteropatija</w:t>
            </w:r>
            <w:proofErr w:type="spellEnd"/>
            <w:r w:rsidRPr="00975CA4">
              <w:rPr>
                <w:rFonts w:ascii="Times New Roman" w:eastAsia="Times New Roman" w:hAnsi="Times New Roman" w:cs="Times New Roman"/>
                <w:color w:val="000000"/>
                <w:lang w:eastAsia="ar-SA"/>
              </w:rPr>
              <w:t>, žarnų nepraeinamumas, išangės fistulė.</w:t>
            </w:r>
          </w:p>
        </w:tc>
      </w:tr>
      <w:tr w:rsidR="00156791" w:rsidRPr="00975CA4" w14:paraId="2C523250"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2AD4F9E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4783F4C6"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Mirtinas kraujavimas iš virškinimo trakto*.</w:t>
            </w:r>
          </w:p>
        </w:tc>
      </w:tr>
      <w:tr w:rsidR="00156791" w:rsidRPr="00975CA4" w14:paraId="05C4AB91" w14:textId="77777777" w:rsidTr="003A0B67">
        <w:trPr>
          <w:cantSplit/>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6860ED7E"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Kepenų, tulžies pūslės ir latakų sutrikimai</w:t>
            </w:r>
          </w:p>
        </w:tc>
        <w:tc>
          <w:tcPr>
            <w:tcW w:w="25" w:type="dxa"/>
            <w:tcBorders>
              <w:top w:val="nil"/>
              <w:left w:val="single" w:sz="4" w:space="0" w:color="000000"/>
              <w:bottom w:val="nil"/>
              <w:right w:val="nil"/>
            </w:tcBorders>
          </w:tcPr>
          <w:p w14:paraId="6983F115"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405FBE18"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64F6939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628917B7"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Hepatitas, cholecistitas, </w:t>
            </w:r>
            <w:proofErr w:type="spellStart"/>
            <w:r w:rsidRPr="00975CA4">
              <w:rPr>
                <w:rFonts w:ascii="Times New Roman" w:eastAsia="Times New Roman" w:hAnsi="Times New Roman" w:cs="Times New Roman"/>
                <w:color w:val="000000"/>
                <w:lang w:eastAsia="ar-SA"/>
              </w:rPr>
              <w:t>cholestazė</w:t>
            </w:r>
            <w:proofErr w:type="spellEnd"/>
            <w:r w:rsidRPr="00975CA4">
              <w:rPr>
                <w:rFonts w:ascii="Times New Roman" w:eastAsia="Times New Roman" w:hAnsi="Times New Roman" w:cs="Times New Roman"/>
                <w:color w:val="000000"/>
                <w:lang w:eastAsia="ar-SA"/>
              </w:rPr>
              <w:t>.</w:t>
            </w:r>
          </w:p>
        </w:tc>
      </w:tr>
      <w:tr w:rsidR="00156791" w:rsidRPr="00975CA4" w14:paraId="0F21C011"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340C66C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Odos ir poodinio audinio sutrikimai</w:t>
            </w:r>
          </w:p>
        </w:tc>
        <w:tc>
          <w:tcPr>
            <w:tcW w:w="25" w:type="dxa"/>
            <w:tcBorders>
              <w:top w:val="nil"/>
              <w:left w:val="single" w:sz="4" w:space="0" w:color="000000"/>
              <w:bottom w:val="nil"/>
              <w:right w:val="nil"/>
            </w:tcBorders>
          </w:tcPr>
          <w:p w14:paraId="5AD09645"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6EF6A490"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1CD20E57"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417CE1FE"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Odos </w:t>
            </w:r>
            <w:proofErr w:type="spellStart"/>
            <w:r w:rsidRPr="00975CA4">
              <w:rPr>
                <w:rFonts w:ascii="Times New Roman" w:eastAsia="Times New Roman" w:hAnsi="Times New Roman" w:cs="Times New Roman"/>
                <w:color w:val="000000"/>
                <w:lang w:eastAsia="ar-SA"/>
              </w:rPr>
              <w:t>išbėrimas</w:t>
            </w:r>
            <w:r w:rsidRPr="00975CA4">
              <w:rPr>
                <w:rFonts w:ascii="Times New Roman" w:eastAsia="Times New Roman" w:hAnsi="Times New Roman" w:cs="Times New Roman"/>
                <w:color w:val="000000"/>
                <w:spacing w:val="1"/>
                <w:vertAlign w:val="superscript"/>
                <w:lang w:eastAsia="ar-SA"/>
              </w:rPr>
              <w:t>e</w:t>
            </w:r>
            <w:proofErr w:type="spellEnd"/>
            <w:r w:rsidRPr="00975CA4">
              <w:rPr>
                <w:rFonts w:ascii="Times New Roman" w:eastAsia="Times New Roman" w:hAnsi="Times New Roman" w:cs="Times New Roman"/>
                <w:color w:val="000000"/>
                <w:lang w:eastAsia="ar-SA"/>
              </w:rPr>
              <w:t>.</w:t>
            </w:r>
          </w:p>
        </w:tc>
      </w:tr>
      <w:tr w:rsidR="00156791" w:rsidRPr="00975CA4" w14:paraId="5C518045" w14:textId="77777777" w:rsidTr="003A0B67">
        <w:trPr>
          <w:gridAfter w:val="1"/>
          <w:wAfter w:w="25" w:type="dxa"/>
          <w:trHeight w:hRule="exact" w:val="567"/>
        </w:trPr>
        <w:tc>
          <w:tcPr>
            <w:tcW w:w="1755" w:type="dxa"/>
            <w:tcBorders>
              <w:top w:val="single" w:sz="4" w:space="0" w:color="000000"/>
              <w:left w:val="single" w:sz="4" w:space="0" w:color="000000"/>
              <w:bottom w:val="single" w:sz="4" w:space="0" w:color="000000"/>
              <w:right w:val="nil"/>
            </w:tcBorders>
            <w:hideMark/>
          </w:tcPr>
          <w:p w14:paraId="0714199C"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29271B5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Alopecija</w:t>
            </w:r>
            <w:proofErr w:type="spellEnd"/>
            <w:r w:rsidRPr="00975CA4">
              <w:rPr>
                <w:rFonts w:ascii="Times New Roman" w:eastAsia="Times New Roman" w:hAnsi="Times New Roman" w:cs="Times New Roman"/>
                <w:color w:val="000000"/>
                <w:lang w:eastAsia="ar-SA"/>
              </w:rPr>
              <w:t xml:space="preserve">, dermatitas (įskaitant egzemą), niežėjimas, spuogai, sausa oda, dilgėlinė, </w:t>
            </w:r>
            <w:proofErr w:type="spellStart"/>
            <w:r w:rsidRPr="00975CA4">
              <w:rPr>
                <w:rFonts w:ascii="Times New Roman" w:eastAsia="Times New Roman" w:hAnsi="Times New Roman" w:cs="Times New Roman"/>
                <w:color w:val="000000"/>
                <w:lang w:eastAsia="ar-SA"/>
              </w:rPr>
              <w:t>hiperhidrozė</w:t>
            </w:r>
            <w:proofErr w:type="spellEnd"/>
            <w:r w:rsidRPr="00975CA4">
              <w:rPr>
                <w:rFonts w:ascii="Times New Roman" w:eastAsia="Times New Roman" w:hAnsi="Times New Roman" w:cs="Times New Roman"/>
                <w:color w:val="000000"/>
                <w:lang w:eastAsia="ar-SA"/>
              </w:rPr>
              <w:t>.</w:t>
            </w:r>
          </w:p>
        </w:tc>
      </w:tr>
      <w:tr w:rsidR="00156791" w:rsidRPr="00975CA4" w14:paraId="7F0064D3" w14:textId="77777777" w:rsidTr="003A0B67">
        <w:trPr>
          <w:gridAfter w:val="1"/>
          <w:wAfter w:w="25" w:type="dxa"/>
          <w:trHeight w:hRule="exact" w:val="850"/>
        </w:trPr>
        <w:tc>
          <w:tcPr>
            <w:tcW w:w="1755" w:type="dxa"/>
            <w:tcBorders>
              <w:top w:val="single" w:sz="4" w:space="0" w:color="000000"/>
              <w:left w:val="single" w:sz="4" w:space="0" w:color="000000"/>
              <w:bottom w:val="single" w:sz="4" w:space="0" w:color="000000"/>
              <w:right w:val="nil"/>
            </w:tcBorders>
            <w:hideMark/>
          </w:tcPr>
          <w:p w14:paraId="3DB2CDD4"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0F8F1409" w14:textId="27A3E8A2" w:rsidR="00156791" w:rsidRPr="00975CA4" w:rsidRDefault="00156791" w:rsidP="00F366D7">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Neutrofilinė</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dermatozė</w:t>
            </w:r>
            <w:proofErr w:type="spellEnd"/>
            <w:r w:rsidRPr="00975CA4">
              <w:rPr>
                <w:rFonts w:ascii="Times New Roman" w:eastAsia="Times New Roman" w:hAnsi="Times New Roman" w:cs="Times New Roman"/>
                <w:color w:val="000000"/>
                <w:lang w:eastAsia="ar-SA"/>
              </w:rPr>
              <w:t>, padidėjęs jautrumas šviesai, sutrikusi pigmentacija, poodin</w:t>
            </w:r>
            <w:r w:rsidR="00B62E18" w:rsidRPr="00975CA4">
              <w:rPr>
                <w:rFonts w:ascii="Times New Roman" w:eastAsia="Times New Roman" w:hAnsi="Times New Roman" w:cs="Times New Roman"/>
                <w:color w:val="000000"/>
                <w:lang w:eastAsia="ar-SA"/>
              </w:rPr>
              <w:t>io</w:t>
            </w:r>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ląstel</w:t>
            </w:r>
            <w:r w:rsidR="00B62E18" w:rsidRPr="00975CA4">
              <w:rPr>
                <w:rFonts w:ascii="Times New Roman" w:eastAsia="Times New Roman" w:hAnsi="Times New Roman" w:cs="Times New Roman"/>
                <w:color w:val="000000"/>
                <w:lang w:eastAsia="ar-SA"/>
              </w:rPr>
              <w:t>yno</w:t>
            </w:r>
            <w:proofErr w:type="spellEnd"/>
            <w:r w:rsidRPr="00975CA4">
              <w:rPr>
                <w:rFonts w:ascii="Times New Roman" w:eastAsia="Times New Roman" w:hAnsi="Times New Roman" w:cs="Times New Roman"/>
                <w:color w:val="000000"/>
                <w:lang w:eastAsia="ar-SA"/>
              </w:rPr>
              <w:t xml:space="preserve"> uždegimas, odos opa, </w:t>
            </w:r>
            <w:proofErr w:type="spellStart"/>
            <w:r w:rsidRPr="00975CA4">
              <w:rPr>
                <w:rFonts w:ascii="Times New Roman" w:eastAsia="Times New Roman" w:hAnsi="Times New Roman" w:cs="Times New Roman"/>
                <w:color w:val="000000"/>
                <w:lang w:eastAsia="ar-SA"/>
              </w:rPr>
              <w:t>pūslinės</w:t>
            </w:r>
            <w:proofErr w:type="spellEnd"/>
            <w:r w:rsidRPr="00975CA4">
              <w:rPr>
                <w:rFonts w:ascii="Times New Roman" w:eastAsia="Times New Roman" w:hAnsi="Times New Roman" w:cs="Times New Roman"/>
                <w:color w:val="000000"/>
                <w:lang w:eastAsia="ar-SA"/>
              </w:rPr>
              <w:t xml:space="preserve"> būklės, nagų sutrikimai, delnų ir padų </w:t>
            </w:r>
            <w:proofErr w:type="spellStart"/>
            <w:r w:rsidRPr="00975CA4">
              <w:rPr>
                <w:rFonts w:ascii="Times New Roman" w:eastAsia="Times New Roman" w:hAnsi="Times New Roman" w:cs="Times New Roman"/>
                <w:color w:val="000000"/>
                <w:lang w:eastAsia="ar-SA"/>
              </w:rPr>
              <w:t>eritrodi</w:t>
            </w:r>
            <w:r w:rsidR="00F366D7" w:rsidRPr="00975CA4">
              <w:rPr>
                <w:rFonts w:ascii="Times New Roman" w:eastAsia="Times New Roman" w:hAnsi="Times New Roman" w:cs="Times New Roman"/>
                <w:color w:val="000000"/>
                <w:lang w:eastAsia="ar-SA"/>
              </w:rPr>
              <w:t>z</w:t>
            </w:r>
            <w:r w:rsidRPr="00975CA4">
              <w:rPr>
                <w:rFonts w:ascii="Times New Roman" w:eastAsia="Times New Roman" w:hAnsi="Times New Roman" w:cs="Times New Roman"/>
                <w:color w:val="000000"/>
                <w:lang w:eastAsia="ar-SA"/>
              </w:rPr>
              <w:t>estezijos</w:t>
            </w:r>
            <w:proofErr w:type="spellEnd"/>
            <w:r w:rsidRPr="00975CA4">
              <w:rPr>
                <w:rFonts w:ascii="Times New Roman" w:eastAsia="Times New Roman" w:hAnsi="Times New Roman" w:cs="Times New Roman"/>
                <w:color w:val="000000"/>
                <w:lang w:eastAsia="ar-SA"/>
              </w:rPr>
              <w:t xml:space="preserve"> sindromas, plaukų sutrikimai.</w:t>
            </w:r>
          </w:p>
        </w:tc>
      </w:tr>
      <w:tr w:rsidR="00156791" w:rsidRPr="00975CA4" w14:paraId="059ABD6B"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4D28DE66"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33E8D0B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Leukocitoklastinis</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vaskulitas</w:t>
            </w:r>
            <w:proofErr w:type="spellEnd"/>
            <w:r w:rsidRPr="00975CA4">
              <w:rPr>
                <w:rFonts w:ascii="Times New Roman" w:eastAsia="Times New Roman" w:hAnsi="Times New Roman" w:cs="Times New Roman"/>
                <w:color w:val="000000"/>
                <w:lang w:eastAsia="ar-SA"/>
              </w:rPr>
              <w:t>, odos fibrozė.</w:t>
            </w:r>
          </w:p>
        </w:tc>
      </w:tr>
      <w:tr w:rsidR="00156791" w:rsidRPr="00975CA4" w14:paraId="62ABF307"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1C615E4E"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5E6BA529"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Stivenso</w:t>
            </w:r>
            <w:proofErr w:type="spellEnd"/>
            <w:r w:rsidRPr="00975CA4">
              <w:rPr>
                <w:rFonts w:ascii="Times New Roman" w:eastAsia="Times New Roman" w:hAnsi="Times New Roman" w:cs="Times New Roman"/>
                <w:color w:val="000000"/>
                <w:lang w:eastAsia="ar-SA"/>
              </w:rPr>
              <w:t>-Džonsono (</w:t>
            </w:r>
            <w:r w:rsidR="004271E2" w:rsidRPr="00975CA4">
              <w:rPr>
                <w:rFonts w:ascii="Times New Roman" w:eastAsia="Times New Roman" w:hAnsi="Times New Roman" w:cs="Times New Roman"/>
                <w:color w:val="000000"/>
                <w:lang w:eastAsia="ar-SA"/>
              </w:rPr>
              <w:t xml:space="preserve">angl. </w:t>
            </w:r>
            <w:proofErr w:type="spellStart"/>
            <w:r w:rsidRPr="00975CA4">
              <w:rPr>
                <w:rFonts w:ascii="Times New Roman" w:eastAsia="Times New Roman" w:hAnsi="Times New Roman" w:cs="Times New Roman"/>
                <w:i/>
                <w:iCs/>
                <w:color w:val="000000"/>
                <w:lang w:eastAsia="ar-SA"/>
              </w:rPr>
              <w:t>Stevens-Johnson</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sindromas</w:t>
            </w:r>
            <w:r w:rsidRPr="00975CA4">
              <w:rPr>
                <w:rFonts w:ascii="Times New Roman" w:eastAsia="Times New Roman" w:hAnsi="Times New Roman" w:cs="Times New Roman"/>
                <w:color w:val="000000"/>
                <w:vertAlign w:val="superscript"/>
                <w:lang w:eastAsia="ar-SA"/>
              </w:rPr>
              <w:t>f</w:t>
            </w:r>
            <w:proofErr w:type="spellEnd"/>
            <w:r w:rsidRPr="00975CA4">
              <w:rPr>
                <w:rFonts w:ascii="Times New Roman" w:eastAsia="Times New Roman" w:hAnsi="Times New Roman" w:cs="Times New Roman"/>
                <w:color w:val="000000"/>
                <w:lang w:eastAsia="ar-SA"/>
              </w:rPr>
              <w:t>.</w:t>
            </w:r>
          </w:p>
        </w:tc>
      </w:tr>
      <w:tr w:rsidR="00156791" w:rsidRPr="00975CA4" w14:paraId="0FE59346" w14:textId="77777777" w:rsidTr="003A0B67">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79974B46" w14:textId="77777777" w:rsidR="00156791" w:rsidRPr="002D3411" w:rsidRDefault="00156791">
            <w:pPr>
              <w:widowControl w:val="0"/>
              <w:suppressAutoHyphens/>
              <w:spacing w:after="0" w:line="240" w:lineRule="auto"/>
              <w:ind w:left="57" w:hanging="46"/>
              <w:rPr>
                <w:rFonts w:ascii="Times New Roman" w:hAnsi="Times New Roman"/>
                <w:color w:val="000000"/>
              </w:rPr>
            </w:pPr>
            <w:r w:rsidRPr="00975CA4">
              <w:rPr>
                <w:rFonts w:ascii="Times New Roman" w:eastAsia="Times New Roman" w:hAnsi="Times New Roman" w:cs="Times New Roman"/>
                <w:b/>
                <w:bCs/>
                <w:color w:val="000000"/>
                <w:lang w:eastAsia="ar-SA"/>
              </w:rPr>
              <w:t>Skeleto, raumenų ir jungiamojo audinio sutrikimai</w:t>
            </w:r>
          </w:p>
        </w:tc>
        <w:tc>
          <w:tcPr>
            <w:tcW w:w="25" w:type="dxa"/>
            <w:tcBorders>
              <w:top w:val="nil"/>
              <w:left w:val="single" w:sz="4" w:space="0" w:color="000000"/>
              <w:bottom w:val="nil"/>
              <w:right w:val="nil"/>
            </w:tcBorders>
          </w:tcPr>
          <w:p w14:paraId="3C2FC6AC" w14:textId="77777777" w:rsidR="00156791" w:rsidRPr="00975CA4" w:rsidRDefault="00156791">
            <w:pPr>
              <w:suppressAutoHyphens/>
              <w:snapToGrid w:val="0"/>
              <w:spacing w:after="0" w:line="240" w:lineRule="auto"/>
              <w:ind w:firstLine="58"/>
              <w:rPr>
                <w:rFonts w:ascii="Times New Roman" w:eastAsia="Times New Roman" w:hAnsi="Times New Roman" w:cs="Times New Roman"/>
                <w:color w:val="000000"/>
                <w:lang w:eastAsia="ar-SA"/>
              </w:rPr>
            </w:pPr>
          </w:p>
        </w:tc>
      </w:tr>
      <w:tr w:rsidR="00156791" w:rsidRPr="00975CA4" w14:paraId="08EF88AF" w14:textId="77777777" w:rsidTr="003A0B67">
        <w:trPr>
          <w:gridAfter w:val="1"/>
          <w:wAfter w:w="25" w:type="dxa"/>
          <w:trHeight w:hRule="exact" w:val="335"/>
        </w:trPr>
        <w:tc>
          <w:tcPr>
            <w:tcW w:w="1755" w:type="dxa"/>
            <w:tcBorders>
              <w:top w:val="single" w:sz="4" w:space="0" w:color="000000"/>
              <w:left w:val="single" w:sz="4" w:space="0" w:color="000000"/>
              <w:bottom w:val="single" w:sz="4" w:space="0" w:color="000000"/>
              <w:right w:val="nil"/>
            </w:tcBorders>
            <w:hideMark/>
          </w:tcPr>
          <w:p w14:paraId="754F8F49"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spacing w:val="-2"/>
                <w:lang w:eastAsia="ar-SA"/>
              </w:rPr>
            </w:pPr>
            <w:r w:rsidRPr="00975CA4">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0838DFD4"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spacing w:val="-2"/>
                <w:lang w:eastAsia="ar-SA"/>
              </w:rPr>
              <w:t xml:space="preserve">Griaučių raumenų </w:t>
            </w:r>
            <w:proofErr w:type="spellStart"/>
            <w:r w:rsidRPr="00975CA4">
              <w:rPr>
                <w:rFonts w:ascii="Times New Roman" w:eastAsia="Times New Roman" w:hAnsi="Times New Roman" w:cs="Times New Roman"/>
                <w:color w:val="000000"/>
                <w:spacing w:val="-2"/>
                <w:lang w:eastAsia="ar-SA"/>
              </w:rPr>
              <w:t>skausmas</w:t>
            </w:r>
            <w:r w:rsidRPr="00975CA4">
              <w:rPr>
                <w:rFonts w:ascii="Times New Roman" w:eastAsia="Times New Roman" w:hAnsi="Times New Roman" w:cs="Times New Roman"/>
                <w:color w:val="000000"/>
                <w:spacing w:val="-2"/>
                <w:vertAlign w:val="superscript"/>
                <w:lang w:eastAsia="ar-SA"/>
              </w:rPr>
              <w:t>g</w:t>
            </w:r>
            <w:proofErr w:type="spellEnd"/>
            <w:r w:rsidRPr="00975CA4">
              <w:rPr>
                <w:rFonts w:ascii="Times New Roman" w:eastAsia="Times New Roman" w:hAnsi="Times New Roman" w:cs="Times New Roman"/>
                <w:color w:val="000000"/>
                <w:spacing w:val="-2"/>
                <w:lang w:eastAsia="ar-SA"/>
              </w:rPr>
              <w:t>.</w:t>
            </w:r>
          </w:p>
        </w:tc>
      </w:tr>
      <w:tr w:rsidR="00156791" w:rsidRPr="00975CA4" w14:paraId="10A638C0" w14:textId="77777777" w:rsidTr="003A0B67">
        <w:trPr>
          <w:gridAfter w:val="1"/>
          <w:wAfter w:w="25" w:type="dxa"/>
          <w:trHeight w:hRule="exact" w:val="510"/>
        </w:trPr>
        <w:tc>
          <w:tcPr>
            <w:tcW w:w="1755" w:type="dxa"/>
            <w:tcBorders>
              <w:top w:val="single" w:sz="4" w:space="0" w:color="000000"/>
              <w:left w:val="single" w:sz="4" w:space="0" w:color="000000"/>
              <w:bottom w:val="single" w:sz="4" w:space="0" w:color="000000"/>
              <w:right w:val="nil"/>
            </w:tcBorders>
            <w:hideMark/>
          </w:tcPr>
          <w:p w14:paraId="685B4BAF"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11735590" w14:textId="56206265" w:rsidR="00156791" w:rsidRPr="00975CA4" w:rsidRDefault="00156791" w:rsidP="002C7D31">
            <w:pPr>
              <w:widowControl w:val="0"/>
              <w:suppressAutoHyphens/>
              <w:spacing w:after="0" w:line="240" w:lineRule="auto"/>
              <w:ind w:left="57" w:right="-46"/>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Artralgija</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mialgija</w:t>
            </w:r>
            <w:proofErr w:type="spellEnd"/>
            <w:r w:rsidRPr="00975CA4">
              <w:rPr>
                <w:rFonts w:ascii="Times New Roman" w:eastAsia="Times New Roman" w:hAnsi="Times New Roman" w:cs="Times New Roman"/>
                <w:color w:val="000000"/>
                <w:lang w:eastAsia="ar-SA"/>
              </w:rPr>
              <w:t xml:space="preserve">, raumenų silpnumas, griaučių raumenų </w:t>
            </w:r>
            <w:r w:rsidR="002C7D31" w:rsidRPr="00975CA4">
              <w:rPr>
                <w:rFonts w:ascii="Times New Roman" w:eastAsia="Times New Roman" w:hAnsi="Times New Roman" w:cs="Times New Roman"/>
                <w:color w:val="000000"/>
                <w:lang w:eastAsia="ar-SA"/>
              </w:rPr>
              <w:t>sustingimas</w:t>
            </w:r>
            <w:r w:rsidRPr="00975CA4">
              <w:rPr>
                <w:rFonts w:ascii="Times New Roman" w:eastAsia="Times New Roman" w:hAnsi="Times New Roman" w:cs="Times New Roman"/>
                <w:color w:val="000000"/>
                <w:lang w:eastAsia="ar-SA"/>
              </w:rPr>
              <w:t>, raumenų spazmas.</w:t>
            </w:r>
          </w:p>
        </w:tc>
      </w:tr>
      <w:tr w:rsidR="00156791" w:rsidRPr="00975CA4" w14:paraId="4E4692BC"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53DBE38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35B3D03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Rabdomiolizė</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osteonekrozė</w:t>
            </w:r>
            <w:proofErr w:type="spellEnd"/>
            <w:r w:rsidRPr="00975CA4">
              <w:rPr>
                <w:rFonts w:ascii="Times New Roman" w:eastAsia="Times New Roman" w:hAnsi="Times New Roman" w:cs="Times New Roman"/>
                <w:color w:val="000000"/>
                <w:lang w:eastAsia="ar-SA"/>
              </w:rPr>
              <w:t xml:space="preserve">, raumenų uždegimas, </w:t>
            </w:r>
            <w:proofErr w:type="spellStart"/>
            <w:r w:rsidRPr="00975CA4">
              <w:rPr>
                <w:rFonts w:ascii="Times New Roman" w:eastAsia="Times New Roman" w:hAnsi="Times New Roman" w:cs="Times New Roman"/>
                <w:color w:val="000000"/>
                <w:lang w:eastAsia="ar-SA"/>
              </w:rPr>
              <w:t>tendinitas</w:t>
            </w:r>
            <w:proofErr w:type="spellEnd"/>
            <w:r w:rsidRPr="00975CA4">
              <w:rPr>
                <w:rFonts w:ascii="Times New Roman" w:eastAsia="Times New Roman" w:hAnsi="Times New Roman" w:cs="Times New Roman"/>
                <w:color w:val="000000"/>
                <w:lang w:eastAsia="ar-SA"/>
              </w:rPr>
              <w:t>, artritas.</w:t>
            </w:r>
          </w:p>
        </w:tc>
      </w:tr>
      <w:tr w:rsidR="00156791" w:rsidRPr="00975CA4" w14:paraId="5E6704DF" w14:textId="77777777" w:rsidTr="003A0B67">
        <w:trPr>
          <w:gridAfter w:val="1"/>
          <w:wAfter w:w="25" w:type="dxa"/>
          <w:trHeight w:hRule="exact" w:val="263"/>
        </w:trPr>
        <w:tc>
          <w:tcPr>
            <w:tcW w:w="1755" w:type="dxa"/>
            <w:tcBorders>
              <w:top w:val="nil"/>
              <w:left w:val="single" w:sz="4" w:space="0" w:color="000000"/>
              <w:bottom w:val="single" w:sz="4" w:space="0" w:color="000000"/>
              <w:right w:val="nil"/>
            </w:tcBorders>
            <w:hideMark/>
          </w:tcPr>
          <w:p w14:paraId="04781336"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nil"/>
              <w:left w:val="single" w:sz="4" w:space="0" w:color="000000"/>
              <w:bottom w:val="single" w:sz="4" w:space="0" w:color="000000"/>
              <w:right w:val="single" w:sz="4" w:space="0" w:color="000000"/>
            </w:tcBorders>
            <w:hideMark/>
          </w:tcPr>
          <w:p w14:paraId="0D85BB16" w14:textId="57723E06" w:rsidR="00156791" w:rsidRPr="00975CA4" w:rsidRDefault="002C7D31" w:rsidP="00C7788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Augimo zonų</w:t>
            </w:r>
            <w:r w:rsidR="00156791" w:rsidRPr="00975CA4">
              <w:rPr>
                <w:rFonts w:ascii="Times New Roman" w:eastAsia="Times New Roman" w:hAnsi="Times New Roman" w:cs="Times New Roman"/>
                <w:color w:val="000000"/>
                <w:lang w:eastAsia="ar-SA"/>
              </w:rPr>
              <w:t xml:space="preserve"> </w:t>
            </w:r>
            <w:r w:rsidR="00C77881" w:rsidRPr="00975CA4">
              <w:rPr>
                <w:rFonts w:ascii="Times New Roman" w:eastAsia="Times New Roman" w:hAnsi="Times New Roman" w:cs="Times New Roman"/>
                <w:color w:val="000000"/>
                <w:lang w:eastAsia="ar-SA"/>
              </w:rPr>
              <w:t xml:space="preserve">užsidarymo </w:t>
            </w:r>
            <w:proofErr w:type="spellStart"/>
            <w:r w:rsidR="00C77881" w:rsidRPr="00975CA4">
              <w:rPr>
                <w:rFonts w:ascii="Times New Roman" w:eastAsia="Times New Roman" w:hAnsi="Times New Roman" w:cs="Times New Roman"/>
                <w:color w:val="000000"/>
                <w:lang w:eastAsia="ar-SA"/>
              </w:rPr>
              <w:t>vėlavimas</w:t>
            </w:r>
            <w:r w:rsidR="00156791" w:rsidRPr="00975CA4">
              <w:rPr>
                <w:rFonts w:ascii="Times New Roman" w:eastAsia="Times New Roman" w:hAnsi="Times New Roman" w:cs="Times New Roman"/>
                <w:color w:val="000000"/>
                <w:vertAlign w:val="superscript"/>
                <w:lang w:eastAsia="ar-SA"/>
              </w:rPr>
              <w:t>h</w:t>
            </w:r>
            <w:proofErr w:type="spellEnd"/>
            <w:r w:rsidR="00156791" w:rsidRPr="00975CA4">
              <w:rPr>
                <w:rFonts w:ascii="Times New Roman" w:eastAsia="Times New Roman" w:hAnsi="Times New Roman" w:cs="Times New Roman"/>
                <w:color w:val="000000"/>
                <w:lang w:eastAsia="ar-SA"/>
              </w:rPr>
              <w:t xml:space="preserve">, sulėtėjęs </w:t>
            </w:r>
            <w:proofErr w:type="spellStart"/>
            <w:r w:rsidR="00156791" w:rsidRPr="00975CA4">
              <w:rPr>
                <w:rFonts w:ascii="Times New Roman" w:eastAsia="Times New Roman" w:hAnsi="Times New Roman" w:cs="Times New Roman"/>
                <w:color w:val="000000"/>
                <w:lang w:eastAsia="ar-SA"/>
              </w:rPr>
              <w:t>augimas</w:t>
            </w:r>
            <w:r w:rsidR="00156791" w:rsidRPr="00975CA4">
              <w:rPr>
                <w:rFonts w:ascii="Times New Roman" w:eastAsia="Times New Roman" w:hAnsi="Times New Roman" w:cs="Times New Roman"/>
                <w:color w:val="000000"/>
                <w:vertAlign w:val="superscript"/>
                <w:lang w:eastAsia="ar-SA"/>
              </w:rPr>
              <w:t>h</w:t>
            </w:r>
            <w:proofErr w:type="spellEnd"/>
            <w:r w:rsidR="00156791" w:rsidRPr="00975CA4">
              <w:rPr>
                <w:rFonts w:ascii="Times New Roman" w:eastAsia="Times New Roman" w:hAnsi="Times New Roman" w:cs="Times New Roman"/>
                <w:color w:val="000000"/>
                <w:lang w:eastAsia="ar-SA"/>
              </w:rPr>
              <w:t xml:space="preserve"> </w:t>
            </w:r>
          </w:p>
        </w:tc>
      </w:tr>
      <w:tr w:rsidR="00156791" w:rsidRPr="00975CA4" w14:paraId="1F875093"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3132BC99"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Inkstų ir šlapimo takų sutrikimai</w:t>
            </w:r>
          </w:p>
        </w:tc>
        <w:tc>
          <w:tcPr>
            <w:tcW w:w="25" w:type="dxa"/>
            <w:tcBorders>
              <w:top w:val="nil"/>
              <w:left w:val="single" w:sz="4" w:space="0" w:color="000000"/>
              <w:bottom w:val="nil"/>
              <w:right w:val="nil"/>
            </w:tcBorders>
          </w:tcPr>
          <w:p w14:paraId="027A0E68"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4EA8B872" w14:textId="77777777" w:rsidTr="003A0B67">
        <w:trPr>
          <w:gridAfter w:val="1"/>
          <w:wAfter w:w="25" w:type="dxa"/>
          <w:trHeight w:hRule="exact" w:val="592"/>
        </w:trPr>
        <w:tc>
          <w:tcPr>
            <w:tcW w:w="1755" w:type="dxa"/>
            <w:tcBorders>
              <w:top w:val="single" w:sz="4" w:space="0" w:color="000000"/>
              <w:left w:val="single" w:sz="4" w:space="0" w:color="000000"/>
              <w:bottom w:val="single" w:sz="4" w:space="0" w:color="000000"/>
              <w:right w:val="nil"/>
            </w:tcBorders>
            <w:hideMark/>
          </w:tcPr>
          <w:p w14:paraId="252AD20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i/>
                <w:color w:val="000000"/>
                <w:lang w:eastAsia="ar-SA"/>
              </w:rPr>
              <w:t>Nedžnas</w:t>
            </w:r>
            <w:proofErr w:type="spellEnd"/>
          </w:p>
        </w:tc>
        <w:tc>
          <w:tcPr>
            <w:tcW w:w="7660" w:type="dxa"/>
            <w:tcBorders>
              <w:top w:val="single" w:sz="4" w:space="0" w:color="000000"/>
              <w:left w:val="single" w:sz="4" w:space="0" w:color="000000"/>
              <w:bottom w:val="single" w:sz="4" w:space="0" w:color="000000"/>
              <w:right w:val="single" w:sz="4" w:space="0" w:color="000000"/>
            </w:tcBorders>
            <w:hideMark/>
          </w:tcPr>
          <w:p w14:paraId="76C71620" w14:textId="77777777" w:rsidR="00156791" w:rsidRPr="00975CA4" w:rsidRDefault="00156791" w:rsidP="00F366D7">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Sutrikusi inkstų funkcija (įskaitant inkstų nepakankamumą), dažnas šlapinimasis, </w:t>
            </w:r>
            <w:proofErr w:type="spellStart"/>
            <w:r w:rsidRPr="00975CA4">
              <w:rPr>
                <w:rFonts w:ascii="Times New Roman" w:eastAsia="Times New Roman" w:hAnsi="Times New Roman" w:cs="Times New Roman"/>
                <w:color w:val="000000"/>
                <w:lang w:eastAsia="ar-SA"/>
              </w:rPr>
              <w:t>proteinurija</w:t>
            </w:r>
            <w:proofErr w:type="spellEnd"/>
            <w:r w:rsidRPr="00975CA4">
              <w:rPr>
                <w:rFonts w:ascii="Times New Roman" w:eastAsia="Times New Roman" w:hAnsi="Times New Roman" w:cs="Times New Roman"/>
                <w:color w:val="000000"/>
                <w:lang w:eastAsia="ar-SA"/>
              </w:rPr>
              <w:t>.</w:t>
            </w:r>
          </w:p>
        </w:tc>
      </w:tr>
      <w:tr w:rsidR="003A0B67" w:rsidRPr="00975CA4" w14:paraId="78008796" w14:textId="77777777" w:rsidTr="003A0B67">
        <w:trPr>
          <w:gridAfter w:val="1"/>
          <w:wAfter w:w="25" w:type="dxa"/>
          <w:trHeight w:val="315"/>
        </w:trPr>
        <w:tc>
          <w:tcPr>
            <w:tcW w:w="1755" w:type="dxa"/>
            <w:tcBorders>
              <w:top w:val="single" w:sz="4" w:space="0" w:color="000000"/>
              <w:left w:val="single" w:sz="4" w:space="0" w:color="000000"/>
              <w:bottom w:val="single" w:sz="4" w:space="0" w:color="000000"/>
              <w:right w:val="single" w:sz="4" w:space="0" w:color="000000"/>
            </w:tcBorders>
            <w:hideMark/>
          </w:tcPr>
          <w:p w14:paraId="39B8B9C4" w14:textId="77777777" w:rsidR="003A0B67" w:rsidRPr="00975CA4" w:rsidRDefault="003A0B67">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tcPr>
          <w:p w14:paraId="7EBB718F" w14:textId="77777777" w:rsidR="003A0B67" w:rsidRPr="00975CA4" w:rsidRDefault="003A0B67">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Nefrozinis</w:t>
            </w:r>
            <w:proofErr w:type="spellEnd"/>
            <w:r w:rsidRPr="00975CA4">
              <w:rPr>
                <w:rFonts w:ascii="Times New Roman" w:eastAsia="Times New Roman" w:hAnsi="Times New Roman" w:cs="Times New Roman"/>
                <w:color w:val="000000"/>
                <w:lang w:eastAsia="ar-SA"/>
              </w:rPr>
              <w:t xml:space="preserve"> sindromas.</w:t>
            </w:r>
          </w:p>
        </w:tc>
      </w:tr>
      <w:tr w:rsidR="00156791" w:rsidRPr="00975CA4" w14:paraId="755066C8" w14:textId="77777777" w:rsidTr="003A0B67">
        <w:trPr>
          <w:trHeight w:hRule="exact" w:val="281"/>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475E8372"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Būklės nėštumo, pogimdyminiu ir perinataliniu laikotarpiu</w:t>
            </w:r>
          </w:p>
        </w:tc>
        <w:tc>
          <w:tcPr>
            <w:tcW w:w="25" w:type="dxa"/>
            <w:tcBorders>
              <w:top w:val="nil"/>
              <w:left w:val="single" w:sz="4" w:space="0" w:color="000000"/>
              <w:bottom w:val="nil"/>
              <w:right w:val="nil"/>
            </w:tcBorders>
          </w:tcPr>
          <w:p w14:paraId="0FE5934B"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75B052D6"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2883EBE3"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67FD2639"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Persileidimas.</w:t>
            </w:r>
          </w:p>
        </w:tc>
      </w:tr>
      <w:tr w:rsidR="00156791" w:rsidRPr="00975CA4" w14:paraId="10FD7F9A"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0866DECC"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Lytinės sistemos ir krūties sutrikimai</w:t>
            </w:r>
          </w:p>
        </w:tc>
        <w:tc>
          <w:tcPr>
            <w:tcW w:w="25" w:type="dxa"/>
            <w:tcBorders>
              <w:top w:val="nil"/>
              <w:left w:val="single" w:sz="4" w:space="0" w:color="000000"/>
              <w:bottom w:val="nil"/>
              <w:right w:val="nil"/>
            </w:tcBorders>
          </w:tcPr>
          <w:p w14:paraId="6D7DDFBE"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646611DB"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6814E8EC"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Nežinomas</w:t>
            </w:r>
          </w:p>
        </w:tc>
        <w:tc>
          <w:tcPr>
            <w:tcW w:w="7660" w:type="dxa"/>
            <w:tcBorders>
              <w:top w:val="single" w:sz="4" w:space="0" w:color="000000"/>
              <w:left w:val="single" w:sz="4" w:space="0" w:color="000000"/>
              <w:bottom w:val="single" w:sz="4" w:space="0" w:color="000000"/>
              <w:right w:val="single" w:sz="4" w:space="0" w:color="000000"/>
            </w:tcBorders>
            <w:hideMark/>
          </w:tcPr>
          <w:p w14:paraId="0538857F"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Ginekomastija</w:t>
            </w:r>
            <w:proofErr w:type="spellEnd"/>
            <w:r w:rsidRPr="00975CA4">
              <w:rPr>
                <w:rFonts w:ascii="Times New Roman" w:eastAsia="Times New Roman" w:hAnsi="Times New Roman" w:cs="Times New Roman"/>
                <w:color w:val="000000"/>
                <w:lang w:eastAsia="ar-SA"/>
              </w:rPr>
              <w:t>, mėnesinių sutrikimas.</w:t>
            </w:r>
          </w:p>
        </w:tc>
      </w:tr>
      <w:tr w:rsidR="00156791" w:rsidRPr="00975CA4" w14:paraId="2E4B10DD"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3AC7EBA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Bendrieji sutrikimai ir vartojimo vietos pažeidimai</w:t>
            </w:r>
          </w:p>
        </w:tc>
        <w:tc>
          <w:tcPr>
            <w:tcW w:w="25" w:type="dxa"/>
            <w:tcBorders>
              <w:top w:val="nil"/>
              <w:left w:val="single" w:sz="4" w:space="0" w:color="000000"/>
              <w:bottom w:val="nil"/>
              <w:right w:val="nil"/>
            </w:tcBorders>
          </w:tcPr>
          <w:p w14:paraId="22A8517E"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35475E64"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10D2A9B5"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Labai dažnas</w:t>
            </w:r>
          </w:p>
        </w:tc>
        <w:tc>
          <w:tcPr>
            <w:tcW w:w="7660" w:type="dxa"/>
            <w:tcBorders>
              <w:top w:val="single" w:sz="4" w:space="0" w:color="000000"/>
              <w:left w:val="single" w:sz="4" w:space="0" w:color="000000"/>
              <w:bottom w:val="single" w:sz="4" w:space="0" w:color="000000"/>
              <w:right w:val="single" w:sz="4" w:space="0" w:color="000000"/>
            </w:tcBorders>
            <w:hideMark/>
          </w:tcPr>
          <w:p w14:paraId="7CC539C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Periferinė edema</w:t>
            </w:r>
            <w:r w:rsidRPr="00975CA4">
              <w:rPr>
                <w:rFonts w:ascii="Times New Roman" w:eastAsia="Times New Roman" w:hAnsi="Times New Roman" w:cs="Times New Roman"/>
                <w:color w:val="000000"/>
                <w:vertAlign w:val="superscript"/>
                <w:lang w:eastAsia="ar-SA"/>
              </w:rPr>
              <w:t>i</w:t>
            </w:r>
            <w:r w:rsidRPr="00975CA4">
              <w:rPr>
                <w:rFonts w:ascii="Times New Roman" w:eastAsia="Times New Roman" w:hAnsi="Times New Roman" w:cs="Times New Roman"/>
                <w:color w:val="000000"/>
                <w:lang w:eastAsia="ar-SA"/>
              </w:rPr>
              <w:t xml:space="preserve">, nuovargis, karščiavimas, veido </w:t>
            </w:r>
            <w:proofErr w:type="spellStart"/>
            <w:r w:rsidRPr="00975CA4">
              <w:rPr>
                <w:rFonts w:ascii="Times New Roman" w:eastAsia="Times New Roman" w:hAnsi="Times New Roman" w:cs="Times New Roman"/>
                <w:color w:val="000000"/>
                <w:lang w:eastAsia="ar-SA"/>
              </w:rPr>
              <w:t>edema</w:t>
            </w:r>
            <w:r w:rsidRPr="00975CA4">
              <w:rPr>
                <w:rFonts w:ascii="Times New Roman" w:eastAsia="Times New Roman" w:hAnsi="Times New Roman" w:cs="Times New Roman"/>
                <w:color w:val="000000"/>
                <w:vertAlign w:val="superscript"/>
                <w:lang w:eastAsia="ar-SA"/>
              </w:rPr>
              <w:t>j</w:t>
            </w:r>
            <w:proofErr w:type="spellEnd"/>
            <w:r w:rsidRPr="00975CA4">
              <w:rPr>
                <w:rFonts w:ascii="Times New Roman" w:eastAsia="Times New Roman" w:hAnsi="Times New Roman" w:cs="Times New Roman"/>
                <w:color w:val="000000"/>
                <w:lang w:eastAsia="ar-SA"/>
              </w:rPr>
              <w:t>.</w:t>
            </w:r>
          </w:p>
        </w:tc>
      </w:tr>
      <w:tr w:rsidR="00156791" w:rsidRPr="00975CA4" w14:paraId="7D4F0880"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0DFCF1FB"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3BDBE0E2" w14:textId="54C25335" w:rsidR="00156791" w:rsidRPr="00975CA4" w:rsidRDefault="00156791" w:rsidP="00484532">
            <w:pPr>
              <w:widowControl w:val="0"/>
              <w:suppressAutoHyphens/>
              <w:spacing w:after="0" w:line="240" w:lineRule="auto"/>
              <w:ind w:left="57"/>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Astenija</w:t>
            </w:r>
            <w:proofErr w:type="spellEnd"/>
            <w:r w:rsidRPr="00975CA4">
              <w:rPr>
                <w:rFonts w:ascii="Times New Roman" w:eastAsia="Times New Roman" w:hAnsi="Times New Roman" w:cs="Times New Roman"/>
                <w:color w:val="000000"/>
                <w:lang w:eastAsia="ar-SA"/>
              </w:rPr>
              <w:t>, skausmas, krūtinės skausmas, išplitusi edema *</w:t>
            </w:r>
            <w:r w:rsidRPr="00975CA4">
              <w:rPr>
                <w:rFonts w:ascii="Times New Roman" w:eastAsia="Times New Roman" w:hAnsi="Times New Roman" w:cs="Times New Roman"/>
                <w:color w:val="000000"/>
                <w:vertAlign w:val="superscript"/>
                <w:lang w:eastAsia="ar-SA"/>
              </w:rPr>
              <w:t>k</w:t>
            </w:r>
            <w:r w:rsidRPr="00975CA4">
              <w:rPr>
                <w:rFonts w:ascii="Times New Roman" w:eastAsia="Times New Roman" w:hAnsi="Times New Roman" w:cs="Times New Roman"/>
                <w:color w:val="000000"/>
                <w:lang w:eastAsia="ar-SA"/>
              </w:rPr>
              <w:t xml:space="preserve">, </w:t>
            </w:r>
            <w:r w:rsidR="00484532" w:rsidRPr="00975CA4">
              <w:rPr>
                <w:rFonts w:ascii="Times New Roman" w:eastAsia="Times New Roman" w:hAnsi="Times New Roman" w:cs="Times New Roman"/>
                <w:color w:val="000000"/>
                <w:lang w:eastAsia="ar-SA"/>
              </w:rPr>
              <w:t>drebulys</w:t>
            </w:r>
            <w:r w:rsidRPr="00975CA4">
              <w:rPr>
                <w:rFonts w:ascii="Times New Roman" w:eastAsia="Times New Roman" w:hAnsi="Times New Roman" w:cs="Times New Roman"/>
                <w:color w:val="000000"/>
                <w:lang w:eastAsia="ar-SA"/>
              </w:rPr>
              <w:t>.</w:t>
            </w:r>
          </w:p>
        </w:tc>
      </w:tr>
      <w:tr w:rsidR="00156791" w:rsidRPr="00975CA4" w14:paraId="73A77189"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5C0624D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72C1109E"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Bendras negalavimas, kitokia paviršinė </w:t>
            </w:r>
            <w:proofErr w:type="spellStart"/>
            <w:r w:rsidRPr="00975CA4">
              <w:rPr>
                <w:rFonts w:ascii="Times New Roman" w:eastAsia="Times New Roman" w:hAnsi="Times New Roman" w:cs="Times New Roman"/>
                <w:color w:val="000000"/>
                <w:lang w:eastAsia="ar-SA"/>
              </w:rPr>
              <w:t>edema</w:t>
            </w:r>
            <w:r w:rsidRPr="00975CA4">
              <w:rPr>
                <w:rFonts w:ascii="Times New Roman" w:eastAsia="Times New Roman" w:hAnsi="Times New Roman" w:cs="Times New Roman"/>
                <w:color w:val="000000"/>
                <w:vertAlign w:val="superscript"/>
                <w:lang w:eastAsia="ar-SA"/>
              </w:rPr>
              <w:t>l</w:t>
            </w:r>
            <w:proofErr w:type="spellEnd"/>
            <w:r w:rsidRPr="00975CA4">
              <w:rPr>
                <w:rFonts w:ascii="Times New Roman" w:eastAsia="Times New Roman" w:hAnsi="Times New Roman" w:cs="Times New Roman"/>
                <w:color w:val="000000"/>
                <w:lang w:eastAsia="ar-SA"/>
              </w:rPr>
              <w:t>.</w:t>
            </w:r>
          </w:p>
        </w:tc>
      </w:tr>
      <w:tr w:rsidR="00156791" w:rsidRPr="00975CA4" w14:paraId="7A1242B0"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79BB8396"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Retas</w:t>
            </w:r>
          </w:p>
        </w:tc>
        <w:tc>
          <w:tcPr>
            <w:tcW w:w="7660" w:type="dxa"/>
            <w:tcBorders>
              <w:top w:val="single" w:sz="4" w:space="0" w:color="000000"/>
              <w:left w:val="single" w:sz="4" w:space="0" w:color="000000"/>
              <w:bottom w:val="single" w:sz="4" w:space="0" w:color="000000"/>
              <w:right w:val="single" w:sz="4" w:space="0" w:color="000000"/>
            </w:tcBorders>
            <w:hideMark/>
          </w:tcPr>
          <w:p w14:paraId="29B40436"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Sutrikusi eisena.</w:t>
            </w:r>
          </w:p>
        </w:tc>
      </w:tr>
      <w:tr w:rsidR="00156791" w:rsidRPr="00975CA4" w14:paraId="38F0008B"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2995472F"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Tyrimai</w:t>
            </w:r>
          </w:p>
        </w:tc>
        <w:tc>
          <w:tcPr>
            <w:tcW w:w="25" w:type="dxa"/>
            <w:tcBorders>
              <w:top w:val="nil"/>
              <w:left w:val="single" w:sz="4" w:space="0" w:color="000000"/>
              <w:bottom w:val="nil"/>
              <w:right w:val="nil"/>
            </w:tcBorders>
          </w:tcPr>
          <w:p w14:paraId="5ED8A99E"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737C67BD" w14:textId="77777777" w:rsidTr="003A0B67">
        <w:trPr>
          <w:gridAfter w:val="1"/>
          <w:wAfter w:w="25" w:type="dxa"/>
          <w:trHeight w:hRule="exact" w:val="263"/>
        </w:trPr>
        <w:tc>
          <w:tcPr>
            <w:tcW w:w="1755" w:type="dxa"/>
            <w:tcBorders>
              <w:top w:val="single" w:sz="4" w:space="0" w:color="000000"/>
              <w:left w:val="single" w:sz="4" w:space="0" w:color="000000"/>
              <w:bottom w:val="single" w:sz="4" w:space="0" w:color="000000"/>
              <w:right w:val="nil"/>
            </w:tcBorders>
            <w:hideMark/>
          </w:tcPr>
          <w:p w14:paraId="6A51AEC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5AAB2A23"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Sumažėjęs kūno svoris, padidėjęs kūno svoris.</w:t>
            </w:r>
          </w:p>
        </w:tc>
      </w:tr>
      <w:tr w:rsidR="00156791" w:rsidRPr="00975CA4" w14:paraId="4DE0D3CD" w14:textId="77777777" w:rsidTr="003A0B67">
        <w:trPr>
          <w:gridAfter w:val="1"/>
          <w:wAfter w:w="25" w:type="dxa"/>
          <w:trHeight w:hRule="exact" w:val="567"/>
        </w:trPr>
        <w:tc>
          <w:tcPr>
            <w:tcW w:w="1755" w:type="dxa"/>
            <w:tcBorders>
              <w:top w:val="single" w:sz="4" w:space="0" w:color="000000"/>
              <w:left w:val="single" w:sz="4" w:space="0" w:color="000000"/>
              <w:bottom w:val="single" w:sz="4" w:space="0" w:color="000000"/>
              <w:right w:val="nil"/>
            </w:tcBorders>
            <w:hideMark/>
          </w:tcPr>
          <w:p w14:paraId="06A4B48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Nedažnas</w:t>
            </w:r>
          </w:p>
        </w:tc>
        <w:tc>
          <w:tcPr>
            <w:tcW w:w="7660" w:type="dxa"/>
            <w:tcBorders>
              <w:top w:val="single" w:sz="4" w:space="0" w:color="000000"/>
              <w:left w:val="single" w:sz="4" w:space="0" w:color="000000"/>
              <w:bottom w:val="single" w:sz="4" w:space="0" w:color="000000"/>
              <w:right w:val="single" w:sz="4" w:space="0" w:color="000000"/>
            </w:tcBorders>
            <w:hideMark/>
          </w:tcPr>
          <w:p w14:paraId="77AD4945"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Padidėjęs </w:t>
            </w:r>
            <w:proofErr w:type="spellStart"/>
            <w:r w:rsidRPr="00975CA4">
              <w:rPr>
                <w:rFonts w:ascii="Times New Roman" w:eastAsia="Times New Roman" w:hAnsi="Times New Roman" w:cs="Times New Roman"/>
                <w:color w:val="000000"/>
                <w:lang w:eastAsia="ar-SA"/>
              </w:rPr>
              <w:t>kreatinfosfokinazės</w:t>
            </w:r>
            <w:proofErr w:type="spellEnd"/>
            <w:r w:rsidRPr="00975CA4">
              <w:rPr>
                <w:rFonts w:ascii="Times New Roman" w:eastAsia="Times New Roman" w:hAnsi="Times New Roman" w:cs="Times New Roman"/>
                <w:color w:val="000000"/>
                <w:lang w:eastAsia="ar-SA"/>
              </w:rPr>
              <w:t xml:space="preserve"> aktyvumas kraujyje, padidėjęs </w:t>
            </w:r>
            <w:proofErr w:type="spellStart"/>
            <w:r w:rsidRPr="00975CA4">
              <w:rPr>
                <w:rFonts w:ascii="Times New Roman" w:eastAsia="Times New Roman" w:hAnsi="Times New Roman" w:cs="Times New Roman"/>
                <w:color w:val="000000"/>
                <w:lang w:eastAsia="ar-SA"/>
              </w:rPr>
              <w:t>gamaglutamiltransferazės</w:t>
            </w:r>
            <w:proofErr w:type="spellEnd"/>
            <w:r w:rsidRPr="00975CA4">
              <w:rPr>
                <w:rFonts w:ascii="Times New Roman" w:eastAsia="Times New Roman" w:hAnsi="Times New Roman" w:cs="Times New Roman"/>
                <w:color w:val="000000"/>
                <w:lang w:eastAsia="ar-SA"/>
              </w:rPr>
              <w:t xml:space="preserve"> aktyvumas.</w:t>
            </w:r>
          </w:p>
        </w:tc>
      </w:tr>
      <w:tr w:rsidR="00156791" w:rsidRPr="00975CA4" w14:paraId="3863DDD1" w14:textId="77777777" w:rsidTr="003A0B67">
        <w:trPr>
          <w:trHeight w:hRule="exact" w:val="263"/>
        </w:trPr>
        <w:tc>
          <w:tcPr>
            <w:tcW w:w="9415" w:type="dxa"/>
            <w:gridSpan w:val="2"/>
            <w:tcBorders>
              <w:top w:val="single" w:sz="4" w:space="0" w:color="000000"/>
              <w:left w:val="single" w:sz="4" w:space="0" w:color="000000"/>
              <w:bottom w:val="single" w:sz="4" w:space="0" w:color="000000"/>
              <w:right w:val="nil"/>
            </w:tcBorders>
            <w:shd w:val="clear" w:color="auto" w:fill="F3F3F3"/>
            <w:hideMark/>
          </w:tcPr>
          <w:p w14:paraId="452A4380"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b/>
                <w:bCs/>
                <w:color w:val="000000"/>
                <w:lang w:eastAsia="ar-SA"/>
              </w:rPr>
              <w:t>Sužalojimai, apsinuodijimai ir procedūrų komplikacijos</w:t>
            </w:r>
          </w:p>
        </w:tc>
        <w:tc>
          <w:tcPr>
            <w:tcW w:w="25" w:type="dxa"/>
            <w:tcBorders>
              <w:top w:val="nil"/>
              <w:left w:val="single" w:sz="4" w:space="0" w:color="000000"/>
              <w:bottom w:val="nil"/>
              <w:right w:val="nil"/>
            </w:tcBorders>
          </w:tcPr>
          <w:p w14:paraId="016C7226" w14:textId="77777777" w:rsidR="00156791" w:rsidRPr="00975CA4" w:rsidRDefault="00156791">
            <w:pPr>
              <w:suppressAutoHyphens/>
              <w:snapToGrid w:val="0"/>
              <w:spacing w:after="0" w:line="240" w:lineRule="auto"/>
              <w:rPr>
                <w:rFonts w:ascii="Times New Roman" w:eastAsia="Times New Roman" w:hAnsi="Times New Roman" w:cs="Times New Roman"/>
                <w:color w:val="000000"/>
                <w:lang w:eastAsia="ar-SA"/>
              </w:rPr>
            </w:pPr>
          </w:p>
        </w:tc>
      </w:tr>
      <w:tr w:rsidR="00156791" w:rsidRPr="00975CA4" w14:paraId="23F51B8F" w14:textId="77777777" w:rsidTr="003A0B67">
        <w:trPr>
          <w:gridAfter w:val="1"/>
          <w:wAfter w:w="25" w:type="dxa"/>
          <w:trHeight w:hRule="exact" w:val="264"/>
        </w:trPr>
        <w:tc>
          <w:tcPr>
            <w:tcW w:w="1755" w:type="dxa"/>
            <w:tcBorders>
              <w:top w:val="single" w:sz="4" w:space="0" w:color="000000"/>
              <w:left w:val="single" w:sz="4" w:space="0" w:color="000000"/>
              <w:bottom w:val="single" w:sz="4" w:space="0" w:color="000000"/>
              <w:right w:val="nil"/>
            </w:tcBorders>
            <w:hideMark/>
          </w:tcPr>
          <w:p w14:paraId="6A4175BD"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i/>
                <w:color w:val="000000"/>
                <w:lang w:eastAsia="ar-SA"/>
              </w:rPr>
              <w:t>Dažnas</w:t>
            </w:r>
          </w:p>
        </w:tc>
        <w:tc>
          <w:tcPr>
            <w:tcW w:w="7660" w:type="dxa"/>
            <w:tcBorders>
              <w:top w:val="single" w:sz="4" w:space="0" w:color="000000"/>
              <w:left w:val="single" w:sz="4" w:space="0" w:color="000000"/>
              <w:bottom w:val="single" w:sz="4" w:space="0" w:color="000000"/>
              <w:right w:val="single" w:sz="4" w:space="0" w:color="000000"/>
            </w:tcBorders>
            <w:hideMark/>
          </w:tcPr>
          <w:p w14:paraId="6C4EBEA8" w14:textId="77777777" w:rsidR="00156791" w:rsidRPr="00975CA4" w:rsidRDefault="00156791">
            <w:pPr>
              <w:widowControl w:val="0"/>
              <w:suppressAutoHyphens/>
              <w:spacing w:after="0" w:line="240" w:lineRule="auto"/>
              <w:ind w:left="57"/>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Sumušimas.</w:t>
            </w:r>
          </w:p>
        </w:tc>
      </w:tr>
    </w:tbl>
    <w:p w14:paraId="0D2EFF6A" w14:textId="77777777" w:rsidR="00156791" w:rsidRPr="00975CA4"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a</w:t>
      </w:r>
      <w:r w:rsidRPr="00975CA4">
        <w:rPr>
          <w:rFonts w:ascii="Times New Roman" w:eastAsia="SimSun" w:hAnsi="Times New Roman" w:cs="Times New Roman"/>
          <w:color w:val="000000"/>
          <w:lang w:eastAsia="ar-SA"/>
        </w:rPr>
        <w:t xml:space="preserve"> Sumažėjęs apetitas, ankstyvas sotumas, padidėjęs apetitas.</w:t>
      </w:r>
    </w:p>
    <w:p w14:paraId="5F093D67" w14:textId="7B42A562" w:rsidR="00156791" w:rsidRPr="00975CA4"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b</w:t>
      </w:r>
      <w:r w:rsidRPr="00975CA4">
        <w:rPr>
          <w:rFonts w:ascii="Times New Roman" w:eastAsia="SimSun" w:hAnsi="Times New Roman" w:cs="Times New Roman"/>
          <w:color w:val="000000"/>
          <w:lang w:eastAsia="ar-SA"/>
        </w:rPr>
        <w:t xml:space="preserve"> Kraujavimas centrinėje nervų sistemoje, smegenų hematoma, kraujavimas į smegenis, </w:t>
      </w:r>
      <w:proofErr w:type="spellStart"/>
      <w:r w:rsidRPr="00975CA4">
        <w:rPr>
          <w:rFonts w:ascii="Times New Roman" w:eastAsia="SimSun" w:hAnsi="Times New Roman" w:cs="Times New Roman"/>
          <w:color w:val="000000"/>
          <w:lang w:eastAsia="ar-SA"/>
        </w:rPr>
        <w:t>ekstraduralinė</w:t>
      </w:r>
      <w:proofErr w:type="spellEnd"/>
      <w:r w:rsidRPr="00975CA4">
        <w:rPr>
          <w:rFonts w:ascii="Times New Roman" w:eastAsia="SimSun" w:hAnsi="Times New Roman" w:cs="Times New Roman"/>
          <w:color w:val="000000"/>
          <w:lang w:eastAsia="ar-SA"/>
        </w:rPr>
        <w:t xml:space="preserve"> hematoma, </w:t>
      </w:r>
      <w:proofErr w:type="spellStart"/>
      <w:r w:rsidRPr="00975CA4">
        <w:rPr>
          <w:rFonts w:ascii="Times New Roman" w:eastAsia="SimSun" w:hAnsi="Times New Roman" w:cs="Times New Roman"/>
          <w:color w:val="000000"/>
          <w:lang w:eastAsia="ar-SA"/>
        </w:rPr>
        <w:t>intrakranialinis</w:t>
      </w:r>
      <w:proofErr w:type="spellEnd"/>
      <w:r w:rsidRPr="00975CA4">
        <w:rPr>
          <w:rFonts w:ascii="Times New Roman" w:eastAsia="SimSun" w:hAnsi="Times New Roman" w:cs="Times New Roman"/>
          <w:color w:val="000000"/>
          <w:lang w:eastAsia="ar-SA"/>
        </w:rPr>
        <w:t xml:space="preserve"> kraujavimas, hemoraginis insultas, </w:t>
      </w:r>
      <w:proofErr w:type="spellStart"/>
      <w:r w:rsidRPr="00975CA4">
        <w:rPr>
          <w:rFonts w:ascii="Times New Roman" w:eastAsia="SimSun" w:hAnsi="Times New Roman" w:cs="Times New Roman"/>
          <w:color w:val="000000"/>
          <w:lang w:eastAsia="ar-SA"/>
        </w:rPr>
        <w:t>subarachnoidinis</w:t>
      </w:r>
      <w:proofErr w:type="spellEnd"/>
      <w:r w:rsidRPr="00975CA4">
        <w:rPr>
          <w:rFonts w:ascii="Times New Roman" w:eastAsia="SimSun" w:hAnsi="Times New Roman" w:cs="Times New Roman"/>
          <w:color w:val="000000"/>
          <w:lang w:eastAsia="ar-SA"/>
        </w:rPr>
        <w:t xml:space="preserve"> kraujavimas, </w:t>
      </w:r>
      <w:proofErr w:type="spellStart"/>
      <w:r w:rsidRPr="00975CA4">
        <w:rPr>
          <w:rFonts w:ascii="Times New Roman" w:eastAsia="SimSun" w:hAnsi="Times New Roman" w:cs="Times New Roman"/>
          <w:color w:val="000000"/>
          <w:lang w:eastAsia="ar-SA"/>
        </w:rPr>
        <w:t>subdur</w:t>
      </w:r>
      <w:r w:rsidR="00DA51E1" w:rsidRPr="00975CA4">
        <w:rPr>
          <w:rFonts w:ascii="Times New Roman" w:eastAsia="SimSun" w:hAnsi="Times New Roman" w:cs="Times New Roman"/>
          <w:color w:val="000000"/>
          <w:lang w:eastAsia="ar-SA"/>
        </w:rPr>
        <w:t>i</w:t>
      </w:r>
      <w:r w:rsidRPr="00975CA4">
        <w:rPr>
          <w:rFonts w:ascii="Times New Roman" w:eastAsia="SimSun" w:hAnsi="Times New Roman" w:cs="Times New Roman"/>
          <w:color w:val="000000"/>
          <w:lang w:eastAsia="ar-SA"/>
        </w:rPr>
        <w:t>nė</w:t>
      </w:r>
      <w:proofErr w:type="spellEnd"/>
      <w:r w:rsidRPr="00975CA4">
        <w:rPr>
          <w:rFonts w:ascii="Times New Roman" w:eastAsia="SimSun" w:hAnsi="Times New Roman" w:cs="Times New Roman"/>
          <w:color w:val="000000"/>
          <w:lang w:eastAsia="ar-SA"/>
        </w:rPr>
        <w:t xml:space="preserve"> hematoma ir </w:t>
      </w:r>
      <w:proofErr w:type="spellStart"/>
      <w:r w:rsidRPr="00975CA4">
        <w:rPr>
          <w:rFonts w:ascii="Times New Roman" w:eastAsia="SimSun" w:hAnsi="Times New Roman" w:cs="Times New Roman"/>
          <w:color w:val="000000"/>
          <w:lang w:eastAsia="ar-SA"/>
        </w:rPr>
        <w:t>subdurinis</w:t>
      </w:r>
      <w:proofErr w:type="spellEnd"/>
      <w:r w:rsidRPr="00975CA4">
        <w:rPr>
          <w:rFonts w:ascii="Times New Roman" w:eastAsia="SimSun" w:hAnsi="Times New Roman" w:cs="Times New Roman"/>
          <w:color w:val="000000"/>
          <w:lang w:eastAsia="ar-SA"/>
        </w:rPr>
        <w:t xml:space="preserve"> kraujavimas.</w:t>
      </w:r>
    </w:p>
    <w:p w14:paraId="00858598" w14:textId="77777777" w:rsidR="00156791" w:rsidRPr="00975CA4"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lastRenderedPageBreak/>
        <w:t>c</w:t>
      </w:r>
      <w:r w:rsidRPr="00975CA4">
        <w:rPr>
          <w:rFonts w:ascii="Times New Roman" w:eastAsia="SimSun" w:hAnsi="Times New Roman" w:cs="Times New Roman"/>
          <w:color w:val="000000"/>
          <w:lang w:eastAsia="ar-SA"/>
        </w:rPr>
        <w:t xml:space="preserve"> Padidėjusi smegenų </w:t>
      </w:r>
      <w:proofErr w:type="spellStart"/>
      <w:r w:rsidRPr="00975CA4">
        <w:rPr>
          <w:rFonts w:ascii="Times New Roman" w:eastAsia="SimSun" w:hAnsi="Times New Roman" w:cs="Times New Roman"/>
          <w:color w:val="000000"/>
          <w:lang w:eastAsia="ar-SA"/>
        </w:rPr>
        <w:t>natriurezinio</w:t>
      </w:r>
      <w:proofErr w:type="spellEnd"/>
      <w:r w:rsidRPr="00975CA4">
        <w:rPr>
          <w:rFonts w:ascii="Times New Roman" w:eastAsia="SimSun" w:hAnsi="Times New Roman" w:cs="Times New Roman"/>
          <w:color w:val="000000"/>
          <w:lang w:eastAsia="ar-SA"/>
        </w:rPr>
        <w:t xml:space="preserve"> peptido koncentracija, skilvelių disfunkcija, kairiojo skilvelio disfunkcija, dešiniojo skilvelio disfunkcija, širdies nepakankamumas, ūminis širdies nepakankamumas, lėtinis širdies nepakankamumas, </w:t>
      </w:r>
      <w:proofErr w:type="spellStart"/>
      <w:r w:rsidRPr="00975CA4">
        <w:rPr>
          <w:rFonts w:ascii="Times New Roman" w:eastAsia="SimSun" w:hAnsi="Times New Roman" w:cs="Times New Roman"/>
          <w:color w:val="000000"/>
          <w:lang w:eastAsia="ar-SA"/>
        </w:rPr>
        <w:t>stazinis</w:t>
      </w:r>
      <w:proofErr w:type="spellEnd"/>
      <w:r w:rsidRPr="00975CA4">
        <w:rPr>
          <w:rFonts w:ascii="Times New Roman" w:eastAsia="SimSun" w:hAnsi="Times New Roman" w:cs="Times New Roman"/>
          <w:color w:val="000000"/>
          <w:lang w:eastAsia="ar-SA"/>
        </w:rPr>
        <w:t xml:space="preserve"> širdies nepakankamumas, kardiomiopatija, </w:t>
      </w:r>
      <w:proofErr w:type="spellStart"/>
      <w:r w:rsidRPr="00975CA4">
        <w:rPr>
          <w:rFonts w:ascii="Times New Roman" w:eastAsia="SimSun" w:hAnsi="Times New Roman" w:cs="Times New Roman"/>
          <w:color w:val="000000"/>
          <w:lang w:eastAsia="ar-SA"/>
        </w:rPr>
        <w:t>stazinė</w:t>
      </w:r>
      <w:proofErr w:type="spellEnd"/>
      <w:r w:rsidRPr="00975CA4">
        <w:rPr>
          <w:rFonts w:ascii="Times New Roman" w:eastAsia="SimSun" w:hAnsi="Times New Roman" w:cs="Times New Roman"/>
          <w:color w:val="000000"/>
          <w:lang w:eastAsia="ar-SA"/>
        </w:rPr>
        <w:t xml:space="preserve"> kardiomiopatija, </w:t>
      </w:r>
      <w:proofErr w:type="spellStart"/>
      <w:r w:rsidRPr="00975CA4">
        <w:rPr>
          <w:rFonts w:ascii="Times New Roman" w:eastAsia="SimSun" w:hAnsi="Times New Roman" w:cs="Times New Roman"/>
          <w:color w:val="000000"/>
          <w:lang w:eastAsia="ar-SA"/>
        </w:rPr>
        <w:t>diastolinė</w:t>
      </w:r>
      <w:proofErr w:type="spellEnd"/>
      <w:r w:rsidRPr="00975CA4">
        <w:rPr>
          <w:rFonts w:ascii="Times New Roman" w:eastAsia="SimSun" w:hAnsi="Times New Roman" w:cs="Times New Roman"/>
          <w:color w:val="000000"/>
          <w:lang w:eastAsia="ar-SA"/>
        </w:rPr>
        <w:t xml:space="preserve"> disfunkcija, sumažėjusi išstūmimo frakcija ir skilvelių nepakankamumas, kairiojo skilvelio nepakankamumas, dešiniojo skilvelio nepakankamumas, skilvelių </w:t>
      </w:r>
      <w:proofErr w:type="spellStart"/>
      <w:r w:rsidRPr="00975CA4">
        <w:rPr>
          <w:rFonts w:ascii="Times New Roman" w:eastAsia="SimSun" w:hAnsi="Times New Roman" w:cs="Times New Roman"/>
          <w:color w:val="000000"/>
          <w:lang w:eastAsia="ar-SA"/>
        </w:rPr>
        <w:t>hipokinezė</w:t>
      </w:r>
      <w:proofErr w:type="spellEnd"/>
      <w:r w:rsidRPr="00975CA4">
        <w:rPr>
          <w:rFonts w:ascii="Times New Roman" w:eastAsia="SimSun" w:hAnsi="Times New Roman" w:cs="Times New Roman"/>
          <w:color w:val="000000"/>
          <w:lang w:eastAsia="ar-SA"/>
        </w:rPr>
        <w:t>.</w:t>
      </w:r>
    </w:p>
    <w:p w14:paraId="1D62BE49" w14:textId="77777777" w:rsidR="00156791" w:rsidRPr="00975CA4"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d</w:t>
      </w:r>
      <w:r w:rsidRPr="00975CA4">
        <w:rPr>
          <w:rFonts w:ascii="Times New Roman" w:eastAsia="SimSun" w:hAnsi="Times New Roman" w:cs="Times New Roman"/>
          <w:color w:val="000000"/>
          <w:lang w:eastAsia="ar-SA"/>
        </w:rPr>
        <w:t xml:space="preserve"> Neskaitant kraujavimo į virškinimo traktą ir CNS; šios nepageidaujamos reakcijos nurodytos pagal organizmo sistemą atitinkamai prie virškinimo trakto sutrikimų ir nervų sistemos sutrikimų.</w:t>
      </w:r>
    </w:p>
    <w:p w14:paraId="702AB47C" w14:textId="3B41E829" w:rsidR="00156791" w:rsidRPr="00975CA4"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e</w:t>
      </w:r>
      <w:r w:rsidRPr="00975CA4">
        <w:rPr>
          <w:rFonts w:ascii="Times New Roman" w:eastAsia="SimSun" w:hAnsi="Times New Roman" w:cs="Times New Roman"/>
          <w:color w:val="000000"/>
          <w:lang w:eastAsia="ar-SA"/>
        </w:rPr>
        <w:t xml:space="preserve"> Vaist</w:t>
      </w:r>
      <w:r w:rsidR="002C7D31" w:rsidRPr="00975CA4">
        <w:rPr>
          <w:rFonts w:ascii="Times New Roman" w:eastAsia="SimSun" w:hAnsi="Times New Roman" w:cs="Times New Roman"/>
          <w:color w:val="000000"/>
          <w:lang w:eastAsia="ar-SA"/>
        </w:rPr>
        <w:t>ini</w:t>
      </w:r>
      <w:r w:rsidRPr="00975CA4">
        <w:rPr>
          <w:rFonts w:ascii="Times New Roman" w:eastAsia="SimSun" w:hAnsi="Times New Roman" w:cs="Times New Roman"/>
          <w:color w:val="000000"/>
          <w:lang w:eastAsia="ar-SA"/>
        </w:rPr>
        <w:t>ų</w:t>
      </w:r>
      <w:r w:rsidR="002C7D31" w:rsidRPr="00975CA4">
        <w:rPr>
          <w:rFonts w:ascii="Times New Roman" w:eastAsia="SimSun" w:hAnsi="Times New Roman" w:cs="Times New Roman"/>
          <w:color w:val="000000"/>
          <w:lang w:eastAsia="ar-SA"/>
        </w:rPr>
        <w:t xml:space="preserve"> preparatų</w:t>
      </w:r>
      <w:r w:rsidRPr="00975CA4">
        <w:rPr>
          <w:rFonts w:ascii="Times New Roman" w:eastAsia="SimSun" w:hAnsi="Times New Roman" w:cs="Times New Roman"/>
          <w:color w:val="000000"/>
          <w:lang w:eastAsia="ar-SA"/>
        </w:rPr>
        <w:t xml:space="preserve"> sukeltas bėrimas, </w:t>
      </w:r>
      <w:proofErr w:type="spellStart"/>
      <w:r w:rsidRPr="00975CA4">
        <w:rPr>
          <w:rFonts w:ascii="Times New Roman" w:eastAsia="SimSun" w:hAnsi="Times New Roman" w:cs="Times New Roman"/>
          <w:color w:val="000000"/>
          <w:lang w:eastAsia="ar-SA"/>
        </w:rPr>
        <w:t>eritema</w:t>
      </w:r>
      <w:proofErr w:type="spellEnd"/>
      <w:r w:rsidRPr="00975CA4">
        <w:rPr>
          <w:rFonts w:ascii="Times New Roman" w:eastAsia="SimSun" w:hAnsi="Times New Roman" w:cs="Times New Roman"/>
          <w:color w:val="000000"/>
          <w:lang w:eastAsia="ar-SA"/>
        </w:rPr>
        <w:t xml:space="preserve"> (raudonė), daugiaformė raudonė (</w:t>
      </w:r>
      <w:r w:rsidR="005C783A" w:rsidRPr="00975CA4">
        <w:rPr>
          <w:rFonts w:ascii="Times New Roman" w:eastAsia="SimSun" w:hAnsi="Times New Roman" w:cs="Times New Roman"/>
          <w:color w:val="000000"/>
          <w:lang w:eastAsia="ar-SA"/>
        </w:rPr>
        <w:t xml:space="preserve">angl. </w:t>
      </w:r>
      <w:proofErr w:type="spellStart"/>
      <w:r w:rsidRPr="00975CA4">
        <w:rPr>
          <w:rFonts w:ascii="Times New Roman" w:eastAsia="SimSun" w:hAnsi="Times New Roman" w:cs="Times New Roman"/>
          <w:i/>
          <w:color w:val="000000"/>
          <w:lang w:eastAsia="ar-SA"/>
        </w:rPr>
        <w:t>erythema</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multiforme</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eritrozė</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eksfoliacinis</w:t>
      </w:r>
      <w:proofErr w:type="spellEnd"/>
      <w:r w:rsidRPr="00975CA4">
        <w:rPr>
          <w:rFonts w:ascii="Times New Roman" w:eastAsia="SimSun" w:hAnsi="Times New Roman" w:cs="Times New Roman"/>
          <w:color w:val="000000"/>
          <w:lang w:eastAsia="ar-SA"/>
        </w:rPr>
        <w:t xml:space="preserve"> išbėrimas, išplitusi </w:t>
      </w:r>
      <w:proofErr w:type="spellStart"/>
      <w:r w:rsidRPr="00975CA4">
        <w:rPr>
          <w:rFonts w:ascii="Times New Roman" w:eastAsia="SimSun" w:hAnsi="Times New Roman" w:cs="Times New Roman"/>
          <w:color w:val="000000"/>
          <w:lang w:eastAsia="ar-SA"/>
        </w:rPr>
        <w:t>eritema</w:t>
      </w:r>
      <w:proofErr w:type="spellEnd"/>
      <w:r w:rsidRPr="00975CA4">
        <w:rPr>
          <w:rFonts w:ascii="Times New Roman" w:eastAsia="SimSun" w:hAnsi="Times New Roman" w:cs="Times New Roman"/>
          <w:color w:val="000000"/>
          <w:lang w:eastAsia="ar-SA"/>
        </w:rPr>
        <w:t xml:space="preserve">, genitalijų bėrimas, </w:t>
      </w:r>
      <w:r w:rsidR="009C5240" w:rsidRPr="00975CA4">
        <w:rPr>
          <w:rFonts w:ascii="Times New Roman" w:eastAsia="SimSun" w:hAnsi="Times New Roman" w:cs="Times New Roman"/>
          <w:color w:val="000000"/>
          <w:lang w:eastAsia="ar-SA"/>
        </w:rPr>
        <w:t>prakaitinė</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milija</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miliarija</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pustulinė</w:t>
      </w:r>
      <w:proofErr w:type="spellEnd"/>
      <w:r w:rsidRPr="00975CA4">
        <w:rPr>
          <w:rFonts w:ascii="Times New Roman" w:eastAsia="SimSun" w:hAnsi="Times New Roman" w:cs="Times New Roman"/>
          <w:color w:val="000000"/>
          <w:lang w:eastAsia="ar-SA"/>
        </w:rPr>
        <w:t xml:space="preserve"> psoriazė, išbėrimas, </w:t>
      </w:r>
      <w:proofErr w:type="spellStart"/>
      <w:r w:rsidRPr="00975CA4">
        <w:rPr>
          <w:rFonts w:ascii="Times New Roman" w:eastAsia="SimSun" w:hAnsi="Times New Roman" w:cs="Times New Roman"/>
          <w:color w:val="000000"/>
          <w:lang w:eastAsia="ar-SA"/>
        </w:rPr>
        <w:t>eriteminis</w:t>
      </w:r>
      <w:proofErr w:type="spellEnd"/>
      <w:r w:rsidRPr="00975CA4">
        <w:rPr>
          <w:rFonts w:ascii="Times New Roman" w:eastAsia="SimSun" w:hAnsi="Times New Roman" w:cs="Times New Roman"/>
          <w:color w:val="000000"/>
          <w:lang w:eastAsia="ar-SA"/>
        </w:rPr>
        <w:t xml:space="preserve"> išbėrimas, folikulinis išbėrimas, išplitęs išbėrimas, išbėrimas dėmelėmis, išbėrimas dėmelėmis ir </w:t>
      </w:r>
      <w:proofErr w:type="spellStart"/>
      <w:r w:rsidRPr="00975CA4">
        <w:rPr>
          <w:rFonts w:ascii="Times New Roman" w:eastAsia="SimSun" w:hAnsi="Times New Roman" w:cs="Times New Roman"/>
          <w:color w:val="000000"/>
          <w:lang w:eastAsia="ar-SA"/>
        </w:rPr>
        <w:t>papulėmis</w:t>
      </w:r>
      <w:proofErr w:type="spellEnd"/>
      <w:r w:rsidRPr="00975CA4">
        <w:rPr>
          <w:rFonts w:ascii="Times New Roman" w:eastAsia="SimSun" w:hAnsi="Times New Roman" w:cs="Times New Roman"/>
          <w:color w:val="000000"/>
          <w:lang w:eastAsia="ar-SA"/>
        </w:rPr>
        <w:t xml:space="preserve">, išbėrimas </w:t>
      </w:r>
      <w:proofErr w:type="spellStart"/>
      <w:r w:rsidRPr="00975CA4">
        <w:rPr>
          <w:rFonts w:ascii="Times New Roman" w:eastAsia="SimSun" w:hAnsi="Times New Roman" w:cs="Times New Roman"/>
          <w:color w:val="000000"/>
          <w:lang w:eastAsia="ar-SA"/>
        </w:rPr>
        <w:t>papulėmis</w:t>
      </w:r>
      <w:proofErr w:type="spellEnd"/>
      <w:r w:rsidRPr="00975CA4">
        <w:rPr>
          <w:rFonts w:ascii="Times New Roman" w:eastAsia="SimSun" w:hAnsi="Times New Roman" w:cs="Times New Roman"/>
          <w:color w:val="000000"/>
          <w:lang w:eastAsia="ar-SA"/>
        </w:rPr>
        <w:t xml:space="preserve">, išbėrimas su niežėjimu, išbėrimas </w:t>
      </w:r>
      <w:proofErr w:type="spellStart"/>
      <w:r w:rsidRPr="00975CA4">
        <w:rPr>
          <w:rFonts w:ascii="Times New Roman" w:eastAsia="SimSun" w:hAnsi="Times New Roman" w:cs="Times New Roman"/>
          <w:color w:val="000000"/>
          <w:lang w:eastAsia="ar-SA"/>
        </w:rPr>
        <w:t>pustulėmis</w:t>
      </w:r>
      <w:proofErr w:type="spellEnd"/>
      <w:r w:rsidRPr="00975CA4">
        <w:rPr>
          <w:rFonts w:ascii="Times New Roman" w:eastAsia="SimSun" w:hAnsi="Times New Roman" w:cs="Times New Roman"/>
          <w:color w:val="000000"/>
          <w:lang w:eastAsia="ar-SA"/>
        </w:rPr>
        <w:t xml:space="preserve">, </w:t>
      </w:r>
      <w:r w:rsidR="00A23B3C" w:rsidRPr="00975CA4">
        <w:rPr>
          <w:rFonts w:ascii="Times New Roman" w:eastAsia="SimSun" w:hAnsi="Times New Roman" w:cs="Times New Roman"/>
          <w:color w:val="000000"/>
          <w:lang w:eastAsia="ar-SA"/>
        </w:rPr>
        <w:t xml:space="preserve">pūslelinis </w:t>
      </w:r>
      <w:r w:rsidRPr="00975CA4">
        <w:rPr>
          <w:rFonts w:ascii="Times New Roman" w:eastAsia="SimSun" w:hAnsi="Times New Roman" w:cs="Times New Roman"/>
          <w:color w:val="000000"/>
          <w:lang w:eastAsia="ar-SA"/>
        </w:rPr>
        <w:t xml:space="preserve">bėrimas, odos </w:t>
      </w:r>
      <w:proofErr w:type="spellStart"/>
      <w:r w:rsidRPr="00975CA4">
        <w:rPr>
          <w:rFonts w:ascii="Times New Roman" w:eastAsia="SimSun" w:hAnsi="Times New Roman" w:cs="Times New Roman"/>
          <w:color w:val="000000"/>
          <w:lang w:eastAsia="ar-SA"/>
        </w:rPr>
        <w:t>eksfoliacija</w:t>
      </w:r>
      <w:proofErr w:type="spellEnd"/>
      <w:r w:rsidRPr="00975CA4">
        <w:rPr>
          <w:rFonts w:ascii="Times New Roman" w:eastAsia="SimSun" w:hAnsi="Times New Roman" w:cs="Times New Roman"/>
          <w:color w:val="000000"/>
          <w:lang w:eastAsia="ar-SA"/>
        </w:rPr>
        <w:t xml:space="preserve">, odos sudirginimas, toksinis išbėrimas, </w:t>
      </w:r>
      <w:proofErr w:type="spellStart"/>
      <w:r w:rsidR="009C5240" w:rsidRPr="00975CA4">
        <w:rPr>
          <w:rFonts w:ascii="Times New Roman" w:eastAsia="SimSun" w:hAnsi="Times New Roman" w:cs="Times New Roman"/>
          <w:color w:val="000000"/>
          <w:lang w:eastAsia="ar-SA"/>
        </w:rPr>
        <w:t>pūsl</w:t>
      </w:r>
      <w:r w:rsidR="00A23B3C" w:rsidRPr="00975CA4">
        <w:rPr>
          <w:rFonts w:ascii="Times New Roman" w:eastAsia="SimSun" w:hAnsi="Times New Roman" w:cs="Times New Roman"/>
          <w:color w:val="000000"/>
          <w:lang w:eastAsia="ar-SA"/>
        </w:rPr>
        <w:t>inė</w:t>
      </w:r>
      <w:proofErr w:type="spellEnd"/>
      <w:r w:rsidR="00A23B3C"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 xml:space="preserve">dilgėlinė ir </w:t>
      </w:r>
      <w:proofErr w:type="spellStart"/>
      <w:r w:rsidRPr="00975CA4">
        <w:rPr>
          <w:rFonts w:ascii="Times New Roman" w:eastAsia="SimSun" w:hAnsi="Times New Roman" w:cs="Times New Roman"/>
          <w:color w:val="000000"/>
          <w:lang w:eastAsia="ar-SA"/>
        </w:rPr>
        <w:t>vaskulitinis</w:t>
      </w:r>
      <w:proofErr w:type="spellEnd"/>
      <w:r w:rsidRPr="00975CA4">
        <w:rPr>
          <w:rFonts w:ascii="Times New Roman" w:eastAsia="SimSun" w:hAnsi="Times New Roman" w:cs="Times New Roman"/>
          <w:color w:val="000000"/>
          <w:lang w:eastAsia="ar-SA"/>
        </w:rPr>
        <w:t xml:space="preserve"> išbėrimas.</w:t>
      </w:r>
    </w:p>
    <w:p w14:paraId="315AE6B5" w14:textId="77777777" w:rsidR="00156791" w:rsidRPr="00975CA4"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f</w:t>
      </w:r>
      <w:r w:rsidRPr="00975CA4">
        <w:rPr>
          <w:rFonts w:ascii="Times New Roman" w:eastAsia="SimSun" w:hAnsi="Times New Roman" w:cs="Times New Roman"/>
          <w:color w:val="000000"/>
          <w:lang w:eastAsia="ar-SA"/>
        </w:rPr>
        <w:t xml:space="preserve"> Vaistinį preparatą pateikus į rinką, gauta pavienių pranešimų apie </w:t>
      </w:r>
      <w:proofErr w:type="spellStart"/>
      <w:r w:rsidRPr="00975CA4">
        <w:rPr>
          <w:rFonts w:ascii="Times New Roman" w:eastAsia="SimSun" w:hAnsi="Times New Roman" w:cs="Times New Roman"/>
          <w:color w:val="000000"/>
          <w:lang w:eastAsia="ar-SA"/>
        </w:rPr>
        <w:t>Stivenso</w:t>
      </w:r>
      <w:proofErr w:type="spellEnd"/>
      <w:r w:rsidRPr="00975CA4">
        <w:rPr>
          <w:rFonts w:ascii="Times New Roman" w:eastAsia="SimSun" w:hAnsi="Times New Roman" w:cs="Times New Roman"/>
          <w:color w:val="000000"/>
          <w:lang w:eastAsia="ar-SA"/>
        </w:rPr>
        <w:t>-Džonsono (</w:t>
      </w:r>
      <w:r w:rsidR="002B2995" w:rsidRPr="00975CA4">
        <w:rPr>
          <w:rFonts w:ascii="Times New Roman" w:eastAsia="SimSun" w:hAnsi="Times New Roman" w:cs="Times New Roman"/>
          <w:color w:val="000000"/>
          <w:lang w:eastAsia="ar-SA"/>
        </w:rPr>
        <w:t xml:space="preserve">angl. </w:t>
      </w:r>
      <w:proofErr w:type="spellStart"/>
      <w:r w:rsidRPr="00975CA4">
        <w:rPr>
          <w:rFonts w:ascii="Times New Roman" w:eastAsia="SimSun" w:hAnsi="Times New Roman" w:cs="Times New Roman"/>
          <w:i/>
          <w:iCs/>
          <w:color w:val="000000"/>
          <w:lang w:eastAsia="ar-SA"/>
        </w:rPr>
        <w:t>Stevens-Johnson</w:t>
      </w:r>
      <w:proofErr w:type="spellEnd"/>
      <w:r w:rsidRPr="00975CA4">
        <w:rPr>
          <w:rFonts w:ascii="Times New Roman" w:eastAsia="SimSun" w:hAnsi="Times New Roman" w:cs="Times New Roman"/>
          <w:color w:val="000000"/>
          <w:lang w:eastAsia="ar-SA"/>
        </w:rPr>
        <w:t xml:space="preserve">) sindromo atvejus, tačiau negalima nustatyti, ar šios gleivinės ir odos nepageidaujamos reakcijos buvo tiesiogiai susijusios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arba kartu vartotais vaistiniais preparatais.</w:t>
      </w:r>
    </w:p>
    <w:p w14:paraId="07516DF9" w14:textId="77777777" w:rsidR="00156791" w:rsidRPr="00975CA4"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g</w:t>
      </w:r>
      <w:r w:rsidRPr="00975CA4">
        <w:rPr>
          <w:rFonts w:ascii="Times New Roman" w:eastAsia="SimSun" w:hAnsi="Times New Roman" w:cs="Times New Roman"/>
          <w:color w:val="000000"/>
          <w:lang w:eastAsia="ar-SA"/>
        </w:rPr>
        <w:t xml:space="preserve"> Skeleto raumenų skausmas praneštas per arba po gydymo nutraukimo. </w:t>
      </w:r>
    </w:p>
    <w:p w14:paraId="59F4901E" w14:textId="77777777" w:rsidR="00156791" w:rsidRPr="00975CA4"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h</w:t>
      </w:r>
      <w:r w:rsidRPr="00975CA4">
        <w:rPr>
          <w:rFonts w:ascii="Times New Roman" w:eastAsia="SimSun" w:hAnsi="Times New Roman" w:cs="Times New Roman"/>
          <w:color w:val="000000"/>
          <w:lang w:eastAsia="ar-SA"/>
        </w:rPr>
        <w:t xml:space="preserve"> Pediatrinių tyrimų metu užfiksuota dažnai. </w:t>
      </w:r>
    </w:p>
    <w:p w14:paraId="1649C49D" w14:textId="77777777" w:rsidR="00156791" w:rsidRPr="00975CA4"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i</w:t>
      </w:r>
      <w:r w:rsidRPr="00975CA4">
        <w:rPr>
          <w:rFonts w:ascii="Times New Roman" w:eastAsia="SimSun" w:hAnsi="Times New Roman" w:cs="Times New Roman"/>
          <w:color w:val="000000"/>
          <w:lang w:eastAsia="ar-SA"/>
        </w:rPr>
        <w:t xml:space="preserve"> Gravitacinė edema, lokalizuota edema, periferinė edema. </w:t>
      </w:r>
    </w:p>
    <w:p w14:paraId="27087C3A" w14:textId="77777777" w:rsidR="007A4745" w:rsidRPr="00975CA4" w:rsidRDefault="00156791" w:rsidP="00156791">
      <w:pPr>
        <w:suppressAutoHyphens/>
        <w:spacing w:after="120" w:line="240" w:lineRule="auto"/>
        <w:ind w:left="142" w:hanging="142"/>
        <w:rPr>
          <w:rFonts w:ascii="Times New Roman" w:eastAsia="SimSun" w:hAnsi="Times New Roman" w:cs="Times New Roman"/>
          <w:color w:val="000000"/>
          <w:lang w:eastAsia="ar-SA"/>
        </w:rPr>
      </w:pPr>
      <w:r w:rsidRPr="00975CA4">
        <w:rPr>
          <w:rFonts w:ascii="Times New Roman" w:eastAsia="SimSun" w:hAnsi="Times New Roman" w:cs="Times New Roman"/>
          <w:color w:val="000000"/>
          <w:vertAlign w:val="superscript"/>
          <w:lang w:eastAsia="ar-SA"/>
        </w:rPr>
        <w:t>j</w:t>
      </w:r>
      <w:r w:rsidRPr="00975CA4">
        <w:rPr>
          <w:rFonts w:ascii="Times New Roman" w:eastAsia="SimSun" w:hAnsi="Times New Roman" w:cs="Times New Roman"/>
          <w:color w:val="000000"/>
          <w:lang w:eastAsia="ar-SA"/>
        </w:rPr>
        <w:t xml:space="preserve"> Junginės edema, akių edema, akių patinimas, akių vokų edema, veido edema, lūpų edema, tinklainės dėmės edema, burnos ertmės edema, akiduobių edema, </w:t>
      </w:r>
      <w:proofErr w:type="spellStart"/>
      <w:r w:rsidRPr="00975CA4">
        <w:rPr>
          <w:rFonts w:ascii="Times New Roman" w:eastAsia="SimSun" w:hAnsi="Times New Roman" w:cs="Times New Roman"/>
          <w:color w:val="000000"/>
          <w:lang w:eastAsia="ar-SA"/>
        </w:rPr>
        <w:t>periorbitalinė</w:t>
      </w:r>
      <w:proofErr w:type="spellEnd"/>
      <w:r w:rsidRPr="00975CA4">
        <w:rPr>
          <w:rFonts w:ascii="Times New Roman" w:eastAsia="SimSun" w:hAnsi="Times New Roman" w:cs="Times New Roman"/>
          <w:color w:val="000000"/>
          <w:lang w:eastAsia="ar-SA"/>
        </w:rPr>
        <w:t xml:space="preserve"> edema, veido patinimas.</w:t>
      </w:r>
    </w:p>
    <w:p w14:paraId="0B927199" w14:textId="77777777" w:rsidR="00156791" w:rsidRPr="00975CA4" w:rsidRDefault="00156791" w:rsidP="00156791">
      <w:pPr>
        <w:suppressAutoHyphens/>
        <w:spacing w:after="12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lang w:eastAsia="ar-SA"/>
        </w:rPr>
        <w:t xml:space="preserve"> </w:t>
      </w:r>
      <w:r w:rsidRPr="00975CA4">
        <w:rPr>
          <w:rFonts w:ascii="Times New Roman" w:eastAsia="Times New Roman" w:hAnsi="Times New Roman" w:cs="Times New Roman"/>
          <w:color w:val="000000"/>
          <w:vertAlign w:val="superscript"/>
          <w:lang w:eastAsia="ar-SA"/>
        </w:rPr>
        <w:t>k</w:t>
      </w:r>
      <w:r w:rsidRPr="00975CA4">
        <w:rPr>
          <w:rFonts w:ascii="Times New Roman" w:eastAsia="SimSun" w:hAnsi="Times New Roman" w:cs="Times New Roman"/>
          <w:color w:val="000000"/>
          <w:vertAlign w:val="superscript"/>
          <w:lang w:eastAsia="ar-SA"/>
        </w:rPr>
        <w:t xml:space="preserve"> </w:t>
      </w:r>
      <w:r w:rsidRPr="00975CA4">
        <w:rPr>
          <w:rFonts w:ascii="Times New Roman" w:eastAsia="SimSun" w:hAnsi="Times New Roman" w:cs="Times New Roman"/>
          <w:color w:val="000000"/>
          <w:lang w:eastAsia="ar-SA"/>
        </w:rPr>
        <w:t xml:space="preserve">Skysčių perteklius, skysčių susilaikymas, virškinimo trakto edema, išplitusi edema, periferinis patinimas, edema, edema dėl širdies ligos, </w:t>
      </w:r>
      <w:proofErr w:type="spellStart"/>
      <w:r w:rsidRPr="00975CA4">
        <w:rPr>
          <w:rFonts w:ascii="Times New Roman" w:eastAsia="SimSun" w:hAnsi="Times New Roman" w:cs="Times New Roman"/>
          <w:color w:val="000000"/>
          <w:lang w:eastAsia="ar-SA"/>
        </w:rPr>
        <w:t>perinefrinė</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efuzija</w:t>
      </w:r>
      <w:proofErr w:type="spellEnd"/>
      <w:r w:rsidRPr="00975CA4">
        <w:rPr>
          <w:rFonts w:ascii="Times New Roman" w:eastAsia="SimSun" w:hAnsi="Times New Roman" w:cs="Times New Roman"/>
          <w:color w:val="000000"/>
          <w:lang w:eastAsia="ar-SA"/>
        </w:rPr>
        <w:t>, edema po procedūros, vidaus organų edema.</w:t>
      </w:r>
    </w:p>
    <w:p w14:paraId="0C1CBAB9" w14:textId="77777777" w:rsidR="00156791" w:rsidRPr="00975CA4" w:rsidRDefault="00156791" w:rsidP="00156791">
      <w:pPr>
        <w:suppressAutoHyphens/>
        <w:spacing w:after="120" w:line="240" w:lineRule="auto"/>
        <w:ind w:left="142" w:hanging="142"/>
        <w:rPr>
          <w:rFonts w:ascii="Times New Roman" w:eastAsia="SimSun" w:hAnsi="Times New Roman" w:cs="Times New Roman"/>
          <w:color w:val="000000"/>
          <w:lang w:eastAsia="ar-SA"/>
        </w:rPr>
      </w:pPr>
      <w:r w:rsidRPr="00975CA4">
        <w:rPr>
          <w:rFonts w:ascii="Times New Roman" w:eastAsia="SimSun" w:hAnsi="Times New Roman" w:cs="Times New Roman"/>
          <w:color w:val="000000"/>
          <w:vertAlign w:val="superscript"/>
          <w:lang w:eastAsia="ar-SA"/>
        </w:rPr>
        <w:t>l</w:t>
      </w:r>
      <w:r w:rsidRPr="00975CA4">
        <w:rPr>
          <w:rFonts w:ascii="Times New Roman" w:eastAsia="SimSun" w:hAnsi="Times New Roman" w:cs="Times New Roman"/>
          <w:color w:val="000000"/>
          <w:lang w:eastAsia="ar-SA"/>
        </w:rPr>
        <w:t xml:space="preserve"> Lyties organų patinimas, pjūvio vietos edema, lyties organų edema, varpos edema, varpos patinimas, kapšelio edema, odos patinimas, sėklidžių patinimas, moters išorinių lyties organų ir makšties patinimas.</w:t>
      </w:r>
    </w:p>
    <w:p w14:paraId="45341144" w14:textId="77777777" w:rsidR="00156791" w:rsidRPr="00975CA4" w:rsidRDefault="00156791" w:rsidP="00156791">
      <w:pPr>
        <w:suppressAutoHyphens/>
        <w:spacing w:after="120" w:line="240" w:lineRule="auto"/>
        <w:ind w:left="142" w:hanging="142"/>
        <w:rPr>
          <w:rFonts w:ascii="Times New Roman" w:eastAsia="SimSun" w:hAnsi="Times New Roman" w:cs="Times New Roman"/>
          <w:color w:val="000000"/>
          <w:u w:val="single"/>
          <w:lang w:eastAsia="ar-SA"/>
        </w:rPr>
      </w:pPr>
      <w:r w:rsidRPr="00975CA4">
        <w:rPr>
          <w:rFonts w:ascii="Times New Roman" w:eastAsia="SimSun" w:hAnsi="Times New Roman" w:cs="Times New Roman"/>
          <w:color w:val="000000"/>
          <w:lang w:eastAsia="ar-SA"/>
        </w:rPr>
        <w:t>* Smulkiau žr. skyrių „Atrinktų nepageidaujamų reakcijų apibūdinimas“.</w:t>
      </w:r>
    </w:p>
    <w:p w14:paraId="7987312C" w14:textId="77777777" w:rsidR="00156791" w:rsidRPr="00975CA4" w:rsidRDefault="00156791" w:rsidP="00156791">
      <w:pPr>
        <w:suppressAutoHyphens/>
        <w:spacing w:after="0" w:line="240" w:lineRule="auto"/>
        <w:rPr>
          <w:rFonts w:ascii="Times New Roman" w:eastAsia="SimSun" w:hAnsi="Times New Roman" w:cs="Times New Roman"/>
          <w:color w:val="000000"/>
          <w:u w:val="single"/>
          <w:lang w:eastAsia="ar-SA"/>
        </w:rPr>
      </w:pPr>
    </w:p>
    <w:p w14:paraId="52764C29" w14:textId="77777777" w:rsidR="00156791" w:rsidRPr="00975CA4" w:rsidRDefault="00156791" w:rsidP="00156791">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Atrinktų nepageidaujamų reakcijų apibūdinimas</w:t>
      </w:r>
    </w:p>
    <w:p w14:paraId="1F549F62"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Kaulų čiulpų slopinimas</w:t>
      </w:r>
    </w:p>
    <w:p w14:paraId="0C7327F4"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Gydymas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yra susijęs su anemija, </w:t>
      </w:r>
      <w:proofErr w:type="spellStart"/>
      <w:r w:rsidRPr="00975CA4">
        <w:rPr>
          <w:rFonts w:ascii="Times New Roman" w:eastAsia="SimSun" w:hAnsi="Times New Roman" w:cs="Times New Roman"/>
          <w:color w:val="000000"/>
          <w:lang w:eastAsia="ar-SA"/>
        </w:rPr>
        <w:t>neutropenija</w:t>
      </w:r>
      <w:proofErr w:type="spellEnd"/>
      <w:r w:rsidRPr="00975CA4">
        <w:rPr>
          <w:rFonts w:ascii="Times New Roman" w:eastAsia="SimSun" w:hAnsi="Times New Roman" w:cs="Times New Roman"/>
          <w:color w:val="000000"/>
          <w:lang w:eastAsia="ar-SA"/>
        </w:rPr>
        <w:t xml:space="preserve"> ir </w:t>
      </w:r>
      <w:proofErr w:type="spellStart"/>
      <w:r w:rsidRPr="00975CA4">
        <w:rPr>
          <w:rFonts w:ascii="Times New Roman" w:eastAsia="SimSun" w:hAnsi="Times New Roman" w:cs="Times New Roman"/>
          <w:color w:val="000000"/>
          <w:lang w:eastAsia="ar-SA"/>
        </w:rPr>
        <w:t>trombocitopenija</w:t>
      </w:r>
      <w:proofErr w:type="spellEnd"/>
      <w:r w:rsidRPr="00975CA4">
        <w:rPr>
          <w:rFonts w:ascii="Times New Roman" w:eastAsia="SimSun" w:hAnsi="Times New Roman" w:cs="Times New Roman"/>
          <w:color w:val="000000"/>
          <w:lang w:eastAsia="ar-SA"/>
        </w:rPr>
        <w:t xml:space="preserve">. Toks poveikis progresavusios fazės LML ar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sergantiems pacientams pasireiškia anksčiau ir dažniau negu pacientams, kuriems yra lėtinė LML fazė (žr. 4.4 skyrių).</w:t>
      </w:r>
    </w:p>
    <w:p w14:paraId="38D07BB5"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31268DD8"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Kraujavimas</w:t>
      </w:r>
    </w:p>
    <w:p w14:paraId="2F1C6F10"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Gauta pranešimų, kad pacientams vartojant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pasireiškė su vaistiniu preparatu susijusių nepageidaujamų reakcijų dėl kraujavimo – nuo taškinių kraujosruvų ir </w:t>
      </w:r>
      <w:r w:rsidR="00FC1BA7" w:rsidRPr="00975CA4">
        <w:rPr>
          <w:rFonts w:ascii="Times New Roman" w:eastAsia="SimSun" w:hAnsi="Times New Roman" w:cs="Times New Roman"/>
          <w:color w:val="000000"/>
          <w:lang w:eastAsia="ar-SA"/>
        </w:rPr>
        <w:t>kraujavimo iš nosies (</w:t>
      </w:r>
      <w:proofErr w:type="spellStart"/>
      <w:r w:rsidRPr="00975CA4">
        <w:rPr>
          <w:rFonts w:ascii="Times New Roman" w:eastAsia="SimSun" w:hAnsi="Times New Roman" w:cs="Times New Roman"/>
          <w:color w:val="000000"/>
          <w:lang w:eastAsia="ar-SA"/>
        </w:rPr>
        <w:t>epistaksės</w:t>
      </w:r>
      <w:proofErr w:type="spellEnd"/>
      <w:r w:rsidR="00FC1BA7"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 xml:space="preserve"> iki 3 ar 4 laipsnio kraujavimo iš virškinimo trakto bei CNS kraujavimo (žr. 4.4 skyrių).</w:t>
      </w:r>
    </w:p>
    <w:p w14:paraId="70DD7940"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7B816E2E"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Skysčio susilaikymas</w:t>
      </w:r>
    </w:p>
    <w:p w14:paraId="2F6CC423" w14:textId="6D7B60D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Įvairias nepageidaujamas reakcijas (</w:t>
      </w:r>
      <w:r w:rsidR="000B7F9B" w:rsidRPr="00975CA4">
        <w:rPr>
          <w:rFonts w:ascii="Times New Roman" w:eastAsia="SimSun" w:hAnsi="Times New Roman" w:cs="Times New Roman"/>
          <w:color w:val="000000"/>
          <w:lang w:eastAsia="ar-SA"/>
        </w:rPr>
        <w:t xml:space="preserve">skystį </w:t>
      </w:r>
      <w:r w:rsidRPr="00975CA4">
        <w:rPr>
          <w:rFonts w:ascii="Times New Roman" w:eastAsia="SimSun" w:hAnsi="Times New Roman" w:cs="Times New Roman"/>
          <w:color w:val="000000"/>
          <w:lang w:eastAsia="ar-SA"/>
        </w:rPr>
        <w:t>pleuro</w:t>
      </w:r>
      <w:r w:rsidR="00FA46FF"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ascitą</w:t>
      </w:r>
      <w:proofErr w:type="spellEnd"/>
      <w:r w:rsidRPr="00975CA4">
        <w:rPr>
          <w:rFonts w:ascii="Times New Roman" w:eastAsia="SimSun" w:hAnsi="Times New Roman" w:cs="Times New Roman"/>
          <w:color w:val="000000"/>
          <w:lang w:eastAsia="ar-SA"/>
        </w:rPr>
        <w:t xml:space="preserve">, plaučių edemą ir </w:t>
      </w:r>
      <w:r w:rsidR="000B7F9B" w:rsidRPr="00975CA4">
        <w:rPr>
          <w:rFonts w:ascii="Times New Roman" w:eastAsia="SimSun" w:hAnsi="Times New Roman" w:cs="Times New Roman"/>
          <w:color w:val="000000"/>
          <w:lang w:eastAsia="ar-SA"/>
        </w:rPr>
        <w:t xml:space="preserve">skystį </w:t>
      </w:r>
      <w:r w:rsidRPr="00975CA4">
        <w:rPr>
          <w:rFonts w:ascii="Times New Roman" w:eastAsia="SimSun" w:hAnsi="Times New Roman" w:cs="Times New Roman"/>
          <w:color w:val="000000"/>
          <w:lang w:eastAsia="ar-SA"/>
        </w:rPr>
        <w:t>perikard</w:t>
      </w:r>
      <w:r w:rsidR="00FA46FF" w:rsidRPr="00975CA4">
        <w:rPr>
          <w:rFonts w:ascii="Times New Roman" w:eastAsia="SimSun" w:hAnsi="Times New Roman" w:cs="Times New Roman"/>
          <w:color w:val="000000"/>
          <w:lang w:eastAsia="ar-SA"/>
        </w:rPr>
        <w:t>o ertmėje</w:t>
      </w:r>
      <w:r w:rsidRPr="00975CA4">
        <w:rPr>
          <w:rFonts w:ascii="Times New Roman" w:eastAsia="SimSun" w:hAnsi="Times New Roman" w:cs="Times New Roman"/>
          <w:color w:val="000000"/>
          <w:lang w:eastAsia="ar-SA"/>
        </w:rPr>
        <w:t xml:space="preserve"> su paviršine edema ar be jos) galima bendrai vadinti skysčio susilaikymu. Naujai diagnozuota lėtinės fazės LML sergančių pacientų tyrimo metu per bent 60</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trukusį stebėjimo laikotarpį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susijusios skysčio susilaikymo nepageidaujamos reakcijos buvo </w:t>
      </w:r>
      <w:r w:rsidR="00B510AB" w:rsidRPr="00975CA4">
        <w:rPr>
          <w:rFonts w:ascii="Times New Roman" w:eastAsia="SimSun" w:hAnsi="Times New Roman" w:cs="Times New Roman"/>
          <w:color w:val="000000"/>
          <w:lang w:eastAsia="ar-SA"/>
        </w:rPr>
        <w:t xml:space="preserve">skystis </w:t>
      </w:r>
      <w:r w:rsidRPr="00975CA4">
        <w:rPr>
          <w:rFonts w:ascii="Times New Roman" w:eastAsia="SimSun" w:hAnsi="Times New Roman" w:cs="Times New Roman"/>
          <w:color w:val="000000"/>
          <w:lang w:eastAsia="ar-SA"/>
        </w:rPr>
        <w:t>pleuro</w:t>
      </w:r>
      <w:r w:rsidR="00FA46FF"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(28</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paviršinė edema (14</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plau</w:t>
      </w:r>
      <w:r w:rsidR="00B510AB" w:rsidRPr="00975CA4">
        <w:rPr>
          <w:rFonts w:ascii="Times New Roman" w:eastAsia="SimSun" w:hAnsi="Times New Roman" w:cs="Times New Roman"/>
          <w:color w:val="000000"/>
          <w:lang w:eastAsia="ar-SA"/>
        </w:rPr>
        <w:t>tinė</w:t>
      </w:r>
      <w:proofErr w:type="spellEnd"/>
      <w:r w:rsidRPr="00975CA4">
        <w:rPr>
          <w:rFonts w:ascii="Times New Roman" w:eastAsia="SimSun" w:hAnsi="Times New Roman" w:cs="Times New Roman"/>
          <w:color w:val="000000"/>
          <w:lang w:eastAsia="ar-SA"/>
        </w:rPr>
        <w:t xml:space="preserve"> hipertenzija (5</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išplitusi edema (4</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ir </w:t>
      </w:r>
      <w:r w:rsidR="002E6B66" w:rsidRPr="00975CA4">
        <w:rPr>
          <w:rFonts w:ascii="Times New Roman" w:eastAsia="SimSun" w:hAnsi="Times New Roman" w:cs="Times New Roman"/>
          <w:color w:val="000000"/>
          <w:lang w:eastAsia="ar-SA"/>
        </w:rPr>
        <w:t xml:space="preserve">skystis </w:t>
      </w:r>
      <w:r w:rsidRPr="00975CA4">
        <w:rPr>
          <w:rFonts w:ascii="Times New Roman" w:eastAsia="SimSun" w:hAnsi="Times New Roman" w:cs="Times New Roman"/>
          <w:color w:val="000000"/>
          <w:lang w:eastAsia="ar-SA"/>
        </w:rPr>
        <w:t>perikard</w:t>
      </w:r>
      <w:r w:rsidR="00FA46FF" w:rsidRPr="00975CA4">
        <w:rPr>
          <w:rFonts w:ascii="Times New Roman" w:eastAsia="SimSun" w:hAnsi="Times New Roman" w:cs="Times New Roman"/>
          <w:color w:val="000000"/>
          <w:lang w:eastAsia="ar-SA"/>
        </w:rPr>
        <w:t>o ertmėje</w:t>
      </w:r>
      <w:r w:rsidRPr="00975CA4">
        <w:rPr>
          <w:rFonts w:ascii="Times New Roman" w:eastAsia="SimSun" w:hAnsi="Times New Roman" w:cs="Times New Roman"/>
          <w:color w:val="000000"/>
          <w:lang w:eastAsia="ar-SA"/>
        </w:rPr>
        <w:t xml:space="preserve"> (4</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Stazinis</w:t>
      </w:r>
      <w:proofErr w:type="spellEnd"/>
      <w:r w:rsidRPr="00975CA4">
        <w:rPr>
          <w:rFonts w:ascii="Times New Roman" w:eastAsia="SimSun" w:hAnsi="Times New Roman" w:cs="Times New Roman"/>
          <w:color w:val="000000"/>
          <w:lang w:eastAsia="ar-SA"/>
        </w:rPr>
        <w:t xml:space="preserve"> širdies nepakankamumas/širdies funkcijos sutrikimas ir plaučių edema užfiksuoti &lt;</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2</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pacientų.</w:t>
      </w:r>
    </w:p>
    <w:p w14:paraId="7AAD3C11"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62E651B5" w14:textId="518102FA"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Kumuliacinis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susijusio visų laipsnių </w:t>
      </w:r>
      <w:r w:rsidR="002E6B66" w:rsidRPr="00975CA4">
        <w:rPr>
          <w:rFonts w:ascii="Times New Roman" w:eastAsia="SimSun" w:hAnsi="Times New Roman" w:cs="Times New Roman"/>
          <w:color w:val="000000"/>
          <w:lang w:eastAsia="ar-SA"/>
        </w:rPr>
        <w:t xml:space="preserve">skysčio </w:t>
      </w:r>
      <w:r w:rsidRPr="00975CA4">
        <w:rPr>
          <w:rFonts w:ascii="Times New Roman" w:eastAsia="SimSun" w:hAnsi="Times New Roman" w:cs="Times New Roman"/>
          <w:color w:val="000000"/>
          <w:lang w:eastAsia="ar-SA"/>
        </w:rPr>
        <w:t>pleuro</w:t>
      </w:r>
      <w:r w:rsidR="00550507"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dažnis per 12</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buvo 10</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24</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 14</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36</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 19</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48</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 24</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per 60</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 28</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46</w:t>
      </w:r>
      <w:r w:rsidR="00FA46FF" w:rsidRPr="00975CA4">
        <w:rPr>
          <w:rFonts w:ascii="Times New Roman" w:eastAsia="SimSun" w:hAnsi="Times New Roman" w:cs="Times New Roman"/>
          <w:color w:val="000000"/>
          <w:lang w:eastAsia="ar-SA"/>
        </w:rPr>
        <w:t>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vartojusiems pacientams </w:t>
      </w:r>
      <w:r w:rsidR="002E6B66" w:rsidRPr="00975CA4">
        <w:rPr>
          <w:rFonts w:ascii="Times New Roman" w:eastAsia="SimSun" w:hAnsi="Times New Roman" w:cs="Times New Roman"/>
          <w:color w:val="000000"/>
          <w:lang w:eastAsia="ar-SA"/>
        </w:rPr>
        <w:t xml:space="preserve">skystis </w:t>
      </w:r>
      <w:r w:rsidRPr="00975CA4">
        <w:rPr>
          <w:rFonts w:ascii="Times New Roman" w:eastAsia="SimSun" w:hAnsi="Times New Roman" w:cs="Times New Roman"/>
          <w:color w:val="000000"/>
          <w:lang w:eastAsia="ar-SA"/>
        </w:rPr>
        <w:t>pleuro</w:t>
      </w:r>
      <w:r w:rsidR="00550507"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atsinaujino: 17 pacientų užfiksuoti 2, 6 pacientams – 3, 18 pacientų – 4-8 ir 5 pacientams &gt;</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8 atskiri </w:t>
      </w:r>
      <w:r w:rsidR="002E6B66" w:rsidRPr="00975CA4">
        <w:rPr>
          <w:rFonts w:ascii="Times New Roman" w:eastAsia="SimSun" w:hAnsi="Times New Roman" w:cs="Times New Roman"/>
          <w:color w:val="000000"/>
          <w:lang w:eastAsia="ar-SA"/>
        </w:rPr>
        <w:t xml:space="preserve">skysčio </w:t>
      </w:r>
      <w:r w:rsidRPr="00975CA4">
        <w:rPr>
          <w:rFonts w:ascii="Times New Roman" w:eastAsia="SimSun" w:hAnsi="Times New Roman" w:cs="Times New Roman"/>
          <w:color w:val="000000"/>
          <w:lang w:eastAsia="ar-SA"/>
        </w:rPr>
        <w:t>pleuro</w:t>
      </w:r>
      <w:r w:rsidR="00477FED"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nepageidaujamos reakcijos epizodai. </w:t>
      </w:r>
    </w:p>
    <w:p w14:paraId="38D97E92"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0AD97D83" w14:textId="663D0DE4"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Laikotarpio iki pirmo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susijusios 1 ar 2 laipsnio </w:t>
      </w:r>
      <w:r w:rsidR="002E6B66" w:rsidRPr="00975CA4">
        <w:rPr>
          <w:rFonts w:ascii="Times New Roman" w:eastAsia="SimSun" w:hAnsi="Times New Roman" w:cs="Times New Roman"/>
          <w:color w:val="000000"/>
          <w:lang w:eastAsia="ar-SA"/>
        </w:rPr>
        <w:t xml:space="preserve">skysčio </w:t>
      </w:r>
      <w:r w:rsidRPr="00975CA4">
        <w:rPr>
          <w:rFonts w:ascii="Times New Roman" w:eastAsia="SimSun" w:hAnsi="Times New Roman" w:cs="Times New Roman"/>
          <w:color w:val="000000"/>
          <w:lang w:eastAsia="ar-SA"/>
        </w:rPr>
        <w:t>pleuro</w:t>
      </w:r>
      <w:r w:rsidR="00FA46FF"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pasireiškimo mediana buvo 114 savaičių (diapazonas nuo 4 iki 299 savaičių). Mažiau kaip 10</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pacientų, kuriems pasireiškė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susij</w:t>
      </w:r>
      <w:r w:rsidR="002E6B66" w:rsidRPr="00975CA4">
        <w:rPr>
          <w:rFonts w:ascii="Times New Roman" w:eastAsia="SimSun" w:hAnsi="Times New Roman" w:cs="Times New Roman"/>
          <w:color w:val="000000"/>
          <w:lang w:eastAsia="ar-SA"/>
        </w:rPr>
        <w:t>ęs</w:t>
      </w:r>
      <w:r w:rsidRPr="00975CA4">
        <w:rPr>
          <w:rFonts w:ascii="Times New Roman" w:eastAsia="SimSun" w:hAnsi="Times New Roman" w:cs="Times New Roman"/>
          <w:color w:val="000000"/>
          <w:lang w:eastAsia="ar-SA"/>
        </w:rPr>
        <w:t xml:space="preserve"> </w:t>
      </w:r>
      <w:r w:rsidR="002E6B66" w:rsidRPr="00975CA4">
        <w:rPr>
          <w:rFonts w:ascii="Times New Roman" w:eastAsia="SimSun" w:hAnsi="Times New Roman" w:cs="Times New Roman"/>
          <w:color w:val="000000"/>
          <w:lang w:eastAsia="ar-SA"/>
        </w:rPr>
        <w:t xml:space="preserve">skystis </w:t>
      </w:r>
      <w:r w:rsidRPr="00975CA4">
        <w:rPr>
          <w:rFonts w:ascii="Times New Roman" w:eastAsia="SimSun" w:hAnsi="Times New Roman" w:cs="Times New Roman"/>
          <w:color w:val="000000"/>
          <w:lang w:eastAsia="ar-SA"/>
        </w:rPr>
        <w:t>pleuro</w:t>
      </w:r>
      <w:r w:rsidR="00FA46FF"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ji</w:t>
      </w:r>
      <w:r w:rsidR="002E6B66" w:rsidRPr="00975CA4">
        <w:rPr>
          <w:rFonts w:ascii="Times New Roman" w:eastAsia="SimSun" w:hAnsi="Times New Roman" w:cs="Times New Roman"/>
          <w:color w:val="000000"/>
          <w:lang w:eastAsia="ar-SA"/>
        </w:rPr>
        <w:t>s</w:t>
      </w:r>
      <w:r w:rsidRPr="00975CA4">
        <w:rPr>
          <w:rFonts w:ascii="Times New Roman" w:eastAsia="SimSun" w:hAnsi="Times New Roman" w:cs="Times New Roman"/>
          <w:color w:val="000000"/>
          <w:lang w:eastAsia="ar-SA"/>
        </w:rPr>
        <w:t xml:space="preserve"> buvo stipriai išreikšta</w:t>
      </w:r>
      <w:r w:rsidR="002E6B66" w:rsidRPr="00975CA4">
        <w:rPr>
          <w:rFonts w:ascii="Times New Roman" w:eastAsia="SimSun" w:hAnsi="Times New Roman" w:cs="Times New Roman"/>
          <w:color w:val="000000"/>
          <w:lang w:eastAsia="ar-SA"/>
        </w:rPr>
        <w:t>s</w:t>
      </w:r>
      <w:r w:rsidRPr="00975CA4">
        <w:rPr>
          <w:rFonts w:ascii="Times New Roman" w:eastAsia="SimSun" w:hAnsi="Times New Roman" w:cs="Times New Roman"/>
          <w:color w:val="000000"/>
          <w:lang w:eastAsia="ar-SA"/>
        </w:rPr>
        <w:t xml:space="preserve"> (3 ar 4 laipsnio). Laikotarpio iki pirmo ≥</w:t>
      </w:r>
      <w:r w:rsidR="00FA46FF"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3 laipsnio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susijusio </w:t>
      </w:r>
      <w:r w:rsidR="002E6B66" w:rsidRPr="00975CA4">
        <w:rPr>
          <w:rFonts w:ascii="Times New Roman" w:eastAsia="SimSun" w:hAnsi="Times New Roman" w:cs="Times New Roman"/>
          <w:color w:val="000000"/>
          <w:lang w:eastAsia="ar-SA"/>
        </w:rPr>
        <w:t xml:space="preserve">skysčio </w:t>
      </w:r>
      <w:r w:rsidRPr="00975CA4">
        <w:rPr>
          <w:rFonts w:ascii="Times New Roman" w:eastAsia="SimSun" w:hAnsi="Times New Roman" w:cs="Times New Roman"/>
          <w:color w:val="000000"/>
          <w:lang w:eastAsia="ar-SA"/>
        </w:rPr>
        <w:t>pleuro</w:t>
      </w:r>
      <w:r w:rsidR="00FA46FF"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pasireiškimo mediana buvo 175 savaitės (diapazonas nuo 114 iki 274 savaičių). Su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susijusio visų laipsnių </w:t>
      </w:r>
      <w:r w:rsidR="00E96DB2" w:rsidRPr="00975CA4">
        <w:rPr>
          <w:rFonts w:ascii="Times New Roman" w:eastAsia="SimSun" w:hAnsi="Times New Roman" w:cs="Times New Roman"/>
          <w:color w:val="000000"/>
          <w:lang w:eastAsia="ar-SA"/>
        </w:rPr>
        <w:t xml:space="preserve">skysčio </w:t>
      </w:r>
      <w:r w:rsidRPr="00975CA4">
        <w:rPr>
          <w:rFonts w:ascii="Times New Roman" w:eastAsia="SimSun" w:hAnsi="Times New Roman" w:cs="Times New Roman"/>
          <w:color w:val="000000"/>
          <w:lang w:eastAsia="ar-SA"/>
        </w:rPr>
        <w:t>pleuro</w:t>
      </w:r>
      <w:r w:rsidR="00FA46FF"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trukmės mediana buvo 283 dienos (apie 40 savaičių).</w:t>
      </w:r>
    </w:p>
    <w:p w14:paraId="54B0AF3B"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193F3D75" w14:textId="4FDBC0E5" w:rsidR="003A0B67" w:rsidRPr="00975CA4" w:rsidRDefault="00497D16"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Skystis p</w:t>
      </w:r>
      <w:r w:rsidR="003A0B67" w:rsidRPr="00975CA4">
        <w:rPr>
          <w:rFonts w:ascii="Times New Roman" w:eastAsia="SimSun" w:hAnsi="Times New Roman" w:cs="Times New Roman"/>
          <w:color w:val="000000"/>
          <w:lang w:eastAsia="ar-SA"/>
        </w:rPr>
        <w:t>leuro</w:t>
      </w:r>
      <w:r w:rsidR="003A1AAD" w:rsidRPr="00975CA4">
        <w:rPr>
          <w:rFonts w:ascii="Times New Roman" w:eastAsia="SimSun" w:hAnsi="Times New Roman" w:cs="Times New Roman"/>
          <w:color w:val="000000"/>
          <w:lang w:eastAsia="ar-SA"/>
        </w:rPr>
        <w:t>s ertmėje</w:t>
      </w:r>
      <w:r w:rsidR="003A0B67" w:rsidRPr="00975CA4">
        <w:rPr>
          <w:rFonts w:ascii="Times New Roman" w:eastAsia="SimSun" w:hAnsi="Times New Roman" w:cs="Times New Roman"/>
          <w:color w:val="000000"/>
          <w:lang w:eastAsia="ar-SA"/>
        </w:rPr>
        <w:t xml:space="preserve"> dažniausiai būdavo laikina</w:t>
      </w:r>
      <w:r w:rsidRPr="00975CA4">
        <w:rPr>
          <w:rFonts w:ascii="Times New Roman" w:eastAsia="SimSun" w:hAnsi="Times New Roman" w:cs="Times New Roman"/>
          <w:color w:val="000000"/>
          <w:lang w:eastAsia="ar-SA"/>
        </w:rPr>
        <w:t>s</w:t>
      </w:r>
      <w:r w:rsidR="003A0B67" w:rsidRPr="00975CA4">
        <w:rPr>
          <w:rFonts w:ascii="Times New Roman" w:eastAsia="SimSun" w:hAnsi="Times New Roman" w:cs="Times New Roman"/>
          <w:color w:val="000000"/>
          <w:lang w:eastAsia="ar-SA"/>
        </w:rPr>
        <w:t>: ji</w:t>
      </w:r>
      <w:r w:rsidRPr="00975CA4">
        <w:rPr>
          <w:rFonts w:ascii="Times New Roman" w:eastAsia="SimSun" w:hAnsi="Times New Roman" w:cs="Times New Roman"/>
          <w:color w:val="000000"/>
          <w:lang w:eastAsia="ar-SA"/>
        </w:rPr>
        <w:t>s</w:t>
      </w:r>
      <w:r w:rsidR="003A0B67" w:rsidRPr="00975CA4">
        <w:rPr>
          <w:rFonts w:ascii="Times New Roman" w:eastAsia="SimSun" w:hAnsi="Times New Roman" w:cs="Times New Roman"/>
          <w:color w:val="000000"/>
          <w:lang w:eastAsia="ar-SA"/>
        </w:rPr>
        <w:t xml:space="preserve"> praeidavo laikinai nutraukus </w:t>
      </w:r>
      <w:proofErr w:type="spellStart"/>
      <w:r w:rsidR="003A0B67" w:rsidRPr="00975CA4">
        <w:rPr>
          <w:rFonts w:ascii="Times New Roman" w:eastAsia="SimSun" w:hAnsi="Times New Roman" w:cs="Times New Roman"/>
          <w:color w:val="000000"/>
          <w:lang w:eastAsia="ar-SA"/>
        </w:rPr>
        <w:t>dazatinibo</w:t>
      </w:r>
      <w:proofErr w:type="spellEnd"/>
      <w:r w:rsidR="003A0B67" w:rsidRPr="00975CA4">
        <w:rPr>
          <w:rFonts w:ascii="Times New Roman" w:eastAsia="SimSun" w:hAnsi="Times New Roman" w:cs="Times New Roman"/>
          <w:color w:val="000000"/>
          <w:lang w:eastAsia="ar-SA"/>
        </w:rPr>
        <w:t xml:space="preserve"> vartojimą ir taikant gydymą diuretikais arba kitomis tinkamomis palaikomosiomis priemonėmis (žr. 4.2 ir 4.4 skyrius). Iš viso su gydymu susijus</w:t>
      </w:r>
      <w:r w:rsidR="001B2750" w:rsidRPr="00975CA4">
        <w:rPr>
          <w:rFonts w:ascii="Times New Roman" w:eastAsia="SimSun" w:hAnsi="Times New Roman" w:cs="Times New Roman"/>
          <w:color w:val="000000"/>
          <w:lang w:eastAsia="ar-SA"/>
        </w:rPr>
        <w:t>į</w:t>
      </w:r>
      <w:r w:rsidR="003A0B67" w:rsidRPr="00975CA4">
        <w:rPr>
          <w:rFonts w:ascii="Times New Roman" w:eastAsia="SimSun" w:hAnsi="Times New Roman" w:cs="Times New Roman"/>
          <w:color w:val="000000"/>
          <w:lang w:eastAsia="ar-SA"/>
        </w:rPr>
        <w:t xml:space="preserve"> </w:t>
      </w:r>
      <w:r w:rsidR="001B2750" w:rsidRPr="00975CA4">
        <w:rPr>
          <w:rFonts w:ascii="Times New Roman" w:eastAsia="SimSun" w:hAnsi="Times New Roman" w:cs="Times New Roman"/>
          <w:color w:val="000000"/>
          <w:lang w:eastAsia="ar-SA"/>
        </w:rPr>
        <w:t xml:space="preserve">skystį </w:t>
      </w:r>
      <w:r w:rsidR="003A0B67" w:rsidRPr="00975CA4">
        <w:rPr>
          <w:rFonts w:ascii="Times New Roman" w:eastAsia="SimSun" w:hAnsi="Times New Roman" w:cs="Times New Roman"/>
          <w:color w:val="000000"/>
          <w:lang w:eastAsia="ar-SA"/>
        </w:rPr>
        <w:t>pleuro</w:t>
      </w:r>
      <w:r w:rsidR="003A1AAD" w:rsidRPr="00975CA4">
        <w:rPr>
          <w:rFonts w:ascii="Times New Roman" w:eastAsia="SimSun" w:hAnsi="Times New Roman" w:cs="Times New Roman"/>
          <w:color w:val="000000"/>
          <w:lang w:eastAsia="ar-SA"/>
        </w:rPr>
        <w:t>s ertmėje</w:t>
      </w:r>
      <w:r w:rsidR="003A0B67" w:rsidRPr="00975CA4">
        <w:rPr>
          <w:rFonts w:ascii="Times New Roman" w:eastAsia="SimSun" w:hAnsi="Times New Roman" w:cs="Times New Roman"/>
          <w:color w:val="000000"/>
          <w:lang w:eastAsia="ar-SA"/>
        </w:rPr>
        <w:t xml:space="preserve"> patyrė 73 </w:t>
      </w:r>
      <w:proofErr w:type="spellStart"/>
      <w:r w:rsidR="003A0B67" w:rsidRPr="00975CA4">
        <w:rPr>
          <w:rFonts w:ascii="Times New Roman" w:eastAsia="SimSun" w:hAnsi="Times New Roman" w:cs="Times New Roman"/>
          <w:color w:val="000000"/>
          <w:lang w:eastAsia="ar-SA"/>
        </w:rPr>
        <w:t>dazatinibo</w:t>
      </w:r>
      <w:proofErr w:type="spellEnd"/>
      <w:r w:rsidR="003A0B67" w:rsidRPr="00975CA4">
        <w:rPr>
          <w:rFonts w:ascii="Times New Roman" w:eastAsia="SimSun" w:hAnsi="Times New Roman" w:cs="Times New Roman"/>
          <w:color w:val="000000"/>
          <w:lang w:eastAsia="ar-SA"/>
        </w:rPr>
        <w:t xml:space="preserve"> vartoję pacientai: 45 (62</w:t>
      </w:r>
      <w:r w:rsidR="001B2750" w:rsidRPr="00975CA4">
        <w:rPr>
          <w:rFonts w:ascii="Times New Roman" w:eastAsia="SimSun" w:hAnsi="Times New Roman" w:cs="Times New Roman"/>
          <w:color w:val="000000"/>
          <w:lang w:eastAsia="ar-SA"/>
        </w:rPr>
        <w:t> </w:t>
      </w:r>
      <w:r w:rsidR="003A0B67" w:rsidRPr="00975CA4">
        <w:rPr>
          <w:rFonts w:ascii="Times New Roman" w:eastAsia="SimSun" w:hAnsi="Times New Roman" w:cs="Times New Roman"/>
          <w:color w:val="000000"/>
          <w:lang w:eastAsia="ar-SA"/>
        </w:rPr>
        <w:t>%) iš jų buvo laikinai nutrauktas gydymas, 30 (41</w:t>
      </w:r>
      <w:r w:rsidR="003A1AAD" w:rsidRPr="00975CA4">
        <w:rPr>
          <w:rFonts w:ascii="Times New Roman" w:eastAsia="SimSun" w:hAnsi="Times New Roman" w:cs="Times New Roman"/>
          <w:color w:val="000000"/>
          <w:lang w:eastAsia="ar-SA"/>
        </w:rPr>
        <w:t> </w:t>
      </w:r>
      <w:r w:rsidR="003A0B67" w:rsidRPr="00975CA4">
        <w:rPr>
          <w:rFonts w:ascii="Times New Roman" w:eastAsia="SimSun" w:hAnsi="Times New Roman" w:cs="Times New Roman"/>
          <w:color w:val="000000"/>
          <w:lang w:eastAsia="ar-SA"/>
        </w:rPr>
        <w:t>%) - sumažinta dozė. Be to, 34 (47</w:t>
      </w:r>
      <w:r w:rsidR="003A1AAD" w:rsidRPr="00975CA4">
        <w:rPr>
          <w:rFonts w:ascii="Times New Roman" w:eastAsia="SimSun" w:hAnsi="Times New Roman" w:cs="Times New Roman"/>
          <w:color w:val="000000"/>
          <w:lang w:eastAsia="ar-SA"/>
        </w:rPr>
        <w:t> </w:t>
      </w:r>
      <w:r w:rsidR="003A0B67" w:rsidRPr="00975CA4">
        <w:rPr>
          <w:rFonts w:ascii="Times New Roman" w:eastAsia="SimSun" w:hAnsi="Times New Roman" w:cs="Times New Roman"/>
          <w:color w:val="000000"/>
          <w:lang w:eastAsia="ar-SA"/>
        </w:rPr>
        <w:t>%) pacientams skirta diuretikų, 23 (32</w:t>
      </w:r>
      <w:r w:rsidR="003A1AAD" w:rsidRPr="00975CA4">
        <w:rPr>
          <w:rFonts w:ascii="Times New Roman" w:eastAsia="SimSun" w:hAnsi="Times New Roman" w:cs="Times New Roman"/>
          <w:color w:val="000000"/>
          <w:lang w:eastAsia="ar-SA"/>
        </w:rPr>
        <w:t> </w:t>
      </w:r>
      <w:r w:rsidR="003A0B67" w:rsidRPr="00975CA4">
        <w:rPr>
          <w:rFonts w:ascii="Times New Roman" w:eastAsia="SimSun" w:hAnsi="Times New Roman" w:cs="Times New Roman"/>
          <w:color w:val="000000"/>
          <w:lang w:eastAsia="ar-SA"/>
        </w:rPr>
        <w:t>%) – kortikosteroidų, o 20 (27</w:t>
      </w:r>
      <w:r w:rsidR="003A1AAD" w:rsidRPr="00975CA4">
        <w:rPr>
          <w:rFonts w:ascii="Times New Roman" w:eastAsia="SimSun" w:hAnsi="Times New Roman" w:cs="Times New Roman"/>
          <w:color w:val="000000"/>
          <w:lang w:eastAsia="ar-SA"/>
        </w:rPr>
        <w:t> </w:t>
      </w:r>
      <w:r w:rsidR="003A0B67" w:rsidRPr="00975CA4">
        <w:rPr>
          <w:rFonts w:ascii="Times New Roman" w:eastAsia="SimSun" w:hAnsi="Times New Roman" w:cs="Times New Roman"/>
          <w:color w:val="000000"/>
          <w:lang w:eastAsia="ar-SA"/>
        </w:rPr>
        <w:t>%) – kortikosteroidų ir taip pat diuretikų. 9 (12</w:t>
      </w:r>
      <w:r w:rsidR="003A1AAD" w:rsidRPr="00975CA4">
        <w:rPr>
          <w:rFonts w:ascii="Times New Roman" w:eastAsia="SimSun" w:hAnsi="Times New Roman" w:cs="Times New Roman"/>
          <w:color w:val="000000"/>
          <w:lang w:eastAsia="ar-SA"/>
        </w:rPr>
        <w:t> </w:t>
      </w:r>
      <w:r w:rsidR="003A0B67" w:rsidRPr="00975CA4">
        <w:rPr>
          <w:rFonts w:ascii="Times New Roman" w:eastAsia="SimSun" w:hAnsi="Times New Roman" w:cs="Times New Roman"/>
          <w:color w:val="000000"/>
          <w:lang w:eastAsia="ar-SA"/>
        </w:rPr>
        <w:t xml:space="preserve">%) pacientams atlikta gydomoji </w:t>
      </w:r>
      <w:proofErr w:type="spellStart"/>
      <w:r w:rsidR="003A0B67" w:rsidRPr="00975CA4">
        <w:rPr>
          <w:rFonts w:ascii="Times New Roman" w:eastAsia="SimSun" w:hAnsi="Times New Roman" w:cs="Times New Roman"/>
          <w:color w:val="000000"/>
          <w:lang w:eastAsia="ar-SA"/>
        </w:rPr>
        <w:t>torakocentezė</w:t>
      </w:r>
      <w:proofErr w:type="spellEnd"/>
      <w:r w:rsidR="003A0B67" w:rsidRPr="00975CA4">
        <w:rPr>
          <w:rFonts w:ascii="Times New Roman" w:eastAsia="SimSun" w:hAnsi="Times New Roman" w:cs="Times New Roman"/>
          <w:color w:val="000000"/>
          <w:lang w:eastAsia="ar-SA"/>
        </w:rPr>
        <w:t xml:space="preserve">. </w:t>
      </w:r>
    </w:p>
    <w:p w14:paraId="2A256EDF"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791B31C8" w14:textId="35CCB838"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6</w:t>
      </w:r>
      <w:r w:rsidR="003B47D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gydomų pacientų gydymas buvo nutrauktas dėl su šiuo vaistiniu preparatu susijusio </w:t>
      </w:r>
      <w:r w:rsidR="001B2750" w:rsidRPr="00975CA4">
        <w:rPr>
          <w:rFonts w:ascii="Times New Roman" w:eastAsia="SimSun" w:hAnsi="Times New Roman" w:cs="Times New Roman"/>
          <w:color w:val="000000"/>
          <w:lang w:eastAsia="ar-SA"/>
        </w:rPr>
        <w:t xml:space="preserve">skysčio </w:t>
      </w:r>
      <w:r w:rsidRPr="00975CA4">
        <w:rPr>
          <w:rFonts w:ascii="Times New Roman" w:eastAsia="SimSun" w:hAnsi="Times New Roman" w:cs="Times New Roman"/>
          <w:color w:val="000000"/>
          <w:lang w:eastAsia="ar-SA"/>
        </w:rPr>
        <w:t>pleuro</w:t>
      </w:r>
      <w:r w:rsidR="00E74857"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Pasireikšti gydomajam atsakui </w:t>
      </w:r>
      <w:r w:rsidR="001B2750" w:rsidRPr="00975CA4">
        <w:rPr>
          <w:rFonts w:ascii="Times New Roman" w:eastAsia="SimSun" w:hAnsi="Times New Roman" w:cs="Times New Roman"/>
          <w:color w:val="000000"/>
          <w:lang w:eastAsia="ar-SA"/>
        </w:rPr>
        <w:t xml:space="preserve">skystis </w:t>
      </w:r>
      <w:r w:rsidRPr="00975CA4">
        <w:rPr>
          <w:rFonts w:ascii="Times New Roman" w:eastAsia="SimSun" w:hAnsi="Times New Roman" w:cs="Times New Roman"/>
          <w:color w:val="000000"/>
          <w:lang w:eastAsia="ar-SA"/>
        </w:rPr>
        <w:t>pleuro</w:t>
      </w:r>
      <w:r w:rsidR="00E74857"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netrukdė: nepaisant laikino gydymo nutraukimo ar sumažintos dozės, </w:t>
      </w:r>
      <w:proofErr w:type="spellStart"/>
      <w:r w:rsidRPr="00975CA4">
        <w:rPr>
          <w:rFonts w:ascii="Times New Roman" w:eastAsia="SimSun" w:hAnsi="Times New Roman" w:cs="Times New Roman"/>
          <w:color w:val="000000"/>
          <w:lang w:eastAsia="ar-SA"/>
        </w:rPr>
        <w:t>cCCyR</w:t>
      </w:r>
      <w:proofErr w:type="spellEnd"/>
      <w:r w:rsidRPr="00975CA4">
        <w:rPr>
          <w:rFonts w:ascii="Times New Roman" w:eastAsia="SimSun" w:hAnsi="Times New Roman" w:cs="Times New Roman"/>
          <w:color w:val="000000"/>
          <w:lang w:eastAsia="ar-SA"/>
        </w:rPr>
        <w:t xml:space="preserve"> užfiksuotas 96</w:t>
      </w:r>
      <w:r w:rsidR="003B47D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MMR – 82</w:t>
      </w:r>
      <w:r w:rsidR="003B47D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o MR4.5 – 50</w:t>
      </w:r>
      <w:r w:rsidR="003B47D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gydytų pacientų, patyrusių </w:t>
      </w:r>
      <w:r w:rsidR="001B2750" w:rsidRPr="00975CA4">
        <w:rPr>
          <w:rFonts w:ascii="Times New Roman" w:eastAsia="SimSun" w:hAnsi="Times New Roman" w:cs="Times New Roman"/>
          <w:color w:val="000000"/>
          <w:lang w:eastAsia="ar-SA"/>
        </w:rPr>
        <w:t xml:space="preserve">skystį </w:t>
      </w:r>
      <w:r w:rsidRPr="00975CA4">
        <w:rPr>
          <w:rFonts w:ascii="Times New Roman" w:eastAsia="SimSun" w:hAnsi="Times New Roman" w:cs="Times New Roman"/>
          <w:color w:val="000000"/>
          <w:lang w:eastAsia="ar-SA"/>
        </w:rPr>
        <w:t>pleuro</w:t>
      </w:r>
      <w:r w:rsidR="00E74857"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w:t>
      </w:r>
    </w:p>
    <w:p w14:paraId="2351BE85"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1206A759"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Daugiau informacijos apie lėtinės fazės LML, progresavusios fazės LML ir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sergančius pacientus pateikta 4.4 skyriuje.</w:t>
      </w:r>
    </w:p>
    <w:p w14:paraId="244EA932" w14:textId="38520FCF"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6BA676EE" w14:textId="77777777" w:rsidR="003B7F81" w:rsidRPr="00975CA4" w:rsidRDefault="003B7F81" w:rsidP="003B7F81">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Buvo pranešta apie </w:t>
      </w:r>
      <w:proofErr w:type="spellStart"/>
      <w:r w:rsidRPr="00975CA4">
        <w:rPr>
          <w:rFonts w:ascii="Times New Roman" w:eastAsia="SimSun" w:hAnsi="Times New Roman" w:cs="Times New Roman"/>
          <w:color w:val="000000"/>
          <w:lang w:eastAsia="ar-SA"/>
        </w:rPr>
        <w:t>chilotorakso</w:t>
      </w:r>
      <w:proofErr w:type="spellEnd"/>
      <w:r w:rsidRPr="00975CA4">
        <w:rPr>
          <w:rFonts w:ascii="Times New Roman" w:eastAsia="SimSun" w:hAnsi="Times New Roman" w:cs="Times New Roman"/>
          <w:color w:val="000000"/>
          <w:lang w:eastAsia="ar-SA"/>
        </w:rPr>
        <w:t xml:space="preserve"> atvejus pacientams, kuriems pasireiškė pleuros </w:t>
      </w:r>
      <w:proofErr w:type="spellStart"/>
      <w:r w:rsidRPr="00975CA4">
        <w:rPr>
          <w:rFonts w:ascii="Times New Roman" w:eastAsia="SimSun" w:hAnsi="Times New Roman" w:cs="Times New Roman"/>
          <w:color w:val="000000"/>
          <w:lang w:eastAsia="ar-SA"/>
        </w:rPr>
        <w:t>efuzija</w:t>
      </w:r>
      <w:proofErr w:type="spellEnd"/>
      <w:r w:rsidRPr="00975CA4">
        <w:rPr>
          <w:rFonts w:ascii="Times New Roman" w:eastAsia="SimSun" w:hAnsi="Times New Roman" w:cs="Times New Roman"/>
          <w:color w:val="000000"/>
          <w:lang w:eastAsia="ar-SA"/>
        </w:rPr>
        <w:t>. Kai kurie</w:t>
      </w:r>
    </w:p>
    <w:p w14:paraId="6C2D78A0" w14:textId="77777777" w:rsidR="003B7F81" w:rsidRPr="00975CA4" w:rsidRDefault="003B7F81" w:rsidP="003B7F81">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chilotorakso</w:t>
      </w:r>
      <w:proofErr w:type="spellEnd"/>
      <w:r w:rsidRPr="00975CA4">
        <w:rPr>
          <w:rFonts w:ascii="Times New Roman" w:eastAsia="SimSun" w:hAnsi="Times New Roman" w:cs="Times New Roman"/>
          <w:color w:val="000000"/>
          <w:lang w:eastAsia="ar-SA"/>
        </w:rPr>
        <w:t xml:space="preserve"> atvejai išnyko nutraukus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vartojimą, nutraukus ar sumažinus dozę, tačiau</w:t>
      </w:r>
    </w:p>
    <w:p w14:paraId="3F355B08" w14:textId="7D76B7B1" w:rsidR="003B7F81" w:rsidRPr="00975CA4" w:rsidRDefault="003B7F81" w:rsidP="003B7F81">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daugeliu atvejų taip pat prireikė papildomo gydymo.</w:t>
      </w:r>
    </w:p>
    <w:p w14:paraId="4E71F54A" w14:textId="77777777" w:rsidR="003B7F81" w:rsidRPr="00975CA4" w:rsidRDefault="003B7F81" w:rsidP="003B7F81">
      <w:pPr>
        <w:suppressAutoHyphens/>
        <w:spacing w:after="0" w:line="240" w:lineRule="auto"/>
        <w:rPr>
          <w:rFonts w:ascii="Times New Roman" w:eastAsia="SimSun" w:hAnsi="Times New Roman" w:cs="Times New Roman"/>
          <w:color w:val="000000"/>
          <w:lang w:eastAsia="ar-SA"/>
        </w:rPr>
      </w:pPr>
    </w:p>
    <w:p w14:paraId="78BDAEEA"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Plaučių arterijos hipertenzija (PAH)</w:t>
      </w:r>
    </w:p>
    <w:p w14:paraId="1FEC395A" w14:textId="09C3FE22"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Gauta pranešimų apie PAH (</w:t>
      </w:r>
      <w:proofErr w:type="spellStart"/>
      <w:r w:rsidRPr="00975CA4">
        <w:rPr>
          <w:rFonts w:ascii="Times New Roman" w:eastAsia="SimSun" w:hAnsi="Times New Roman" w:cs="Times New Roman"/>
          <w:color w:val="000000"/>
          <w:lang w:eastAsia="ar-SA"/>
        </w:rPr>
        <w:t>prekapiliarinę</w:t>
      </w:r>
      <w:proofErr w:type="spellEnd"/>
      <w:r w:rsidRPr="00975CA4">
        <w:rPr>
          <w:rFonts w:ascii="Times New Roman" w:eastAsia="SimSun" w:hAnsi="Times New Roman" w:cs="Times New Roman"/>
          <w:color w:val="000000"/>
          <w:lang w:eastAsia="ar-SA"/>
        </w:rPr>
        <w:t xml:space="preserve"> plaučių arterijos hipertenziją, patvirtintą </w:t>
      </w:r>
      <w:proofErr w:type="spellStart"/>
      <w:r w:rsidRPr="00975CA4">
        <w:rPr>
          <w:rFonts w:ascii="Times New Roman" w:eastAsia="SimSun" w:hAnsi="Times New Roman" w:cs="Times New Roman"/>
          <w:color w:val="000000"/>
          <w:lang w:eastAsia="ar-SA"/>
        </w:rPr>
        <w:t>kateterizuojant</w:t>
      </w:r>
      <w:proofErr w:type="spellEnd"/>
      <w:r w:rsidRPr="00975CA4">
        <w:rPr>
          <w:rFonts w:ascii="Times New Roman" w:eastAsia="SimSun" w:hAnsi="Times New Roman" w:cs="Times New Roman"/>
          <w:color w:val="000000"/>
          <w:lang w:eastAsia="ar-SA"/>
        </w:rPr>
        <w:t xml:space="preserve"> dešinę širdies pusę), susijusią su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ekspozicija. Šiais atvejais apie PAH pranešta po gydymo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pradžios ir taip pat po ilgiau negu metus trukusio gydymo šiuo vaistiniu preparatu. Pacientai, kuriems vartojant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pasireiškė PAH, dažnai</w:t>
      </w:r>
      <w:r w:rsidR="00780314"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 xml:space="preserve">kartu vartojo ir kitų vaistinių preparatų arba sirgo ne tik vėžiu, bet ir kitomis ligomis. Nutraukus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vartojimą pacientams, kuriems buvo PAH, pastebėtas hemodinamikos ir klinikinių rodiklių pagerėjimas.</w:t>
      </w:r>
    </w:p>
    <w:p w14:paraId="4460EC5D"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55588E3D"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QT pailgėjimas</w:t>
      </w:r>
    </w:p>
    <w:p w14:paraId="4155ADED" w14:textId="05ABDB4D"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III fazės tyrimo, kuriame dalyvavo naujai diagnozuota lėtinės fazės LML sirgę pacientai, metu per ne trumpesnį kaip 12</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stebėjimo laikotarpį vienam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gydytam pacientui (&lt;</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nustatytas ilgesnis kaip 500</w:t>
      </w:r>
      <w:r w:rsidR="006E12CE" w:rsidRPr="00975CA4">
        <w:rPr>
          <w:rFonts w:ascii="Times New Roman" w:eastAsia="SimSun" w:hAnsi="Times New Roman" w:cs="Times New Roman"/>
          <w:color w:val="000000"/>
          <w:lang w:eastAsia="ar-SA"/>
        </w:rPr>
        <w:t>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QTcF</w:t>
      </w:r>
      <w:proofErr w:type="spellEnd"/>
      <w:r w:rsidRPr="00975CA4">
        <w:rPr>
          <w:rFonts w:ascii="Times New Roman" w:eastAsia="SimSun" w:hAnsi="Times New Roman" w:cs="Times New Roman"/>
          <w:color w:val="000000"/>
          <w:lang w:eastAsia="ar-SA"/>
        </w:rPr>
        <w:t xml:space="preserve"> (žr. 4.4 skyrių). Per ne trumpesnį kaip 60</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stebėjimo laikotarpį ilgesnio kaip 500</w:t>
      </w:r>
      <w:r w:rsidR="006E12CE" w:rsidRPr="00975CA4">
        <w:rPr>
          <w:rFonts w:ascii="Times New Roman" w:eastAsia="SimSun" w:hAnsi="Times New Roman" w:cs="Times New Roman"/>
          <w:color w:val="000000"/>
          <w:lang w:eastAsia="ar-SA"/>
        </w:rPr>
        <w:t>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QTcF</w:t>
      </w:r>
      <w:proofErr w:type="spellEnd"/>
      <w:r w:rsidRPr="00975CA4">
        <w:rPr>
          <w:rFonts w:ascii="Times New Roman" w:eastAsia="SimSun" w:hAnsi="Times New Roman" w:cs="Times New Roman"/>
          <w:color w:val="000000"/>
          <w:lang w:eastAsia="ar-SA"/>
        </w:rPr>
        <w:t xml:space="preserve"> daugiau neužfiksuota nė vienam pacientui.</w:t>
      </w:r>
    </w:p>
    <w:p w14:paraId="0EFE28EE"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4774DF0B" w14:textId="1AB827D6"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Penkių II fazės klinikinių tyrimų, kuriuose dalyvavo ankstesniam gydymui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atsparia liga sergantys arba gydymo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netoleravę pacientai, buvo kartotinai registruojama ir centralizuotai vertinama 865 pacientų, vartojusių po 70</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2 kartus per parą, EKG iki gydymo ir jo metu, iš anksto numatytu laiku. QT intervalas buvo koreguojamas pagal širdies susitraukimo dažnį </w:t>
      </w:r>
      <w:proofErr w:type="spellStart"/>
      <w:r w:rsidRPr="00975CA4">
        <w:rPr>
          <w:rFonts w:ascii="Times New Roman" w:eastAsia="SimSun" w:hAnsi="Times New Roman" w:cs="Times New Roman"/>
          <w:i/>
          <w:color w:val="000000"/>
          <w:lang w:eastAsia="ar-SA"/>
        </w:rPr>
        <w:t>Fridericia</w:t>
      </w:r>
      <w:proofErr w:type="spellEnd"/>
      <w:r w:rsidRPr="00975CA4">
        <w:rPr>
          <w:rFonts w:ascii="Times New Roman" w:eastAsia="SimSun" w:hAnsi="Times New Roman" w:cs="Times New Roman"/>
          <w:color w:val="000000"/>
          <w:lang w:eastAsia="ar-SA"/>
        </w:rPr>
        <w:t xml:space="preserve"> metodu. 8 dieną visais momentais po vaistinio preparato vartojimo vidutinis </w:t>
      </w:r>
      <w:proofErr w:type="spellStart"/>
      <w:r w:rsidRPr="00975CA4">
        <w:rPr>
          <w:rFonts w:ascii="Times New Roman" w:eastAsia="SimSun" w:hAnsi="Times New Roman" w:cs="Times New Roman"/>
          <w:color w:val="000000"/>
          <w:lang w:eastAsia="ar-SA"/>
        </w:rPr>
        <w:t>QTcF</w:t>
      </w:r>
      <w:proofErr w:type="spellEnd"/>
      <w:r w:rsidRPr="00975CA4">
        <w:rPr>
          <w:rFonts w:ascii="Times New Roman" w:eastAsia="SimSun" w:hAnsi="Times New Roman" w:cs="Times New Roman"/>
          <w:color w:val="000000"/>
          <w:lang w:eastAsia="ar-SA"/>
        </w:rPr>
        <w:t xml:space="preserve"> intervalo (palyginus su buvusiu iki gydymo) pokytis buvo 4-6</w:t>
      </w:r>
      <w:r w:rsidR="006E12CE" w:rsidRPr="00975CA4">
        <w:rPr>
          <w:rFonts w:ascii="Times New Roman" w:eastAsia="SimSun" w:hAnsi="Times New Roman" w:cs="Times New Roman"/>
          <w:color w:val="000000"/>
          <w:lang w:eastAsia="ar-SA"/>
        </w:rPr>
        <w:t>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 xml:space="preserve"> (viršutinė 95</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pasikliautinojo</w:t>
      </w:r>
      <w:proofErr w:type="spellEnd"/>
      <w:r w:rsidRPr="00975CA4">
        <w:rPr>
          <w:rFonts w:ascii="Times New Roman" w:eastAsia="SimSun" w:hAnsi="Times New Roman" w:cs="Times New Roman"/>
          <w:color w:val="000000"/>
          <w:lang w:eastAsia="ar-SA"/>
        </w:rPr>
        <w:t xml:space="preserve"> intervalo riba buvo &lt;</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7</w:t>
      </w:r>
      <w:r w:rsidR="006E12CE" w:rsidRPr="00975CA4">
        <w:rPr>
          <w:rFonts w:ascii="Times New Roman" w:eastAsia="SimSun" w:hAnsi="Times New Roman" w:cs="Times New Roman"/>
          <w:color w:val="000000"/>
          <w:lang w:eastAsia="ar-SA"/>
        </w:rPr>
        <w:t>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w:t>
      </w:r>
      <w:r w:rsidR="00BB2E1E"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 xml:space="preserve">Klinikinių tyrimų metu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vartojusių 2182 pacientų, kurie sirgo ankstesniam gydymui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lastRenderedPageBreak/>
        <w:t xml:space="preserve">atsparia liga arba gydymo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netoleravo, pranešta apie </w:t>
      </w:r>
      <w:proofErr w:type="spellStart"/>
      <w:r w:rsidRPr="00975CA4">
        <w:rPr>
          <w:rFonts w:ascii="Times New Roman" w:eastAsia="SimSun" w:hAnsi="Times New Roman" w:cs="Times New Roman"/>
          <w:color w:val="000000"/>
          <w:lang w:eastAsia="ar-SA"/>
        </w:rPr>
        <w:t>QTc</w:t>
      </w:r>
      <w:proofErr w:type="spellEnd"/>
      <w:r w:rsidRPr="00975CA4">
        <w:rPr>
          <w:rFonts w:ascii="Times New Roman" w:eastAsia="SimSun" w:hAnsi="Times New Roman" w:cs="Times New Roman"/>
          <w:color w:val="000000"/>
          <w:lang w:eastAsia="ar-SA"/>
        </w:rPr>
        <w:t xml:space="preserve"> intervalo pailgėjimą kaip nepageidaujamą reakciją, pasireiškusią 15 (1</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pacientų. 21 paciento (1</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QTcF</w:t>
      </w:r>
      <w:proofErr w:type="spellEnd"/>
      <w:r w:rsidRPr="00975CA4">
        <w:rPr>
          <w:rFonts w:ascii="Times New Roman" w:eastAsia="SimSun" w:hAnsi="Times New Roman" w:cs="Times New Roman"/>
          <w:color w:val="000000"/>
          <w:lang w:eastAsia="ar-SA"/>
        </w:rPr>
        <w:t xml:space="preserve"> buvo ilgesnis kaip 500</w:t>
      </w:r>
      <w:r w:rsidR="006E12CE" w:rsidRPr="00975CA4">
        <w:rPr>
          <w:rFonts w:ascii="Times New Roman" w:eastAsia="SimSun" w:hAnsi="Times New Roman" w:cs="Times New Roman"/>
          <w:color w:val="000000"/>
          <w:lang w:eastAsia="ar-SA"/>
        </w:rPr>
        <w:t> </w:t>
      </w:r>
      <w:proofErr w:type="spellStart"/>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 xml:space="preserve"> (žr.4.4 skyrių).</w:t>
      </w:r>
    </w:p>
    <w:p w14:paraId="699D85C1"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5B21385E" w14:textId="77777777" w:rsidR="003A0B67" w:rsidRPr="00975CA4" w:rsidRDefault="003A0B67" w:rsidP="002D3411">
      <w:pPr>
        <w:keepNext/>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Širdies nepageidaujamos reakcijos</w:t>
      </w:r>
    </w:p>
    <w:p w14:paraId="247C66A3"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Pacientai, kuriems yra širdies ligų rizikos veiksnių arba kurie yra sirgę širdies liga, turi būti atidžiai stebimi dėl sutrikusiai širdies funkcijai būdingų požymių ar simptomų ir turi būti tinkamai įvertinti bei gydomi (žr. 4.4 skyrių).</w:t>
      </w:r>
    </w:p>
    <w:p w14:paraId="537A31B0"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11D108CD"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 xml:space="preserve">Hepatito B </w:t>
      </w:r>
      <w:proofErr w:type="spellStart"/>
      <w:r w:rsidRPr="00975CA4">
        <w:rPr>
          <w:rFonts w:ascii="Times New Roman" w:eastAsia="SimSun" w:hAnsi="Times New Roman" w:cs="Times New Roman"/>
          <w:i/>
          <w:color w:val="000000"/>
          <w:lang w:eastAsia="ar-SA"/>
        </w:rPr>
        <w:t>reaktyvacija</w:t>
      </w:r>
      <w:proofErr w:type="spellEnd"/>
    </w:p>
    <w:p w14:paraId="1B4B6E7A"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Pranešta, kad hepatito B </w:t>
      </w:r>
      <w:proofErr w:type="spellStart"/>
      <w:r w:rsidRPr="00975CA4">
        <w:rPr>
          <w:rFonts w:ascii="Times New Roman" w:eastAsia="SimSun" w:hAnsi="Times New Roman" w:cs="Times New Roman"/>
          <w:color w:val="000000"/>
          <w:lang w:eastAsia="ar-SA"/>
        </w:rPr>
        <w:t>reaktyvacijos</w:t>
      </w:r>
      <w:proofErr w:type="spellEnd"/>
      <w:r w:rsidRPr="00975CA4">
        <w:rPr>
          <w:rFonts w:ascii="Times New Roman" w:eastAsia="SimSun" w:hAnsi="Times New Roman" w:cs="Times New Roman"/>
          <w:color w:val="000000"/>
          <w:lang w:eastAsia="ar-SA"/>
        </w:rPr>
        <w:t xml:space="preserve"> atvejai buvo susiję su BCR-ABL </w:t>
      </w:r>
      <w:proofErr w:type="spellStart"/>
      <w:r w:rsidRPr="00975CA4">
        <w:rPr>
          <w:rFonts w:ascii="Times New Roman" w:eastAsia="SimSun" w:hAnsi="Times New Roman" w:cs="Times New Roman"/>
          <w:color w:val="000000"/>
          <w:lang w:eastAsia="ar-SA"/>
        </w:rPr>
        <w:t>tirozinkinazės</w:t>
      </w:r>
      <w:proofErr w:type="spellEnd"/>
      <w:r w:rsidRPr="00975CA4">
        <w:rPr>
          <w:rFonts w:ascii="Times New Roman" w:eastAsia="SimSun" w:hAnsi="Times New Roman" w:cs="Times New Roman"/>
          <w:color w:val="000000"/>
          <w:lang w:eastAsia="ar-SA"/>
        </w:rPr>
        <w:t xml:space="preserve"> inhibitorių (TKI) vartojimu. Kai kuriais atvejais tai sukėlė ūminį kepenų nepakankamumą arba žaibinį hepatitą, dėl kurio pacientui teko persodinti kepenis arba pacientą ištiko mirtis (žr. 4.4 skyrių).</w:t>
      </w:r>
    </w:p>
    <w:p w14:paraId="37D9F52B" w14:textId="77777777" w:rsidR="003A0B67" w:rsidRPr="00975CA4" w:rsidRDefault="003A0B67" w:rsidP="003A0B67">
      <w:pPr>
        <w:suppressAutoHyphens/>
        <w:spacing w:after="0" w:line="240" w:lineRule="auto"/>
        <w:rPr>
          <w:rFonts w:ascii="Times New Roman" w:eastAsia="SimSun" w:hAnsi="Times New Roman" w:cs="Times New Roman"/>
          <w:color w:val="000000"/>
          <w:lang w:eastAsia="ar-SA"/>
        </w:rPr>
      </w:pPr>
    </w:p>
    <w:p w14:paraId="3F9F4AF6" w14:textId="12E5BC67" w:rsidR="00BB2E1E"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III fazės dozės optimizavimo tyrimo metu pacientams, kurie sirgo ankstesniam gydymui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atsparia lėtinės fazės LML arba pacientams, kurie gydymo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netoleravo (gydymo trukmės mediana </w:t>
      </w:r>
      <w:r w:rsidR="00442A56"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 xml:space="preserve"> 30</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taikant gydymą 100</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1 kartą per parą, </w:t>
      </w:r>
      <w:r w:rsidR="00B308A2" w:rsidRPr="00975CA4">
        <w:rPr>
          <w:rFonts w:ascii="Times New Roman" w:eastAsia="SimSun" w:hAnsi="Times New Roman" w:cs="Times New Roman"/>
          <w:color w:val="000000"/>
          <w:lang w:eastAsia="ar-SA"/>
        </w:rPr>
        <w:t xml:space="preserve">skystis </w:t>
      </w:r>
      <w:r w:rsidRPr="00975CA4">
        <w:rPr>
          <w:rFonts w:ascii="Times New Roman" w:eastAsia="SimSun" w:hAnsi="Times New Roman" w:cs="Times New Roman"/>
          <w:color w:val="000000"/>
          <w:lang w:eastAsia="ar-SA"/>
        </w:rPr>
        <w:t>pleuro</w:t>
      </w:r>
      <w:r w:rsidR="006E12CE" w:rsidRPr="00975CA4">
        <w:rPr>
          <w:rFonts w:ascii="Times New Roman" w:eastAsia="SimSun" w:hAnsi="Times New Roman" w:cs="Times New Roman"/>
          <w:color w:val="000000"/>
          <w:lang w:eastAsia="ar-SA"/>
        </w:rPr>
        <w:t>s ertmėje</w:t>
      </w:r>
      <w:r w:rsidRPr="00975CA4">
        <w:rPr>
          <w:rFonts w:ascii="Times New Roman" w:eastAsia="SimSun" w:hAnsi="Times New Roman" w:cs="Times New Roman"/>
          <w:color w:val="000000"/>
          <w:lang w:eastAsia="ar-SA"/>
        </w:rPr>
        <w:t xml:space="preserve"> ir </w:t>
      </w:r>
      <w:proofErr w:type="spellStart"/>
      <w:r w:rsidRPr="00975CA4">
        <w:rPr>
          <w:rFonts w:ascii="Times New Roman" w:eastAsia="SimSun" w:hAnsi="Times New Roman" w:cs="Times New Roman"/>
          <w:color w:val="000000"/>
          <w:lang w:eastAsia="ar-SA"/>
        </w:rPr>
        <w:t>stazinis</w:t>
      </w:r>
      <w:proofErr w:type="spellEnd"/>
      <w:r w:rsidRPr="00975CA4">
        <w:rPr>
          <w:rFonts w:ascii="Times New Roman" w:eastAsia="SimSun" w:hAnsi="Times New Roman" w:cs="Times New Roman"/>
          <w:color w:val="000000"/>
          <w:lang w:eastAsia="ar-SA"/>
        </w:rPr>
        <w:t xml:space="preserve"> širdies nepakankamumas ar širdies funkcijos sutrikimas pasireiškė rečiau negu taikant gydymą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po 70</w:t>
      </w:r>
      <w:r w:rsidR="006E12C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2 kartus per parą. </w:t>
      </w:r>
    </w:p>
    <w:p w14:paraId="5D0B9F20" w14:textId="77777777" w:rsidR="00BB2E1E" w:rsidRPr="00975CA4" w:rsidRDefault="00BB2E1E" w:rsidP="003A0B67">
      <w:pPr>
        <w:suppressAutoHyphens/>
        <w:spacing w:after="0" w:line="240" w:lineRule="auto"/>
        <w:rPr>
          <w:rFonts w:ascii="Times New Roman" w:eastAsia="SimSun" w:hAnsi="Times New Roman" w:cs="Times New Roman"/>
          <w:color w:val="000000"/>
          <w:lang w:eastAsia="ar-SA"/>
        </w:rPr>
      </w:pPr>
    </w:p>
    <w:p w14:paraId="21E46DB6" w14:textId="1EB9911E" w:rsidR="003A0B67" w:rsidRPr="00975CA4" w:rsidRDefault="003A0B67" w:rsidP="003A0B67">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Kaulų čiulpų slopinimas taip pat rečiau pastebėtas gydymo100</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mg kartą per parą doze grupės pacientams (žr. toliau, „Laboratorinių tyrimų nenormalumai“). 100</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mg kartą per parą dozės grupės pacientų gydymo trukmės mediana buvo 37</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(diapazonas nuo 1 iki 91</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Suminiai atrinktų nepageidaujamų reakcijų dažniai pacientams, vartojusiems rekomenduojamą pradinę 100</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kartą per parą dozę, nurodyti </w:t>
      </w:r>
      <w:r w:rsidRPr="00975CA4">
        <w:rPr>
          <w:rFonts w:ascii="Times New Roman" w:eastAsia="SimSun" w:hAnsi="Times New Roman" w:cs="Times New Roman"/>
          <w:bCs/>
          <w:color w:val="000000"/>
          <w:lang w:eastAsia="ar-SA"/>
        </w:rPr>
        <w:t>6a lentelėje.</w:t>
      </w:r>
    </w:p>
    <w:p w14:paraId="5351A5D9" w14:textId="77777777" w:rsidR="00156791" w:rsidRPr="00975CA4" w:rsidRDefault="00156791" w:rsidP="003A0B67">
      <w:pPr>
        <w:rPr>
          <w:rFonts w:ascii="Times New Roman" w:eastAsia="Calibri" w:hAnsi="Times New Roman" w:cs="Times New Roman"/>
          <w:lang w:eastAsia="ar-SA"/>
        </w:rPr>
      </w:pPr>
    </w:p>
    <w:p w14:paraId="7E5461A6" w14:textId="77777777" w:rsidR="00BB2E1E" w:rsidRPr="00975CA4" w:rsidRDefault="00BB2E1E" w:rsidP="00930F63">
      <w:pPr>
        <w:suppressAutoHyphens/>
        <w:spacing w:after="0" w:line="240" w:lineRule="auto"/>
        <w:ind w:left="993" w:hanging="947"/>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6a lentelė. Atrinktos nepageidaujamos reakcijos, apie kurias gauta pranešimų III fazės dozės optimizavimo tyrimo metu (</w:t>
      </w:r>
      <w:proofErr w:type="spellStart"/>
      <w:r w:rsidRPr="00975CA4">
        <w:rPr>
          <w:rFonts w:ascii="Times New Roman" w:eastAsia="SimSun" w:hAnsi="Times New Roman" w:cs="Times New Roman"/>
          <w:b/>
          <w:color w:val="000000"/>
          <w:lang w:eastAsia="ar-SA"/>
        </w:rPr>
        <w:t>imatinibo</w:t>
      </w:r>
      <w:proofErr w:type="spellEnd"/>
      <w:r w:rsidRPr="00975CA4">
        <w:rPr>
          <w:rFonts w:ascii="Times New Roman" w:eastAsia="SimSun" w:hAnsi="Times New Roman" w:cs="Times New Roman"/>
          <w:b/>
          <w:color w:val="000000"/>
          <w:lang w:eastAsia="ar-SA"/>
        </w:rPr>
        <w:t xml:space="preserve"> netoleravusiems arba jam atsparia lėtinės fazės LML sergantiems pacientams)</w:t>
      </w:r>
      <w:r w:rsidRPr="00975CA4">
        <w:rPr>
          <w:rFonts w:ascii="Times New Roman" w:eastAsia="SimSun" w:hAnsi="Times New Roman" w:cs="Times New Roman"/>
          <w:b/>
          <w:color w:val="000000"/>
          <w:vertAlign w:val="superscript"/>
          <w:lang w:eastAsia="ar-SA"/>
        </w:rPr>
        <w:t>a</w:t>
      </w:r>
    </w:p>
    <w:p w14:paraId="06332C1F" w14:textId="77777777" w:rsidR="00BB2E1E" w:rsidRPr="00975CA4" w:rsidRDefault="00BB2E1E" w:rsidP="00930F63">
      <w:pPr>
        <w:spacing w:after="0" w:line="240" w:lineRule="auto"/>
        <w:rPr>
          <w:rFonts w:ascii="Times New Roman" w:eastAsia="Calibri" w:hAnsi="Times New Roman" w:cs="Times New Roman"/>
          <w:lang w:eastAsia="ar-SA"/>
        </w:rPr>
      </w:pPr>
    </w:p>
    <w:tbl>
      <w:tblPr>
        <w:tblStyle w:val="Lentelstinklelis"/>
        <w:tblW w:w="0" w:type="auto"/>
        <w:jc w:val="center"/>
        <w:tblLook w:val="04A0" w:firstRow="1" w:lastRow="0" w:firstColumn="1" w:lastColumn="0" w:noHBand="0" w:noVBand="1"/>
      </w:tblPr>
      <w:tblGrid>
        <w:gridCol w:w="2851"/>
        <w:gridCol w:w="1092"/>
        <w:gridCol w:w="1089"/>
        <w:gridCol w:w="1092"/>
        <w:gridCol w:w="1089"/>
        <w:gridCol w:w="1092"/>
        <w:gridCol w:w="1089"/>
      </w:tblGrid>
      <w:tr w:rsidR="00BB2E1E" w:rsidRPr="00975CA4" w14:paraId="446C1781" w14:textId="77777777" w:rsidTr="00FF4AB5">
        <w:trPr>
          <w:trHeight w:val="567"/>
          <w:jc w:val="center"/>
        </w:trPr>
        <w:tc>
          <w:tcPr>
            <w:tcW w:w="3261" w:type="dxa"/>
            <w:tcBorders>
              <w:top w:val="single" w:sz="4" w:space="0" w:color="000000"/>
              <w:left w:val="single" w:sz="4" w:space="0" w:color="000000"/>
              <w:bottom w:val="single" w:sz="4" w:space="0" w:color="000000"/>
              <w:right w:val="single" w:sz="4" w:space="0" w:color="000000"/>
            </w:tcBorders>
          </w:tcPr>
          <w:p w14:paraId="74305CD4" w14:textId="77777777" w:rsidR="00BB2E1E" w:rsidRPr="00975CA4" w:rsidRDefault="00BB2E1E" w:rsidP="00930F63">
            <w:pPr>
              <w:rPr>
                <w:rFonts w:eastAsia="Times New Roman"/>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E661A5D" w14:textId="77777777" w:rsidR="00BB2E1E" w:rsidRPr="00975CA4" w:rsidRDefault="00BB2E1E" w:rsidP="00930F63">
            <w:pPr>
              <w:ind w:left="-108"/>
              <w:jc w:val="center"/>
              <w:rPr>
                <w:rFonts w:eastAsia="Times New Roman"/>
                <w:sz w:val="22"/>
                <w:szCs w:val="22"/>
              </w:rPr>
            </w:pPr>
            <w:r w:rsidRPr="00975CA4">
              <w:rPr>
                <w:rFonts w:eastAsia="Times New Roman"/>
                <w:b/>
                <w:bCs/>
                <w:sz w:val="22"/>
                <w:szCs w:val="22"/>
              </w:rPr>
              <w:t>Bent per 2 stebėjimo metus</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E0E4A9C" w14:textId="77777777" w:rsidR="00BB2E1E" w:rsidRPr="00975CA4" w:rsidRDefault="00BB2E1E" w:rsidP="00930F63">
            <w:pPr>
              <w:ind w:left="-108"/>
              <w:jc w:val="center"/>
              <w:rPr>
                <w:rFonts w:eastAsia="Times New Roman"/>
                <w:sz w:val="22"/>
                <w:szCs w:val="22"/>
              </w:rPr>
            </w:pPr>
            <w:r w:rsidRPr="00975CA4">
              <w:rPr>
                <w:rFonts w:eastAsia="Times New Roman"/>
                <w:b/>
                <w:bCs/>
                <w:sz w:val="22"/>
                <w:szCs w:val="22"/>
              </w:rPr>
              <w:t>Bent per 5 stebėjimo metus</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5512101" w14:textId="77777777" w:rsidR="00BB2E1E" w:rsidRPr="00975CA4" w:rsidRDefault="00BB2E1E" w:rsidP="00930F63">
            <w:pPr>
              <w:ind w:left="-108"/>
              <w:jc w:val="center"/>
              <w:rPr>
                <w:rFonts w:eastAsia="Times New Roman"/>
                <w:sz w:val="22"/>
                <w:szCs w:val="22"/>
              </w:rPr>
            </w:pPr>
            <w:r w:rsidRPr="00975CA4">
              <w:rPr>
                <w:rFonts w:eastAsia="Times New Roman"/>
                <w:b/>
                <w:bCs/>
                <w:sz w:val="22"/>
                <w:szCs w:val="22"/>
              </w:rPr>
              <w:t>Bent per 7 stebėjimo metus</w:t>
            </w:r>
          </w:p>
        </w:tc>
      </w:tr>
      <w:tr w:rsidR="000C5A16" w:rsidRPr="00975CA4" w14:paraId="570D954B" w14:textId="77777777" w:rsidTr="00FF4AB5">
        <w:trPr>
          <w:trHeight w:val="567"/>
          <w:jc w:val="center"/>
        </w:trPr>
        <w:tc>
          <w:tcPr>
            <w:tcW w:w="3261" w:type="dxa"/>
            <w:tcBorders>
              <w:top w:val="single" w:sz="4" w:space="0" w:color="000000"/>
              <w:left w:val="single" w:sz="4" w:space="0" w:color="000000"/>
              <w:bottom w:val="single" w:sz="4" w:space="0" w:color="000000"/>
              <w:right w:val="single" w:sz="4" w:space="0" w:color="000000"/>
            </w:tcBorders>
          </w:tcPr>
          <w:p w14:paraId="01CE7853" w14:textId="77777777" w:rsidR="00BB2E1E" w:rsidRPr="00975CA4" w:rsidRDefault="00BB2E1E">
            <w:pPr>
              <w:rPr>
                <w:rFonts w:eastAsia="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68EAAE10" w14:textId="77777777" w:rsidR="00BB2E1E" w:rsidRPr="00975CA4" w:rsidRDefault="00BB2E1E">
            <w:pPr>
              <w:jc w:val="center"/>
              <w:rPr>
                <w:rFonts w:eastAsia="Times New Roman"/>
                <w:sz w:val="22"/>
                <w:szCs w:val="22"/>
              </w:rPr>
            </w:pPr>
            <w:r w:rsidRPr="00975CA4">
              <w:rPr>
                <w:rFonts w:eastAsia="Times New Roman"/>
                <w:b/>
                <w:bCs/>
                <w:sz w:val="22"/>
                <w:szCs w:val="22"/>
              </w:rPr>
              <w:t>Visų laipsnių</w:t>
            </w:r>
          </w:p>
        </w:tc>
        <w:tc>
          <w:tcPr>
            <w:tcW w:w="1134" w:type="dxa"/>
            <w:tcBorders>
              <w:top w:val="single" w:sz="4" w:space="0" w:color="000000"/>
              <w:left w:val="single" w:sz="4" w:space="0" w:color="000000"/>
              <w:bottom w:val="single" w:sz="4" w:space="0" w:color="000000"/>
              <w:right w:val="single" w:sz="4" w:space="0" w:color="000000"/>
            </w:tcBorders>
            <w:hideMark/>
          </w:tcPr>
          <w:p w14:paraId="0E249893" w14:textId="77777777" w:rsidR="00BB2E1E" w:rsidRPr="00975CA4" w:rsidRDefault="00BB2E1E">
            <w:pPr>
              <w:jc w:val="center"/>
              <w:rPr>
                <w:rFonts w:eastAsia="Times New Roman"/>
                <w:b/>
                <w:bCs/>
                <w:sz w:val="22"/>
                <w:szCs w:val="22"/>
              </w:rPr>
            </w:pPr>
            <w:r w:rsidRPr="00975CA4">
              <w:rPr>
                <w:rFonts w:eastAsia="Times New Roman"/>
                <w:b/>
                <w:bCs/>
                <w:sz w:val="22"/>
                <w:szCs w:val="22"/>
              </w:rPr>
              <w:t>3-4 laipsnio</w:t>
            </w:r>
          </w:p>
        </w:tc>
        <w:tc>
          <w:tcPr>
            <w:tcW w:w="1134" w:type="dxa"/>
            <w:tcBorders>
              <w:top w:val="single" w:sz="4" w:space="0" w:color="000000"/>
              <w:left w:val="single" w:sz="4" w:space="0" w:color="000000"/>
              <w:bottom w:val="single" w:sz="4" w:space="0" w:color="000000"/>
              <w:right w:val="single" w:sz="4" w:space="0" w:color="000000"/>
            </w:tcBorders>
            <w:hideMark/>
          </w:tcPr>
          <w:p w14:paraId="2CFDF414" w14:textId="77777777" w:rsidR="00BB2E1E" w:rsidRPr="00975CA4" w:rsidRDefault="00BB2E1E">
            <w:pPr>
              <w:jc w:val="center"/>
              <w:rPr>
                <w:rFonts w:eastAsia="Times New Roman"/>
                <w:sz w:val="22"/>
                <w:szCs w:val="22"/>
              </w:rPr>
            </w:pPr>
            <w:r w:rsidRPr="00975CA4">
              <w:rPr>
                <w:rFonts w:eastAsia="Times New Roman"/>
                <w:b/>
                <w:bCs/>
                <w:sz w:val="22"/>
                <w:szCs w:val="22"/>
              </w:rPr>
              <w:t>Visų laipsnių</w:t>
            </w:r>
          </w:p>
        </w:tc>
        <w:tc>
          <w:tcPr>
            <w:tcW w:w="1134" w:type="dxa"/>
            <w:tcBorders>
              <w:top w:val="single" w:sz="4" w:space="0" w:color="000000"/>
              <w:left w:val="single" w:sz="4" w:space="0" w:color="000000"/>
              <w:bottom w:val="single" w:sz="4" w:space="0" w:color="000000"/>
              <w:right w:val="single" w:sz="4" w:space="0" w:color="000000"/>
            </w:tcBorders>
            <w:hideMark/>
          </w:tcPr>
          <w:p w14:paraId="25897158" w14:textId="77777777" w:rsidR="00BB2E1E" w:rsidRPr="00975CA4" w:rsidRDefault="00BB2E1E">
            <w:pPr>
              <w:jc w:val="center"/>
              <w:rPr>
                <w:rFonts w:eastAsia="Times New Roman"/>
                <w:sz w:val="22"/>
                <w:szCs w:val="22"/>
              </w:rPr>
            </w:pPr>
            <w:r w:rsidRPr="00975CA4">
              <w:rPr>
                <w:rFonts w:eastAsia="Times New Roman"/>
                <w:b/>
                <w:bCs/>
                <w:sz w:val="22"/>
                <w:szCs w:val="22"/>
              </w:rPr>
              <w:t>3-4 laipsnio</w:t>
            </w:r>
          </w:p>
        </w:tc>
        <w:tc>
          <w:tcPr>
            <w:tcW w:w="1134" w:type="dxa"/>
            <w:tcBorders>
              <w:top w:val="single" w:sz="4" w:space="0" w:color="000000"/>
              <w:left w:val="single" w:sz="4" w:space="0" w:color="000000"/>
              <w:bottom w:val="single" w:sz="4" w:space="0" w:color="000000"/>
              <w:right w:val="single" w:sz="4" w:space="0" w:color="000000"/>
            </w:tcBorders>
            <w:hideMark/>
          </w:tcPr>
          <w:p w14:paraId="24CDFAC9" w14:textId="77777777" w:rsidR="00BB2E1E" w:rsidRPr="00975CA4" w:rsidRDefault="00BB2E1E">
            <w:pPr>
              <w:jc w:val="center"/>
              <w:rPr>
                <w:rFonts w:eastAsia="Times New Roman"/>
                <w:sz w:val="22"/>
                <w:szCs w:val="22"/>
              </w:rPr>
            </w:pPr>
            <w:r w:rsidRPr="00975CA4">
              <w:rPr>
                <w:rFonts w:eastAsia="Times New Roman"/>
                <w:b/>
                <w:bCs/>
                <w:sz w:val="22"/>
                <w:szCs w:val="22"/>
              </w:rPr>
              <w:t>Visų laipsnių</w:t>
            </w:r>
          </w:p>
        </w:tc>
        <w:tc>
          <w:tcPr>
            <w:tcW w:w="1134" w:type="dxa"/>
            <w:tcBorders>
              <w:top w:val="single" w:sz="4" w:space="0" w:color="000000"/>
              <w:left w:val="single" w:sz="4" w:space="0" w:color="000000"/>
              <w:bottom w:val="single" w:sz="4" w:space="0" w:color="000000"/>
              <w:right w:val="single" w:sz="4" w:space="0" w:color="000000"/>
            </w:tcBorders>
            <w:hideMark/>
          </w:tcPr>
          <w:p w14:paraId="0D1AC53E" w14:textId="77777777" w:rsidR="00BB2E1E" w:rsidRPr="00975CA4" w:rsidRDefault="00BB2E1E">
            <w:pPr>
              <w:jc w:val="center"/>
              <w:rPr>
                <w:rFonts w:eastAsia="Times New Roman"/>
                <w:sz w:val="22"/>
                <w:szCs w:val="22"/>
              </w:rPr>
            </w:pPr>
            <w:r w:rsidRPr="00975CA4">
              <w:rPr>
                <w:rFonts w:eastAsia="Times New Roman"/>
                <w:b/>
                <w:bCs/>
                <w:sz w:val="22"/>
                <w:szCs w:val="22"/>
              </w:rPr>
              <w:t>3-4 laipsnio</w:t>
            </w:r>
          </w:p>
        </w:tc>
      </w:tr>
      <w:tr w:rsidR="00BB2E1E" w:rsidRPr="00975CA4" w14:paraId="133357A3"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3F2539CF" w14:textId="77777777" w:rsidR="00BB2E1E" w:rsidRPr="00975CA4" w:rsidRDefault="000C5A16">
            <w:pPr>
              <w:rPr>
                <w:rFonts w:eastAsia="Times New Roman"/>
                <w:sz w:val="22"/>
                <w:szCs w:val="22"/>
              </w:rPr>
            </w:pPr>
            <w:r w:rsidRPr="00975CA4">
              <w:rPr>
                <w:rFonts w:eastAsia="Times New Roman"/>
                <w:b/>
                <w:bCs/>
                <w:sz w:val="22"/>
                <w:szCs w:val="22"/>
              </w:rPr>
              <w:t>Tinkamiausias terminas</w:t>
            </w:r>
          </w:p>
        </w:tc>
        <w:tc>
          <w:tcPr>
            <w:tcW w:w="6804" w:type="dxa"/>
            <w:gridSpan w:val="6"/>
            <w:tcBorders>
              <w:top w:val="single" w:sz="4" w:space="0" w:color="000000"/>
              <w:left w:val="single" w:sz="4" w:space="0" w:color="000000"/>
              <w:bottom w:val="single" w:sz="4" w:space="0" w:color="000000"/>
              <w:right w:val="single" w:sz="4" w:space="0" w:color="000000"/>
            </w:tcBorders>
            <w:hideMark/>
          </w:tcPr>
          <w:p w14:paraId="122792B1" w14:textId="77777777" w:rsidR="00BB2E1E" w:rsidRPr="00975CA4" w:rsidRDefault="000C5A16">
            <w:pPr>
              <w:jc w:val="center"/>
              <w:rPr>
                <w:rFonts w:eastAsia="Times New Roman"/>
                <w:b/>
                <w:sz w:val="22"/>
                <w:szCs w:val="22"/>
              </w:rPr>
            </w:pPr>
            <w:r w:rsidRPr="00975CA4">
              <w:rPr>
                <w:rFonts w:eastAsia="Times New Roman"/>
                <w:b/>
                <w:sz w:val="22"/>
                <w:szCs w:val="22"/>
              </w:rPr>
              <w:t xml:space="preserve">Pacientų dalis </w:t>
            </w:r>
            <w:r w:rsidR="00BB2E1E" w:rsidRPr="00975CA4">
              <w:rPr>
                <w:rFonts w:eastAsia="Times New Roman"/>
                <w:b/>
                <w:sz w:val="22"/>
                <w:szCs w:val="22"/>
              </w:rPr>
              <w:t>(%)</w:t>
            </w:r>
          </w:p>
        </w:tc>
      </w:tr>
      <w:tr w:rsidR="000C5A16" w:rsidRPr="00975CA4" w14:paraId="23D12D01"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33B5B8B2" w14:textId="77777777" w:rsidR="00BB2E1E" w:rsidRPr="00975CA4" w:rsidRDefault="000C5A16">
            <w:pPr>
              <w:rPr>
                <w:rFonts w:eastAsia="Times New Roman"/>
                <w:b/>
                <w:bCs/>
                <w:sz w:val="22"/>
                <w:szCs w:val="22"/>
              </w:rPr>
            </w:pPr>
            <w:r w:rsidRPr="00975CA4">
              <w:rPr>
                <w:rFonts w:eastAsia="Times New Roman"/>
                <w:b/>
                <w:bCs/>
                <w:sz w:val="22"/>
                <w:szCs w:val="22"/>
              </w:rPr>
              <w:t>Viduriavimas</w:t>
            </w:r>
          </w:p>
        </w:tc>
        <w:tc>
          <w:tcPr>
            <w:tcW w:w="1134" w:type="dxa"/>
            <w:tcBorders>
              <w:top w:val="single" w:sz="4" w:space="0" w:color="000000"/>
              <w:left w:val="single" w:sz="4" w:space="0" w:color="000000"/>
              <w:bottom w:val="single" w:sz="4" w:space="0" w:color="000000"/>
              <w:right w:val="single" w:sz="4" w:space="0" w:color="000000"/>
            </w:tcBorders>
            <w:hideMark/>
          </w:tcPr>
          <w:p w14:paraId="5D7B4C25" w14:textId="77777777" w:rsidR="00BB2E1E" w:rsidRPr="00975CA4" w:rsidRDefault="00BB2E1E">
            <w:pPr>
              <w:jc w:val="center"/>
              <w:rPr>
                <w:rFonts w:eastAsia="Times New Roman"/>
                <w:sz w:val="22"/>
                <w:szCs w:val="22"/>
              </w:rPr>
            </w:pPr>
            <w:r w:rsidRPr="00975CA4">
              <w:rPr>
                <w:rFonts w:eastAsia="Times New Roman"/>
                <w:sz w:val="22"/>
                <w:szCs w:val="22"/>
              </w:rPr>
              <w:t>27</w:t>
            </w:r>
          </w:p>
        </w:tc>
        <w:tc>
          <w:tcPr>
            <w:tcW w:w="1134" w:type="dxa"/>
            <w:tcBorders>
              <w:top w:val="single" w:sz="4" w:space="0" w:color="000000"/>
              <w:left w:val="single" w:sz="4" w:space="0" w:color="000000"/>
              <w:bottom w:val="single" w:sz="4" w:space="0" w:color="000000"/>
              <w:right w:val="single" w:sz="4" w:space="0" w:color="000000"/>
            </w:tcBorders>
            <w:hideMark/>
          </w:tcPr>
          <w:p w14:paraId="5E250C38" w14:textId="77777777" w:rsidR="00BB2E1E" w:rsidRPr="00975CA4" w:rsidRDefault="00BB2E1E">
            <w:pPr>
              <w:jc w:val="center"/>
              <w:rPr>
                <w:rFonts w:eastAsia="Times New Roman"/>
                <w:sz w:val="22"/>
                <w:szCs w:val="22"/>
              </w:rPr>
            </w:pPr>
            <w:r w:rsidRPr="00975CA4">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4E52A5F2" w14:textId="77777777" w:rsidR="00BB2E1E" w:rsidRPr="00975CA4" w:rsidRDefault="00BB2E1E">
            <w:pPr>
              <w:jc w:val="center"/>
              <w:rPr>
                <w:rFonts w:eastAsia="Times New Roman"/>
                <w:sz w:val="22"/>
                <w:szCs w:val="22"/>
              </w:rPr>
            </w:pPr>
            <w:r w:rsidRPr="00975CA4">
              <w:rPr>
                <w:rFonts w:eastAsia="Times New Roman"/>
                <w:sz w:val="22"/>
                <w:szCs w:val="22"/>
              </w:rPr>
              <w:t>28</w:t>
            </w:r>
          </w:p>
        </w:tc>
        <w:tc>
          <w:tcPr>
            <w:tcW w:w="1134" w:type="dxa"/>
            <w:tcBorders>
              <w:top w:val="single" w:sz="4" w:space="0" w:color="000000"/>
              <w:left w:val="single" w:sz="4" w:space="0" w:color="000000"/>
              <w:bottom w:val="single" w:sz="4" w:space="0" w:color="000000"/>
              <w:right w:val="single" w:sz="4" w:space="0" w:color="000000"/>
            </w:tcBorders>
            <w:hideMark/>
          </w:tcPr>
          <w:p w14:paraId="53B51A71" w14:textId="77777777" w:rsidR="00BB2E1E" w:rsidRPr="00975CA4" w:rsidRDefault="00BB2E1E">
            <w:pPr>
              <w:jc w:val="center"/>
              <w:rPr>
                <w:rFonts w:eastAsia="Times New Roman"/>
                <w:sz w:val="22"/>
                <w:szCs w:val="22"/>
              </w:rPr>
            </w:pPr>
            <w:r w:rsidRPr="00975CA4">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65C43F9C" w14:textId="77777777" w:rsidR="00BB2E1E" w:rsidRPr="00975CA4" w:rsidRDefault="00BB2E1E">
            <w:pPr>
              <w:jc w:val="center"/>
              <w:rPr>
                <w:rFonts w:eastAsia="Times New Roman"/>
                <w:sz w:val="22"/>
                <w:szCs w:val="22"/>
              </w:rPr>
            </w:pPr>
            <w:r w:rsidRPr="00975CA4">
              <w:rPr>
                <w:rFonts w:eastAsia="Times New Roman"/>
                <w:sz w:val="22"/>
                <w:szCs w:val="22"/>
              </w:rPr>
              <w:t>28</w:t>
            </w:r>
          </w:p>
        </w:tc>
        <w:tc>
          <w:tcPr>
            <w:tcW w:w="1134" w:type="dxa"/>
            <w:tcBorders>
              <w:top w:val="single" w:sz="4" w:space="0" w:color="000000"/>
              <w:left w:val="single" w:sz="4" w:space="0" w:color="000000"/>
              <w:bottom w:val="single" w:sz="4" w:space="0" w:color="000000"/>
              <w:right w:val="single" w:sz="4" w:space="0" w:color="000000"/>
            </w:tcBorders>
            <w:hideMark/>
          </w:tcPr>
          <w:p w14:paraId="34C9265A" w14:textId="77777777" w:rsidR="00BB2E1E" w:rsidRPr="00975CA4" w:rsidRDefault="00BB2E1E">
            <w:pPr>
              <w:jc w:val="center"/>
              <w:rPr>
                <w:rFonts w:eastAsia="Times New Roman"/>
                <w:sz w:val="22"/>
                <w:szCs w:val="22"/>
              </w:rPr>
            </w:pPr>
            <w:r w:rsidRPr="00975CA4">
              <w:rPr>
                <w:rFonts w:eastAsia="Times New Roman"/>
                <w:sz w:val="22"/>
                <w:szCs w:val="22"/>
              </w:rPr>
              <w:t>2</w:t>
            </w:r>
          </w:p>
        </w:tc>
      </w:tr>
      <w:tr w:rsidR="000C5A16" w:rsidRPr="00975CA4" w14:paraId="00F5ED51"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2AB83ED4" w14:textId="77777777" w:rsidR="00BB2E1E" w:rsidRPr="00975CA4" w:rsidRDefault="000C5A16">
            <w:pPr>
              <w:rPr>
                <w:rFonts w:eastAsia="Times New Roman"/>
                <w:sz w:val="22"/>
                <w:szCs w:val="22"/>
              </w:rPr>
            </w:pPr>
            <w:r w:rsidRPr="00975CA4">
              <w:rPr>
                <w:rFonts w:eastAsia="Times New Roman"/>
                <w:b/>
                <w:bCs/>
                <w:sz w:val="22"/>
                <w:szCs w:val="22"/>
              </w:rPr>
              <w:t>Skysčio susilaikymas</w:t>
            </w:r>
          </w:p>
        </w:tc>
        <w:tc>
          <w:tcPr>
            <w:tcW w:w="1134" w:type="dxa"/>
            <w:tcBorders>
              <w:top w:val="single" w:sz="4" w:space="0" w:color="000000"/>
              <w:left w:val="single" w:sz="4" w:space="0" w:color="000000"/>
              <w:bottom w:val="single" w:sz="4" w:space="0" w:color="000000"/>
              <w:right w:val="single" w:sz="4" w:space="0" w:color="000000"/>
            </w:tcBorders>
            <w:hideMark/>
          </w:tcPr>
          <w:p w14:paraId="794F1F15" w14:textId="77777777" w:rsidR="00BB2E1E" w:rsidRPr="00975CA4" w:rsidRDefault="00BB2E1E">
            <w:pPr>
              <w:jc w:val="center"/>
              <w:rPr>
                <w:rFonts w:eastAsia="Times New Roman"/>
                <w:sz w:val="22"/>
                <w:szCs w:val="22"/>
              </w:rPr>
            </w:pPr>
            <w:r w:rsidRPr="00975CA4">
              <w:rPr>
                <w:rFonts w:eastAsia="Times New Roman"/>
                <w:sz w:val="22"/>
                <w:szCs w:val="22"/>
              </w:rPr>
              <w:t>34</w:t>
            </w:r>
          </w:p>
        </w:tc>
        <w:tc>
          <w:tcPr>
            <w:tcW w:w="1134" w:type="dxa"/>
            <w:tcBorders>
              <w:top w:val="single" w:sz="4" w:space="0" w:color="000000"/>
              <w:left w:val="single" w:sz="4" w:space="0" w:color="000000"/>
              <w:bottom w:val="single" w:sz="4" w:space="0" w:color="000000"/>
              <w:right w:val="single" w:sz="4" w:space="0" w:color="000000"/>
            </w:tcBorders>
            <w:hideMark/>
          </w:tcPr>
          <w:p w14:paraId="6B686130" w14:textId="77777777" w:rsidR="00BB2E1E" w:rsidRPr="00975CA4" w:rsidRDefault="00BB2E1E">
            <w:pPr>
              <w:jc w:val="center"/>
              <w:rPr>
                <w:rFonts w:eastAsia="Times New Roman"/>
                <w:sz w:val="22"/>
                <w:szCs w:val="22"/>
              </w:rPr>
            </w:pPr>
            <w:r w:rsidRPr="00975CA4">
              <w:rPr>
                <w:rFonts w:eastAsia="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hideMark/>
          </w:tcPr>
          <w:p w14:paraId="1E655252" w14:textId="77777777" w:rsidR="00BB2E1E" w:rsidRPr="00975CA4" w:rsidRDefault="00BB2E1E">
            <w:pPr>
              <w:jc w:val="center"/>
              <w:rPr>
                <w:rFonts w:eastAsia="Times New Roman"/>
                <w:sz w:val="22"/>
                <w:szCs w:val="22"/>
              </w:rPr>
            </w:pPr>
            <w:r w:rsidRPr="00975CA4">
              <w:rPr>
                <w:rFonts w:eastAsia="Times New Roman"/>
                <w:sz w:val="22"/>
                <w:szCs w:val="22"/>
              </w:rPr>
              <w:t>42</w:t>
            </w:r>
          </w:p>
        </w:tc>
        <w:tc>
          <w:tcPr>
            <w:tcW w:w="1134" w:type="dxa"/>
            <w:tcBorders>
              <w:top w:val="single" w:sz="4" w:space="0" w:color="000000"/>
              <w:left w:val="single" w:sz="4" w:space="0" w:color="000000"/>
              <w:bottom w:val="single" w:sz="4" w:space="0" w:color="000000"/>
              <w:right w:val="single" w:sz="4" w:space="0" w:color="000000"/>
            </w:tcBorders>
            <w:hideMark/>
          </w:tcPr>
          <w:p w14:paraId="3013CC36" w14:textId="77777777" w:rsidR="00BB2E1E" w:rsidRPr="00975CA4" w:rsidRDefault="00BB2E1E">
            <w:pPr>
              <w:jc w:val="center"/>
              <w:rPr>
                <w:rFonts w:eastAsia="Times New Roman"/>
                <w:sz w:val="22"/>
                <w:szCs w:val="22"/>
              </w:rPr>
            </w:pPr>
            <w:r w:rsidRPr="00975CA4">
              <w:rPr>
                <w:rFonts w:eastAsia="Times New Roman"/>
                <w:sz w:val="22"/>
                <w:szCs w:val="22"/>
              </w:rPr>
              <w:t>6</w:t>
            </w:r>
          </w:p>
        </w:tc>
        <w:tc>
          <w:tcPr>
            <w:tcW w:w="1134" w:type="dxa"/>
            <w:tcBorders>
              <w:top w:val="single" w:sz="4" w:space="0" w:color="000000"/>
              <w:left w:val="single" w:sz="4" w:space="0" w:color="000000"/>
              <w:bottom w:val="single" w:sz="4" w:space="0" w:color="000000"/>
              <w:right w:val="single" w:sz="4" w:space="0" w:color="000000"/>
            </w:tcBorders>
            <w:hideMark/>
          </w:tcPr>
          <w:p w14:paraId="028E04D8" w14:textId="77777777" w:rsidR="00BB2E1E" w:rsidRPr="00975CA4" w:rsidRDefault="00BB2E1E">
            <w:pPr>
              <w:jc w:val="center"/>
              <w:rPr>
                <w:rFonts w:eastAsia="Times New Roman"/>
                <w:sz w:val="22"/>
                <w:szCs w:val="22"/>
              </w:rPr>
            </w:pPr>
            <w:r w:rsidRPr="00975CA4">
              <w:rPr>
                <w:rFonts w:eastAsia="Times New Roman"/>
                <w:sz w:val="22"/>
                <w:szCs w:val="22"/>
              </w:rPr>
              <w:t>48</w:t>
            </w:r>
          </w:p>
        </w:tc>
        <w:tc>
          <w:tcPr>
            <w:tcW w:w="1134" w:type="dxa"/>
            <w:tcBorders>
              <w:top w:val="single" w:sz="4" w:space="0" w:color="000000"/>
              <w:left w:val="single" w:sz="4" w:space="0" w:color="000000"/>
              <w:bottom w:val="single" w:sz="4" w:space="0" w:color="000000"/>
              <w:right w:val="single" w:sz="4" w:space="0" w:color="000000"/>
            </w:tcBorders>
            <w:hideMark/>
          </w:tcPr>
          <w:p w14:paraId="1D5C820D" w14:textId="77777777" w:rsidR="00BB2E1E" w:rsidRPr="00975CA4" w:rsidRDefault="00BB2E1E">
            <w:pPr>
              <w:jc w:val="center"/>
              <w:rPr>
                <w:rFonts w:eastAsia="Times New Roman"/>
                <w:sz w:val="22"/>
                <w:szCs w:val="22"/>
              </w:rPr>
            </w:pPr>
            <w:r w:rsidRPr="00975CA4">
              <w:rPr>
                <w:rFonts w:eastAsia="Times New Roman"/>
                <w:sz w:val="22"/>
                <w:szCs w:val="22"/>
              </w:rPr>
              <w:t>7</w:t>
            </w:r>
          </w:p>
        </w:tc>
      </w:tr>
      <w:tr w:rsidR="000C5A16" w:rsidRPr="00975CA4" w14:paraId="1DCAC503"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759DF691" w14:textId="77777777" w:rsidR="00BB2E1E" w:rsidRPr="00975CA4" w:rsidRDefault="000C5A16">
            <w:pPr>
              <w:ind w:left="202"/>
              <w:rPr>
                <w:rFonts w:eastAsia="Times New Roman"/>
                <w:sz w:val="22"/>
                <w:szCs w:val="22"/>
              </w:rPr>
            </w:pPr>
            <w:r w:rsidRPr="00975CA4">
              <w:rPr>
                <w:rFonts w:eastAsia="Times New Roman"/>
                <w:sz w:val="22"/>
                <w:szCs w:val="22"/>
              </w:rPr>
              <w:t>Paviršinė edema</w:t>
            </w:r>
          </w:p>
        </w:tc>
        <w:tc>
          <w:tcPr>
            <w:tcW w:w="1134" w:type="dxa"/>
            <w:tcBorders>
              <w:top w:val="single" w:sz="4" w:space="0" w:color="000000"/>
              <w:left w:val="single" w:sz="4" w:space="0" w:color="000000"/>
              <w:bottom w:val="single" w:sz="4" w:space="0" w:color="000000"/>
              <w:right w:val="single" w:sz="4" w:space="0" w:color="000000"/>
            </w:tcBorders>
            <w:hideMark/>
          </w:tcPr>
          <w:p w14:paraId="48091715" w14:textId="77777777" w:rsidR="00BB2E1E" w:rsidRPr="00975CA4" w:rsidRDefault="00BB2E1E">
            <w:pPr>
              <w:jc w:val="center"/>
              <w:rPr>
                <w:rFonts w:eastAsia="Times New Roman"/>
                <w:sz w:val="22"/>
                <w:szCs w:val="22"/>
              </w:rPr>
            </w:pPr>
            <w:r w:rsidRPr="00975CA4">
              <w:rPr>
                <w:rFonts w:eastAsia="Times New Roman"/>
                <w:sz w:val="22"/>
                <w:szCs w:val="22"/>
              </w:rPr>
              <w:t>18</w:t>
            </w:r>
          </w:p>
        </w:tc>
        <w:tc>
          <w:tcPr>
            <w:tcW w:w="1134" w:type="dxa"/>
            <w:tcBorders>
              <w:top w:val="single" w:sz="4" w:space="0" w:color="000000"/>
              <w:left w:val="single" w:sz="4" w:space="0" w:color="000000"/>
              <w:bottom w:val="single" w:sz="4" w:space="0" w:color="000000"/>
              <w:right w:val="single" w:sz="4" w:space="0" w:color="000000"/>
            </w:tcBorders>
            <w:hideMark/>
          </w:tcPr>
          <w:p w14:paraId="1FC75021" w14:textId="77777777" w:rsidR="00BB2E1E" w:rsidRPr="00975CA4" w:rsidRDefault="00BB2E1E">
            <w:pPr>
              <w:jc w:val="center"/>
              <w:rPr>
                <w:rFonts w:eastAsia="Times New Roman"/>
                <w:sz w:val="22"/>
                <w:szCs w:val="22"/>
              </w:rPr>
            </w:pPr>
            <w:r w:rsidRPr="00975CA4">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3C59D11D" w14:textId="77777777" w:rsidR="00BB2E1E" w:rsidRPr="00975CA4" w:rsidRDefault="00BB2E1E">
            <w:pPr>
              <w:jc w:val="center"/>
              <w:rPr>
                <w:rFonts w:eastAsia="Times New Roman"/>
                <w:sz w:val="22"/>
                <w:szCs w:val="22"/>
              </w:rPr>
            </w:pPr>
            <w:r w:rsidRPr="00975CA4">
              <w:rPr>
                <w:rFonts w:eastAsia="Times New Roman"/>
                <w:sz w:val="22"/>
                <w:szCs w:val="22"/>
              </w:rPr>
              <w:t>21</w:t>
            </w:r>
          </w:p>
        </w:tc>
        <w:tc>
          <w:tcPr>
            <w:tcW w:w="1134" w:type="dxa"/>
            <w:tcBorders>
              <w:top w:val="single" w:sz="4" w:space="0" w:color="000000"/>
              <w:left w:val="single" w:sz="4" w:space="0" w:color="000000"/>
              <w:bottom w:val="single" w:sz="4" w:space="0" w:color="000000"/>
              <w:right w:val="single" w:sz="4" w:space="0" w:color="000000"/>
            </w:tcBorders>
            <w:hideMark/>
          </w:tcPr>
          <w:p w14:paraId="5CB8182E" w14:textId="77777777" w:rsidR="00BB2E1E" w:rsidRPr="00975CA4" w:rsidRDefault="00BB2E1E">
            <w:pPr>
              <w:jc w:val="center"/>
              <w:rPr>
                <w:rFonts w:eastAsia="Times New Roman"/>
                <w:sz w:val="22"/>
                <w:szCs w:val="22"/>
              </w:rPr>
            </w:pPr>
            <w:r w:rsidRPr="00975CA4">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1D8483F7" w14:textId="77777777" w:rsidR="00BB2E1E" w:rsidRPr="00975CA4" w:rsidRDefault="00BB2E1E">
            <w:pPr>
              <w:jc w:val="center"/>
              <w:rPr>
                <w:rFonts w:eastAsia="Times New Roman"/>
                <w:sz w:val="22"/>
                <w:szCs w:val="22"/>
              </w:rPr>
            </w:pPr>
            <w:r w:rsidRPr="00975CA4">
              <w:rPr>
                <w:rFonts w:eastAsia="Times New Roman"/>
                <w:sz w:val="22"/>
                <w:szCs w:val="22"/>
              </w:rPr>
              <w:t>22</w:t>
            </w:r>
          </w:p>
        </w:tc>
        <w:tc>
          <w:tcPr>
            <w:tcW w:w="1134" w:type="dxa"/>
            <w:tcBorders>
              <w:top w:val="single" w:sz="4" w:space="0" w:color="000000"/>
              <w:left w:val="single" w:sz="4" w:space="0" w:color="000000"/>
              <w:bottom w:val="single" w:sz="4" w:space="0" w:color="000000"/>
              <w:right w:val="single" w:sz="4" w:space="0" w:color="000000"/>
            </w:tcBorders>
            <w:hideMark/>
          </w:tcPr>
          <w:p w14:paraId="7FC759BE" w14:textId="77777777" w:rsidR="00BB2E1E" w:rsidRPr="00975CA4" w:rsidRDefault="00BB2E1E">
            <w:pPr>
              <w:jc w:val="center"/>
              <w:rPr>
                <w:rFonts w:eastAsia="Times New Roman"/>
                <w:sz w:val="22"/>
                <w:szCs w:val="22"/>
              </w:rPr>
            </w:pPr>
            <w:r w:rsidRPr="00975CA4">
              <w:rPr>
                <w:rFonts w:eastAsia="Times New Roman"/>
                <w:sz w:val="22"/>
                <w:szCs w:val="22"/>
              </w:rPr>
              <w:t>0</w:t>
            </w:r>
          </w:p>
        </w:tc>
      </w:tr>
      <w:tr w:rsidR="000C5A16" w:rsidRPr="00975CA4" w14:paraId="560C2557"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06F4C8A7" w14:textId="4C01FD7F" w:rsidR="00BB2E1E" w:rsidRPr="00975CA4" w:rsidRDefault="00AB6EB1" w:rsidP="005941C3">
            <w:pPr>
              <w:ind w:left="202"/>
              <w:rPr>
                <w:rFonts w:eastAsia="Times New Roman"/>
                <w:sz w:val="22"/>
                <w:szCs w:val="22"/>
              </w:rPr>
            </w:pPr>
            <w:r w:rsidRPr="00975CA4">
              <w:rPr>
                <w:rFonts w:eastAsia="Times New Roman"/>
                <w:sz w:val="22"/>
                <w:szCs w:val="22"/>
              </w:rPr>
              <w:t>Skystis p</w:t>
            </w:r>
            <w:r w:rsidR="000C5A16" w:rsidRPr="00975CA4">
              <w:rPr>
                <w:rFonts w:eastAsia="Times New Roman"/>
                <w:sz w:val="22"/>
                <w:szCs w:val="22"/>
              </w:rPr>
              <w:t>leuro</w:t>
            </w:r>
            <w:r w:rsidR="005941C3" w:rsidRPr="00975CA4">
              <w:rPr>
                <w:rFonts w:eastAsia="Times New Roman"/>
                <w:sz w:val="22"/>
                <w:szCs w:val="22"/>
              </w:rPr>
              <w:t>s ertmėje</w:t>
            </w:r>
          </w:p>
        </w:tc>
        <w:tc>
          <w:tcPr>
            <w:tcW w:w="1134" w:type="dxa"/>
            <w:tcBorders>
              <w:top w:val="single" w:sz="4" w:space="0" w:color="000000"/>
              <w:left w:val="single" w:sz="4" w:space="0" w:color="000000"/>
              <w:bottom w:val="single" w:sz="4" w:space="0" w:color="000000"/>
              <w:right w:val="single" w:sz="4" w:space="0" w:color="000000"/>
            </w:tcBorders>
            <w:hideMark/>
          </w:tcPr>
          <w:p w14:paraId="77C269DC" w14:textId="77777777" w:rsidR="00BB2E1E" w:rsidRPr="00975CA4" w:rsidRDefault="00BB2E1E">
            <w:pPr>
              <w:jc w:val="center"/>
              <w:rPr>
                <w:rFonts w:eastAsia="Times New Roman"/>
                <w:sz w:val="22"/>
                <w:szCs w:val="22"/>
              </w:rPr>
            </w:pPr>
            <w:r w:rsidRPr="00975CA4">
              <w:rPr>
                <w:rFonts w:eastAsia="Times New Roman"/>
                <w:sz w:val="22"/>
                <w:szCs w:val="22"/>
              </w:rPr>
              <w:t>18</w:t>
            </w:r>
          </w:p>
        </w:tc>
        <w:tc>
          <w:tcPr>
            <w:tcW w:w="1134" w:type="dxa"/>
            <w:tcBorders>
              <w:top w:val="single" w:sz="4" w:space="0" w:color="000000"/>
              <w:left w:val="single" w:sz="4" w:space="0" w:color="000000"/>
              <w:bottom w:val="single" w:sz="4" w:space="0" w:color="000000"/>
              <w:right w:val="single" w:sz="4" w:space="0" w:color="000000"/>
            </w:tcBorders>
            <w:hideMark/>
          </w:tcPr>
          <w:p w14:paraId="786409CA" w14:textId="77777777" w:rsidR="00BB2E1E" w:rsidRPr="00975CA4" w:rsidRDefault="00BB2E1E">
            <w:pPr>
              <w:jc w:val="center"/>
              <w:rPr>
                <w:rFonts w:eastAsia="Times New Roman"/>
                <w:sz w:val="22"/>
                <w:szCs w:val="22"/>
              </w:rPr>
            </w:pPr>
            <w:r w:rsidRPr="00975CA4">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30D887BD" w14:textId="77777777" w:rsidR="00BB2E1E" w:rsidRPr="00975CA4" w:rsidRDefault="00BB2E1E">
            <w:pPr>
              <w:jc w:val="center"/>
              <w:rPr>
                <w:rFonts w:eastAsia="Times New Roman"/>
                <w:sz w:val="22"/>
                <w:szCs w:val="22"/>
              </w:rPr>
            </w:pPr>
            <w:r w:rsidRPr="00975CA4">
              <w:rPr>
                <w:rFonts w:eastAsia="Times New Roman"/>
                <w:sz w:val="22"/>
                <w:szCs w:val="22"/>
              </w:rPr>
              <w:t>24</w:t>
            </w:r>
          </w:p>
        </w:tc>
        <w:tc>
          <w:tcPr>
            <w:tcW w:w="1134" w:type="dxa"/>
            <w:tcBorders>
              <w:top w:val="single" w:sz="4" w:space="0" w:color="000000"/>
              <w:left w:val="single" w:sz="4" w:space="0" w:color="000000"/>
              <w:bottom w:val="single" w:sz="4" w:space="0" w:color="000000"/>
              <w:right w:val="single" w:sz="4" w:space="0" w:color="000000"/>
            </w:tcBorders>
            <w:hideMark/>
          </w:tcPr>
          <w:p w14:paraId="7DDC3326" w14:textId="77777777" w:rsidR="00BB2E1E" w:rsidRPr="00975CA4" w:rsidRDefault="00BB2E1E">
            <w:pPr>
              <w:jc w:val="center"/>
              <w:rPr>
                <w:rFonts w:eastAsia="Times New Roman"/>
                <w:sz w:val="22"/>
                <w:szCs w:val="22"/>
              </w:rPr>
            </w:pPr>
            <w:r w:rsidRPr="00975CA4">
              <w:rPr>
                <w:rFonts w:eastAsia="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hideMark/>
          </w:tcPr>
          <w:p w14:paraId="03A342AD" w14:textId="77777777" w:rsidR="00BB2E1E" w:rsidRPr="00975CA4" w:rsidRDefault="00BB2E1E">
            <w:pPr>
              <w:jc w:val="center"/>
              <w:rPr>
                <w:rFonts w:eastAsia="Times New Roman"/>
                <w:sz w:val="22"/>
                <w:szCs w:val="22"/>
              </w:rPr>
            </w:pPr>
            <w:r w:rsidRPr="00975CA4">
              <w:rPr>
                <w:rFonts w:eastAsia="Times New Roman"/>
                <w:sz w:val="22"/>
                <w:szCs w:val="22"/>
              </w:rPr>
              <w:t>28</w:t>
            </w:r>
          </w:p>
        </w:tc>
        <w:tc>
          <w:tcPr>
            <w:tcW w:w="1134" w:type="dxa"/>
            <w:tcBorders>
              <w:top w:val="single" w:sz="4" w:space="0" w:color="000000"/>
              <w:left w:val="single" w:sz="4" w:space="0" w:color="000000"/>
              <w:bottom w:val="single" w:sz="4" w:space="0" w:color="000000"/>
              <w:right w:val="single" w:sz="4" w:space="0" w:color="000000"/>
            </w:tcBorders>
            <w:hideMark/>
          </w:tcPr>
          <w:p w14:paraId="2941A2B8" w14:textId="77777777" w:rsidR="00BB2E1E" w:rsidRPr="00975CA4" w:rsidRDefault="00BB2E1E">
            <w:pPr>
              <w:jc w:val="center"/>
              <w:rPr>
                <w:rFonts w:eastAsia="Times New Roman"/>
                <w:sz w:val="22"/>
                <w:szCs w:val="22"/>
              </w:rPr>
            </w:pPr>
            <w:r w:rsidRPr="00975CA4">
              <w:rPr>
                <w:rFonts w:eastAsia="Times New Roman"/>
                <w:sz w:val="22"/>
                <w:szCs w:val="22"/>
              </w:rPr>
              <w:t>5</w:t>
            </w:r>
          </w:p>
        </w:tc>
      </w:tr>
      <w:tr w:rsidR="000C5A16" w:rsidRPr="00975CA4" w14:paraId="586343D1"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2B0152CC" w14:textId="77777777" w:rsidR="00BB2E1E" w:rsidRPr="00975CA4" w:rsidRDefault="000C5A16">
            <w:pPr>
              <w:ind w:left="202"/>
              <w:rPr>
                <w:rFonts w:eastAsia="Times New Roman"/>
                <w:sz w:val="22"/>
                <w:szCs w:val="22"/>
              </w:rPr>
            </w:pPr>
            <w:r w:rsidRPr="00975CA4">
              <w:rPr>
                <w:rFonts w:eastAsia="Times New Roman"/>
                <w:sz w:val="22"/>
                <w:szCs w:val="22"/>
              </w:rPr>
              <w:t>Išplitusi edema</w:t>
            </w:r>
          </w:p>
        </w:tc>
        <w:tc>
          <w:tcPr>
            <w:tcW w:w="1134" w:type="dxa"/>
            <w:tcBorders>
              <w:top w:val="single" w:sz="4" w:space="0" w:color="000000"/>
              <w:left w:val="single" w:sz="4" w:space="0" w:color="000000"/>
              <w:bottom w:val="single" w:sz="4" w:space="0" w:color="000000"/>
              <w:right w:val="single" w:sz="4" w:space="0" w:color="000000"/>
            </w:tcBorders>
            <w:hideMark/>
          </w:tcPr>
          <w:p w14:paraId="6CD22DEE" w14:textId="77777777" w:rsidR="00BB2E1E" w:rsidRPr="00975CA4" w:rsidRDefault="00BB2E1E">
            <w:pPr>
              <w:jc w:val="center"/>
              <w:rPr>
                <w:rFonts w:eastAsia="Times New Roman"/>
                <w:sz w:val="22"/>
                <w:szCs w:val="22"/>
              </w:rPr>
            </w:pPr>
            <w:r w:rsidRPr="00975CA4">
              <w:rPr>
                <w:rFonts w:eastAsia="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hideMark/>
          </w:tcPr>
          <w:p w14:paraId="5638EAC9" w14:textId="77777777" w:rsidR="00BB2E1E" w:rsidRPr="00975CA4" w:rsidRDefault="00BB2E1E">
            <w:pPr>
              <w:jc w:val="center"/>
              <w:rPr>
                <w:rFonts w:eastAsia="Times New Roman"/>
                <w:sz w:val="22"/>
                <w:szCs w:val="22"/>
              </w:rPr>
            </w:pPr>
            <w:r w:rsidRPr="00975CA4">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60940D70" w14:textId="77777777" w:rsidR="00BB2E1E" w:rsidRPr="00975CA4" w:rsidRDefault="00BB2E1E">
            <w:pPr>
              <w:jc w:val="center"/>
              <w:rPr>
                <w:rFonts w:eastAsia="Times New Roman"/>
                <w:sz w:val="22"/>
                <w:szCs w:val="22"/>
              </w:rPr>
            </w:pPr>
            <w:r w:rsidRPr="00975CA4">
              <w:rPr>
                <w:rFonts w:eastAsia="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hideMark/>
          </w:tcPr>
          <w:p w14:paraId="2AD47B86" w14:textId="77777777" w:rsidR="00BB2E1E" w:rsidRPr="00975CA4" w:rsidRDefault="00BB2E1E">
            <w:pPr>
              <w:jc w:val="center"/>
              <w:rPr>
                <w:rFonts w:eastAsia="Times New Roman"/>
                <w:sz w:val="22"/>
                <w:szCs w:val="22"/>
              </w:rPr>
            </w:pPr>
            <w:r w:rsidRPr="00975CA4">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3493847E" w14:textId="77777777" w:rsidR="00BB2E1E" w:rsidRPr="00975CA4" w:rsidRDefault="00BB2E1E">
            <w:pPr>
              <w:jc w:val="center"/>
              <w:rPr>
                <w:rFonts w:eastAsia="Times New Roman"/>
                <w:sz w:val="22"/>
                <w:szCs w:val="22"/>
              </w:rPr>
            </w:pPr>
            <w:r w:rsidRPr="00975CA4">
              <w:rPr>
                <w:rFonts w:eastAsia="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hideMark/>
          </w:tcPr>
          <w:p w14:paraId="1A4EB430" w14:textId="77777777" w:rsidR="00BB2E1E" w:rsidRPr="00975CA4" w:rsidRDefault="00BB2E1E">
            <w:pPr>
              <w:jc w:val="center"/>
              <w:rPr>
                <w:rFonts w:eastAsia="Times New Roman"/>
                <w:sz w:val="22"/>
                <w:szCs w:val="22"/>
              </w:rPr>
            </w:pPr>
            <w:r w:rsidRPr="00975CA4">
              <w:rPr>
                <w:rFonts w:eastAsia="Times New Roman"/>
                <w:sz w:val="22"/>
                <w:szCs w:val="22"/>
              </w:rPr>
              <w:t>0</w:t>
            </w:r>
          </w:p>
        </w:tc>
      </w:tr>
      <w:tr w:rsidR="000C5A16" w:rsidRPr="00975CA4" w14:paraId="375AB222"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732D9379" w14:textId="191E2F27" w:rsidR="00BB2E1E" w:rsidRPr="00975CA4" w:rsidRDefault="00AB6EB1" w:rsidP="005941C3">
            <w:pPr>
              <w:ind w:left="202"/>
              <w:rPr>
                <w:rFonts w:eastAsia="Times New Roman"/>
                <w:sz w:val="22"/>
                <w:szCs w:val="22"/>
              </w:rPr>
            </w:pPr>
            <w:r w:rsidRPr="00975CA4">
              <w:rPr>
                <w:rFonts w:eastAsia="Times New Roman"/>
                <w:sz w:val="22"/>
                <w:szCs w:val="22"/>
              </w:rPr>
              <w:t>Skystis p</w:t>
            </w:r>
            <w:r w:rsidR="000C5A16" w:rsidRPr="00975CA4">
              <w:rPr>
                <w:rFonts w:eastAsia="Times New Roman"/>
                <w:sz w:val="22"/>
                <w:szCs w:val="22"/>
              </w:rPr>
              <w:t>erikard</w:t>
            </w:r>
            <w:r w:rsidR="005941C3" w:rsidRPr="00975CA4">
              <w:rPr>
                <w:rFonts w:eastAsia="Times New Roman"/>
                <w:sz w:val="22"/>
                <w:szCs w:val="22"/>
              </w:rPr>
              <w:t>o ertmėje</w:t>
            </w:r>
          </w:p>
        </w:tc>
        <w:tc>
          <w:tcPr>
            <w:tcW w:w="1134" w:type="dxa"/>
            <w:tcBorders>
              <w:top w:val="single" w:sz="4" w:space="0" w:color="000000"/>
              <w:left w:val="single" w:sz="4" w:space="0" w:color="000000"/>
              <w:bottom w:val="single" w:sz="4" w:space="0" w:color="000000"/>
              <w:right w:val="single" w:sz="4" w:space="0" w:color="000000"/>
            </w:tcBorders>
            <w:hideMark/>
          </w:tcPr>
          <w:p w14:paraId="367F6E09" w14:textId="77777777" w:rsidR="00BB2E1E" w:rsidRPr="00975CA4" w:rsidRDefault="00BB2E1E">
            <w:pPr>
              <w:jc w:val="center"/>
              <w:rPr>
                <w:rFonts w:eastAsia="Times New Roman"/>
                <w:sz w:val="22"/>
                <w:szCs w:val="22"/>
              </w:rPr>
            </w:pPr>
            <w:r w:rsidRPr="00975CA4">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51AD2A75" w14:textId="77777777" w:rsidR="00BB2E1E" w:rsidRPr="00975CA4" w:rsidRDefault="00BB2E1E">
            <w:pPr>
              <w:jc w:val="center"/>
              <w:rPr>
                <w:rFonts w:eastAsia="Times New Roman"/>
                <w:sz w:val="22"/>
                <w:szCs w:val="22"/>
              </w:rPr>
            </w:pPr>
            <w:r w:rsidRPr="00975CA4">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7B42A683" w14:textId="77777777" w:rsidR="00BB2E1E" w:rsidRPr="00975CA4" w:rsidRDefault="00BB2E1E">
            <w:pPr>
              <w:jc w:val="center"/>
              <w:rPr>
                <w:rFonts w:eastAsia="Times New Roman"/>
                <w:sz w:val="22"/>
                <w:szCs w:val="22"/>
              </w:rPr>
            </w:pPr>
            <w:r w:rsidRPr="00975CA4">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46FAF1E4" w14:textId="77777777" w:rsidR="00BB2E1E" w:rsidRPr="00975CA4" w:rsidRDefault="00BB2E1E">
            <w:pPr>
              <w:jc w:val="center"/>
              <w:rPr>
                <w:rFonts w:eastAsia="Times New Roman"/>
                <w:sz w:val="22"/>
                <w:szCs w:val="22"/>
              </w:rPr>
            </w:pPr>
            <w:r w:rsidRPr="00975CA4">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241E8CE0" w14:textId="77777777" w:rsidR="00BB2E1E" w:rsidRPr="00975CA4" w:rsidRDefault="00BB2E1E">
            <w:pPr>
              <w:jc w:val="center"/>
              <w:rPr>
                <w:rFonts w:eastAsia="Times New Roman"/>
                <w:sz w:val="22"/>
                <w:szCs w:val="22"/>
              </w:rPr>
            </w:pPr>
            <w:r w:rsidRPr="00975CA4">
              <w:rPr>
                <w:rFonts w:eastAsia="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hideMark/>
          </w:tcPr>
          <w:p w14:paraId="430F2712" w14:textId="77777777" w:rsidR="00BB2E1E" w:rsidRPr="00975CA4" w:rsidRDefault="00BB2E1E">
            <w:pPr>
              <w:jc w:val="center"/>
              <w:rPr>
                <w:rFonts w:eastAsia="Times New Roman"/>
                <w:sz w:val="22"/>
                <w:szCs w:val="22"/>
              </w:rPr>
            </w:pPr>
            <w:r w:rsidRPr="00975CA4">
              <w:rPr>
                <w:rFonts w:eastAsia="Times New Roman"/>
                <w:sz w:val="22"/>
                <w:szCs w:val="22"/>
              </w:rPr>
              <w:t>1</w:t>
            </w:r>
          </w:p>
        </w:tc>
      </w:tr>
      <w:tr w:rsidR="000C5A16" w:rsidRPr="00975CA4" w14:paraId="1F241A95"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2D709EF7" w14:textId="3603991A" w:rsidR="00BB2E1E" w:rsidRPr="00975CA4" w:rsidRDefault="000C5A16">
            <w:pPr>
              <w:ind w:left="202" w:right="-114"/>
              <w:rPr>
                <w:rFonts w:eastAsia="Times New Roman"/>
                <w:sz w:val="22"/>
                <w:szCs w:val="22"/>
              </w:rPr>
            </w:pPr>
            <w:proofErr w:type="spellStart"/>
            <w:r w:rsidRPr="00975CA4">
              <w:rPr>
                <w:rFonts w:eastAsia="Times New Roman"/>
                <w:sz w:val="22"/>
                <w:szCs w:val="22"/>
              </w:rPr>
              <w:t>Plau</w:t>
            </w:r>
            <w:r w:rsidR="00AB6EB1" w:rsidRPr="00975CA4">
              <w:rPr>
                <w:rFonts w:eastAsia="Times New Roman"/>
                <w:sz w:val="22"/>
                <w:szCs w:val="22"/>
              </w:rPr>
              <w:t>tinė</w:t>
            </w:r>
            <w:proofErr w:type="spellEnd"/>
            <w:r w:rsidRPr="00975CA4">
              <w:rPr>
                <w:rFonts w:eastAsia="Times New Roman"/>
                <w:sz w:val="22"/>
                <w:szCs w:val="22"/>
              </w:rPr>
              <w:t xml:space="preserve"> hipertenzija</w:t>
            </w:r>
          </w:p>
        </w:tc>
        <w:tc>
          <w:tcPr>
            <w:tcW w:w="1134" w:type="dxa"/>
            <w:tcBorders>
              <w:top w:val="single" w:sz="4" w:space="0" w:color="000000"/>
              <w:left w:val="single" w:sz="4" w:space="0" w:color="000000"/>
              <w:bottom w:val="single" w:sz="4" w:space="0" w:color="000000"/>
              <w:right w:val="single" w:sz="4" w:space="0" w:color="000000"/>
            </w:tcBorders>
            <w:hideMark/>
          </w:tcPr>
          <w:p w14:paraId="548F30B0" w14:textId="77777777" w:rsidR="00BB2E1E" w:rsidRPr="00975CA4" w:rsidRDefault="00BB2E1E">
            <w:pPr>
              <w:jc w:val="center"/>
              <w:rPr>
                <w:rFonts w:eastAsia="Times New Roman"/>
                <w:sz w:val="22"/>
                <w:szCs w:val="22"/>
              </w:rPr>
            </w:pPr>
            <w:r w:rsidRPr="00975CA4">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144BAA4E" w14:textId="77777777" w:rsidR="00BB2E1E" w:rsidRPr="00975CA4" w:rsidRDefault="00BB2E1E">
            <w:pPr>
              <w:jc w:val="center"/>
              <w:rPr>
                <w:rFonts w:eastAsia="Times New Roman"/>
                <w:sz w:val="22"/>
                <w:szCs w:val="22"/>
              </w:rPr>
            </w:pPr>
            <w:r w:rsidRPr="00975CA4">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35D1280F" w14:textId="77777777" w:rsidR="00BB2E1E" w:rsidRPr="00975CA4" w:rsidRDefault="00BB2E1E">
            <w:pPr>
              <w:jc w:val="center"/>
              <w:rPr>
                <w:rFonts w:eastAsia="Times New Roman"/>
                <w:sz w:val="22"/>
                <w:szCs w:val="22"/>
              </w:rPr>
            </w:pPr>
            <w:r w:rsidRPr="00975CA4">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33FAAA5B" w14:textId="77777777" w:rsidR="00BB2E1E" w:rsidRPr="00975CA4" w:rsidRDefault="00BB2E1E">
            <w:pPr>
              <w:jc w:val="center"/>
              <w:rPr>
                <w:rFonts w:eastAsia="Times New Roman"/>
                <w:sz w:val="22"/>
                <w:szCs w:val="22"/>
              </w:rPr>
            </w:pPr>
            <w:r w:rsidRPr="00975CA4">
              <w:rPr>
                <w:rFonts w:eastAsia="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hideMark/>
          </w:tcPr>
          <w:p w14:paraId="326635E8" w14:textId="77777777" w:rsidR="00BB2E1E" w:rsidRPr="00975CA4" w:rsidRDefault="00BB2E1E">
            <w:pPr>
              <w:jc w:val="center"/>
              <w:rPr>
                <w:rFonts w:eastAsia="Times New Roman"/>
                <w:sz w:val="22"/>
                <w:szCs w:val="22"/>
              </w:rPr>
            </w:pPr>
            <w:r w:rsidRPr="00975CA4">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162EDEC0" w14:textId="77777777" w:rsidR="00BB2E1E" w:rsidRPr="00975CA4" w:rsidRDefault="00BB2E1E">
            <w:pPr>
              <w:jc w:val="center"/>
              <w:rPr>
                <w:rFonts w:eastAsia="Times New Roman"/>
                <w:sz w:val="22"/>
                <w:szCs w:val="22"/>
              </w:rPr>
            </w:pPr>
            <w:r w:rsidRPr="00975CA4">
              <w:rPr>
                <w:rFonts w:eastAsia="Times New Roman"/>
                <w:sz w:val="22"/>
                <w:szCs w:val="22"/>
              </w:rPr>
              <w:t>1</w:t>
            </w:r>
          </w:p>
        </w:tc>
      </w:tr>
      <w:tr w:rsidR="000C5A16" w:rsidRPr="00975CA4" w14:paraId="78C5B06F"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471C8DC3" w14:textId="77777777" w:rsidR="00BB2E1E" w:rsidRPr="00975CA4" w:rsidRDefault="000C5A16">
            <w:pPr>
              <w:rPr>
                <w:rFonts w:eastAsia="Times New Roman"/>
                <w:sz w:val="22"/>
                <w:szCs w:val="22"/>
              </w:rPr>
            </w:pPr>
            <w:r w:rsidRPr="00975CA4">
              <w:rPr>
                <w:rFonts w:eastAsia="Times New Roman"/>
                <w:b/>
                <w:bCs/>
                <w:sz w:val="22"/>
                <w:szCs w:val="22"/>
              </w:rPr>
              <w:t>Kraujavimas</w:t>
            </w:r>
          </w:p>
        </w:tc>
        <w:tc>
          <w:tcPr>
            <w:tcW w:w="1134" w:type="dxa"/>
            <w:tcBorders>
              <w:top w:val="single" w:sz="4" w:space="0" w:color="000000"/>
              <w:left w:val="single" w:sz="4" w:space="0" w:color="000000"/>
              <w:bottom w:val="single" w:sz="4" w:space="0" w:color="000000"/>
              <w:right w:val="single" w:sz="4" w:space="0" w:color="000000"/>
            </w:tcBorders>
            <w:hideMark/>
          </w:tcPr>
          <w:p w14:paraId="2D773E31" w14:textId="77777777" w:rsidR="00BB2E1E" w:rsidRPr="00975CA4" w:rsidRDefault="00BB2E1E">
            <w:pPr>
              <w:jc w:val="center"/>
              <w:rPr>
                <w:rFonts w:eastAsia="Times New Roman"/>
                <w:sz w:val="22"/>
                <w:szCs w:val="22"/>
              </w:rPr>
            </w:pPr>
            <w:r w:rsidRPr="00975CA4">
              <w:rPr>
                <w:rFonts w:eastAsia="Times New Roman"/>
                <w:sz w:val="22"/>
                <w:szCs w:val="22"/>
              </w:rPr>
              <w:t>11</w:t>
            </w:r>
          </w:p>
        </w:tc>
        <w:tc>
          <w:tcPr>
            <w:tcW w:w="1134" w:type="dxa"/>
            <w:tcBorders>
              <w:top w:val="single" w:sz="4" w:space="0" w:color="000000"/>
              <w:left w:val="single" w:sz="4" w:space="0" w:color="000000"/>
              <w:bottom w:val="single" w:sz="4" w:space="0" w:color="000000"/>
              <w:right w:val="single" w:sz="4" w:space="0" w:color="000000"/>
            </w:tcBorders>
            <w:hideMark/>
          </w:tcPr>
          <w:p w14:paraId="5299BB29" w14:textId="77777777" w:rsidR="00BB2E1E" w:rsidRPr="00975CA4" w:rsidRDefault="00BB2E1E">
            <w:pPr>
              <w:jc w:val="center"/>
              <w:rPr>
                <w:rFonts w:eastAsia="Times New Roman"/>
                <w:sz w:val="22"/>
                <w:szCs w:val="22"/>
              </w:rPr>
            </w:pPr>
            <w:r w:rsidRPr="00975CA4">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6EADFA2B" w14:textId="77777777" w:rsidR="00BB2E1E" w:rsidRPr="00975CA4" w:rsidRDefault="00BB2E1E">
            <w:pPr>
              <w:jc w:val="center"/>
              <w:rPr>
                <w:rFonts w:eastAsia="Times New Roman"/>
                <w:sz w:val="22"/>
                <w:szCs w:val="22"/>
              </w:rPr>
            </w:pPr>
            <w:r w:rsidRPr="00975CA4">
              <w:rPr>
                <w:rFonts w:eastAsia="Times New Roman"/>
                <w:sz w:val="22"/>
                <w:szCs w:val="22"/>
              </w:rPr>
              <w:t>11</w:t>
            </w:r>
          </w:p>
        </w:tc>
        <w:tc>
          <w:tcPr>
            <w:tcW w:w="1134" w:type="dxa"/>
            <w:tcBorders>
              <w:top w:val="single" w:sz="4" w:space="0" w:color="000000"/>
              <w:left w:val="single" w:sz="4" w:space="0" w:color="000000"/>
              <w:bottom w:val="single" w:sz="4" w:space="0" w:color="000000"/>
              <w:right w:val="single" w:sz="4" w:space="0" w:color="000000"/>
            </w:tcBorders>
            <w:hideMark/>
          </w:tcPr>
          <w:p w14:paraId="23634181" w14:textId="77777777" w:rsidR="00BB2E1E" w:rsidRPr="00975CA4" w:rsidRDefault="00BB2E1E">
            <w:pPr>
              <w:jc w:val="center"/>
              <w:rPr>
                <w:rFonts w:eastAsia="Times New Roman"/>
                <w:sz w:val="22"/>
                <w:szCs w:val="22"/>
              </w:rPr>
            </w:pPr>
            <w:r w:rsidRPr="00975CA4">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31D4AB56" w14:textId="77777777" w:rsidR="00BB2E1E" w:rsidRPr="00975CA4" w:rsidRDefault="00BB2E1E">
            <w:pPr>
              <w:jc w:val="center"/>
              <w:rPr>
                <w:rFonts w:eastAsia="Times New Roman"/>
                <w:sz w:val="22"/>
                <w:szCs w:val="22"/>
              </w:rPr>
            </w:pPr>
            <w:r w:rsidRPr="00975CA4">
              <w:rPr>
                <w:rFonts w:eastAsia="Times New Roman"/>
                <w:sz w:val="22"/>
                <w:szCs w:val="22"/>
              </w:rPr>
              <w:t>12</w:t>
            </w:r>
          </w:p>
        </w:tc>
        <w:tc>
          <w:tcPr>
            <w:tcW w:w="1134" w:type="dxa"/>
            <w:tcBorders>
              <w:top w:val="single" w:sz="4" w:space="0" w:color="000000"/>
              <w:left w:val="single" w:sz="4" w:space="0" w:color="000000"/>
              <w:bottom w:val="single" w:sz="4" w:space="0" w:color="000000"/>
              <w:right w:val="single" w:sz="4" w:space="0" w:color="000000"/>
            </w:tcBorders>
            <w:hideMark/>
          </w:tcPr>
          <w:p w14:paraId="46BDC1EE" w14:textId="77777777" w:rsidR="00BB2E1E" w:rsidRPr="00975CA4" w:rsidRDefault="00BB2E1E">
            <w:pPr>
              <w:jc w:val="center"/>
              <w:rPr>
                <w:rFonts w:eastAsia="Times New Roman"/>
                <w:sz w:val="22"/>
                <w:szCs w:val="22"/>
              </w:rPr>
            </w:pPr>
            <w:r w:rsidRPr="00975CA4">
              <w:rPr>
                <w:rFonts w:eastAsia="Times New Roman"/>
                <w:sz w:val="22"/>
                <w:szCs w:val="22"/>
              </w:rPr>
              <w:t>1</w:t>
            </w:r>
          </w:p>
        </w:tc>
      </w:tr>
      <w:tr w:rsidR="000C5A16" w:rsidRPr="00975CA4" w14:paraId="517B6BE6" w14:textId="77777777" w:rsidTr="00FF4AB5">
        <w:trPr>
          <w:trHeight w:val="283"/>
          <w:jc w:val="center"/>
        </w:trPr>
        <w:tc>
          <w:tcPr>
            <w:tcW w:w="3261" w:type="dxa"/>
            <w:tcBorders>
              <w:top w:val="single" w:sz="4" w:space="0" w:color="000000"/>
              <w:left w:val="single" w:sz="4" w:space="0" w:color="000000"/>
              <w:bottom w:val="single" w:sz="4" w:space="0" w:color="000000"/>
              <w:right w:val="single" w:sz="4" w:space="0" w:color="000000"/>
            </w:tcBorders>
            <w:hideMark/>
          </w:tcPr>
          <w:p w14:paraId="530E7E85" w14:textId="77777777" w:rsidR="00BB2E1E" w:rsidRPr="00975CA4" w:rsidRDefault="000C5A16">
            <w:pPr>
              <w:ind w:left="202" w:right="-171"/>
              <w:rPr>
                <w:rFonts w:eastAsia="Times New Roman"/>
                <w:sz w:val="22"/>
                <w:szCs w:val="22"/>
              </w:rPr>
            </w:pPr>
            <w:r w:rsidRPr="00975CA4">
              <w:rPr>
                <w:rFonts w:eastAsia="Times New Roman"/>
                <w:sz w:val="22"/>
                <w:szCs w:val="22"/>
              </w:rPr>
              <w:t>Kraujavimas iš virškinimo trakto</w:t>
            </w:r>
          </w:p>
        </w:tc>
        <w:tc>
          <w:tcPr>
            <w:tcW w:w="1134" w:type="dxa"/>
            <w:tcBorders>
              <w:top w:val="single" w:sz="4" w:space="0" w:color="000000"/>
              <w:left w:val="single" w:sz="4" w:space="0" w:color="000000"/>
              <w:bottom w:val="single" w:sz="4" w:space="0" w:color="000000"/>
              <w:right w:val="single" w:sz="4" w:space="0" w:color="000000"/>
            </w:tcBorders>
            <w:hideMark/>
          </w:tcPr>
          <w:p w14:paraId="6E18993E" w14:textId="77777777" w:rsidR="00BB2E1E" w:rsidRPr="00975CA4" w:rsidRDefault="00BB2E1E">
            <w:pPr>
              <w:jc w:val="center"/>
              <w:rPr>
                <w:rFonts w:eastAsia="Times New Roman"/>
                <w:sz w:val="22"/>
                <w:szCs w:val="22"/>
              </w:rPr>
            </w:pPr>
            <w:r w:rsidRPr="00975CA4">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40BBD310" w14:textId="77777777" w:rsidR="00BB2E1E" w:rsidRPr="00975CA4" w:rsidRDefault="00BB2E1E">
            <w:pPr>
              <w:jc w:val="center"/>
              <w:rPr>
                <w:rFonts w:eastAsia="Times New Roman"/>
                <w:sz w:val="22"/>
                <w:szCs w:val="22"/>
              </w:rPr>
            </w:pPr>
            <w:r w:rsidRPr="00975CA4">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009CEA41" w14:textId="77777777" w:rsidR="00BB2E1E" w:rsidRPr="00975CA4" w:rsidRDefault="00BB2E1E">
            <w:pPr>
              <w:jc w:val="center"/>
              <w:rPr>
                <w:rFonts w:eastAsia="Times New Roman"/>
                <w:sz w:val="22"/>
                <w:szCs w:val="22"/>
              </w:rPr>
            </w:pPr>
            <w:r w:rsidRPr="00975CA4">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1ED36022" w14:textId="77777777" w:rsidR="00BB2E1E" w:rsidRPr="00975CA4" w:rsidRDefault="00BB2E1E">
            <w:pPr>
              <w:jc w:val="center"/>
              <w:rPr>
                <w:rFonts w:eastAsia="Times New Roman"/>
                <w:sz w:val="22"/>
                <w:szCs w:val="22"/>
              </w:rPr>
            </w:pPr>
            <w:r w:rsidRPr="00975CA4">
              <w:rPr>
                <w:rFonts w:eastAsia="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hideMark/>
          </w:tcPr>
          <w:p w14:paraId="2E1BCBC0" w14:textId="77777777" w:rsidR="00BB2E1E" w:rsidRPr="00975CA4" w:rsidRDefault="00BB2E1E">
            <w:pPr>
              <w:jc w:val="center"/>
              <w:rPr>
                <w:rFonts w:eastAsia="Times New Roman"/>
                <w:sz w:val="22"/>
                <w:szCs w:val="22"/>
              </w:rPr>
            </w:pPr>
            <w:r w:rsidRPr="00975CA4">
              <w:rPr>
                <w:rFonts w:eastAsia="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14:paraId="7B644A18" w14:textId="77777777" w:rsidR="00BB2E1E" w:rsidRPr="00975CA4" w:rsidRDefault="00BB2E1E">
            <w:pPr>
              <w:jc w:val="center"/>
              <w:rPr>
                <w:rFonts w:eastAsia="Times New Roman"/>
                <w:sz w:val="22"/>
                <w:szCs w:val="22"/>
              </w:rPr>
            </w:pPr>
            <w:r w:rsidRPr="00975CA4">
              <w:rPr>
                <w:rFonts w:eastAsia="Times New Roman"/>
                <w:sz w:val="22"/>
                <w:szCs w:val="22"/>
              </w:rPr>
              <w:t>1</w:t>
            </w:r>
          </w:p>
        </w:tc>
      </w:tr>
    </w:tbl>
    <w:p w14:paraId="06E72B74" w14:textId="42200DD1" w:rsidR="000C5A16" w:rsidRPr="00975CA4" w:rsidRDefault="000C5A16" w:rsidP="000C5A16">
      <w:pPr>
        <w:suppressAutoHyphens/>
        <w:spacing w:after="0" w:line="240" w:lineRule="auto"/>
        <w:ind w:left="142" w:hanging="142"/>
        <w:rPr>
          <w:rFonts w:ascii="Times New Roman" w:eastAsia="SimSun" w:hAnsi="Times New Roman" w:cs="Times New Roman"/>
          <w:color w:val="000000"/>
          <w:lang w:eastAsia="ar-SA"/>
        </w:rPr>
      </w:pPr>
      <w:r w:rsidRPr="00975CA4">
        <w:rPr>
          <w:rFonts w:ascii="Times New Roman" w:eastAsia="SimSun" w:hAnsi="Times New Roman" w:cs="Times New Roman"/>
          <w:color w:val="000000"/>
          <w:vertAlign w:val="superscript"/>
          <w:lang w:eastAsia="ar-SA"/>
        </w:rPr>
        <w:t>a</w:t>
      </w:r>
      <w:r w:rsidRPr="00975CA4">
        <w:rPr>
          <w:rFonts w:ascii="Times New Roman" w:eastAsia="SimSun" w:hAnsi="Times New Roman" w:cs="Times New Roman"/>
          <w:color w:val="000000"/>
          <w:lang w:eastAsia="ar-SA"/>
        </w:rPr>
        <w:t xml:space="preserve"> III fazės dozės optimizavimo tyrimo duomenys, apie kuriuos buvo gauta pranešimų iš rekomenduojamą pradinę 100</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mg kartą per parą dozę vartojusių pacientų populiacijos (n</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165).</w:t>
      </w:r>
    </w:p>
    <w:p w14:paraId="6D7AACE5" w14:textId="77777777" w:rsidR="000C5A16" w:rsidRPr="00975CA4" w:rsidRDefault="000C5A16" w:rsidP="000C5A16">
      <w:pPr>
        <w:suppressAutoHyphens/>
        <w:spacing w:after="0" w:line="240" w:lineRule="auto"/>
        <w:rPr>
          <w:rFonts w:ascii="Times New Roman" w:eastAsia="SimSun" w:hAnsi="Times New Roman" w:cs="Times New Roman"/>
          <w:color w:val="000000"/>
          <w:lang w:eastAsia="ar-SA"/>
        </w:rPr>
      </w:pPr>
    </w:p>
    <w:p w14:paraId="1647D065" w14:textId="0BAF5528" w:rsidR="000C5A16" w:rsidRPr="00975CA4" w:rsidRDefault="000C5A16" w:rsidP="000C5A16">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III fazės dozės optimizavimo tyrimo, kuriame dalyvavo progresavusios fazės LML ir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sergantys, metu progresavusios fazės LML gydymo trukmės mediana buvo 14</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LML </w:t>
      </w:r>
      <w:proofErr w:type="spellStart"/>
      <w:r w:rsidRPr="00975CA4">
        <w:rPr>
          <w:rFonts w:ascii="Times New Roman" w:eastAsia="SimSun" w:hAnsi="Times New Roman" w:cs="Times New Roman"/>
          <w:color w:val="000000"/>
          <w:lang w:eastAsia="ar-SA"/>
        </w:rPr>
        <w:t>mieloidinių</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blastų</w:t>
      </w:r>
      <w:proofErr w:type="spellEnd"/>
      <w:r w:rsidRPr="00975CA4">
        <w:rPr>
          <w:rFonts w:ascii="Times New Roman" w:eastAsia="SimSun" w:hAnsi="Times New Roman" w:cs="Times New Roman"/>
          <w:color w:val="000000"/>
          <w:lang w:eastAsia="ar-SA"/>
        </w:rPr>
        <w:t xml:space="preserve"> fazės – </w:t>
      </w:r>
      <w:r w:rsidRPr="00975CA4">
        <w:rPr>
          <w:rFonts w:ascii="Times New Roman" w:eastAsia="SimSun" w:hAnsi="Times New Roman" w:cs="Times New Roman"/>
          <w:color w:val="000000"/>
          <w:lang w:eastAsia="ar-SA"/>
        </w:rPr>
        <w:lastRenderedPageBreak/>
        <w:t>3</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LML </w:t>
      </w:r>
      <w:proofErr w:type="spellStart"/>
      <w:r w:rsidRPr="00975CA4">
        <w:rPr>
          <w:rFonts w:ascii="Times New Roman" w:eastAsia="SimSun" w:hAnsi="Times New Roman" w:cs="Times New Roman"/>
          <w:color w:val="000000"/>
          <w:lang w:eastAsia="ar-SA"/>
        </w:rPr>
        <w:t>limfoidinių</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blastų</w:t>
      </w:r>
      <w:proofErr w:type="spellEnd"/>
      <w:r w:rsidRPr="00975CA4">
        <w:rPr>
          <w:rFonts w:ascii="Times New Roman" w:eastAsia="SimSun" w:hAnsi="Times New Roman" w:cs="Times New Roman"/>
          <w:color w:val="000000"/>
          <w:lang w:eastAsia="ar-SA"/>
        </w:rPr>
        <w:t xml:space="preserve"> fazės – 4</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 3</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6b lentelėje nurodytos atrinktos nepageidaujamos reakcijos, apie kurias gauta pranešimų rekomenduojamą 140 mg dozę 1 kartą per parą dozę vartojusiems pacientams. Be to, tirtas po 70 mg dozės vartojimas du kartus per parą. 140 mg dozės, vartojamos kartą per parą, veiksmingumo pobūdis buvo panašus kaip 70 mg dozės, vartojamos </w:t>
      </w:r>
      <w:r w:rsidR="002818DF" w:rsidRPr="00975CA4">
        <w:rPr>
          <w:rFonts w:ascii="Times New Roman" w:eastAsia="SimSun" w:hAnsi="Times New Roman" w:cs="Times New Roman"/>
          <w:color w:val="000000"/>
          <w:lang w:eastAsia="ar-SA"/>
        </w:rPr>
        <w:t xml:space="preserve">2 kartus </w:t>
      </w:r>
      <w:r w:rsidRPr="00975CA4">
        <w:rPr>
          <w:rFonts w:ascii="Times New Roman" w:eastAsia="SimSun" w:hAnsi="Times New Roman" w:cs="Times New Roman"/>
          <w:color w:val="000000"/>
          <w:lang w:eastAsia="ar-SA"/>
        </w:rPr>
        <w:t>per parą, tačiau saugumo pobūdis – palankesnis.</w:t>
      </w:r>
    </w:p>
    <w:p w14:paraId="5C126844" w14:textId="77777777" w:rsidR="000C5A16" w:rsidRPr="00975CA4" w:rsidRDefault="000C5A16" w:rsidP="000C5A16">
      <w:pPr>
        <w:suppressAutoHyphens/>
        <w:spacing w:after="0" w:line="240" w:lineRule="auto"/>
        <w:rPr>
          <w:rFonts w:ascii="Times New Roman" w:eastAsia="SimSun" w:hAnsi="Times New Roman" w:cs="Times New Roman"/>
          <w:color w:val="000000"/>
          <w:lang w:eastAsia="ar-SA"/>
        </w:rPr>
      </w:pPr>
    </w:p>
    <w:p w14:paraId="4936CDAC" w14:textId="77777777" w:rsidR="000C5A16" w:rsidRPr="00975CA4" w:rsidRDefault="000C5A16" w:rsidP="005C28B1">
      <w:pPr>
        <w:suppressAutoHyphens/>
        <w:spacing w:after="0" w:line="240" w:lineRule="auto"/>
        <w:ind w:left="993" w:hanging="958"/>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 xml:space="preserve">6b lentelė. Atrinktos nepageidaujamos reakcijos, apie kurias gauta pranešimų III fazės dozės optimizavimo tyrimo metu: progresavusi LML fazė ir </w:t>
      </w:r>
      <w:proofErr w:type="spellStart"/>
      <w:r w:rsidRPr="00975CA4">
        <w:rPr>
          <w:rFonts w:ascii="Times New Roman" w:eastAsia="SimSun" w:hAnsi="Times New Roman" w:cs="Times New Roman"/>
          <w:b/>
          <w:color w:val="000000"/>
          <w:lang w:eastAsia="ar-SA"/>
        </w:rPr>
        <w:t>Ph</w:t>
      </w:r>
      <w:proofErr w:type="spellEnd"/>
      <w:r w:rsidRPr="00975CA4">
        <w:rPr>
          <w:rFonts w:ascii="Times New Roman" w:eastAsia="SimSun" w:hAnsi="Times New Roman" w:cs="Times New Roman"/>
          <w:b/>
          <w:color w:val="000000"/>
          <w:lang w:eastAsia="ar-SA"/>
        </w:rPr>
        <w:t xml:space="preserve">+ </w:t>
      </w:r>
      <w:proofErr w:type="spellStart"/>
      <w:r w:rsidRPr="00975CA4">
        <w:rPr>
          <w:rFonts w:ascii="Times New Roman" w:eastAsia="SimSun" w:hAnsi="Times New Roman" w:cs="Times New Roman"/>
          <w:b/>
          <w:color w:val="000000"/>
          <w:lang w:eastAsia="ar-SA"/>
        </w:rPr>
        <w:t>ŪLL</w:t>
      </w:r>
      <w:r w:rsidRPr="00975CA4">
        <w:rPr>
          <w:rFonts w:ascii="Times New Roman" w:eastAsia="SimSun" w:hAnsi="Times New Roman" w:cs="Times New Roman"/>
          <w:b/>
          <w:color w:val="000000"/>
          <w:vertAlign w:val="superscript"/>
          <w:lang w:eastAsia="ar-SA"/>
        </w:rPr>
        <w:t>a</w:t>
      </w:r>
      <w:proofErr w:type="spellEnd"/>
    </w:p>
    <w:p w14:paraId="567D1893" w14:textId="77777777" w:rsidR="000C5A16" w:rsidRPr="00975CA4" w:rsidRDefault="000C5A16" w:rsidP="000C5A16">
      <w:pPr>
        <w:suppressAutoHyphens/>
        <w:spacing w:after="0" w:line="240" w:lineRule="auto"/>
        <w:rPr>
          <w:rFonts w:ascii="Times New Roman" w:eastAsia="SimSun" w:hAnsi="Times New Roman" w:cs="Times New Roman"/>
          <w:color w:val="000000"/>
          <w:lang w:eastAsia="ar-SA"/>
        </w:rPr>
      </w:pPr>
    </w:p>
    <w:tbl>
      <w:tblPr>
        <w:tblStyle w:val="Lentelstinklelis"/>
        <w:tblW w:w="0" w:type="auto"/>
        <w:jc w:val="center"/>
        <w:tblLook w:val="04A0" w:firstRow="1" w:lastRow="0" w:firstColumn="1" w:lastColumn="0" w:noHBand="0" w:noVBand="1"/>
      </w:tblPr>
      <w:tblGrid>
        <w:gridCol w:w="4253"/>
        <w:gridCol w:w="1843"/>
        <w:gridCol w:w="1846"/>
      </w:tblGrid>
      <w:tr w:rsidR="000F73D0" w:rsidRPr="00975CA4" w14:paraId="6B3DF6C4" w14:textId="77777777" w:rsidTr="000F73D0">
        <w:trPr>
          <w:trHeight w:val="567"/>
          <w:jc w:val="center"/>
        </w:trPr>
        <w:tc>
          <w:tcPr>
            <w:tcW w:w="4253" w:type="dxa"/>
            <w:tcBorders>
              <w:top w:val="single" w:sz="4" w:space="0" w:color="000000"/>
              <w:left w:val="single" w:sz="4" w:space="0" w:color="000000"/>
              <w:bottom w:val="single" w:sz="4" w:space="0" w:color="000000"/>
              <w:right w:val="single" w:sz="4" w:space="0" w:color="000000"/>
            </w:tcBorders>
          </w:tcPr>
          <w:p w14:paraId="1824981F" w14:textId="77777777" w:rsidR="000F73D0" w:rsidRPr="00975CA4" w:rsidRDefault="000F73D0">
            <w:pPr>
              <w:rPr>
                <w:rFonts w:eastAsia="Times New Roman"/>
                <w:sz w:val="22"/>
                <w:szCs w:val="22"/>
              </w:rPr>
            </w:pPr>
          </w:p>
        </w:tc>
        <w:tc>
          <w:tcPr>
            <w:tcW w:w="3689" w:type="dxa"/>
            <w:gridSpan w:val="2"/>
            <w:tcBorders>
              <w:top w:val="single" w:sz="4" w:space="0" w:color="000000"/>
              <w:left w:val="single" w:sz="4" w:space="0" w:color="000000"/>
              <w:bottom w:val="single" w:sz="4" w:space="0" w:color="000000"/>
              <w:right w:val="single" w:sz="4" w:space="0" w:color="000000"/>
            </w:tcBorders>
            <w:hideMark/>
          </w:tcPr>
          <w:p w14:paraId="4EEC9322" w14:textId="6062A823" w:rsidR="000F73D0" w:rsidRPr="00975CA4" w:rsidRDefault="000F73D0">
            <w:pPr>
              <w:ind w:left="-108"/>
              <w:jc w:val="center"/>
              <w:rPr>
                <w:rFonts w:eastAsia="Times New Roman"/>
                <w:b/>
                <w:sz w:val="22"/>
                <w:szCs w:val="22"/>
              </w:rPr>
            </w:pPr>
            <w:r w:rsidRPr="00975CA4">
              <w:rPr>
                <w:rFonts w:eastAsia="Times New Roman"/>
                <w:b/>
                <w:sz w:val="22"/>
                <w:szCs w:val="22"/>
              </w:rPr>
              <w:t>140</w:t>
            </w:r>
            <w:r w:rsidR="005941C3" w:rsidRPr="002D3411">
              <w:rPr>
                <w:b/>
                <w:sz w:val="22"/>
              </w:rPr>
              <w:t> </w:t>
            </w:r>
            <w:r w:rsidRPr="00975CA4">
              <w:rPr>
                <w:rFonts w:eastAsia="Times New Roman"/>
                <w:b/>
                <w:sz w:val="22"/>
                <w:szCs w:val="22"/>
              </w:rPr>
              <w:t>mg kartą per parą</w:t>
            </w:r>
          </w:p>
          <w:p w14:paraId="64D57031" w14:textId="7BD1189C" w:rsidR="000F73D0" w:rsidRPr="00975CA4" w:rsidRDefault="000F73D0" w:rsidP="00244D68">
            <w:pPr>
              <w:ind w:left="-108"/>
              <w:jc w:val="center"/>
              <w:rPr>
                <w:rFonts w:eastAsia="Times New Roman"/>
                <w:b/>
                <w:sz w:val="22"/>
                <w:szCs w:val="22"/>
              </w:rPr>
            </w:pPr>
            <w:r w:rsidRPr="00975CA4">
              <w:rPr>
                <w:rFonts w:eastAsia="Times New Roman"/>
                <w:b/>
                <w:sz w:val="22"/>
                <w:szCs w:val="22"/>
              </w:rPr>
              <w:t>n</w:t>
            </w:r>
            <w:r w:rsidR="005941C3" w:rsidRPr="00975CA4">
              <w:rPr>
                <w:rFonts w:eastAsia="Times New Roman"/>
                <w:b/>
                <w:sz w:val="22"/>
                <w:szCs w:val="22"/>
              </w:rPr>
              <w:t> </w:t>
            </w:r>
            <w:r w:rsidRPr="00975CA4">
              <w:rPr>
                <w:rFonts w:eastAsia="Times New Roman"/>
                <w:b/>
                <w:sz w:val="22"/>
                <w:szCs w:val="22"/>
              </w:rPr>
              <w:t>=</w:t>
            </w:r>
            <w:r w:rsidR="005941C3" w:rsidRPr="00975CA4">
              <w:rPr>
                <w:rFonts w:eastAsia="Times New Roman"/>
                <w:b/>
                <w:sz w:val="22"/>
                <w:szCs w:val="22"/>
              </w:rPr>
              <w:t> </w:t>
            </w:r>
            <w:r w:rsidRPr="00975CA4">
              <w:rPr>
                <w:rFonts w:eastAsia="Times New Roman"/>
                <w:b/>
                <w:sz w:val="22"/>
                <w:szCs w:val="22"/>
              </w:rPr>
              <w:t>304</w:t>
            </w:r>
          </w:p>
        </w:tc>
      </w:tr>
      <w:tr w:rsidR="000F73D0" w:rsidRPr="00975CA4" w14:paraId="474FBFA5"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tcPr>
          <w:p w14:paraId="4330BDC8" w14:textId="77777777" w:rsidR="000F73D0" w:rsidRPr="00975CA4" w:rsidRDefault="000F73D0">
            <w:pPr>
              <w:rPr>
                <w:rFonts w:eastAsia="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hideMark/>
          </w:tcPr>
          <w:p w14:paraId="3FED6FCF" w14:textId="77777777" w:rsidR="000F73D0" w:rsidRPr="00975CA4" w:rsidRDefault="000F73D0">
            <w:pPr>
              <w:jc w:val="center"/>
              <w:rPr>
                <w:rFonts w:eastAsia="Times New Roman"/>
                <w:sz w:val="22"/>
                <w:szCs w:val="22"/>
              </w:rPr>
            </w:pPr>
            <w:r w:rsidRPr="00975CA4">
              <w:rPr>
                <w:rFonts w:eastAsia="Times New Roman"/>
                <w:b/>
                <w:bCs/>
                <w:sz w:val="22"/>
                <w:szCs w:val="22"/>
              </w:rPr>
              <w:t>Visų laipsnių</w:t>
            </w:r>
          </w:p>
        </w:tc>
        <w:tc>
          <w:tcPr>
            <w:tcW w:w="1846" w:type="dxa"/>
            <w:tcBorders>
              <w:top w:val="single" w:sz="4" w:space="0" w:color="000000"/>
              <w:left w:val="single" w:sz="4" w:space="0" w:color="000000"/>
              <w:bottom w:val="single" w:sz="4" w:space="0" w:color="000000"/>
              <w:right w:val="single" w:sz="4" w:space="0" w:color="000000"/>
            </w:tcBorders>
            <w:hideMark/>
          </w:tcPr>
          <w:p w14:paraId="12E71CFD" w14:textId="77777777" w:rsidR="000F73D0" w:rsidRPr="00975CA4" w:rsidRDefault="000F73D0">
            <w:pPr>
              <w:jc w:val="center"/>
              <w:rPr>
                <w:rFonts w:eastAsia="Times New Roman"/>
                <w:sz w:val="22"/>
                <w:szCs w:val="22"/>
              </w:rPr>
            </w:pPr>
            <w:r w:rsidRPr="00975CA4">
              <w:rPr>
                <w:rFonts w:eastAsia="Times New Roman"/>
                <w:b/>
                <w:bCs/>
                <w:sz w:val="22"/>
                <w:szCs w:val="22"/>
              </w:rPr>
              <w:t>3-4 laipsnio</w:t>
            </w:r>
          </w:p>
        </w:tc>
      </w:tr>
      <w:tr w:rsidR="000F73D0" w:rsidRPr="00975CA4" w14:paraId="03E9C82E"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5977FD73" w14:textId="77777777" w:rsidR="000F73D0" w:rsidRPr="00975CA4" w:rsidRDefault="000F73D0">
            <w:pPr>
              <w:rPr>
                <w:rFonts w:eastAsia="Times New Roman"/>
                <w:sz w:val="22"/>
                <w:szCs w:val="22"/>
              </w:rPr>
            </w:pPr>
            <w:r w:rsidRPr="00975CA4">
              <w:rPr>
                <w:rFonts w:eastAsia="Times New Roman"/>
                <w:b/>
                <w:bCs/>
                <w:sz w:val="22"/>
                <w:szCs w:val="22"/>
              </w:rPr>
              <w:t>Tinkamiausias terminas</w:t>
            </w:r>
          </w:p>
        </w:tc>
        <w:tc>
          <w:tcPr>
            <w:tcW w:w="3689" w:type="dxa"/>
            <w:gridSpan w:val="2"/>
            <w:tcBorders>
              <w:top w:val="single" w:sz="4" w:space="0" w:color="000000"/>
              <w:left w:val="single" w:sz="4" w:space="0" w:color="000000"/>
              <w:bottom w:val="single" w:sz="4" w:space="0" w:color="000000"/>
              <w:right w:val="single" w:sz="4" w:space="0" w:color="000000"/>
            </w:tcBorders>
            <w:hideMark/>
          </w:tcPr>
          <w:p w14:paraId="6B42FCD1" w14:textId="77777777" w:rsidR="000F73D0" w:rsidRPr="00975CA4" w:rsidRDefault="000F73D0">
            <w:pPr>
              <w:jc w:val="center"/>
              <w:rPr>
                <w:rFonts w:eastAsia="Times New Roman"/>
                <w:b/>
                <w:sz w:val="22"/>
                <w:szCs w:val="22"/>
              </w:rPr>
            </w:pPr>
            <w:r w:rsidRPr="00975CA4">
              <w:rPr>
                <w:rFonts w:eastAsia="Times New Roman"/>
                <w:b/>
                <w:sz w:val="22"/>
                <w:szCs w:val="22"/>
              </w:rPr>
              <w:t>Pacientų dalis (%)</w:t>
            </w:r>
          </w:p>
        </w:tc>
      </w:tr>
      <w:tr w:rsidR="000F73D0" w:rsidRPr="00975CA4" w14:paraId="47C40FEE"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3AB12FB4" w14:textId="77777777" w:rsidR="000F73D0" w:rsidRPr="00975CA4" w:rsidRDefault="000F73D0">
            <w:pPr>
              <w:rPr>
                <w:rFonts w:eastAsia="Times New Roman"/>
                <w:sz w:val="22"/>
                <w:szCs w:val="22"/>
              </w:rPr>
            </w:pPr>
            <w:r w:rsidRPr="00975CA4">
              <w:rPr>
                <w:rFonts w:eastAsia="Times New Roman"/>
                <w:b/>
                <w:bCs/>
                <w:sz w:val="22"/>
                <w:szCs w:val="22"/>
              </w:rPr>
              <w:t>Viduriavimas</w:t>
            </w:r>
          </w:p>
        </w:tc>
        <w:tc>
          <w:tcPr>
            <w:tcW w:w="1843" w:type="dxa"/>
            <w:tcBorders>
              <w:top w:val="single" w:sz="4" w:space="0" w:color="000000"/>
              <w:left w:val="single" w:sz="4" w:space="0" w:color="000000"/>
              <w:bottom w:val="single" w:sz="4" w:space="0" w:color="000000"/>
              <w:right w:val="single" w:sz="4" w:space="0" w:color="000000"/>
            </w:tcBorders>
            <w:hideMark/>
          </w:tcPr>
          <w:p w14:paraId="3A7FDF90" w14:textId="77777777" w:rsidR="000F73D0" w:rsidRPr="00975CA4" w:rsidRDefault="000F73D0">
            <w:pPr>
              <w:jc w:val="center"/>
              <w:rPr>
                <w:rFonts w:eastAsia="Times New Roman"/>
                <w:sz w:val="22"/>
                <w:szCs w:val="22"/>
              </w:rPr>
            </w:pPr>
            <w:r w:rsidRPr="00975CA4">
              <w:rPr>
                <w:rFonts w:eastAsia="Times New Roman"/>
                <w:sz w:val="22"/>
                <w:szCs w:val="22"/>
              </w:rPr>
              <w:t>28</w:t>
            </w:r>
          </w:p>
        </w:tc>
        <w:tc>
          <w:tcPr>
            <w:tcW w:w="1846" w:type="dxa"/>
            <w:tcBorders>
              <w:top w:val="single" w:sz="4" w:space="0" w:color="000000"/>
              <w:left w:val="single" w:sz="4" w:space="0" w:color="000000"/>
              <w:bottom w:val="single" w:sz="4" w:space="0" w:color="000000"/>
              <w:right w:val="single" w:sz="4" w:space="0" w:color="000000"/>
            </w:tcBorders>
            <w:hideMark/>
          </w:tcPr>
          <w:p w14:paraId="56B0629D" w14:textId="77777777" w:rsidR="000F73D0" w:rsidRPr="00975CA4" w:rsidRDefault="000F73D0">
            <w:pPr>
              <w:jc w:val="center"/>
              <w:rPr>
                <w:rFonts w:eastAsia="Times New Roman"/>
                <w:sz w:val="22"/>
                <w:szCs w:val="22"/>
              </w:rPr>
            </w:pPr>
            <w:r w:rsidRPr="00975CA4">
              <w:rPr>
                <w:rFonts w:eastAsia="Times New Roman"/>
                <w:sz w:val="22"/>
                <w:szCs w:val="22"/>
              </w:rPr>
              <w:t>3</w:t>
            </w:r>
          </w:p>
        </w:tc>
      </w:tr>
      <w:tr w:rsidR="000F73D0" w:rsidRPr="00975CA4" w14:paraId="23D0A656"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47A3F0B5" w14:textId="77777777" w:rsidR="000F73D0" w:rsidRPr="00975CA4" w:rsidRDefault="000F73D0" w:rsidP="000F73D0">
            <w:pPr>
              <w:rPr>
                <w:rFonts w:eastAsia="Times New Roman"/>
                <w:sz w:val="22"/>
                <w:szCs w:val="22"/>
              </w:rPr>
            </w:pPr>
            <w:r w:rsidRPr="00975CA4">
              <w:rPr>
                <w:rFonts w:eastAsia="Times New Roman"/>
                <w:b/>
                <w:bCs/>
                <w:sz w:val="22"/>
                <w:szCs w:val="22"/>
              </w:rPr>
              <w:t>Skysčio susilaikymas</w:t>
            </w:r>
          </w:p>
        </w:tc>
        <w:tc>
          <w:tcPr>
            <w:tcW w:w="1843" w:type="dxa"/>
            <w:tcBorders>
              <w:top w:val="single" w:sz="4" w:space="0" w:color="000000"/>
              <w:left w:val="single" w:sz="4" w:space="0" w:color="000000"/>
              <w:bottom w:val="single" w:sz="4" w:space="0" w:color="000000"/>
              <w:right w:val="single" w:sz="4" w:space="0" w:color="000000"/>
            </w:tcBorders>
            <w:hideMark/>
          </w:tcPr>
          <w:p w14:paraId="77562206" w14:textId="77777777" w:rsidR="000F73D0" w:rsidRPr="00975CA4" w:rsidRDefault="000F73D0" w:rsidP="000F73D0">
            <w:pPr>
              <w:jc w:val="center"/>
              <w:rPr>
                <w:rFonts w:eastAsia="Times New Roman"/>
                <w:sz w:val="22"/>
                <w:szCs w:val="22"/>
              </w:rPr>
            </w:pPr>
            <w:r w:rsidRPr="00975CA4">
              <w:rPr>
                <w:rFonts w:eastAsia="Times New Roman"/>
                <w:sz w:val="22"/>
                <w:szCs w:val="22"/>
              </w:rPr>
              <w:t>33</w:t>
            </w:r>
          </w:p>
        </w:tc>
        <w:tc>
          <w:tcPr>
            <w:tcW w:w="1846" w:type="dxa"/>
            <w:tcBorders>
              <w:top w:val="single" w:sz="4" w:space="0" w:color="000000"/>
              <w:left w:val="single" w:sz="4" w:space="0" w:color="000000"/>
              <w:bottom w:val="single" w:sz="4" w:space="0" w:color="000000"/>
              <w:right w:val="single" w:sz="4" w:space="0" w:color="000000"/>
            </w:tcBorders>
            <w:hideMark/>
          </w:tcPr>
          <w:p w14:paraId="3E642AF4" w14:textId="77777777" w:rsidR="000F73D0" w:rsidRPr="00975CA4" w:rsidRDefault="000F73D0" w:rsidP="000F73D0">
            <w:pPr>
              <w:jc w:val="center"/>
              <w:rPr>
                <w:rFonts w:eastAsia="Times New Roman"/>
                <w:sz w:val="22"/>
                <w:szCs w:val="22"/>
              </w:rPr>
            </w:pPr>
            <w:r w:rsidRPr="00975CA4">
              <w:rPr>
                <w:rFonts w:eastAsia="Times New Roman"/>
                <w:sz w:val="22"/>
                <w:szCs w:val="22"/>
              </w:rPr>
              <w:t>7</w:t>
            </w:r>
          </w:p>
        </w:tc>
      </w:tr>
      <w:tr w:rsidR="000F73D0" w:rsidRPr="00975CA4" w14:paraId="08719FDD"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168A06F7" w14:textId="77777777" w:rsidR="000F73D0" w:rsidRPr="00975CA4" w:rsidRDefault="000F73D0" w:rsidP="000F73D0">
            <w:pPr>
              <w:ind w:left="202"/>
              <w:rPr>
                <w:rFonts w:eastAsia="Times New Roman"/>
                <w:sz w:val="22"/>
                <w:szCs w:val="22"/>
              </w:rPr>
            </w:pPr>
            <w:r w:rsidRPr="00975CA4">
              <w:rPr>
                <w:rFonts w:eastAsia="Times New Roman"/>
                <w:sz w:val="22"/>
                <w:szCs w:val="22"/>
              </w:rPr>
              <w:t>Paviršinė edema</w:t>
            </w:r>
          </w:p>
        </w:tc>
        <w:tc>
          <w:tcPr>
            <w:tcW w:w="1843" w:type="dxa"/>
            <w:tcBorders>
              <w:top w:val="single" w:sz="4" w:space="0" w:color="000000"/>
              <w:left w:val="single" w:sz="4" w:space="0" w:color="000000"/>
              <w:bottom w:val="single" w:sz="4" w:space="0" w:color="000000"/>
              <w:right w:val="single" w:sz="4" w:space="0" w:color="000000"/>
            </w:tcBorders>
            <w:hideMark/>
          </w:tcPr>
          <w:p w14:paraId="4839DD6A" w14:textId="77777777" w:rsidR="000F73D0" w:rsidRPr="00975CA4" w:rsidRDefault="000F73D0" w:rsidP="000F73D0">
            <w:pPr>
              <w:jc w:val="center"/>
              <w:rPr>
                <w:rFonts w:eastAsia="Times New Roman"/>
                <w:sz w:val="22"/>
                <w:szCs w:val="22"/>
              </w:rPr>
            </w:pPr>
            <w:r w:rsidRPr="00975CA4">
              <w:rPr>
                <w:rFonts w:eastAsia="Times New Roman"/>
                <w:sz w:val="22"/>
                <w:szCs w:val="22"/>
              </w:rPr>
              <w:t>15</w:t>
            </w:r>
          </w:p>
        </w:tc>
        <w:tc>
          <w:tcPr>
            <w:tcW w:w="1846" w:type="dxa"/>
            <w:tcBorders>
              <w:top w:val="single" w:sz="4" w:space="0" w:color="000000"/>
              <w:left w:val="single" w:sz="4" w:space="0" w:color="000000"/>
              <w:bottom w:val="single" w:sz="4" w:space="0" w:color="000000"/>
              <w:right w:val="single" w:sz="4" w:space="0" w:color="000000"/>
            </w:tcBorders>
            <w:hideMark/>
          </w:tcPr>
          <w:p w14:paraId="6EF00160" w14:textId="1FAA03D2" w:rsidR="000F73D0" w:rsidRPr="00975CA4" w:rsidRDefault="000F73D0" w:rsidP="00244D68">
            <w:pPr>
              <w:jc w:val="center"/>
              <w:rPr>
                <w:rFonts w:eastAsia="Times New Roman"/>
                <w:sz w:val="22"/>
                <w:szCs w:val="22"/>
              </w:rPr>
            </w:pPr>
            <w:r w:rsidRPr="00975CA4">
              <w:rPr>
                <w:rFonts w:eastAsia="Times New Roman"/>
                <w:sz w:val="22"/>
                <w:szCs w:val="22"/>
              </w:rPr>
              <w:t>&lt;</w:t>
            </w:r>
            <w:r w:rsidR="005941C3" w:rsidRPr="00975CA4">
              <w:rPr>
                <w:rFonts w:eastAsia="Times New Roman"/>
                <w:sz w:val="22"/>
                <w:szCs w:val="22"/>
              </w:rPr>
              <w:t> </w:t>
            </w:r>
            <w:r w:rsidRPr="00975CA4">
              <w:rPr>
                <w:rFonts w:eastAsia="Times New Roman"/>
                <w:sz w:val="22"/>
                <w:szCs w:val="22"/>
              </w:rPr>
              <w:t>1</w:t>
            </w:r>
          </w:p>
        </w:tc>
      </w:tr>
      <w:tr w:rsidR="000F73D0" w:rsidRPr="00975CA4" w14:paraId="171CBA90"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0A0E88A0" w14:textId="2A9AF937" w:rsidR="000F73D0" w:rsidRPr="00975CA4" w:rsidRDefault="00244D68" w:rsidP="005941C3">
            <w:pPr>
              <w:ind w:left="202"/>
              <w:rPr>
                <w:rFonts w:eastAsia="Times New Roman"/>
                <w:sz w:val="22"/>
                <w:szCs w:val="22"/>
              </w:rPr>
            </w:pPr>
            <w:r w:rsidRPr="00975CA4">
              <w:rPr>
                <w:rFonts w:eastAsia="Times New Roman"/>
                <w:sz w:val="22"/>
                <w:szCs w:val="22"/>
              </w:rPr>
              <w:t>Skystis p</w:t>
            </w:r>
            <w:r w:rsidR="000F73D0" w:rsidRPr="00975CA4">
              <w:rPr>
                <w:rFonts w:eastAsia="Times New Roman"/>
                <w:sz w:val="22"/>
                <w:szCs w:val="22"/>
              </w:rPr>
              <w:t>leuro</w:t>
            </w:r>
            <w:r w:rsidR="005941C3" w:rsidRPr="00975CA4">
              <w:rPr>
                <w:rFonts w:eastAsia="Times New Roman"/>
                <w:sz w:val="22"/>
                <w:szCs w:val="22"/>
              </w:rPr>
              <w:t>s ertmėje</w:t>
            </w:r>
          </w:p>
        </w:tc>
        <w:tc>
          <w:tcPr>
            <w:tcW w:w="1843" w:type="dxa"/>
            <w:tcBorders>
              <w:top w:val="single" w:sz="4" w:space="0" w:color="000000"/>
              <w:left w:val="single" w:sz="4" w:space="0" w:color="000000"/>
              <w:bottom w:val="single" w:sz="4" w:space="0" w:color="000000"/>
              <w:right w:val="single" w:sz="4" w:space="0" w:color="000000"/>
            </w:tcBorders>
            <w:hideMark/>
          </w:tcPr>
          <w:p w14:paraId="6A9C2376" w14:textId="77777777" w:rsidR="000F73D0" w:rsidRPr="00975CA4" w:rsidRDefault="000F73D0" w:rsidP="000F73D0">
            <w:pPr>
              <w:jc w:val="center"/>
              <w:rPr>
                <w:rFonts w:eastAsia="Times New Roman"/>
                <w:sz w:val="22"/>
                <w:szCs w:val="22"/>
              </w:rPr>
            </w:pPr>
            <w:r w:rsidRPr="00975CA4">
              <w:rPr>
                <w:rFonts w:eastAsia="Times New Roman"/>
                <w:sz w:val="22"/>
                <w:szCs w:val="22"/>
              </w:rPr>
              <w:t>20</w:t>
            </w:r>
          </w:p>
        </w:tc>
        <w:tc>
          <w:tcPr>
            <w:tcW w:w="1846" w:type="dxa"/>
            <w:tcBorders>
              <w:top w:val="single" w:sz="4" w:space="0" w:color="000000"/>
              <w:left w:val="single" w:sz="4" w:space="0" w:color="000000"/>
              <w:bottom w:val="single" w:sz="4" w:space="0" w:color="000000"/>
              <w:right w:val="single" w:sz="4" w:space="0" w:color="000000"/>
            </w:tcBorders>
            <w:hideMark/>
          </w:tcPr>
          <w:p w14:paraId="03094EB2" w14:textId="77777777" w:rsidR="000F73D0" w:rsidRPr="00975CA4" w:rsidRDefault="000F73D0" w:rsidP="000F73D0">
            <w:pPr>
              <w:jc w:val="center"/>
              <w:rPr>
                <w:rFonts w:eastAsia="Times New Roman"/>
                <w:sz w:val="22"/>
                <w:szCs w:val="22"/>
              </w:rPr>
            </w:pPr>
            <w:r w:rsidRPr="00975CA4">
              <w:rPr>
                <w:rFonts w:eastAsia="Times New Roman"/>
                <w:sz w:val="22"/>
                <w:szCs w:val="22"/>
              </w:rPr>
              <w:t>6</w:t>
            </w:r>
          </w:p>
        </w:tc>
      </w:tr>
      <w:tr w:rsidR="000F73D0" w:rsidRPr="00975CA4" w14:paraId="08101D4C"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442DED1F" w14:textId="77777777" w:rsidR="000F73D0" w:rsidRPr="00975CA4" w:rsidRDefault="000F73D0" w:rsidP="000F73D0">
            <w:pPr>
              <w:ind w:left="202"/>
              <w:rPr>
                <w:rFonts w:eastAsia="Times New Roman"/>
                <w:sz w:val="22"/>
                <w:szCs w:val="22"/>
              </w:rPr>
            </w:pPr>
            <w:r w:rsidRPr="00975CA4">
              <w:rPr>
                <w:rFonts w:eastAsia="Times New Roman"/>
                <w:sz w:val="22"/>
                <w:szCs w:val="22"/>
              </w:rPr>
              <w:t>Išplitusi edema</w:t>
            </w:r>
          </w:p>
        </w:tc>
        <w:tc>
          <w:tcPr>
            <w:tcW w:w="1843" w:type="dxa"/>
            <w:tcBorders>
              <w:top w:val="single" w:sz="4" w:space="0" w:color="000000"/>
              <w:left w:val="single" w:sz="4" w:space="0" w:color="000000"/>
              <w:bottom w:val="single" w:sz="4" w:space="0" w:color="000000"/>
              <w:right w:val="single" w:sz="4" w:space="0" w:color="000000"/>
            </w:tcBorders>
            <w:hideMark/>
          </w:tcPr>
          <w:p w14:paraId="30EEA1B1" w14:textId="77777777" w:rsidR="000F73D0" w:rsidRPr="00975CA4" w:rsidRDefault="000F73D0" w:rsidP="000F73D0">
            <w:pPr>
              <w:jc w:val="center"/>
              <w:rPr>
                <w:rFonts w:eastAsia="Times New Roman"/>
                <w:sz w:val="22"/>
                <w:szCs w:val="22"/>
              </w:rPr>
            </w:pPr>
            <w:r w:rsidRPr="00975CA4">
              <w:rPr>
                <w:rFonts w:eastAsia="Times New Roman"/>
                <w:sz w:val="22"/>
                <w:szCs w:val="22"/>
              </w:rPr>
              <w:t>2</w:t>
            </w:r>
          </w:p>
        </w:tc>
        <w:tc>
          <w:tcPr>
            <w:tcW w:w="1846" w:type="dxa"/>
            <w:tcBorders>
              <w:top w:val="single" w:sz="4" w:space="0" w:color="000000"/>
              <w:left w:val="single" w:sz="4" w:space="0" w:color="000000"/>
              <w:bottom w:val="single" w:sz="4" w:space="0" w:color="000000"/>
              <w:right w:val="single" w:sz="4" w:space="0" w:color="000000"/>
            </w:tcBorders>
            <w:hideMark/>
          </w:tcPr>
          <w:p w14:paraId="4DBDDE90" w14:textId="77777777" w:rsidR="000F73D0" w:rsidRPr="00975CA4" w:rsidRDefault="000F73D0" w:rsidP="000F73D0">
            <w:pPr>
              <w:jc w:val="center"/>
              <w:rPr>
                <w:rFonts w:eastAsia="Times New Roman"/>
                <w:sz w:val="22"/>
                <w:szCs w:val="22"/>
              </w:rPr>
            </w:pPr>
            <w:r w:rsidRPr="00975CA4">
              <w:rPr>
                <w:rFonts w:eastAsia="Times New Roman"/>
                <w:sz w:val="22"/>
                <w:szCs w:val="22"/>
              </w:rPr>
              <w:t>0</w:t>
            </w:r>
          </w:p>
        </w:tc>
      </w:tr>
      <w:tr w:rsidR="000F73D0" w:rsidRPr="00975CA4" w14:paraId="1699F66E" w14:textId="77777777" w:rsidTr="000F73D0">
        <w:trPr>
          <w:trHeight w:val="567"/>
          <w:jc w:val="center"/>
        </w:trPr>
        <w:tc>
          <w:tcPr>
            <w:tcW w:w="4253" w:type="dxa"/>
            <w:tcBorders>
              <w:top w:val="single" w:sz="4" w:space="0" w:color="000000"/>
              <w:left w:val="single" w:sz="4" w:space="0" w:color="000000"/>
              <w:bottom w:val="single" w:sz="4" w:space="0" w:color="000000"/>
              <w:right w:val="single" w:sz="4" w:space="0" w:color="000000"/>
            </w:tcBorders>
            <w:hideMark/>
          </w:tcPr>
          <w:p w14:paraId="6D409E0F" w14:textId="77777777" w:rsidR="000F73D0" w:rsidRPr="00975CA4" w:rsidRDefault="000F73D0" w:rsidP="000F73D0">
            <w:pPr>
              <w:ind w:left="202"/>
              <w:rPr>
                <w:rFonts w:eastAsia="Times New Roman"/>
                <w:sz w:val="22"/>
                <w:szCs w:val="22"/>
              </w:rPr>
            </w:pPr>
            <w:proofErr w:type="spellStart"/>
            <w:r w:rsidRPr="00975CA4">
              <w:rPr>
                <w:rFonts w:eastAsia="Times New Roman"/>
                <w:sz w:val="22"/>
                <w:szCs w:val="22"/>
              </w:rPr>
              <w:t>Stazinis</w:t>
            </w:r>
            <w:proofErr w:type="spellEnd"/>
            <w:r w:rsidRPr="00975CA4">
              <w:rPr>
                <w:rFonts w:eastAsia="Times New Roman"/>
                <w:sz w:val="22"/>
                <w:szCs w:val="22"/>
              </w:rPr>
              <w:t xml:space="preserve"> širdies nepakankamumas/ širdies funkcijos </w:t>
            </w:r>
            <w:proofErr w:type="spellStart"/>
            <w:r w:rsidRPr="00975CA4">
              <w:rPr>
                <w:rFonts w:eastAsia="Times New Roman"/>
                <w:sz w:val="22"/>
                <w:szCs w:val="22"/>
              </w:rPr>
              <w:t>sutrikimas</w:t>
            </w:r>
            <w:r w:rsidRPr="00975CA4">
              <w:rPr>
                <w:rFonts w:eastAsia="Times New Roman"/>
                <w:sz w:val="22"/>
                <w:szCs w:val="22"/>
                <w:vertAlign w:val="superscript"/>
              </w:rPr>
              <w:t>b</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2FCA127" w14:textId="77777777" w:rsidR="000F73D0" w:rsidRPr="00975CA4" w:rsidRDefault="000F73D0" w:rsidP="000F73D0">
            <w:pPr>
              <w:jc w:val="center"/>
              <w:rPr>
                <w:rFonts w:eastAsia="Times New Roman"/>
                <w:sz w:val="22"/>
                <w:szCs w:val="22"/>
              </w:rPr>
            </w:pPr>
            <w:r w:rsidRPr="00975CA4">
              <w:rPr>
                <w:rFonts w:eastAsia="Times New Roman"/>
                <w:sz w:val="22"/>
                <w:szCs w:val="22"/>
              </w:rPr>
              <w:t>1</w:t>
            </w:r>
          </w:p>
        </w:tc>
        <w:tc>
          <w:tcPr>
            <w:tcW w:w="1846" w:type="dxa"/>
            <w:tcBorders>
              <w:top w:val="single" w:sz="4" w:space="0" w:color="000000"/>
              <w:left w:val="single" w:sz="4" w:space="0" w:color="000000"/>
              <w:bottom w:val="single" w:sz="4" w:space="0" w:color="000000"/>
              <w:right w:val="single" w:sz="4" w:space="0" w:color="000000"/>
            </w:tcBorders>
            <w:vAlign w:val="center"/>
            <w:hideMark/>
          </w:tcPr>
          <w:p w14:paraId="10BF512D" w14:textId="77777777" w:rsidR="000F73D0" w:rsidRPr="00975CA4" w:rsidRDefault="000F73D0" w:rsidP="000F73D0">
            <w:pPr>
              <w:jc w:val="center"/>
              <w:rPr>
                <w:rFonts w:eastAsia="Times New Roman"/>
                <w:sz w:val="22"/>
                <w:szCs w:val="22"/>
              </w:rPr>
            </w:pPr>
            <w:r w:rsidRPr="00975CA4">
              <w:rPr>
                <w:rFonts w:eastAsia="Times New Roman"/>
                <w:sz w:val="22"/>
                <w:szCs w:val="22"/>
              </w:rPr>
              <w:t>0</w:t>
            </w:r>
          </w:p>
        </w:tc>
      </w:tr>
      <w:tr w:rsidR="000F73D0" w:rsidRPr="00975CA4" w14:paraId="30631F32"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2B8F8D97" w14:textId="3640F74B" w:rsidR="000F73D0" w:rsidRPr="00975CA4" w:rsidRDefault="00244D68" w:rsidP="00244D68">
            <w:pPr>
              <w:ind w:left="202" w:right="-48"/>
              <w:rPr>
                <w:rFonts w:eastAsia="Times New Roman"/>
                <w:sz w:val="22"/>
                <w:szCs w:val="22"/>
              </w:rPr>
            </w:pPr>
            <w:r w:rsidRPr="00975CA4">
              <w:rPr>
                <w:rFonts w:eastAsia="Times New Roman"/>
                <w:sz w:val="22"/>
                <w:szCs w:val="22"/>
              </w:rPr>
              <w:t>Skystis p</w:t>
            </w:r>
            <w:r w:rsidR="000F73D0" w:rsidRPr="00975CA4">
              <w:rPr>
                <w:rFonts w:eastAsia="Times New Roman"/>
                <w:sz w:val="22"/>
                <w:szCs w:val="22"/>
              </w:rPr>
              <w:t>erikard</w:t>
            </w:r>
            <w:r w:rsidR="005941C3" w:rsidRPr="00975CA4">
              <w:rPr>
                <w:rFonts w:eastAsia="Times New Roman"/>
                <w:sz w:val="22"/>
                <w:szCs w:val="22"/>
              </w:rPr>
              <w:t>o ertmėje</w:t>
            </w:r>
          </w:p>
        </w:tc>
        <w:tc>
          <w:tcPr>
            <w:tcW w:w="1843" w:type="dxa"/>
            <w:tcBorders>
              <w:top w:val="single" w:sz="4" w:space="0" w:color="000000"/>
              <w:left w:val="single" w:sz="4" w:space="0" w:color="000000"/>
              <w:bottom w:val="single" w:sz="4" w:space="0" w:color="000000"/>
              <w:right w:val="single" w:sz="4" w:space="0" w:color="000000"/>
            </w:tcBorders>
            <w:hideMark/>
          </w:tcPr>
          <w:p w14:paraId="3D37931A" w14:textId="77777777" w:rsidR="000F73D0" w:rsidRPr="00975CA4" w:rsidRDefault="000F73D0" w:rsidP="000F73D0">
            <w:pPr>
              <w:jc w:val="center"/>
              <w:rPr>
                <w:rFonts w:eastAsia="Times New Roman"/>
                <w:sz w:val="22"/>
                <w:szCs w:val="22"/>
              </w:rPr>
            </w:pPr>
            <w:r w:rsidRPr="00975CA4">
              <w:rPr>
                <w:rFonts w:eastAsia="Times New Roman"/>
                <w:sz w:val="22"/>
                <w:szCs w:val="22"/>
              </w:rPr>
              <w:t>2</w:t>
            </w:r>
          </w:p>
        </w:tc>
        <w:tc>
          <w:tcPr>
            <w:tcW w:w="1846" w:type="dxa"/>
            <w:tcBorders>
              <w:top w:val="single" w:sz="4" w:space="0" w:color="000000"/>
              <w:left w:val="single" w:sz="4" w:space="0" w:color="000000"/>
              <w:bottom w:val="single" w:sz="4" w:space="0" w:color="000000"/>
              <w:right w:val="single" w:sz="4" w:space="0" w:color="000000"/>
            </w:tcBorders>
            <w:hideMark/>
          </w:tcPr>
          <w:p w14:paraId="18131D98" w14:textId="77777777" w:rsidR="000F73D0" w:rsidRPr="00975CA4" w:rsidRDefault="000F73D0" w:rsidP="000F73D0">
            <w:pPr>
              <w:jc w:val="center"/>
              <w:rPr>
                <w:rFonts w:eastAsia="Times New Roman"/>
                <w:sz w:val="22"/>
                <w:szCs w:val="22"/>
              </w:rPr>
            </w:pPr>
            <w:r w:rsidRPr="00975CA4">
              <w:rPr>
                <w:rFonts w:eastAsia="Times New Roman"/>
                <w:sz w:val="22"/>
                <w:szCs w:val="22"/>
              </w:rPr>
              <w:t>1</w:t>
            </w:r>
          </w:p>
        </w:tc>
      </w:tr>
      <w:tr w:rsidR="000F73D0" w:rsidRPr="00975CA4" w14:paraId="777BB170"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65B085DF" w14:textId="77777777" w:rsidR="000F73D0" w:rsidRPr="00975CA4" w:rsidRDefault="000F73D0" w:rsidP="000F73D0">
            <w:pPr>
              <w:ind w:left="202" w:right="-48"/>
              <w:rPr>
                <w:rFonts w:eastAsia="Times New Roman"/>
                <w:sz w:val="22"/>
                <w:szCs w:val="22"/>
              </w:rPr>
            </w:pPr>
            <w:r w:rsidRPr="00975CA4">
              <w:rPr>
                <w:rFonts w:eastAsia="Times New Roman"/>
                <w:sz w:val="22"/>
                <w:szCs w:val="22"/>
              </w:rPr>
              <w:t>Plaučių edema</w:t>
            </w:r>
          </w:p>
        </w:tc>
        <w:tc>
          <w:tcPr>
            <w:tcW w:w="1843" w:type="dxa"/>
            <w:tcBorders>
              <w:top w:val="single" w:sz="4" w:space="0" w:color="000000"/>
              <w:left w:val="single" w:sz="4" w:space="0" w:color="000000"/>
              <w:bottom w:val="single" w:sz="4" w:space="0" w:color="000000"/>
              <w:right w:val="single" w:sz="4" w:space="0" w:color="000000"/>
            </w:tcBorders>
            <w:hideMark/>
          </w:tcPr>
          <w:p w14:paraId="400CAB81" w14:textId="77777777" w:rsidR="000F73D0" w:rsidRPr="00975CA4" w:rsidRDefault="000F73D0" w:rsidP="000F73D0">
            <w:pPr>
              <w:jc w:val="center"/>
              <w:rPr>
                <w:rFonts w:eastAsia="Times New Roman"/>
                <w:sz w:val="22"/>
                <w:szCs w:val="22"/>
              </w:rPr>
            </w:pPr>
            <w:r w:rsidRPr="00975CA4">
              <w:rPr>
                <w:rFonts w:eastAsia="Times New Roman"/>
                <w:sz w:val="22"/>
                <w:szCs w:val="22"/>
              </w:rPr>
              <w:t>1</w:t>
            </w:r>
          </w:p>
        </w:tc>
        <w:tc>
          <w:tcPr>
            <w:tcW w:w="1846" w:type="dxa"/>
            <w:tcBorders>
              <w:top w:val="single" w:sz="4" w:space="0" w:color="000000"/>
              <w:left w:val="single" w:sz="4" w:space="0" w:color="000000"/>
              <w:bottom w:val="single" w:sz="4" w:space="0" w:color="000000"/>
              <w:right w:val="single" w:sz="4" w:space="0" w:color="000000"/>
            </w:tcBorders>
            <w:hideMark/>
          </w:tcPr>
          <w:p w14:paraId="411C587E" w14:textId="77777777" w:rsidR="000F73D0" w:rsidRPr="00975CA4" w:rsidRDefault="000F73D0" w:rsidP="000F73D0">
            <w:pPr>
              <w:jc w:val="center"/>
              <w:rPr>
                <w:rFonts w:eastAsia="Times New Roman"/>
                <w:sz w:val="22"/>
                <w:szCs w:val="22"/>
              </w:rPr>
            </w:pPr>
            <w:r w:rsidRPr="00975CA4">
              <w:rPr>
                <w:rFonts w:eastAsia="Times New Roman"/>
                <w:sz w:val="22"/>
                <w:szCs w:val="22"/>
              </w:rPr>
              <w:t>1</w:t>
            </w:r>
          </w:p>
        </w:tc>
      </w:tr>
      <w:tr w:rsidR="000F73D0" w:rsidRPr="00975CA4" w14:paraId="19C42111"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5F530375" w14:textId="77777777" w:rsidR="000F73D0" w:rsidRPr="00975CA4" w:rsidRDefault="000F73D0" w:rsidP="000F73D0">
            <w:pPr>
              <w:rPr>
                <w:rFonts w:eastAsia="Times New Roman"/>
                <w:sz w:val="22"/>
                <w:szCs w:val="22"/>
              </w:rPr>
            </w:pPr>
            <w:r w:rsidRPr="00975CA4">
              <w:rPr>
                <w:rFonts w:eastAsia="Times New Roman"/>
                <w:b/>
                <w:bCs/>
                <w:sz w:val="22"/>
                <w:szCs w:val="22"/>
              </w:rPr>
              <w:t>Kraujavimas</w:t>
            </w:r>
          </w:p>
        </w:tc>
        <w:tc>
          <w:tcPr>
            <w:tcW w:w="1843" w:type="dxa"/>
            <w:tcBorders>
              <w:top w:val="single" w:sz="4" w:space="0" w:color="000000"/>
              <w:left w:val="single" w:sz="4" w:space="0" w:color="000000"/>
              <w:bottom w:val="single" w:sz="4" w:space="0" w:color="000000"/>
              <w:right w:val="single" w:sz="4" w:space="0" w:color="000000"/>
            </w:tcBorders>
            <w:hideMark/>
          </w:tcPr>
          <w:p w14:paraId="0EB87D64" w14:textId="77777777" w:rsidR="000F73D0" w:rsidRPr="00975CA4" w:rsidRDefault="000F73D0" w:rsidP="000F73D0">
            <w:pPr>
              <w:jc w:val="center"/>
              <w:rPr>
                <w:rFonts w:eastAsia="Times New Roman"/>
                <w:sz w:val="22"/>
                <w:szCs w:val="22"/>
              </w:rPr>
            </w:pPr>
            <w:r w:rsidRPr="00975CA4">
              <w:rPr>
                <w:rFonts w:eastAsia="Times New Roman"/>
                <w:sz w:val="22"/>
                <w:szCs w:val="22"/>
              </w:rPr>
              <w:t>23</w:t>
            </w:r>
          </w:p>
        </w:tc>
        <w:tc>
          <w:tcPr>
            <w:tcW w:w="1846" w:type="dxa"/>
            <w:tcBorders>
              <w:top w:val="single" w:sz="4" w:space="0" w:color="000000"/>
              <w:left w:val="single" w:sz="4" w:space="0" w:color="000000"/>
              <w:bottom w:val="single" w:sz="4" w:space="0" w:color="000000"/>
              <w:right w:val="single" w:sz="4" w:space="0" w:color="000000"/>
            </w:tcBorders>
            <w:hideMark/>
          </w:tcPr>
          <w:p w14:paraId="56AF2FA8" w14:textId="77777777" w:rsidR="000F73D0" w:rsidRPr="00975CA4" w:rsidRDefault="000F73D0" w:rsidP="000F73D0">
            <w:pPr>
              <w:jc w:val="center"/>
              <w:rPr>
                <w:rFonts w:eastAsia="Times New Roman"/>
                <w:sz w:val="22"/>
                <w:szCs w:val="22"/>
              </w:rPr>
            </w:pPr>
            <w:r w:rsidRPr="00975CA4">
              <w:rPr>
                <w:rFonts w:eastAsia="Times New Roman"/>
                <w:sz w:val="22"/>
                <w:szCs w:val="22"/>
              </w:rPr>
              <w:t>8</w:t>
            </w:r>
          </w:p>
        </w:tc>
      </w:tr>
      <w:tr w:rsidR="000F73D0" w:rsidRPr="00975CA4" w14:paraId="1F86EA2F" w14:textId="77777777" w:rsidTr="000F73D0">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14354545" w14:textId="77777777" w:rsidR="000F73D0" w:rsidRPr="00975CA4" w:rsidRDefault="000F73D0" w:rsidP="000F73D0">
            <w:pPr>
              <w:ind w:left="202" w:right="-48"/>
              <w:rPr>
                <w:rFonts w:eastAsia="Times New Roman"/>
                <w:sz w:val="22"/>
                <w:szCs w:val="22"/>
              </w:rPr>
            </w:pPr>
            <w:r w:rsidRPr="00975CA4">
              <w:rPr>
                <w:rFonts w:eastAsia="Times New Roman"/>
                <w:sz w:val="22"/>
                <w:szCs w:val="22"/>
              </w:rPr>
              <w:t>Kraujavimas iš virškinimo trakto</w:t>
            </w:r>
          </w:p>
        </w:tc>
        <w:tc>
          <w:tcPr>
            <w:tcW w:w="1843" w:type="dxa"/>
            <w:tcBorders>
              <w:top w:val="single" w:sz="4" w:space="0" w:color="000000"/>
              <w:left w:val="single" w:sz="4" w:space="0" w:color="000000"/>
              <w:bottom w:val="single" w:sz="4" w:space="0" w:color="000000"/>
              <w:right w:val="single" w:sz="4" w:space="0" w:color="000000"/>
            </w:tcBorders>
            <w:hideMark/>
          </w:tcPr>
          <w:p w14:paraId="5AAF3577" w14:textId="77777777" w:rsidR="000F73D0" w:rsidRPr="00975CA4" w:rsidRDefault="000F73D0" w:rsidP="000F73D0">
            <w:pPr>
              <w:jc w:val="center"/>
              <w:rPr>
                <w:rFonts w:eastAsia="Times New Roman"/>
                <w:sz w:val="22"/>
                <w:szCs w:val="22"/>
              </w:rPr>
            </w:pPr>
            <w:r w:rsidRPr="00975CA4">
              <w:rPr>
                <w:rFonts w:eastAsia="Times New Roman"/>
                <w:sz w:val="22"/>
                <w:szCs w:val="22"/>
              </w:rPr>
              <w:t>8</w:t>
            </w:r>
          </w:p>
        </w:tc>
        <w:tc>
          <w:tcPr>
            <w:tcW w:w="1846" w:type="dxa"/>
            <w:tcBorders>
              <w:top w:val="single" w:sz="4" w:space="0" w:color="000000"/>
              <w:left w:val="single" w:sz="4" w:space="0" w:color="000000"/>
              <w:bottom w:val="single" w:sz="4" w:space="0" w:color="000000"/>
              <w:right w:val="single" w:sz="4" w:space="0" w:color="000000"/>
            </w:tcBorders>
            <w:hideMark/>
          </w:tcPr>
          <w:p w14:paraId="0EA3086D" w14:textId="77777777" w:rsidR="000F73D0" w:rsidRPr="00975CA4" w:rsidRDefault="000F73D0" w:rsidP="000F73D0">
            <w:pPr>
              <w:jc w:val="center"/>
              <w:rPr>
                <w:rFonts w:eastAsia="Times New Roman"/>
                <w:sz w:val="22"/>
                <w:szCs w:val="22"/>
              </w:rPr>
            </w:pPr>
            <w:r w:rsidRPr="00975CA4">
              <w:rPr>
                <w:rFonts w:eastAsia="Times New Roman"/>
                <w:sz w:val="22"/>
                <w:szCs w:val="22"/>
              </w:rPr>
              <w:t>6</w:t>
            </w:r>
          </w:p>
        </w:tc>
      </w:tr>
    </w:tbl>
    <w:p w14:paraId="15D2C37A" w14:textId="528608D9" w:rsidR="000F73D0" w:rsidRPr="00975CA4" w:rsidRDefault="000F73D0" w:rsidP="000F73D0">
      <w:pPr>
        <w:suppressAutoHyphens/>
        <w:spacing w:after="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a</w:t>
      </w:r>
      <w:r w:rsidRPr="00975CA4">
        <w:rPr>
          <w:rFonts w:ascii="Times New Roman" w:eastAsia="SimSun" w:hAnsi="Times New Roman" w:cs="Times New Roman"/>
          <w:color w:val="000000"/>
          <w:lang w:eastAsia="ar-SA"/>
        </w:rPr>
        <w:t xml:space="preserve"> III fazės dozės optimizavimo tyrimo duomenys, apie kuriuos gauta pranešimų iš rekomenduojamą pradinę 140</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mg dozę kartą per parą vartojusių pacientų populiacijos (n</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304) baigus 2 metus trukusį stebėjimą.</w:t>
      </w:r>
    </w:p>
    <w:p w14:paraId="51A1CDDA" w14:textId="77777777" w:rsidR="000F73D0" w:rsidRPr="00975CA4" w:rsidRDefault="000F73D0" w:rsidP="000F73D0">
      <w:pPr>
        <w:suppressAutoHyphens/>
        <w:spacing w:after="0" w:line="240" w:lineRule="auto"/>
        <w:ind w:left="142" w:hanging="142"/>
        <w:rPr>
          <w:rFonts w:ascii="Times New Roman" w:eastAsia="SimSun" w:hAnsi="Times New Roman" w:cs="Times New Roman"/>
          <w:color w:val="000000"/>
          <w:lang w:eastAsia="ar-SA"/>
        </w:rPr>
      </w:pPr>
      <w:r w:rsidRPr="00975CA4">
        <w:rPr>
          <w:rFonts w:ascii="Times New Roman" w:eastAsia="SimSun" w:hAnsi="Times New Roman" w:cs="Times New Roman"/>
          <w:color w:val="000000"/>
          <w:vertAlign w:val="superscript"/>
          <w:lang w:eastAsia="ar-SA"/>
        </w:rPr>
        <w:t>b</w:t>
      </w:r>
      <w:r w:rsidRPr="00975CA4">
        <w:rPr>
          <w:rFonts w:ascii="Times New Roman" w:eastAsia="SimSun" w:hAnsi="Times New Roman" w:cs="Times New Roman"/>
          <w:color w:val="000000"/>
          <w:lang w:eastAsia="ar-SA"/>
        </w:rPr>
        <w:t xml:space="preserve"> Apima skilvelių disfunkciją, širdies nepakankamumą, </w:t>
      </w:r>
      <w:proofErr w:type="spellStart"/>
      <w:r w:rsidRPr="00975CA4">
        <w:rPr>
          <w:rFonts w:ascii="Times New Roman" w:eastAsia="SimSun" w:hAnsi="Times New Roman" w:cs="Times New Roman"/>
          <w:color w:val="000000"/>
          <w:lang w:eastAsia="ar-SA"/>
        </w:rPr>
        <w:t>stazinį</w:t>
      </w:r>
      <w:proofErr w:type="spellEnd"/>
      <w:r w:rsidRPr="00975CA4">
        <w:rPr>
          <w:rFonts w:ascii="Times New Roman" w:eastAsia="SimSun" w:hAnsi="Times New Roman" w:cs="Times New Roman"/>
          <w:color w:val="000000"/>
          <w:lang w:eastAsia="ar-SA"/>
        </w:rPr>
        <w:t xml:space="preserve"> širdies nepakankamumą, kardiomiopatiją, </w:t>
      </w:r>
      <w:proofErr w:type="spellStart"/>
      <w:r w:rsidRPr="00975CA4">
        <w:rPr>
          <w:rFonts w:ascii="Times New Roman" w:eastAsia="SimSun" w:hAnsi="Times New Roman" w:cs="Times New Roman"/>
          <w:color w:val="000000"/>
          <w:lang w:eastAsia="ar-SA"/>
        </w:rPr>
        <w:t>stazinę</w:t>
      </w:r>
      <w:proofErr w:type="spellEnd"/>
      <w:r w:rsidRPr="00975CA4">
        <w:rPr>
          <w:rFonts w:ascii="Times New Roman" w:eastAsia="SimSun" w:hAnsi="Times New Roman" w:cs="Times New Roman"/>
          <w:color w:val="000000"/>
          <w:lang w:eastAsia="ar-SA"/>
        </w:rPr>
        <w:t xml:space="preserve"> kardiomiopatiją, </w:t>
      </w:r>
      <w:proofErr w:type="spellStart"/>
      <w:r w:rsidRPr="00975CA4">
        <w:rPr>
          <w:rFonts w:ascii="Times New Roman" w:eastAsia="SimSun" w:hAnsi="Times New Roman" w:cs="Times New Roman"/>
          <w:color w:val="000000"/>
          <w:lang w:eastAsia="ar-SA"/>
        </w:rPr>
        <w:t>diastolinę</w:t>
      </w:r>
      <w:proofErr w:type="spellEnd"/>
      <w:r w:rsidRPr="00975CA4">
        <w:rPr>
          <w:rFonts w:ascii="Times New Roman" w:eastAsia="SimSun" w:hAnsi="Times New Roman" w:cs="Times New Roman"/>
          <w:color w:val="000000"/>
          <w:lang w:eastAsia="ar-SA"/>
        </w:rPr>
        <w:t xml:space="preserve"> disfunkciją, sumažėjusią išstūmimo frakciją, skilvelių nepakankamumą.</w:t>
      </w:r>
    </w:p>
    <w:p w14:paraId="4762F651" w14:textId="77777777" w:rsidR="000F73D0" w:rsidRPr="00975CA4" w:rsidRDefault="000F73D0" w:rsidP="000F73D0">
      <w:pPr>
        <w:spacing w:after="0" w:line="240" w:lineRule="auto"/>
        <w:rPr>
          <w:rFonts w:ascii="Times New Roman" w:eastAsia="Calibri" w:hAnsi="Times New Roman" w:cs="Times New Roman"/>
          <w:lang w:eastAsia="ar-SA"/>
        </w:rPr>
      </w:pPr>
    </w:p>
    <w:p w14:paraId="3A905E43" w14:textId="39098F29" w:rsidR="000F73D0" w:rsidRPr="00975CA4" w:rsidRDefault="000F73D0" w:rsidP="000F73D0">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Be to, atlikti du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derinio su chemoterapija tyrimai, kuriuose dalyvavo 161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sergantis vaikas. Pagrind</w:t>
      </w:r>
      <w:r w:rsidR="00823973" w:rsidRPr="00975CA4">
        <w:rPr>
          <w:rFonts w:ascii="Times New Roman" w:eastAsia="SimSun" w:hAnsi="Times New Roman" w:cs="Times New Roman"/>
          <w:color w:val="000000"/>
          <w:lang w:eastAsia="ar-SA"/>
        </w:rPr>
        <w:t>žiamojo</w:t>
      </w:r>
      <w:r w:rsidRPr="00975CA4">
        <w:rPr>
          <w:rFonts w:ascii="Times New Roman" w:eastAsia="SimSun" w:hAnsi="Times New Roman" w:cs="Times New Roman"/>
          <w:color w:val="000000"/>
          <w:lang w:eastAsia="ar-SA"/>
        </w:rPr>
        <w:t xml:space="preserve"> tyrimo metu 106 vaikai gydyti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chemoterapijos deriniu nepertraukiama tvarka. Palaikomajame tyrime dalyvavo 55 vaikai, iš kurių 35 gydyti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chemoterapijos deriniu pertraukiama tvarka (2 savaitės gydymo, paskui 1-2 savaičių pertrauka) ir 20 vaikų gydyti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chemoterapijos deriniu nepertraukiama tvarka. 126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ŪLL sirgusių vaikų, gydytų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chemoterapijos deriniu nepertraukiama tvarka, gydymo trukmės mediana buvo 23,6</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(diapazonas nuo 1,4 iki 33</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w:t>
      </w:r>
    </w:p>
    <w:p w14:paraId="4F7D0C34" w14:textId="77777777" w:rsidR="000F73D0" w:rsidRPr="00975CA4" w:rsidRDefault="000F73D0" w:rsidP="000F73D0">
      <w:pPr>
        <w:suppressAutoHyphens/>
        <w:spacing w:after="0" w:line="240" w:lineRule="auto"/>
        <w:rPr>
          <w:rFonts w:ascii="Times New Roman" w:eastAsia="SimSun" w:hAnsi="Times New Roman" w:cs="Times New Roman"/>
          <w:color w:val="000000"/>
          <w:lang w:eastAsia="ar-SA"/>
        </w:rPr>
      </w:pPr>
    </w:p>
    <w:p w14:paraId="0B49F4E5" w14:textId="3E72AFFE" w:rsidR="000F73D0" w:rsidRPr="00975CA4" w:rsidRDefault="000F73D0" w:rsidP="000F73D0">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2 iš 126 (1,6</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sirgusių vaikų, gydytų nepertraukiama tvarka, patyrė nepageidaujamų reakcijų, dėl kurių teko nutraukti gydymą. Šių dviejų pediatrinių tyrimų metu pacientams, gydytiems nepertraukiama tvarka, nustatytos nepageidaujamos reakcijos, kurių dažnis ≥</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10</w:t>
      </w:r>
      <w:r w:rsidR="005941C3"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pateikiamos 7 lentelėje. Skystis pleuros ertmėje nustatytas tik 7 šios grupės pacientams (5,6</w:t>
      </w:r>
      <w:r w:rsidR="005941C3" w:rsidRPr="00975CA4">
        <w:t> </w:t>
      </w:r>
      <w:r w:rsidRPr="00975CA4">
        <w:rPr>
          <w:rFonts w:ascii="Times New Roman" w:eastAsia="SimSun" w:hAnsi="Times New Roman" w:cs="Times New Roman"/>
          <w:color w:val="000000"/>
          <w:lang w:eastAsia="ar-SA"/>
        </w:rPr>
        <w:t xml:space="preserve">%), todėl į lentelę neįtrauktas. </w:t>
      </w:r>
    </w:p>
    <w:p w14:paraId="2F44AC0A" w14:textId="77777777" w:rsidR="000F73D0" w:rsidRPr="00975CA4" w:rsidRDefault="000F73D0" w:rsidP="000F73D0">
      <w:pPr>
        <w:suppressAutoHyphens/>
        <w:spacing w:after="0" w:line="240" w:lineRule="auto"/>
        <w:rPr>
          <w:rFonts w:ascii="Times New Roman" w:eastAsia="SimSun" w:hAnsi="Times New Roman" w:cs="Times New Roman"/>
          <w:color w:val="000000"/>
          <w:lang w:eastAsia="ar-SA"/>
        </w:rPr>
      </w:pPr>
    </w:p>
    <w:p w14:paraId="7888D3F8" w14:textId="2D99592E" w:rsidR="000F73D0" w:rsidRPr="00975CA4" w:rsidRDefault="000F73D0" w:rsidP="002938B7">
      <w:pPr>
        <w:suppressAutoHyphens/>
        <w:spacing w:after="0" w:line="240" w:lineRule="auto"/>
        <w:ind w:left="851" w:hanging="817"/>
        <w:rPr>
          <w:rFonts w:ascii="Times New Roman" w:eastAsia="SimSun" w:hAnsi="Times New Roman" w:cs="Times New Roman"/>
          <w:color w:val="000000"/>
          <w:lang w:eastAsia="ar-SA"/>
        </w:rPr>
      </w:pPr>
      <w:r w:rsidRPr="00975CA4">
        <w:rPr>
          <w:rFonts w:ascii="Times New Roman" w:eastAsia="SimSun" w:hAnsi="Times New Roman" w:cs="Times New Roman"/>
          <w:b/>
          <w:bCs/>
          <w:color w:val="000000"/>
          <w:lang w:eastAsia="ar-SA"/>
        </w:rPr>
        <w:t>7 lentelė. Nepageidaujamos reakcijos, užfiksuotos ≥</w:t>
      </w:r>
      <w:r w:rsidR="005941C3" w:rsidRPr="00975CA4">
        <w:rPr>
          <w:rFonts w:ascii="Times New Roman" w:eastAsia="SimSun" w:hAnsi="Times New Roman" w:cs="Times New Roman"/>
          <w:b/>
          <w:bCs/>
          <w:color w:val="000000"/>
          <w:lang w:eastAsia="ar-SA"/>
        </w:rPr>
        <w:t> </w:t>
      </w:r>
      <w:r w:rsidRPr="00975CA4">
        <w:rPr>
          <w:rFonts w:ascii="Times New Roman" w:eastAsia="SimSun" w:hAnsi="Times New Roman" w:cs="Times New Roman"/>
          <w:b/>
          <w:bCs/>
          <w:color w:val="000000"/>
          <w:lang w:eastAsia="ar-SA"/>
        </w:rPr>
        <w:t>10</w:t>
      </w:r>
      <w:r w:rsidR="005941C3" w:rsidRPr="00975CA4">
        <w:rPr>
          <w:rFonts w:ascii="Times New Roman" w:eastAsia="SimSun" w:hAnsi="Times New Roman" w:cs="Times New Roman"/>
          <w:b/>
          <w:bCs/>
          <w:color w:val="000000"/>
          <w:lang w:eastAsia="ar-SA"/>
        </w:rPr>
        <w:t> </w:t>
      </w:r>
      <w:r w:rsidRPr="00975CA4">
        <w:rPr>
          <w:rFonts w:ascii="Times New Roman" w:eastAsia="SimSun" w:hAnsi="Times New Roman" w:cs="Times New Roman"/>
          <w:b/>
          <w:bCs/>
          <w:color w:val="000000"/>
          <w:lang w:eastAsia="ar-SA"/>
        </w:rPr>
        <w:t xml:space="preserve">% </w:t>
      </w:r>
      <w:proofErr w:type="spellStart"/>
      <w:r w:rsidRPr="00975CA4">
        <w:rPr>
          <w:rFonts w:ascii="Times New Roman" w:eastAsia="SimSun" w:hAnsi="Times New Roman" w:cs="Times New Roman"/>
          <w:b/>
          <w:bCs/>
          <w:color w:val="000000"/>
          <w:lang w:eastAsia="ar-SA"/>
        </w:rPr>
        <w:t>Ph</w:t>
      </w:r>
      <w:proofErr w:type="spellEnd"/>
      <w:r w:rsidRPr="00975CA4">
        <w:rPr>
          <w:rFonts w:ascii="Times New Roman" w:eastAsia="SimSun" w:hAnsi="Times New Roman" w:cs="Times New Roman"/>
          <w:b/>
          <w:bCs/>
          <w:color w:val="000000"/>
          <w:lang w:eastAsia="ar-SA"/>
        </w:rPr>
        <w:t xml:space="preserve">+ ŪLL sirgusių vaikų, gydytų </w:t>
      </w:r>
      <w:proofErr w:type="spellStart"/>
      <w:r w:rsidRPr="00975CA4">
        <w:rPr>
          <w:rFonts w:ascii="Times New Roman" w:eastAsia="SimSun" w:hAnsi="Times New Roman" w:cs="Times New Roman"/>
          <w:b/>
          <w:bCs/>
          <w:color w:val="000000"/>
          <w:lang w:eastAsia="ar-SA"/>
        </w:rPr>
        <w:t>dazatinibu</w:t>
      </w:r>
      <w:proofErr w:type="spellEnd"/>
      <w:r w:rsidRPr="00975CA4">
        <w:rPr>
          <w:rFonts w:ascii="Times New Roman" w:eastAsia="SimSun" w:hAnsi="Times New Roman" w:cs="Times New Roman"/>
          <w:b/>
          <w:bCs/>
          <w:color w:val="000000"/>
          <w:lang w:eastAsia="ar-SA"/>
        </w:rPr>
        <w:t xml:space="preserve"> nepertraukiama tvarka ir chemoterapijos deriniu (N</w:t>
      </w:r>
      <w:r w:rsidR="005941C3" w:rsidRPr="00975CA4">
        <w:rPr>
          <w:rFonts w:ascii="Times New Roman" w:eastAsia="SimSun" w:hAnsi="Times New Roman" w:cs="Times New Roman"/>
          <w:b/>
          <w:bCs/>
          <w:color w:val="000000"/>
          <w:lang w:eastAsia="ar-SA"/>
        </w:rPr>
        <w:t> </w:t>
      </w:r>
      <w:r w:rsidRPr="00975CA4">
        <w:rPr>
          <w:rFonts w:ascii="Times New Roman" w:eastAsia="SimSun" w:hAnsi="Times New Roman" w:cs="Times New Roman"/>
          <w:b/>
          <w:bCs/>
          <w:color w:val="000000"/>
          <w:lang w:eastAsia="ar-SA"/>
        </w:rPr>
        <w:t>=</w:t>
      </w:r>
      <w:r w:rsidR="005941C3" w:rsidRPr="00975CA4">
        <w:rPr>
          <w:rFonts w:ascii="Times New Roman" w:eastAsia="SimSun" w:hAnsi="Times New Roman" w:cs="Times New Roman"/>
          <w:b/>
          <w:bCs/>
          <w:color w:val="000000"/>
          <w:lang w:eastAsia="ar-SA"/>
        </w:rPr>
        <w:t> </w:t>
      </w:r>
      <w:r w:rsidRPr="00975CA4">
        <w:rPr>
          <w:rFonts w:ascii="Times New Roman" w:eastAsia="SimSun" w:hAnsi="Times New Roman" w:cs="Times New Roman"/>
          <w:b/>
          <w:bCs/>
          <w:color w:val="000000"/>
          <w:lang w:eastAsia="ar-SA"/>
        </w:rPr>
        <w:t>126)</w:t>
      </w:r>
      <w:r w:rsidRPr="00975CA4">
        <w:rPr>
          <w:rFonts w:ascii="Times New Roman" w:eastAsia="SimSun" w:hAnsi="Times New Roman" w:cs="Times New Roman"/>
          <w:b/>
          <w:bCs/>
          <w:color w:val="000000"/>
          <w:vertAlign w:val="superscript"/>
          <w:lang w:eastAsia="ar-SA"/>
        </w:rPr>
        <w:t>a</w:t>
      </w:r>
      <w:r w:rsidRPr="00975CA4">
        <w:rPr>
          <w:rFonts w:ascii="Times New Roman" w:eastAsia="SimSun" w:hAnsi="Times New Roman" w:cs="Times New Roman"/>
          <w:b/>
          <w:bCs/>
          <w:color w:val="000000"/>
          <w:lang w:eastAsia="ar-SA"/>
        </w:rPr>
        <w:t xml:space="preserve"> </w:t>
      </w:r>
    </w:p>
    <w:p w14:paraId="3438D737" w14:textId="77777777" w:rsidR="000F73D0" w:rsidRPr="00975CA4" w:rsidRDefault="000F73D0" w:rsidP="002938B7">
      <w:pPr>
        <w:spacing w:after="0" w:line="240" w:lineRule="auto"/>
        <w:rPr>
          <w:rFonts w:ascii="Times New Roman" w:eastAsia="Calibri" w:hAnsi="Times New Roman" w:cs="Times New Roman"/>
          <w:lang w:eastAsia="ar-SA"/>
        </w:rPr>
      </w:pPr>
    </w:p>
    <w:tbl>
      <w:tblPr>
        <w:tblStyle w:val="Lentelstinklelis"/>
        <w:tblW w:w="0" w:type="auto"/>
        <w:jc w:val="center"/>
        <w:tblLook w:val="04A0" w:firstRow="1" w:lastRow="0" w:firstColumn="1" w:lastColumn="0" w:noHBand="0" w:noVBand="1"/>
      </w:tblPr>
      <w:tblGrid>
        <w:gridCol w:w="2830"/>
        <w:gridCol w:w="1985"/>
        <w:gridCol w:w="1914"/>
      </w:tblGrid>
      <w:tr w:rsidR="000F73D0" w:rsidRPr="00975CA4" w14:paraId="318A45E3"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tcPr>
          <w:p w14:paraId="03A53838" w14:textId="77777777" w:rsidR="000F73D0" w:rsidRPr="00975CA4" w:rsidRDefault="000F73D0" w:rsidP="002938B7">
            <w:pPr>
              <w:rPr>
                <w:rFonts w:eastAsia="Times New Roman"/>
                <w:sz w:val="22"/>
                <w:szCs w:val="22"/>
              </w:rPr>
            </w:pPr>
          </w:p>
        </w:tc>
        <w:tc>
          <w:tcPr>
            <w:tcW w:w="3899" w:type="dxa"/>
            <w:gridSpan w:val="2"/>
            <w:tcBorders>
              <w:top w:val="single" w:sz="4" w:space="0" w:color="000000"/>
              <w:left w:val="single" w:sz="4" w:space="0" w:color="000000"/>
              <w:bottom w:val="single" w:sz="4" w:space="0" w:color="000000"/>
              <w:right w:val="single" w:sz="4" w:space="0" w:color="000000"/>
            </w:tcBorders>
            <w:hideMark/>
          </w:tcPr>
          <w:p w14:paraId="746A6AA6" w14:textId="77777777" w:rsidR="000F73D0" w:rsidRPr="00975CA4" w:rsidRDefault="000F73D0" w:rsidP="002938B7">
            <w:pPr>
              <w:jc w:val="center"/>
              <w:rPr>
                <w:rFonts w:eastAsia="Times New Roman"/>
                <w:b/>
                <w:bCs/>
                <w:sz w:val="22"/>
                <w:szCs w:val="22"/>
              </w:rPr>
            </w:pPr>
            <w:r w:rsidRPr="00975CA4">
              <w:rPr>
                <w:rFonts w:eastAsia="Times New Roman"/>
                <w:b/>
                <w:sz w:val="22"/>
                <w:szCs w:val="22"/>
              </w:rPr>
              <w:t>Pacientų dalis (%)</w:t>
            </w:r>
          </w:p>
        </w:tc>
      </w:tr>
      <w:tr w:rsidR="000F73D0" w:rsidRPr="00975CA4" w14:paraId="207BFA14"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20A7D861" w14:textId="77777777" w:rsidR="000F73D0" w:rsidRPr="00975CA4" w:rsidRDefault="000F73D0" w:rsidP="002938B7">
            <w:pPr>
              <w:rPr>
                <w:rFonts w:eastAsia="Times New Roman"/>
                <w:b/>
                <w:sz w:val="22"/>
                <w:szCs w:val="22"/>
              </w:rPr>
            </w:pPr>
            <w:r w:rsidRPr="00975CA4">
              <w:rPr>
                <w:rFonts w:eastAsia="Times New Roman"/>
                <w:b/>
                <w:sz w:val="22"/>
                <w:szCs w:val="22"/>
              </w:rPr>
              <w:t>Nepageidaujama reakcija</w:t>
            </w:r>
          </w:p>
        </w:tc>
        <w:tc>
          <w:tcPr>
            <w:tcW w:w="1985" w:type="dxa"/>
            <w:tcBorders>
              <w:top w:val="single" w:sz="4" w:space="0" w:color="000000"/>
              <w:left w:val="single" w:sz="4" w:space="0" w:color="000000"/>
              <w:bottom w:val="single" w:sz="4" w:space="0" w:color="000000"/>
              <w:right w:val="single" w:sz="4" w:space="0" w:color="000000"/>
            </w:tcBorders>
            <w:hideMark/>
          </w:tcPr>
          <w:p w14:paraId="6224BC94" w14:textId="77777777" w:rsidR="000F73D0" w:rsidRPr="00975CA4" w:rsidRDefault="000F73D0" w:rsidP="002938B7">
            <w:pPr>
              <w:jc w:val="center"/>
              <w:rPr>
                <w:rFonts w:eastAsia="Times New Roman"/>
                <w:sz w:val="22"/>
                <w:szCs w:val="22"/>
              </w:rPr>
            </w:pPr>
            <w:r w:rsidRPr="00975CA4">
              <w:rPr>
                <w:rFonts w:eastAsia="Times New Roman"/>
                <w:b/>
                <w:bCs/>
                <w:sz w:val="22"/>
                <w:szCs w:val="22"/>
              </w:rPr>
              <w:t>Visų laipsnių</w:t>
            </w:r>
          </w:p>
        </w:tc>
        <w:tc>
          <w:tcPr>
            <w:tcW w:w="1914" w:type="dxa"/>
            <w:tcBorders>
              <w:top w:val="single" w:sz="4" w:space="0" w:color="000000"/>
              <w:left w:val="single" w:sz="4" w:space="0" w:color="000000"/>
              <w:bottom w:val="single" w:sz="4" w:space="0" w:color="000000"/>
              <w:right w:val="single" w:sz="4" w:space="0" w:color="000000"/>
            </w:tcBorders>
            <w:hideMark/>
          </w:tcPr>
          <w:p w14:paraId="36637493" w14:textId="77777777" w:rsidR="000F73D0" w:rsidRPr="00975CA4" w:rsidRDefault="000F73D0" w:rsidP="002938B7">
            <w:pPr>
              <w:jc w:val="center"/>
              <w:rPr>
                <w:rFonts w:eastAsia="Times New Roman"/>
                <w:sz w:val="22"/>
                <w:szCs w:val="22"/>
              </w:rPr>
            </w:pPr>
            <w:r w:rsidRPr="00975CA4">
              <w:rPr>
                <w:rFonts w:eastAsia="Times New Roman"/>
                <w:b/>
                <w:bCs/>
                <w:sz w:val="22"/>
                <w:szCs w:val="22"/>
              </w:rPr>
              <w:t>3-4 laipsnio</w:t>
            </w:r>
          </w:p>
        </w:tc>
      </w:tr>
      <w:tr w:rsidR="000F73D0" w:rsidRPr="00975CA4" w14:paraId="46D32E56"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4F35A077" w14:textId="77777777" w:rsidR="000F73D0" w:rsidRPr="00975CA4" w:rsidRDefault="000F73D0" w:rsidP="002938B7">
            <w:pPr>
              <w:ind w:left="113"/>
              <w:rPr>
                <w:sz w:val="22"/>
                <w:szCs w:val="22"/>
              </w:rPr>
            </w:pPr>
            <w:proofErr w:type="spellStart"/>
            <w:r w:rsidRPr="00975CA4">
              <w:rPr>
                <w:sz w:val="22"/>
                <w:szCs w:val="22"/>
              </w:rPr>
              <w:lastRenderedPageBreak/>
              <w:t>Febrili</w:t>
            </w:r>
            <w:proofErr w:type="spellEnd"/>
            <w:r w:rsidRPr="00975CA4">
              <w:rPr>
                <w:sz w:val="22"/>
                <w:szCs w:val="22"/>
              </w:rPr>
              <w:t xml:space="preserve"> </w:t>
            </w:r>
            <w:proofErr w:type="spellStart"/>
            <w:r w:rsidRPr="00975CA4">
              <w:rPr>
                <w:sz w:val="22"/>
                <w:szCs w:val="22"/>
              </w:rPr>
              <w:t>neutropenija</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5759CED8" w14:textId="77777777" w:rsidR="000F73D0" w:rsidRPr="00975CA4" w:rsidRDefault="000F73D0" w:rsidP="002938B7">
            <w:pPr>
              <w:jc w:val="center"/>
              <w:rPr>
                <w:sz w:val="22"/>
                <w:szCs w:val="22"/>
              </w:rPr>
            </w:pPr>
            <w:r w:rsidRPr="00975CA4">
              <w:rPr>
                <w:sz w:val="22"/>
                <w:szCs w:val="22"/>
              </w:rPr>
              <w:t>27.0</w:t>
            </w:r>
          </w:p>
        </w:tc>
        <w:tc>
          <w:tcPr>
            <w:tcW w:w="1914" w:type="dxa"/>
            <w:tcBorders>
              <w:top w:val="single" w:sz="4" w:space="0" w:color="000000"/>
              <w:left w:val="single" w:sz="4" w:space="0" w:color="000000"/>
              <w:bottom w:val="single" w:sz="4" w:space="0" w:color="000000"/>
              <w:right w:val="single" w:sz="4" w:space="0" w:color="000000"/>
            </w:tcBorders>
            <w:hideMark/>
          </w:tcPr>
          <w:p w14:paraId="2B61179A" w14:textId="77777777" w:rsidR="000F73D0" w:rsidRPr="00975CA4" w:rsidRDefault="000F73D0" w:rsidP="002938B7">
            <w:pPr>
              <w:jc w:val="center"/>
              <w:rPr>
                <w:sz w:val="22"/>
                <w:szCs w:val="22"/>
              </w:rPr>
            </w:pPr>
            <w:r w:rsidRPr="00975CA4">
              <w:rPr>
                <w:sz w:val="22"/>
                <w:szCs w:val="22"/>
              </w:rPr>
              <w:t>26.2</w:t>
            </w:r>
          </w:p>
        </w:tc>
      </w:tr>
      <w:tr w:rsidR="000F73D0" w:rsidRPr="00975CA4" w14:paraId="26F2A08B"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2EA56658" w14:textId="77777777" w:rsidR="000F73D0" w:rsidRPr="00975CA4" w:rsidRDefault="000F73D0">
            <w:pPr>
              <w:ind w:left="113"/>
              <w:rPr>
                <w:sz w:val="22"/>
                <w:szCs w:val="22"/>
              </w:rPr>
            </w:pPr>
            <w:r w:rsidRPr="00975CA4">
              <w:rPr>
                <w:sz w:val="22"/>
                <w:szCs w:val="22"/>
              </w:rPr>
              <w:t>Pykinimas</w:t>
            </w:r>
          </w:p>
        </w:tc>
        <w:tc>
          <w:tcPr>
            <w:tcW w:w="1985" w:type="dxa"/>
            <w:tcBorders>
              <w:top w:val="single" w:sz="4" w:space="0" w:color="000000"/>
              <w:left w:val="single" w:sz="4" w:space="0" w:color="000000"/>
              <w:bottom w:val="single" w:sz="4" w:space="0" w:color="000000"/>
              <w:right w:val="single" w:sz="4" w:space="0" w:color="000000"/>
            </w:tcBorders>
            <w:hideMark/>
          </w:tcPr>
          <w:p w14:paraId="1A54144A" w14:textId="77777777" w:rsidR="000F73D0" w:rsidRPr="00975CA4" w:rsidRDefault="000F73D0">
            <w:pPr>
              <w:jc w:val="center"/>
              <w:rPr>
                <w:sz w:val="22"/>
                <w:szCs w:val="22"/>
              </w:rPr>
            </w:pPr>
            <w:r w:rsidRPr="00975CA4">
              <w:rPr>
                <w:sz w:val="22"/>
                <w:szCs w:val="22"/>
              </w:rPr>
              <w:t>20.6</w:t>
            </w:r>
          </w:p>
        </w:tc>
        <w:tc>
          <w:tcPr>
            <w:tcW w:w="1914" w:type="dxa"/>
            <w:tcBorders>
              <w:top w:val="single" w:sz="4" w:space="0" w:color="000000"/>
              <w:left w:val="single" w:sz="4" w:space="0" w:color="000000"/>
              <w:bottom w:val="single" w:sz="4" w:space="0" w:color="000000"/>
              <w:right w:val="single" w:sz="4" w:space="0" w:color="000000"/>
            </w:tcBorders>
            <w:hideMark/>
          </w:tcPr>
          <w:p w14:paraId="269B17F4" w14:textId="77777777" w:rsidR="000F73D0" w:rsidRPr="00975CA4" w:rsidRDefault="000F73D0">
            <w:pPr>
              <w:jc w:val="center"/>
              <w:rPr>
                <w:sz w:val="22"/>
                <w:szCs w:val="22"/>
              </w:rPr>
            </w:pPr>
            <w:r w:rsidRPr="00975CA4">
              <w:rPr>
                <w:sz w:val="22"/>
                <w:szCs w:val="22"/>
              </w:rPr>
              <w:t>5.6</w:t>
            </w:r>
          </w:p>
        </w:tc>
      </w:tr>
      <w:tr w:rsidR="000F73D0" w:rsidRPr="00975CA4" w14:paraId="4B1D4433"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4505B11D" w14:textId="77777777" w:rsidR="000F73D0" w:rsidRPr="00975CA4" w:rsidRDefault="000F73D0">
            <w:pPr>
              <w:ind w:left="113"/>
              <w:rPr>
                <w:sz w:val="22"/>
                <w:szCs w:val="22"/>
              </w:rPr>
            </w:pPr>
            <w:r w:rsidRPr="00975CA4">
              <w:rPr>
                <w:sz w:val="22"/>
                <w:szCs w:val="22"/>
              </w:rPr>
              <w:t>Vėmimas</w:t>
            </w:r>
          </w:p>
        </w:tc>
        <w:tc>
          <w:tcPr>
            <w:tcW w:w="1985" w:type="dxa"/>
            <w:tcBorders>
              <w:top w:val="single" w:sz="4" w:space="0" w:color="000000"/>
              <w:left w:val="single" w:sz="4" w:space="0" w:color="000000"/>
              <w:bottom w:val="single" w:sz="4" w:space="0" w:color="000000"/>
              <w:right w:val="single" w:sz="4" w:space="0" w:color="000000"/>
            </w:tcBorders>
            <w:hideMark/>
          </w:tcPr>
          <w:p w14:paraId="06687D5B" w14:textId="77777777" w:rsidR="000F73D0" w:rsidRPr="00975CA4" w:rsidRDefault="000F73D0">
            <w:pPr>
              <w:jc w:val="center"/>
              <w:rPr>
                <w:sz w:val="22"/>
                <w:szCs w:val="22"/>
              </w:rPr>
            </w:pPr>
            <w:r w:rsidRPr="00975CA4">
              <w:rPr>
                <w:sz w:val="22"/>
                <w:szCs w:val="22"/>
              </w:rPr>
              <w:t>20.6</w:t>
            </w:r>
          </w:p>
        </w:tc>
        <w:tc>
          <w:tcPr>
            <w:tcW w:w="1914" w:type="dxa"/>
            <w:tcBorders>
              <w:top w:val="single" w:sz="4" w:space="0" w:color="000000"/>
              <w:left w:val="single" w:sz="4" w:space="0" w:color="000000"/>
              <w:bottom w:val="single" w:sz="4" w:space="0" w:color="000000"/>
              <w:right w:val="single" w:sz="4" w:space="0" w:color="000000"/>
            </w:tcBorders>
            <w:hideMark/>
          </w:tcPr>
          <w:p w14:paraId="719DBB09" w14:textId="77777777" w:rsidR="000F73D0" w:rsidRPr="00975CA4" w:rsidRDefault="000F73D0">
            <w:pPr>
              <w:jc w:val="center"/>
              <w:rPr>
                <w:sz w:val="22"/>
                <w:szCs w:val="22"/>
              </w:rPr>
            </w:pPr>
            <w:r w:rsidRPr="00975CA4">
              <w:rPr>
                <w:sz w:val="22"/>
                <w:szCs w:val="22"/>
              </w:rPr>
              <w:t>4.8</w:t>
            </w:r>
          </w:p>
        </w:tc>
      </w:tr>
      <w:tr w:rsidR="000F73D0" w:rsidRPr="00975CA4" w14:paraId="6BCDD4DA"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3CCE4327" w14:textId="77777777" w:rsidR="000F73D0" w:rsidRPr="00975CA4" w:rsidRDefault="000F73D0">
            <w:pPr>
              <w:ind w:left="113"/>
              <w:rPr>
                <w:sz w:val="22"/>
                <w:szCs w:val="22"/>
              </w:rPr>
            </w:pPr>
            <w:r w:rsidRPr="00975CA4">
              <w:rPr>
                <w:sz w:val="22"/>
                <w:szCs w:val="22"/>
              </w:rPr>
              <w:t>Pilvo skausmas</w:t>
            </w:r>
          </w:p>
        </w:tc>
        <w:tc>
          <w:tcPr>
            <w:tcW w:w="1985" w:type="dxa"/>
            <w:tcBorders>
              <w:top w:val="single" w:sz="4" w:space="0" w:color="000000"/>
              <w:left w:val="single" w:sz="4" w:space="0" w:color="000000"/>
              <w:bottom w:val="single" w:sz="4" w:space="0" w:color="000000"/>
              <w:right w:val="single" w:sz="4" w:space="0" w:color="000000"/>
            </w:tcBorders>
            <w:hideMark/>
          </w:tcPr>
          <w:p w14:paraId="4FF2F4DA" w14:textId="77777777" w:rsidR="000F73D0" w:rsidRPr="00975CA4" w:rsidRDefault="000F73D0">
            <w:pPr>
              <w:jc w:val="center"/>
              <w:rPr>
                <w:sz w:val="22"/>
                <w:szCs w:val="22"/>
              </w:rPr>
            </w:pPr>
            <w:r w:rsidRPr="00975CA4">
              <w:rPr>
                <w:sz w:val="22"/>
                <w:szCs w:val="22"/>
              </w:rPr>
              <w:t>14.3</w:t>
            </w:r>
          </w:p>
        </w:tc>
        <w:tc>
          <w:tcPr>
            <w:tcW w:w="1914" w:type="dxa"/>
            <w:tcBorders>
              <w:top w:val="single" w:sz="4" w:space="0" w:color="000000"/>
              <w:left w:val="single" w:sz="4" w:space="0" w:color="000000"/>
              <w:bottom w:val="single" w:sz="4" w:space="0" w:color="000000"/>
              <w:right w:val="single" w:sz="4" w:space="0" w:color="000000"/>
            </w:tcBorders>
            <w:hideMark/>
          </w:tcPr>
          <w:p w14:paraId="36A82630" w14:textId="77777777" w:rsidR="000F73D0" w:rsidRPr="00975CA4" w:rsidRDefault="000F73D0">
            <w:pPr>
              <w:jc w:val="center"/>
              <w:rPr>
                <w:sz w:val="22"/>
                <w:szCs w:val="22"/>
              </w:rPr>
            </w:pPr>
            <w:r w:rsidRPr="00975CA4">
              <w:rPr>
                <w:sz w:val="22"/>
                <w:szCs w:val="22"/>
              </w:rPr>
              <w:t>3.2</w:t>
            </w:r>
          </w:p>
        </w:tc>
      </w:tr>
      <w:tr w:rsidR="000F73D0" w:rsidRPr="00975CA4" w14:paraId="516309C8"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526BB218" w14:textId="77777777" w:rsidR="000F73D0" w:rsidRPr="00975CA4" w:rsidRDefault="000F73D0">
            <w:pPr>
              <w:ind w:left="113"/>
              <w:rPr>
                <w:sz w:val="22"/>
                <w:szCs w:val="22"/>
              </w:rPr>
            </w:pPr>
            <w:r w:rsidRPr="00975CA4">
              <w:rPr>
                <w:sz w:val="22"/>
                <w:szCs w:val="22"/>
              </w:rPr>
              <w:t>Viduriavimas</w:t>
            </w:r>
          </w:p>
        </w:tc>
        <w:tc>
          <w:tcPr>
            <w:tcW w:w="1985" w:type="dxa"/>
            <w:tcBorders>
              <w:top w:val="single" w:sz="4" w:space="0" w:color="000000"/>
              <w:left w:val="single" w:sz="4" w:space="0" w:color="000000"/>
              <w:bottom w:val="single" w:sz="4" w:space="0" w:color="000000"/>
              <w:right w:val="single" w:sz="4" w:space="0" w:color="000000"/>
            </w:tcBorders>
            <w:hideMark/>
          </w:tcPr>
          <w:p w14:paraId="089C2926" w14:textId="77777777" w:rsidR="000F73D0" w:rsidRPr="00975CA4" w:rsidRDefault="000F73D0">
            <w:pPr>
              <w:jc w:val="center"/>
              <w:rPr>
                <w:sz w:val="22"/>
                <w:szCs w:val="22"/>
              </w:rPr>
            </w:pPr>
            <w:r w:rsidRPr="00975CA4">
              <w:rPr>
                <w:sz w:val="22"/>
                <w:szCs w:val="22"/>
              </w:rPr>
              <w:t>12.7</w:t>
            </w:r>
          </w:p>
        </w:tc>
        <w:tc>
          <w:tcPr>
            <w:tcW w:w="1914" w:type="dxa"/>
            <w:tcBorders>
              <w:top w:val="single" w:sz="4" w:space="0" w:color="000000"/>
              <w:left w:val="single" w:sz="4" w:space="0" w:color="000000"/>
              <w:bottom w:val="single" w:sz="4" w:space="0" w:color="000000"/>
              <w:right w:val="single" w:sz="4" w:space="0" w:color="000000"/>
            </w:tcBorders>
            <w:hideMark/>
          </w:tcPr>
          <w:p w14:paraId="69E355E4" w14:textId="77777777" w:rsidR="000F73D0" w:rsidRPr="00975CA4" w:rsidRDefault="000F73D0">
            <w:pPr>
              <w:jc w:val="center"/>
              <w:rPr>
                <w:sz w:val="22"/>
                <w:szCs w:val="22"/>
              </w:rPr>
            </w:pPr>
            <w:r w:rsidRPr="00975CA4">
              <w:rPr>
                <w:sz w:val="22"/>
                <w:szCs w:val="22"/>
              </w:rPr>
              <w:t>4.8</w:t>
            </w:r>
          </w:p>
        </w:tc>
      </w:tr>
      <w:tr w:rsidR="000F73D0" w:rsidRPr="00975CA4" w14:paraId="6A2F1C28"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5F7B2475" w14:textId="77777777" w:rsidR="000F73D0" w:rsidRPr="00975CA4" w:rsidRDefault="000F73D0">
            <w:pPr>
              <w:ind w:left="113"/>
              <w:rPr>
                <w:sz w:val="22"/>
                <w:szCs w:val="22"/>
              </w:rPr>
            </w:pPr>
            <w:r w:rsidRPr="00975CA4">
              <w:rPr>
                <w:sz w:val="22"/>
                <w:szCs w:val="22"/>
              </w:rPr>
              <w:t>Karščiavimas</w:t>
            </w:r>
          </w:p>
        </w:tc>
        <w:tc>
          <w:tcPr>
            <w:tcW w:w="1985" w:type="dxa"/>
            <w:tcBorders>
              <w:top w:val="single" w:sz="4" w:space="0" w:color="000000"/>
              <w:left w:val="single" w:sz="4" w:space="0" w:color="000000"/>
              <w:bottom w:val="single" w:sz="4" w:space="0" w:color="000000"/>
              <w:right w:val="single" w:sz="4" w:space="0" w:color="000000"/>
            </w:tcBorders>
            <w:hideMark/>
          </w:tcPr>
          <w:p w14:paraId="12327E70" w14:textId="77777777" w:rsidR="000F73D0" w:rsidRPr="00975CA4" w:rsidRDefault="000F73D0">
            <w:pPr>
              <w:jc w:val="center"/>
              <w:rPr>
                <w:sz w:val="22"/>
                <w:szCs w:val="22"/>
              </w:rPr>
            </w:pPr>
            <w:r w:rsidRPr="00975CA4">
              <w:rPr>
                <w:sz w:val="22"/>
                <w:szCs w:val="22"/>
              </w:rPr>
              <w:t>12.7</w:t>
            </w:r>
          </w:p>
        </w:tc>
        <w:tc>
          <w:tcPr>
            <w:tcW w:w="1914" w:type="dxa"/>
            <w:tcBorders>
              <w:top w:val="single" w:sz="4" w:space="0" w:color="000000"/>
              <w:left w:val="single" w:sz="4" w:space="0" w:color="000000"/>
              <w:bottom w:val="single" w:sz="4" w:space="0" w:color="000000"/>
              <w:right w:val="single" w:sz="4" w:space="0" w:color="000000"/>
            </w:tcBorders>
            <w:hideMark/>
          </w:tcPr>
          <w:p w14:paraId="362951AD" w14:textId="77777777" w:rsidR="000F73D0" w:rsidRPr="00975CA4" w:rsidRDefault="000F73D0">
            <w:pPr>
              <w:jc w:val="center"/>
              <w:rPr>
                <w:sz w:val="22"/>
                <w:szCs w:val="22"/>
              </w:rPr>
            </w:pPr>
            <w:r w:rsidRPr="00975CA4">
              <w:rPr>
                <w:sz w:val="22"/>
                <w:szCs w:val="22"/>
              </w:rPr>
              <w:t>5.6</w:t>
            </w:r>
          </w:p>
        </w:tc>
      </w:tr>
      <w:tr w:rsidR="000F73D0" w:rsidRPr="00975CA4" w14:paraId="7B612784"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2C582138" w14:textId="77777777" w:rsidR="000F73D0" w:rsidRPr="00975CA4" w:rsidRDefault="000F73D0">
            <w:pPr>
              <w:ind w:left="113"/>
              <w:rPr>
                <w:sz w:val="22"/>
                <w:szCs w:val="22"/>
              </w:rPr>
            </w:pPr>
            <w:r w:rsidRPr="00975CA4">
              <w:rPr>
                <w:sz w:val="22"/>
                <w:szCs w:val="22"/>
              </w:rPr>
              <w:t>Galvos skausmas</w:t>
            </w:r>
          </w:p>
        </w:tc>
        <w:tc>
          <w:tcPr>
            <w:tcW w:w="1985" w:type="dxa"/>
            <w:tcBorders>
              <w:top w:val="single" w:sz="4" w:space="0" w:color="000000"/>
              <w:left w:val="single" w:sz="4" w:space="0" w:color="000000"/>
              <w:bottom w:val="single" w:sz="4" w:space="0" w:color="000000"/>
              <w:right w:val="single" w:sz="4" w:space="0" w:color="000000"/>
            </w:tcBorders>
            <w:hideMark/>
          </w:tcPr>
          <w:p w14:paraId="4BFF3065" w14:textId="77777777" w:rsidR="000F73D0" w:rsidRPr="00975CA4" w:rsidRDefault="000F73D0">
            <w:pPr>
              <w:jc w:val="center"/>
              <w:rPr>
                <w:sz w:val="22"/>
                <w:szCs w:val="22"/>
              </w:rPr>
            </w:pPr>
            <w:r w:rsidRPr="00975CA4">
              <w:rPr>
                <w:sz w:val="22"/>
                <w:szCs w:val="22"/>
              </w:rPr>
              <w:t>11.1</w:t>
            </w:r>
          </w:p>
        </w:tc>
        <w:tc>
          <w:tcPr>
            <w:tcW w:w="1914" w:type="dxa"/>
            <w:tcBorders>
              <w:top w:val="single" w:sz="4" w:space="0" w:color="000000"/>
              <w:left w:val="single" w:sz="4" w:space="0" w:color="000000"/>
              <w:bottom w:val="single" w:sz="4" w:space="0" w:color="000000"/>
              <w:right w:val="single" w:sz="4" w:space="0" w:color="000000"/>
            </w:tcBorders>
            <w:hideMark/>
          </w:tcPr>
          <w:p w14:paraId="17F05E5F" w14:textId="77777777" w:rsidR="000F73D0" w:rsidRPr="00975CA4" w:rsidRDefault="000F73D0">
            <w:pPr>
              <w:jc w:val="center"/>
              <w:rPr>
                <w:sz w:val="22"/>
                <w:szCs w:val="22"/>
              </w:rPr>
            </w:pPr>
            <w:r w:rsidRPr="00975CA4">
              <w:rPr>
                <w:sz w:val="22"/>
                <w:szCs w:val="22"/>
              </w:rPr>
              <w:t>4.8</w:t>
            </w:r>
          </w:p>
        </w:tc>
      </w:tr>
      <w:tr w:rsidR="000F73D0" w:rsidRPr="00975CA4" w14:paraId="6F94E997"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5935FE52" w14:textId="77777777" w:rsidR="000F73D0" w:rsidRPr="00975CA4" w:rsidRDefault="000F73D0">
            <w:pPr>
              <w:ind w:left="113"/>
              <w:rPr>
                <w:sz w:val="22"/>
                <w:szCs w:val="22"/>
              </w:rPr>
            </w:pPr>
            <w:r w:rsidRPr="00975CA4">
              <w:rPr>
                <w:sz w:val="22"/>
                <w:szCs w:val="22"/>
              </w:rPr>
              <w:t>Sumažėjęs apetitas</w:t>
            </w:r>
          </w:p>
        </w:tc>
        <w:tc>
          <w:tcPr>
            <w:tcW w:w="1985" w:type="dxa"/>
            <w:tcBorders>
              <w:top w:val="single" w:sz="4" w:space="0" w:color="000000"/>
              <w:left w:val="single" w:sz="4" w:space="0" w:color="000000"/>
              <w:bottom w:val="single" w:sz="4" w:space="0" w:color="000000"/>
              <w:right w:val="single" w:sz="4" w:space="0" w:color="000000"/>
            </w:tcBorders>
            <w:hideMark/>
          </w:tcPr>
          <w:p w14:paraId="076A63F0" w14:textId="77777777" w:rsidR="000F73D0" w:rsidRPr="00975CA4" w:rsidRDefault="000F73D0">
            <w:pPr>
              <w:jc w:val="center"/>
              <w:rPr>
                <w:sz w:val="22"/>
                <w:szCs w:val="22"/>
              </w:rPr>
            </w:pPr>
            <w:r w:rsidRPr="00975CA4">
              <w:rPr>
                <w:sz w:val="22"/>
                <w:szCs w:val="22"/>
              </w:rPr>
              <w:t>10.3</w:t>
            </w:r>
          </w:p>
        </w:tc>
        <w:tc>
          <w:tcPr>
            <w:tcW w:w="1914" w:type="dxa"/>
            <w:tcBorders>
              <w:top w:val="single" w:sz="4" w:space="0" w:color="000000"/>
              <w:left w:val="single" w:sz="4" w:space="0" w:color="000000"/>
              <w:bottom w:val="single" w:sz="4" w:space="0" w:color="000000"/>
              <w:right w:val="single" w:sz="4" w:space="0" w:color="000000"/>
            </w:tcBorders>
            <w:hideMark/>
          </w:tcPr>
          <w:p w14:paraId="1788A0FE" w14:textId="77777777" w:rsidR="000F73D0" w:rsidRPr="00975CA4" w:rsidRDefault="000F73D0">
            <w:pPr>
              <w:jc w:val="center"/>
              <w:rPr>
                <w:sz w:val="22"/>
                <w:szCs w:val="22"/>
              </w:rPr>
            </w:pPr>
            <w:r w:rsidRPr="00975CA4">
              <w:rPr>
                <w:sz w:val="22"/>
                <w:szCs w:val="22"/>
              </w:rPr>
              <w:t>4.8</w:t>
            </w:r>
          </w:p>
        </w:tc>
      </w:tr>
      <w:tr w:rsidR="000F73D0" w:rsidRPr="00975CA4" w14:paraId="7D861D3A" w14:textId="77777777" w:rsidTr="000F73D0">
        <w:trPr>
          <w:trHeight w:val="283"/>
          <w:jc w:val="center"/>
        </w:trPr>
        <w:tc>
          <w:tcPr>
            <w:tcW w:w="2830" w:type="dxa"/>
            <w:tcBorders>
              <w:top w:val="single" w:sz="4" w:space="0" w:color="000000"/>
              <w:left w:val="single" w:sz="4" w:space="0" w:color="000000"/>
              <w:bottom w:val="single" w:sz="4" w:space="0" w:color="000000"/>
              <w:right w:val="single" w:sz="4" w:space="0" w:color="000000"/>
            </w:tcBorders>
            <w:hideMark/>
          </w:tcPr>
          <w:p w14:paraId="3ED24456" w14:textId="77777777" w:rsidR="000F73D0" w:rsidRPr="00975CA4" w:rsidRDefault="000F73D0">
            <w:pPr>
              <w:ind w:left="113"/>
              <w:rPr>
                <w:sz w:val="22"/>
                <w:szCs w:val="22"/>
              </w:rPr>
            </w:pPr>
            <w:r w:rsidRPr="00975CA4">
              <w:rPr>
                <w:sz w:val="22"/>
                <w:szCs w:val="22"/>
              </w:rPr>
              <w:t>Nuovargis</w:t>
            </w:r>
          </w:p>
        </w:tc>
        <w:tc>
          <w:tcPr>
            <w:tcW w:w="1985" w:type="dxa"/>
            <w:tcBorders>
              <w:top w:val="single" w:sz="4" w:space="0" w:color="000000"/>
              <w:left w:val="single" w:sz="4" w:space="0" w:color="000000"/>
              <w:bottom w:val="single" w:sz="4" w:space="0" w:color="000000"/>
              <w:right w:val="single" w:sz="4" w:space="0" w:color="000000"/>
            </w:tcBorders>
            <w:hideMark/>
          </w:tcPr>
          <w:p w14:paraId="23946219" w14:textId="77777777" w:rsidR="000F73D0" w:rsidRPr="00975CA4" w:rsidRDefault="000F73D0">
            <w:pPr>
              <w:jc w:val="center"/>
              <w:rPr>
                <w:sz w:val="22"/>
                <w:szCs w:val="22"/>
              </w:rPr>
            </w:pPr>
            <w:r w:rsidRPr="00975CA4">
              <w:rPr>
                <w:sz w:val="22"/>
                <w:szCs w:val="22"/>
              </w:rPr>
              <w:t>10.3</w:t>
            </w:r>
          </w:p>
        </w:tc>
        <w:tc>
          <w:tcPr>
            <w:tcW w:w="1914" w:type="dxa"/>
            <w:tcBorders>
              <w:top w:val="single" w:sz="4" w:space="0" w:color="000000"/>
              <w:left w:val="single" w:sz="4" w:space="0" w:color="000000"/>
              <w:bottom w:val="single" w:sz="4" w:space="0" w:color="000000"/>
              <w:right w:val="single" w:sz="4" w:space="0" w:color="000000"/>
            </w:tcBorders>
            <w:hideMark/>
          </w:tcPr>
          <w:p w14:paraId="0E841E2B" w14:textId="77777777" w:rsidR="000F73D0" w:rsidRPr="00975CA4" w:rsidRDefault="000F73D0">
            <w:pPr>
              <w:jc w:val="center"/>
              <w:rPr>
                <w:sz w:val="22"/>
                <w:szCs w:val="22"/>
              </w:rPr>
            </w:pPr>
            <w:r w:rsidRPr="00975CA4">
              <w:rPr>
                <w:sz w:val="22"/>
                <w:szCs w:val="22"/>
              </w:rPr>
              <w:t>0</w:t>
            </w:r>
          </w:p>
        </w:tc>
      </w:tr>
    </w:tbl>
    <w:p w14:paraId="1D1C3076" w14:textId="77777777" w:rsidR="000F73D0" w:rsidRPr="00975CA4" w:rsidRDefault="000F73D0" w:rsidP="000F73D0">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vertAlign w:val="superscript"/>
          <w:lang w:eastAsia="ar-SA"/>
        </w:rPr>
        <w:t>a</w:t>
      </w:r>
      <w:r w:rsidRPr="00975CA4">
        <w:rPr>
          <w:rFonts w:ascii="Times New Roman" w:eastAsia="SimSun" w:hAnsi="Times New Roman" w:cs="Times New Roman"/>
          <w:color w:val="000000"/>
          <w:lang w:eastAsia="ar-SA"/>
        </w:rPr>
        <w:t xml:space="preserve"> Pagrindžiamojo tyrimo metu 24 iš 106 pacientų išgėrė bent vieną miltelių geriamajai suspensijai dozę, 8 iš jų vartojo tik miltelius geriamajai suspensijai. </w:t>
      </w:r>
    </w:p>
    <w:p w14:paraId="5D7BD20B" w14:textId="77777777" w:rsidR="000F73D0" w:rsidRPr="00975CA4" w:rsidRDefault="000F73D0" w:rsidP="000F73D0">
      <w:pPr>
        <w:suppressAutoHyphens/>
        <w:spacing w:after="0" w:line="240" w:lineRule="auto"/>
        <w:rPr>
          <w:rFonts w:ascii="Times New Roman" w:eastAsia="SimSun" w:hAnsi="Times New Roman" w:cs="Times New Roman"/>
          <w:color w:val="000000"/>
          <w:lang w:eastAsia="ar-SA"/>
        </w:rPr>
      </w:pPr>
    </w:p>
    <w:p w14:paraId="7235CC28" w14:textId="77777777" w:rsidR="000F73D0" w:rsidRPr="00975CA4" w:rsidRDefault="000F73D0" w:rsidP="000F73D0">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u w:val="single"/>
          <w:lang w:eastAsia="ar-SA"/>
        </w:rPr>
        <w:t>Laboratorinių tyrimų nenormalumai</w:t>
      </w:r>
    </w:p>
    <w:p w14:paraId="14E60468" w14:textId="77777777" w:rsidR="000F73D0" w:rsidRPr="00975CA4" w:rsidRDefault="000F73D0" w:rsidP="000F73D0">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Hematologiniai tyrimai</w:t>
      </w:r>
    </w:p>
    <w:p w14:paraId="5743D695" w14:textId="13DBB5DE" w:rsidR="000F73D0" w:rsidRPr="00975CA4" w:rsidRDefault="000F73D0" w:rsidP="000F73D0">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III fazės tyrimo, kuriame dalyvavo naujai diagnozuota lėtinės fazės LML sergantys pacientai, metu per ne trumpesnį kaip 12</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stebėjimo laikotarpį gauta pranešimų apie </w:t>
      </w:r>
      <w:proofErr w:type="spellStart"/>
      <w:r w:rsidRPr="00975CA4">
        <w:rPr>
          <w:rFonts w:ascii="Times New Roman" w:eastAsia="SimSun" w:hAnsi="Times New Roman" w:cs="Times New Roman"/>
          <w:color w:val="000000"/>
          <w:lang w:eastAsia="ar-SA"/>
        </w:rPr>
        <w:t>dazatinibą</w:t>
      </w:r>
      <w:proofErr w:type="spellEnd"/>
      <w:r w:rsidRPr="00975CA4">
        <w:rPr>
          <w:rFonts w:ascii="Times New Roman" w:eastAsia="SimSun" w:hAnsi="Times New Roman" w:cs="Times New Roman"/>
          <w:color w:val="000000"/>
          <w:lang w:eastAsia="ar-SA"/>
        </w:rPr>
        <w:t xml:space="preserve"> vartojantiems pacientams pasireiškusius šiuos 3 ar 4 laipsnio laboratorinių tyrimų nenormalumus: </w:t>
      </w:r>
      <w:proofErr w:type="spellStart"/>
      <w:r w:rsidRPr="00975CA4">
        <w:rPr>
          <w:rFonts w:ascii="Times New Roman" w:eastAsia="SimSun" w:hAnsi="Times New Roman" w:cs="Times New Roman"/>
          <w:color w:val="000000"/>
          <w:lang w:eastAsia="ar-SA"/>
        </w:rPr>
        <w:t>neutropeniją</w:t>
      </w:r>
      <w:proofErr w:type="spellEnd"/>
      <w:r w:rsidRPr="00975CA4">
        <w:rPr>
          <w:rFonts w:ascii="Times New Roman" w:eastAsia="SimSun" w:hAnsi="Times New Roman" w:cs="Times New Roman"/>
          <w:color w:val="000000"/>
          <w:lang w:eastAsia="ar-SA"/>
        </w:rPr>
        <w:t xml:space="preserve"> (21</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trombocitopeniją</w:t>
      </w:r>
      <w:proofErr w:type="spellEnd"/>
      <w:r w:rsidRPr="00975CA4">
        <w:rPr>
          <w:rFonts w:ascii="Times New Roman" w:eastAsia="SimSun" w:hAnsi="Times New Roman" w:cs="Times New Roman"/>
          <w:color w:val="000000"/>
          <w:lang w:eastAsia="ar-SA"/>
        </w:rPr>
        <w:t xml:space="preserve"> (19</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anemiją (10</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ne trumpesnį kaip 60</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stebėjimo laikotarpį suminis </w:t>
      </w:r>
      <w:proofErr w:type="spellStart"/>
      <w:r w:rsidRPr="00975CA4">
        <w:rPr>
          <w:rFonts w:ascii="Times New Roman" w:eastAsia="SimSun" w:hAnsi="Times New Roman" w:cs="Times New Roman"/>
          <w:color w:val="000000"/>
          <w:lang w:eastAsia="ar-SA"/>
        </w:rPr>
        <w:t>neutropenijos</w:t>
      </w:r>
      <w:proofErr w:type="spellEnd"/>
      <w:r w:rsidRPr="00975CA4">
        <w:rPr>
          <w:rFonts w:ascii="Times New Roman" w:eastAsia="SimSun" w:hAnsi="Times New Roman" w:cs="Times New Roman"/>
          <w:color w:val="000000"/>
          <w:lang w:eastAsia="ar-SA"/>
        </w:rPr>
        <w:t xml:space="preserve"> pasireiškimo dažnis buvo 29</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trombocitopenijos</w:t>
      </w:r>
      <w:proofErr w:type="spellEnd"/>
      <w:r w:rsidRPr="00975CA4">
        <w:rPr>
          <w:rFonts w:ascii="Times New Roman" w:eastAsia="SimSun" w:hAnsi="Times New Roman" w:cs="Times New Roman"/>
          <w:color w:val="000000"/>
          <w:lang w:eastAsia="ar-SA"/>
        </w:rPr>
        <w:t xml:space="preserve"> </w:t>
      </w:r>
      <w:r w:rsidR="006F6FFC"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 xml:space="preserve"> 22</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anemijos – 13</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p>
    <w:p w14:paraId="608BF2EF" w14:textId="77777777" w:rsidR="000F73D0" w:rsidRPr="00975CA4" w:rsidRDefault="000F73D0" w:rsidP="000F73D0">
      <w:pPr>
        <w:suppressAutoHyphens/>
        <w:spacing w:after="0" w:line="240" w:lineRule="auto"/>
        <w:rPr>
          <w:rFonts w:ascii="Times New Roman" w:eastAsia="SimSun" w:hAnsi="Times New Roman" w:cs="Times New Roman"/>
          <w:color w:val="000000"/>
          <w:lang w:eastAsia="ar-SA"/>
        </w:rPr>
      </w:pPr>
    </w:p>
    <w:p w14:paraId="73F3AEBC" w14:textId="27F0DA5F" w:rsidR="000F73D0" w:rsidRPr="00975CA4" w:rsidRDefault="000F73D0" w:rsidP="000F73D0">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gydytų naujai diagnozuota lėtinės fazės LML sergančių pacientų, kuriems pasireiškė 3 ar 4 laipsnio kaulų čiulpų slopinimas, būklė paprastai sunormalėdavo trumpam nutraukus vaistinio preparato vartojimą ir (arba) sumažinus jo dozę; per ne trumpesnį kaip 12</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stebėjimo laikotarpį visam laikui gydymą vaistiniu preparatu nutraukė 1,6</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pacientų. Per ne trumpesnį kaip 60</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stebėjimo laikotarpį dėl 3 ar 4 laipsnio kaulų čiulpų slopinimo gydymo vaistiniu preparatu nutraukimo suminis dažnis buvo 2,3</w:t>
      </w:r>
      <w:r w:rsidR="006F6FFC"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p>
    <w:p w14:paraId="6683626C" w14:textId="77777777" w:rsidR="000F73D0" w:rsidRPr="00975CA4" w:rsidRDefault="000F73D0" w:rsidP="000F73D0">
      <w:pPr>
        <w:suppressAutoHyphens/>
        <w:spacing w:after="0" w:line="240" w:lineRule="auto"/>
        <w:rPr>
          <w:rFonts w:ascii="Times New Roman" w:eastAsia="SimSun" w:hAnsi="Times New Roman" w:cs="Times New Roman"/>
          <w:color w:val="000000"/>
          <w:lang w:eastAsia="ar-SA"/>
        </w:rPr>
      </w:pPr>
    </w:p>
    <w:p w14:paraId="5963BA73" w14:textId="77777777" w:rsidR="000F73D0" w:rsidRPr="00975CA4" w:rsidRDefault="000F73D0" w:rsidP="000F73D0">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Pacientams, sirgusiems ankstesniam gydymui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atsparia LML arba gydymo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betoleravusiems</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citopenijų</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trombocitopenija</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neutropenija</w:t>
      </w:r>
      <w:proofErr w:type="spellEnd"/>
      <w:r w:rsidRPr="00975CA4">
        <w:rPr>
          <w:rFonts w:ascii="Times New Roman" w:eastAsia="SimSun" w:hAnsi="Times New Roman" w:cs="Times New Roman"/>
          <w:color w:val="000000"/>
          <w:lang w:eastAsia="ar-SA"/>
        </w:rPr>
        <w:t>, anemija) būdavo nustatoma nuolat, jų pasireiškimas akivaizdžiai priklausė nuo ligos stadijos. 3 ir 4 laipsnio hematologinių nenormalumų pasireiškimo dažnis nurodytas 8 lentelėje.</w:t>
      </w:r>
    </w:p>
    <w:p w14:paraId="61F4B939" w14:textId="77777777" w:rsidR="000F73D0" w:rsidRPr="00975CA4" w:rsidRDefault="000F73D0" w:rsidP="000F73D0">
      <w:pPr>
        <w:suppressAutoHyphens/>
        <w:spacing w:after="0" w:line="240" w:lineRule="auto"/>
        <w:rPr>
          <w:rFonts w:ascii="Times New Roman" w:eastAsia="Times New Roman" w:hAnsi="Times New Roman" w:cs="Times New Roman"/>
          <w:color w:val="000000"/>
          <w:lang w:eastAsia="ar-SA"/>
        </w:rPr>
      </w:pPr>
    </w:p>
    <w:p w14:paraId="0472ABAF" w14:textId="77777777" w:rsidR="000F73D0" w:rsidRPr="00975CA4" w:rsidRDefault="000F73D0" w:rsidP="00EB5423">
      <w:pPr>
        <w:suppressAutoHyphens/>
        <w:spacing w:after="0" w:line="240" w:lineRule="auto"/>
        <w:ind w:left="831" w:hanging="854"/>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 xml:space="preserve">8 lentelė. 3-4 laipsnio pagal bendruosius toksiškumo kriterijus (angl. </w:t>
      </w:r>
      <w:proofErr w:type="spellStart"/>
      <w:r w:rsidRPr="00975CA4">
        <w:rPr>
          <w:rFonts w:ascii="Times New Roman" w:eastAsia="SimSun" w:hAnsi="Times New Roman" w:cs="Times New Roman"/>
          <w:b/>
          <w:i/>
          <w:color w:val="000000"/>
          <w:lang w:eastAsia="ar-SA"/>
        </w:rPr>
        <w:t>Common</w:t>
      </w:r>
      <w:proofErr w:type="spellEnd"/>
      <w:r w:rsidRPr="00975CA4">
        <w:rPr>
          <w:rFonts w:ascii="Times New Roman" w:eastAsia="SimSun" w:hAnsi="Times New Roman" w:cs="Times New Roman"/>
          <w:b/>
          <w:i/>
          <w:color w:val="000000"/>
          <w:lang w:eastAsia="ar-SA"/>
        </w:rPr>
        <w:t xml:space="preserve"> </w:t>
      </w:r>
      <w:proofErr w:type="spellStart"/>
      <w:r w:rsidRPr="00975CA4">
        <w:rPr>
          <w:rFonts w:ascii="Times New Roman" w:eastAsia="SimSun" w:hAnsi="Times New Roman" w:cs="Times New Roman"/>
          <w:b/>
          <w:i/>
          <w:color w:val="000000"/>
          <w:lang w:eastAsia="ar-SA"/>
        </w:rPr>
        <w:t>Toxicity</w:t>
      </w:r>
      <w:proofErr w:type="spellEnd"/>
      <w:r w:rsidRPr="00975CA4">
        <w:rPr>
          <w:rFonts w:ascii="Times New Roman" w:eastAsia="SimSun" w:hAnsi="Times New Roman" w:cs="Times New Roman"/>
          <w:b/>
          <w:i/>
          <w:color w:val="000000"/>
          <w:lang w:eastAsia="ar-SA"/>
        </w:rPr>
        <w:t xml:space="preserve"> </w:t>
      </w:r>
      <w:proofErr w:type="spellStart"/>
      <w:r w:rsidRPr="00975CA4">
        <w:rPr>
          <w:rFonts w:ascii="Times New Roman" w:eastAsia="SimSun" w:hAnsi="Times New Roman" w:cs="Times New Roman"/>
          <w:b/>
          <w:i/>
          <w:color w:val="000000"/>
          <w:lang w:eastAsia="ar-SA"/>
        </w:rPr>
        <w:t>Criteria</w:t>
      </w:r>
      <w:proofErr w:type="spellEnd"/>
      <w:r w:rsidRPr="00975CA4">
        <w:rPr>
          <w:rFonts w:ascii="Times New Roman" w:eastAsia="SimSun" w:hAnsi="Times New Roman" w:cs="Times New Roman"/>
          <w:b/>
          <w:color w:val="000000"/>
          <w:lang w:eastAsia="ar-SA"/>
        </w:rPr>
        <w:t xml:space="preserve">, CTC) kraujo tyrimų nenormalumai, klinikinių tyrimų metu pasireiškusios pacientams, sirgusiems liga atsparia ankstesniam gydymui </w:t>
      </w:r>
      <w:proofErr w:type="spellStart"/>
      <w:r w:rsidRPr="00975CA4">
        <w:rPr>
          <w:rFonts w:ascii="Times New Roman" w:eastAsia="SimSun" w:hAnsi="Times New Roman" w:cs="Times New Roman"/>
          <w:b/>
          <w:color w:val="000000"/>
          <w:lang w:eastAsia="ar-SA"/>
        </w:rPr>
        <w:t>imatinibu</w:t>
      </w:r>
      <w:proofErr w:type="spellEnd"/>
      <w:r w:rsidRPr="00975CA4">
        <w:rPr>
          <w:rFonts w:ascii="Times New Roman" w:eastAsia="SimSun" w:hAnsi="Times New Roman" w:cs="Times New Roman"/>
          <w:b/>
          <w:color w:val="000000"/>
          <w:lang w:eastAsia="ar-SA"/>
        </w:rPr>
        <w:t xml:space="preserve"> arba tokio gydymo </w:t>
      </w:r>
      <w:proofErr w:type="spellStart"/>
      <w:r w:rsidRPr="00975CA4">
        <w:rPr>
          <w:rFonts w:ascii="Times New Roman" w:eastAsia="SimSun" w:hAnsi="Times New Roman" w:cs="Times New Roman"/>
          <w:b/>
          <w:color w:val="000000"/>
          <w:lang w:eastAsia="ar-SA"/>
        </w:rPr>
        <w:t>netoleravusiems</w:t>
      </w:r>
      <w:r w:rsidRPr="00975CA4">
        <w:rPr>
          <w:rFonts w:ascii="Times New Roman" w:eastAsia="SimSun" w:hAnsi="Times New Roman" w:cs="Times New Roman"/>
          <w:b/>
          <w:color w:val="000000"/>
          <w:vertAlign w:val="superscript"/>
          <w:lang w:eastAsia="ar-SA"/>
        </w:rPr>
        <w:t>a</w:t>
      </w:r>
      <w:proofErr w:type="spellEnd"/>
    </w:p>
    <w:p w14:paraId="3E31023C" w14:textId="77777777" w:rsidR="000F73D0" w:rsidRPr="00975CA4" w:rsidRDefault="000F73D0" w:rsidP="00EB5423">
      <w:pPr>
        <w:spacing w:after="0" w:line="240" w:lineRule="auto"/>
        <w:rPr>
          <w:rFonts w:ascii="Times New Roman" w:eastAsia="Calibri" w:hAnsi="Times New Roman" w:cs="Times New Roman"/>
          <w:lang w:eastAsia="ar-SA"/>
        </w:rPr>
      </w:pPr>
    </w:p>
    <w:tbl>
      <w:tblPr>
        <w:tblStyle w:val="Lentelstinklelis"/>
        <w:tblW w:w="0" w:type="auto"/>
        <w:jc w:val="center"/>
        <w:tblLook w:val="04A0" w:firstRow="1" w:lastRow="0" w:firstColumn="1" w:lastColumn="0" w:noHBand="0" w:noVBand="1"/>
      </w:tblPr>
      <w:tblGrid>
        <w:gridCol w:w="2385"/>
        <w:gridCol w:w="1404"/>
        <w:gridCol w:w="1796"/>
        <w:gridCol w:w="1586"/>
        <w:gridCol w:w="2223"/>
      </w:tblGrid>
      <w:tr w:rsidR="00EB5423" w:rsidRPr="00975CA4" w14:paraId="6D633894" w14:textId="77777777" w:rsidTr="00EB5423">
        <w:trPr>
          <w:trHeight w:val="567"/>
          <w:jc w:val="center"/>
        </w:trPr>
        <w:tc>
          <w:tcPr>
            <w:tcW w:w="2405" w:type="dxa"/>
            <w:tcBorders>
              <w:top w:val="single" w:sz="4" w:space="0" w:color="000000"/>
              <w:left w:val="single" w:sz="4" w:space="0" w:color="000000"/>
              <w:bottom w:val="single" w:sz="4" w:space="0" w:color="000000"/>
              <w:right w:val="single" w:sz="4" w:space="0" w:color="000000"/>
            </w:tcBorders>
          </w:tcPr>
          <w:p w14:paraId="792F9155" w14:textId="77777777" w:rsidR="00EB5423" w:rsidRPr="00975CA4" w:rsidRDefault="00EB5423" w:rsidP="00EB5423">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14:paraId="30E76C68" w14:textId="77777777" w:rsidR="00EB5423" w:rsidRPr="00975CA4" w:rsidRDefault="00EB5423" w:rsidP="00EB5423">
            <w:pPr>
              <w:jc w:val="center"/>
              <w:rPr>
                <w:rFonts w:eastAsia="Times New Roman"/>
                <w:b/>
                <w:bCs/>
                <w:sz w:val="22"/>
                <w:szCs w:val="22"/>
              </w:rPr>
            </w:pPr>
            <w:r w:rsidRPr="00975CA4">
              <w:rPr>
                <w:rFonts w:eastAsia="Times New Roman"/>
                <w:b/>
                <w:bCs/>
                <w:sz w:val="22"/>
                <w:szCs w:val="22"/>
              </w:rPr>
              <w:t>Lėtinė fazė</w:t>
            </w:r>
          </w:p>
          <w:p w14:paraId="39369571" w14:textId="47C4AA19" w:rsidR="00EB5423" w:rsidRPr="00975CA4" w:rsidRDefault="00EB5423" w:rsidP="00FD153F">
            <w:pPr>
              <w:jc w:val="center"/>
              <w:rPr>
                <w:rFonts w:eastAsia="Times New Roman"/>
                <w:sz w:val="22"/>
                <w:szCs w:val="22"/>
              </w:rPr>
            </w:pPr>
            <w:r w:rsidRPr="00975CA4">
              <w:rPr>
                <w:rFonts w:eastAsia="Times New Roman"/>
                <w:b/>
                <w:bCs/>
                <w:sz w:val="22"/>
                <w:szCs w:val="22"/>
              </w:rPr>
              <w:t>(</w:t>
            </w:r>
            <w:r w:rsidR="00FD153F" w:rsidRPr="00975CA4">
              <w:rPr>
                <w:rFonts w:eastAsia="Times New Roman"/>
                <w:b/>
                <w:bCs/>
                <w:sz w:val="22"/>
                <w:szCs w:val="22"/>
              </w:rPr>
              <w:t>n = </w:t>
            </w:r>
            <w:r w:rsidRPr="00975CA4">
              <w:rPr>
                <w:rFonts w:eastAsia="Times New Roman"/>
                <w:b/>
                <w:bCs/>
                <w:sz w:val="22"/>
                <w:szCs w:val="22"/>
              </w:rPr>
              <w:t>165)</w:t>
            </w:r>
            <w:r w:rsidRPr="00975CA4">
              <w:rPr>
                <w:rFonts w:eastAsia="Times New Roman"/>
                <w:b/>
                <w:bCs/>
                <w:sz w:val="22"/>
                <w:szCs w:val="22"/>
                <w:vertAlign w:val="superscript"/>
              </w:rPr>
              <w:t>b</w:t>
            </w:r>
          </w:p>
        </w:tc>
        <w:tc>
          <w:tcPr>
            <w:tcW w:w="1814" w:type="dxa"/>
            <w:tcBorders>
              <w:top w:val="single" w:sz="4" w:space="0" w:color="000000"/>
              <w:left w:val="single" w:sz="4" w:space="0" w:color="000000"/>
              <w:bottom w:val="single" w:sz="4" w:space="0" w:color="000000"/>
              <w:right w:val="single" w:sz="4" w:space="0" w:color="000000"/>
            </w:tcBorders>
            <w:hideMark/>
          </w:tcPr>
          <w:p w14:paraId="7E0FEAB6" w14:textId="77777777" w:rsidR="00EB5423" w:rsidRPr="00975CA4" w:rsidRDefault="00EB5423" w:rsidP="00EB5423">
            <w:pPr>
              <w:jc w:val="center"/>
              <w:rPr>
                <w:rFonts w:eastAsia="Times New Roman"/>
                <w:b/>
                <w:bCs/>
                <w:sz w:val="22"/>
                <w:szCs w:val="22"/>
              </w:rPr>
            </w:pPr>
            <w:r w:rsidRPr="00975CA4">
              <w:rPr>
                <w:rFonts w:eastAsia="Times New Roman"/>
                <w:b/>
                <w:bCs/>
                <w:sz w:val="22"/>
                <w:szCs w:val="22"/>
              </w:rPr>
              <w:t>Progresavusi fazė</w:t>
            </w:r>
          </w:p>
          <w:p w14:paraId="43AC4014" w14:textId="4773A440" w:rsidR="00EB5423" w:rsidRPr="00975CA4" w:rsidRDefault="00EB5423" w:rsidP="00FD153F">
            <w:pPr>
              <w:jc w:val="center"/>
              <w:rPr>
                <w:rFonts w:eastAsia="Times New Roman"/>
                <w:b/>
                <w:bCs/>
                <w:sz w:val="22"/>
                <w:szCs w:val="22"/>
              </w:rPr>
            </w:pPr>
            <w:r w:rsidRPr="00975CA4">
              <w:rPr>
                <w:rFonts w:eastAsia="Times New Roman"/>
                <w:b/>
                <w:bCs/>
                <w:sz w:val="22"/>
                <w:szCs w:val="22"/>
              </w:rPr>
              <w:t>(</w:t>
            </w:r>
            <w:r w:rsidR="00FD153F" w:rsidRPr="00975CA4">
              <w:rPr>
                <w:rFonts w:eastAsia="Times New Roman"/>
                <w:b/>
                <w:bCs/>
                <w:sz w:val="22"/>
                <w:szCs w:val="22"/>
              </w:rPr>
              <w:t>n = </w:t>
            </w:r>
            <w:r w:rsidRPr="00975CA4">
              <w:rPr>
                <w:rFonts w:eastAsia="Times New Roman"/>
                <w:b/>
                <w:bCs/>
                <w:sz w:val="22"/>
                <w:szCs w:val="22"/>
              </w:rPr>
              <w:t>157)</w:t>
            </w:r>
            <w:r w:rsidRPr="00975CA4">
              <w:rPr>
                <w:rFonts w:eastAsia="Times New Roman"/>
                <w:b/>
                <w:bCs/>
                <w:sz w:val="22"/>
                <w:szCs w:val="22"/>
                <w:vertAlign w:val="superscript"/>
              </w:rPr>
              <w:t>c</w:t>
            </w:r>
          </w:p>
        </w:tc>
        <w:tc>
          <w:tcPr>
            <w:tcW w:w="1600" w:type="dxa"/>
            <w:tcBorders>
              <w:top w:val="single" w:sz="4" w:space="0" w:color="000000"/>
              <w:left w:val="single" w:sz="4" w:space="0" w:color="000000"/>
              <w:bottom w:val="single" w:sz="4" w:space="0" w:color="000000"/>
              <w:right w:val="single" w:sz="4" w:space="0" w:color="000000"/>
            </w:tcBorders>
            <w:hideMark/>
          </w:tcPr>
          <w:p w14:paraId="422311C3" w14:textId="77777777" w:rsidR="00EB5423" w:rsidRPr="00975CA4" w:rsidRDefault="00EB5423" w:rsidP="00EB5423">
            <w:pPr>
              <w:ind w:right="-108"/>
              <w:jc w:val="center"/>
              <w:rPr>
                <w:rFonts w:eastAsia="Times New Roman"/>
                <w:b/>
                <w:bCs/>
                <w:sz w:val="22"/>
                <w:szCs w:val="22"/>
              </w:rPr>
            </w:pPr>
            <w:proofErr w:type="spellStart"/>
            <w:r w:rsidRPr="00975CA4">
              <w:rPr>
                <w:rFonts w:eastAsia="Times New Roman"/>
                <w:b/>
                <w:bCs/>
                <w:sz w:val="22"/>
                <w:szCs w:val="22"/>
              </w:rPr>
              <w:t>Mieloidinių</w:t>
            </w:r>
            <w:proofErr w:type="spellEnd"/>
            <w:r w:rsidRPr="00975CA4">
              <w:rPr>
                <w:rFonts w:eastAsia="Times New Roman"/>
                <w:b/>
                <w:bCs/>
                <w:sz w:val="22"/>
                <w:szCs w:val="22"/>
              </w:rPr>
              <w:t xml:space="preserve"> </w:t>
            </w:r>
            <w:proofErr w:type="spellStart"/>
            <w:r w:rsidRPr="00975CA4">
              <w:rPr>
                <w:rFonts w:eastAsia="Times New Roman"/>
                <w:b/>
                <w:bCs/>
                <w:sz w:val="22"/>
                <w:szCs w:val="22"/>
              </w:rPr>
              <w:t>blastų</w:t>
            </w:r>
            <w:proofErr w:type="spellEnd"/>
            <w:r w:rsidRPr="00975CA4">
              <w:rPr>
                <w:rFonts w:eastAsia="Times New Roman"/>
                <w:b/>
                <w:bCs/>
                <w:sz w:val="22"/>
                <w:szCs w:val="22"/>
              </w:rPr>
              <w:t xml:space="preserve"> fazė</w:t>
            </w:r>
          </w:p>
          <w:p w14:paraId="566D3F27" w14:textId="1EE27DC0" w:rsidR="00EB5423" w:rsidRPr="00975CA4" w:rsidRDefault="00EB5423" w:rsidP="00FD153F">
            <w:pPr>
              <w:ind w:right="-108"/>
              <w:jc w:val="center"/>
              <w:rPr>
                <w:rFonts w:eastAsia="Times New Roman"/>
                <w:b/>
                <w:bCs/>
                <w:sz w:val="22"/>
                <w:szCs w:val="22"/>
              </w:rPr>
            </w:pPr>
            <w:r w:rsidRPr="00975CA4">
              <w:rPr>
                <w:rFonts w:eastAsia="Times New Roman"/>
                <w:b/>
                <w:bCs/>
                <w:sz w:val="22"/>
                <w:szCs w:val="22"/>
              </w:rPr>
              <w:t>(</w:t>
            </w:r>
            <w:r w:rsidR="00FD153F" w:rsidRPr="00975CA4">
              <w:rPr>
                <w:rFonts w:eastAsia="Times New Roman"/>
                <w:b/>
                <w:bCs/>
                <w:sz w:val="22"/>
                <w:szCs w:val="22"/>
              </w:rPr>
              <w:t>n = </w:t>
            </w:r>
            <w:r w:rsidRPr="00975CA4">
              <w:rPr>
                <w:rFonts w:eastAsia="Times New Roman"/>
                <w:b/>
                <w:bCs/>
                <w:sz w:val="22"/>
                <w:szCs w:val="22"/>
              </w:rPr>
              <w:t>74)</w:t>
            </w:r>
            <w:r w:rsidRPr="00975CA4">
              <w:rPr>
                <w:rFonts w:eastAsia="Times New Roman"/>
                <w:b/>
                <w:bCs/>
                <w:sz w:val="22"/>
                <w:szCs w:val="22"/>
                <w:vertAlign w:val="superscript"/>
              </w:rPr>
              <w:t>c</w:t>
            </w:r>
          </w:p>
        </w:tc>
        <w:tc>
          <w:tcPr>
            <w:tcW w:w="2268" w:type="dxa"/>
            <w:tcBorders>
              <w:top w:val="single" w:sz="4" w:space="0" w:color="000000"/>
              <w:left w:val="single" w:sz="4" w:space="0" w:color="000000"/>
              <w:bottom w:val="single" w:sz="4" w:space="0" w:color="000000"/>
              <w:right w:val="single" w:sz="4" w:space="0" w:color="000000"/>
            </w:tcBorders>
            <w:hideMark/>
          </w:tcPr>
          <w:p w14:paraId="381CA8CA" w14:textId="77777777" w:rsidR="00EB5423" w:rsidRPr="00975CA4" w:rsidRDefault="00EB5423" w:rsidP="00EB5423">
            <w:pPr>
              <w:ind w:right="-108"/>
              <w:jc w:val="center"/>
              <w:rPr>
                <w:rFonts w:eastAsia="Times New Roman"/>
                <w:b/>
                <w:bCs/>
                <w:sz w:val="22"/>
                <w:szCs w:val="22"/>
              </w:rPr>
            </w:pPr>
            <w:proofErr w:type="spellStart"/>
            <w:r w:rsidRPr="00975CA4">
              <w:rPr>
                <w:rFonts w:eastAsia="Times New Roman"/>
                <w:b/>
                <w:bCs/>
                <w:sz w:val="22"/>
                <w:szCs w:val="22"/>
              </w:rPr>
              <w:t>Limfoidinių</w:t>
            </w:r>
            <w:proofErr w:type="spellEnd"/>
            <w:r w:rsidRPr="00975CA4">
              <w:rPr>
                <w:rFonts w:eastAsia="Times New Roman"/>
                <w:b/>
                <w:bCs/>
                <w:sz w:val="22"/>
                <w:szCs w:val="22"/>
              </w:rPr>
              <w:t xml:space="preserve"> </w:t>
            </w:r>
            <w:proofErr w:type="spellStart"/>
            <w:r w:rsidRPr="00975CA4">
              <w:rPr>
                <w:rFonts w:eastAsia="Times New Roman"/>
                <w:b/>
                <w:bCs/>
                <w:sz w:val="22"/>
                <w:szCs w:val="22"/>
              </w:rPr>
              <w:t>blastų</w:t>
            </w:r>
            <w:proofErr w:type="spellEnd"/>
            <w:r w:rsidRPr="00975CA4">
              <w:rPr>
                <w:rFonts w:eastAsia="Times New Roman"/>
                <w:b/>
                <w:bCs/>
                <w:sz w:val="22"/>
                <w:szCs w:val="22"/>
              </w:rPr>
              <w:t xml:space="preserve"> faze ir </w:t>
            </w:r>
            <w:proofErr w:type="spellStart"/>
            <w:r w:rsidRPr="00975CA4">
              <w:rPr>
                <w:rFonts w:eastAsia="Times New Roman"/>
                <w:b/>
                <w:bCs/>
                <w:sz w:val="22"/>
                <w:szCs w:val="22"/>
              </w:rPr>
              <w:t>Ph</w:t>
            </w:r>
            <w:proofErr w:type="spellEnd"/>
            <w:r w:rsidRPr="00975CA4">
              <w:rPr>
                <w:rFonts w:eastAsia="Times New Roman"/>
                <w:b/>
                <w:bCs/>
                <w:sz w:val="22"/>
                <w:szCs w:val="22"/>
              </w:rPr>
              <w:t>+ ALL</w:t>
            </w:r>
          </w:p>
          <w:p w14:paraId="3E841D42" w14:textId="5DF9B18C" w:rsidR="00EB5423" w:rsidRPr="00975CA4" w:rsidRDefault="00EB5423" w:rsidP="00FD153F">
            <w:pPr>
              <w:ind w:right="-108"/>
              <w:jc w:val="center"/>
              <w:rPr>
                <w:rFonts w:eastAsia="Times New Roman"/>
                <w:b/>
                <w:bCs/>
                <w:sz w:val="22"/>
                <w:szCs w:val="22"/>
              </w:rPr>
            </w:pPr>
            <w:r w:rsidRPr="00975CA4">
              <w:rPr>
                <w:rFonts w:eastAsia="Times New Roman"/>
                <w:b/>
                <w:bCs/>
                <w:sz w:val="22"/>
                <w:szCs w:val="22"/>
              </w:rPr>
              <w:t>(</w:t>
            </w:r>
            <w:r w:rsidR="00FD153F" w:rsidRPr="00975CA4">
              <w:rPr>
                <w:rFonts w:eastAsia="Times New Roman"/>
                <w:b/>
                <w:bCs/>
                <w:sz w:val="22"/>
                <w:szCs w:val="22"/>
              </w:rPr>
              <w:t>n = </w:t>
            </w:r>
            <w:r w:rsidRPr="00975CA4">
              <w:rPr>
                <w:rFonts w:eastAsia="Times New Roman"/>
                <w:b/>
                <w:bCs/>
                <w:sz w:val="22"/>
                <w:szCs w:val="22"/>
              </w:rPr>
              <w:t>168)</w:t>
            </w:r>
            <w:r w:rsidRPr="00975CA4">
              <w:rPr>
                <w:rFonts w:eastAsia="Times New Roman"/>
                <w:b/>
                <w:bCs/>
                <w:sz w:val="22"/>
                <w:szCs w:val="22"/>
                <w:vertAlign w:val="superscript"/>
              </w:rPr>
              <w:t>c</w:t>
            </w:r>
          </w:p>
        </w:tc>
      </w:tr>
      <w:tr w:rsidR="00EB5423" w:rsidRPr="00975CA4" w14:paraId="40105F28" w14:textId="77777777" w:rsidTr="00EB5423">
        <w:trPr>
          <w:trHeight w:val="283"/>
          <w:jc w:val="center"/>
        </w:trPr>
        <w:tc>
          <w:tcPr>
            <w:tcW w:w="2405" w:type="dxa"/>
            <w:tcBorders>
              <w:top w:val="single" w:sz="4" w:space="0" w:color="000000"/>
              <w:left w:val="single" w:sz="4" w:space="0" w:color="000000"/>
              <w:bottom w:val="single" w:sz="4" w:space="0" w:color="000000"/>
              <w:right w:val="single" w:sz="4" w:space="0" w:color="000000"/>
            </w:tcBorders>
          </w:tcPr>
          <w:p w14:paraId="127E6A2C" w14:textId="77777777" w:rsidR="00EB5423" w:rsidRPr="00975CA4" w:rsidRDefault="00EB5423">
            <w:pPr>
              <w:rPr>
                <w:sz w:val="22"/>
                <w:szCs w:val="22"/>
              </w:rPr>
            </w:pPr>
          </w:p>
        </w:tc>
        <w:tc>
          <w:tcPr>
            <w:tcW w:w="7100" w:type="dxa"/>
            <w:gridSpan w:val="4"/>
            <w:tcBorders>
              <w:top w:val="single" w:sz="4" w:space="0" w:color="000000"/>
              <w:left w:val="single" w:sz="4" w:space="0" w:color="000000"/>
              <w:bottom w:val="single" w:sz="4" w:space="0" w:color="000000"/>
              <w:right w:val="single" w:sz="4" w:space="0" w:color="000000"/>
            </w:tcBorders>
            <w:hideMark/>
          </w:tcPr>
          <w:p w14:paraId="16BBDCC0" w14:textId="77777777" w:rsidR="00EB5423" w:rsidRPr="00975CA4" w:rsidRDefault="00EB5423" w:rsidP="00EB5423">
            <w:pPr>
              <w:jc w:val="center"/>
              <w:rPr>
                <w:rFonts w:eastAsia="Times New Roman"/>
                <w:b/>
                <w:sz w:val="22"/>
                <w:szCs w:val="22"/>
              </w:rPr>
            </w:pPr>
            <w:r w:rsidRPr="00975CA4">
              <w:rPr>
                <w:rFonts w:eastAsia="Times New Roman"/>
                <w:b/>
                <w:sz w:val="22"/>
                <w:szCs w:val="22"/>
              </w:rPr>
              <w:t>Pacientų dalis (%)</w:t>
            </w:r>
          </w:p>
        </w:tc>
      </w:tr>
      <w:tr w:rsidR="00EB5423" w:rsidRPr="00975CA4" w14:paraId="1EF6638C" w14:textId="77777777" w:rsidTr="00EB5423">
        <w:trPr>
          <w:trHeight w:val="283"/>
          <w:jc w:val="center"/>
        </w:trPr>
        <w:tc>
          <w:tcPr>
            <w:tcW w:w="2405" w:type="dxa"/>
            <w:tcBorders>
              <w:top w:val="single" w:sz="4" w:space="0" w:color="000000"/>
              <w:left w:val="single" w:sz="4" w:space="0" w:color="000000"/>
              <w:bottom w:val="single" w:sz="4" w:space="0" w:color="000000"/>
              <w:right w:val="single" w:sz="4" w:space="0" w:color="000000"/>
            </w:tcBorders>
            <w:hideMark/>
          </w:tcPr>
          <w:p w14:paraId="4F1F5E38" w14:textId="77777777" w:rsidR="00EB5423" w:rsidRPr="00975CA4" w:rsidRDefault="00EB5423">
            <w:pPr>
              <w:rPr>
                <w:sz w:val="22"/>
                <w:szCs w:val="22"/>
              </w:rPr>
            </w:pPr>
            <w:r w:rsidRPr="00975CA4">
              <w:rPr>
                <w:rFonts w:eastAsia="Times New Roman"/>
                <w:b/>
                <w:bCs/>
                <w:sz w:val="22"/>
                <w:szCs w:val="22"/>
              </w:rPr>
              <w:t>Hematologiniai rodikliai</w:t>
            </w:r>
          </w:p>
        </w:tc>
        <w:tc>
          <w:tcPr>
            <w:tcW w:w="1418" w:type="dxa"/>
            <w:tcBorders>
              <w:top w:val="single" w:sz="4" w:space="0" w:color="000000"/>
              <w:left w:val="single" w:sz="4" w:space="0" w:color="000000"/>
              <w:bottom w:val="single" w:sz="4" w:space="0" w:color="000000"/>
              <w:right w:val="single" w:sz="4" w:space="0" w:color="000000"/>
            </w:tcBorders>
          </w:tcPr>
          <w:p w14:paraId="016E5846" w14:textId="77777777" w:rsidR="00EB5423" w:rsidRPr="00975CA4" w:rsidRDefault="00EB5423">
            <w:pPr>
              <w:jc w:val="center"/>
              <w:rPr>
                <w:sz w:val="22"/>
                <w:szCs w:val="22"/>
              </w:rPr>
            </w:pPr>
          </w:p>
        </w:tc>
        <w:tc>
          <w:tcPr>
            <w:tcW w:w="1814" w:type="dxa"/>
            <w:tcBorders>
              <w:top w:val="single" w:sz="4" w:space="0" w:color="000000"/>
              <w:left w:val="single" w:sz="4" w:space="0" w:color="000000"/>
              <w:bottom w:val="single" w:sz="4" w:space="0" w:color="000000"/>
              <w:right w:val="single" w:sz="4" w:space="0" w:color="000000"/>
            </w:tcBorders>
          </w:tcPr>
          <w:p w14:paraId="013D2550" w14:textId="77777777" w:rsidR="00EB5423" w:rsidRPr="00975CA4" w:rsidRDefault="00EB5423">
            <w:pPr>
              <w:jc w:val="center"/>
              <w:rPr>
                <w:sz w:val="22"/>
                <w:szCs w:val="22"/>
              </w:rPr>
            </w:pPr>
          </w:p>
        </w:tc>
        <w:tc>
          <w:tcPr>
            <w:tcW w:w="1600" w:type="dxa"/>
            <w:tcBorders>
              <w:top w:val="single" w:sz="4" w:space="0" w:color="000000"/>
              <w:left w:val="single" w:sz="4" w:space="0" w:color="000000"/>
              <w:bottom w:val="single" w:sz="4" w:space="0" w:color="000000"/>
              <w:right w:val="single" w:sz="4" w:space="0" w:color="000000"/>
            </w:tcBorders>
          </w:tcPr>
          <w:p w14:paraId="21CD242A" w14:textId="77777777" w:rsidR="00EB5423" w:rsidRPr="00975CA4" w:rsidRDefault="00EB5423">
            <w:pPr>
              <w:jc w:val="center"/>
              <w:rPr>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5F123C7" w14:textId="77777777" w:rsidR="00EB5423" w:rsidRPr="00975CA4" w:rsidRDefault="00EB5423">
            <w:pPr>
              <w:jc w:val="center"/>
              <w:rPr>
                <w:sz w:val="22"/>
                <w:szCs w:val="22"/>
              </w:rPr>
            </w:pPr>
          </w:p>
        </w:tc>
      </w:tr>
      <w:tr w:rsidR="00EB5423" w:rsidRPr="00975CA4" w14:paraId="4789E912" w14:textId="77777777" w:rsidTr="00EB5423">
        <w:trPr>
          <w:trHeight w:val="283"/>
          <w:jc w:val="center"/>
        </w:trPr>
        <w:tc>
          <w:tcPr>
            <w:tcW w:w="2405" w:type="dxa"/>
            <w:tcBorders>
              <w:top w:val="single" w:sz="4" w:space="0" w:color="000000"/>
              <w:left w:val="single" w:sz="4" w:space="0" w:color="000000"/>
              <w:bottom w:val="single" w:sz="4" w:space="0" w:color="000000"/>
              <w:right w:val="single" w:sz="4" w:space="0" w:color="000000"/>
            </w:tcBorders>
            <w:hideMark/>
          </w:tcPr>
          <w:p w14:paraId="6D55B059" w14:textId="77777777" w:rsidR="00EB5423" w:rsidRPr="00975CA4" w:rsidRDefault="00EB5423">
            <w:pPr>
              <w:ind w:left="202"/>
              <w:rPr>
                <w:rFonts w:eastAsia="Times New Roman"/>
                <w:sz w:val="22"/>
                <w:szCs w:val="22"/>
              </w:rPr>
            </w:pPr>
            <w:proofErr w:type="spellStart"/>
            <w:r w:rsidRPr="00975CA4">
              <w:rPr>
                <w:rFonts w:eastAsia="Times New Roman"/>
                <w:sz w:val="22"/>
                <w:szCs w:val="22"/>
              </w:rPr>
              <w:t>Neutropenija</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0B5B32E8" w14:textId="77777777" w:rsidR="00EB5423" w:rsidRPr="00975CA4" w:rsidRDefault="00EB5423">
            <w:pPr>
              <w:jc w:val="center"/>
              <w:rPr>
                <w:sz w:val="22"/>
                <w:szCs w:val="22"/>
              </w:rPr>
            </w:pPr>
            <w:r w:rsidRPr="00975CA4">
              <w:rPr>
                <w:sz w:val="22"/>
                <w:szCs w:val="22"/>
              </w:rPr>
              <w:t>36</w:t>
            </w:r>
          </w:p>
        </w:tc>
        <w:tc>
          <w:tcPr>
            <w:tcW w:w="1814" w:type="dxa"/>
            <w:tcBorders>
              <w:top w:val="single" w:sz="4" w:space="0" w:color="000000"/>
              <w:left w:val="single" w:sz="4" w:space="0" w:color="000000"/>
              <w:bottom w:val="single" w:sz="4" w:space="0" w:color="000000"/>
              <w:right w:val="single" w:sz="4" w:space="0" w:color="000000"/>
            </w:tcBorders>
            <w:hideMark/>
          </w:tcPr>
          <w:p w14:paraId="44BCA966" w14:textId="77777777" w:rsidR="00EB5423" w:rsidRPr="00975CA4" w:rsidRDefault="00EB5423">
            <w:pPr>
              <w:jc w:val="center"/>
              <w:rPr>
                <w:sz w:val="22"/>
                <w:szCs w:val="22"/>
              </w:rPr>
            </w:pPr>
            <w:r w:rsidRPr="00975CA4">
              <w:rPr>
                <w:sz w:val="22"/>
                <w:szCs w:val="22"/>
              </w:rPr>
              <w:t>58</w:t>
            </w:r>
          </w:p>
        </w:tc>
        <w:tc>
          <w:tcPr>
            <w:tcW w:w="1600" w:type="dxa"/>
            <w:tcBorders>
              <w:top w:val="single" w:sz="4" w:space="0" w:color="000000"/>
              <w:left w:val="single" w:sz="4" w:space="0" w:color="000000"/>
              <w:bottom w:val="single" w:sz="4" w:space="0" w:color="000000"/>
              <w:right w:val="single" w:sz="4" w:space="0" w:color="000000"/>
            </w:tcBorders>
            <w:hideMark/>
          </w:tcPr>
          <w:p w14:paraId="14BB93F6" w14:textId="77777777" w:rsidR="00EB5423" w:rsidRPr="00975CA4" w:rsidRDefault="00EB5423">
            <w:pPr>
              <w:jc w:val="center"/>
              <w:rPr>
                <w:sz w:val="22"/>
                <w:szCs w:val="22"/>
              </w:rPr>
            </w:pPr>
            <w:r w:rsidRPr="00975CA4">
              <w:rPr>
                <w:sz w:val="22"/>
                <w:szCs w:val="22"/>
              </w:rPr>
              <w:t>77</w:t>
            </w:r>
          </w:p>
        </w:tc>
        <w:tc>
          <w:tcPr>
            <w:tcW w:w="2268" w:type="dxa"/>
            <w:tcBorders>
              <w:top w:val="single" w:sz="4" w:space="0" w:color="000000"/>
              <w:left w:val="single" w:sz="4" w:space="0" w:color="000000"/>
              <w:bottom w:val="single" w:sz="4" w:space="0" w:color="000000"/>
              <w:right w:val="single" w:sz="4" w:space="0" w:color="000000"/>
            </w:tcBorders>
            <w:hideMark/>
          </w:tcPr>
          <w:p w14:paraId="7B27F90A" w14:textId="77777777" w:rsidR="00EB5423" w:rsidRPr="00975CA4" w:rsidRDefault="00EB5423">
            <w:pPr>
              <w:jc w:val="center"/>
              <w:rPr>
                <w:sz w:val="22"/>
                <w:szCs w:val="22"/>
              </w:rPr>
            </w:pPr>
            <w:r w:rsidRPr="00975CA4">
              <w:rPr>
                <w:sz w:val="22"/>
                <w:szCs w:val="22"/>
              </w:rPr>
              <w:t>76</w:t>
            </w:r>
          </w:p>
        </w:tc>
      </w:tr>
      <w:tr w:rsidR="00EB5423" w:rsidRPr="00975CA4" w14:paraId="0F7A7EB6" w14:textId="77777777" w:rsidTr="00EB5423">
        <w:trPr>
          <w:trHeight w:val="283"/>
          <w:jc w:val="center"/>
        </w:trPr>
        <w:tc>
          <w:tcPr>
            <w:tcW w:w="2405" w:type="dxa"/>
            <w:tcBorders>
              <w:top w:val="single" w:sz="4" w:space="0" w:color="000000"/>
              <w:left w:val="single" w:sz="4" w:space="0" w:color="000000"/>
              <w:bottom w:val="single" w:sz="4" w:space="0" w:color="000000"/>
              <w:right w:val="single" w:sz="4" w:space="0" w:color="000000"/>
            </w:tcBorders>
            <w:hideMark/>
          </w:tcPr>
          <w:p w14:paraId="10BF3BDF" w14:textId="77777777" w:rsidR="00EB5423" w:rsidRPr="00975CA4" w:rsidRDefault="00EB5423">
            <w:pPr>
              <w:ind w:left="202"/>
              <w:rPr>
                <w:rFonts w:eastAsia="Times New Roman"/>
                <w:sz w:val="22"/>
                <w:szCs w:val="22"/>
              </w:rPr>
            </w:pPr>
            <w:proofErr w:type="spellStart"/>
            <w:r w:rsidRPr="00975CA4">
              <w:rPr>
                <w:rFonts w:eastAsia="Times New Roman"/>
                <w:sz w:val="22"/>
                <w:szCs w:val="22"/>
              </w:rPr>
              <w:t>Trombocitopenija</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136895CF" w14:textId="77777777" w:rsidR="00EB5423" w:rsidRPr="00975CA4" w:rsidRDefault="00EB5423">
            <w:pPr>
              <w:jc w:val="center"/>
              <w:rPr>
                <w:sz w:val="22"/>
                <w:szCs w:val="22"/>
              </w:rPr>
            </w:pPr>
            <w:r w:rsidRPr="00975CA4">
              <w:rPr>
                <w:sz w:val="22"/>
                <w:szCs w:val="22"/>
              </w:rPr>
              <w:t>23</w:t>
            </w:r>
          </w:p>
        </w:tc>
        <w:tc>
          <w:tcPr>
            <w:tcW w:w="1814" w:type="dxa"/>
            <w:tcBorders>
              <w:top w:val="single" w:sz="4" w:space="0" w:color="000000"/>
              <w:left w:val="single" w:sz="4" w:space="0" w:color="000000"/>
              <w:bottom w:val="single" w:sz="4" w:space="0" w:color="000000"/>
              <w:right w:val="single" w:sz="4" w:space="0" w:color="000000"/>
            </w:tcBorders>
            <w:hideMark/>
          </w:tcPr>
          <w:p w14:paraId="2E47D7BA" w14:textId="77777777" w:rsidR="00EB5423" w:rsidRPr="00975CA4" w:rsidRDefault="00EB5423">
            <w:pPr>
              <w:jc w:val="center"/>
              <w:rPr>
                <w:sz w:val="22"/>
                <w:szCs w:val="22"/>
              </w:rPr>
            </w:pPr>
            <w:r w:rsidRPr="00975CA4">
              <w:rPr>
                <w:sz w:val="22"/>
                <w:szCs w:val="22"/>
              </w:rPr>
              <w:t>63</w:t>
            </w:r>
          </w:p>
        </w:tc>
        <w:tc>
          <w:tcPr>
            <w:tcW w:w="1600" w:type="dxa"/>
            <w:tcBorders>
              <w:top w:val="single" w:sz="4" w:space="0" w:color="000000"/>
              <w:left w:val="single" w:sz="4" w:space="0" w:color="000000"/>
              <w:bottom w:val="single" w:sz="4" w:space="0" w:color="000000"/>
              <w:right w:val="single" w:sz="4" w:space="0" w:color="000000"/>
            </w:tcBorders>
            <w:hideMark/>
          </w:tcPr>
          <w:p w14:paraId="152BD6E3" w14:textId="77777777" w:rsidR="00EB5423" w:rsidRPr="00975CA4" w:rsidRDefault="00EB5423">
            <w:pPr>
              <w:jc w:val="center"/>
              <w:rPr>
                <w:sz w:val="22"/>
                <w:szCs w:val="22"/>
              </w:rPr>
            </w:pPr>
            <w:r w:rsidRPr="00975CA4">
              <w:rPr>
                <w:sz w:val="22"/>
                <w:szCs w:val="22"/>
              </w:rPr>
              <w:t>78</w:t>
            </w:r>
          </w:p>
        </w:tc>
        <w:tc>
          <w:tcPr>
            <w:tcW w:w="2268" w:type="dxa"/>
            <w:tcBorders>
              <w:top w:val="single" w:sz="4" w:space="0" w:color="000000"/>
              <w:left w:val="single" w:sz="4" w:space="0" w:color="000000"/>
              <w:bottom w:val="single" w:sz="4" w:space="0" w:color="000000"/>
              <w:right w:val="single" w:sz="4" w:space="0" w:color="000000"/>
            </w:tcBorders>
            <w:hideMark/>
          </w:tcPr>
          <w:p w14:paraId="4DDF6D8C" w14:textId="77777777" w:rsidR="00EB5423" w:rsidRPr="00975CA4" w:rsidRDefault="00EB5423">
            <w:pPr>
              <w:jc w:val="center"/>
              <w:rPr>
                <w:sz w:val="22"/>
                <w:szCs w:val="22"/>
              </w:rPr>
            </w:pPr>
            <w:r w:rsidRPr="00975CA4">
              <w:rPr>
                <w:sz w:val="22"/>
                <w:szCs w:val="22"/>
              </w:rPr>
              <w:t>74</w:t>
            </w:r>
          </w:p>
        </w:tc>
      </w:tr>
      <w:tr w:rsidR="00EB5423" w:rsidRPr="00975CA4" w14:paraId="5B94FBAD" w14:textId="77777777" w:rsidTr="00EB5423">
        <w:trPr>
          <w:trHeight w:val="283"/>
          <w:jc w:val="center"/>
        </w:trPr>
        <w:tc>
          <w:tcPr>
            <w:tcW w:w="2405" w:type="dxa"/>
            <w:tcBorders>
              <w:top w:val="single" w:sz="4" w:space="0" w:color="000000"/>
              <w:left w:val="single" w:sz="4" w:space="0" w:color="000000"/>
              <w:bottom w:val="single" w:sz="4" w:space="0" w:color="000000"/>
              <w:right w:val="single" w:sz="4" w:space="0" w:color="000000"/>
            </w:tcBorders>
            <w:hideMark/>
          </w:tcPr>
          <w:p w14:paraId="695BC057" w14:textId="77777777" w:rsidR="00EB5423" w:rsidRPr="00975CA4" w:rsidRDefault="00EB5423">
            <w:pPr>
              <w:ind w:left="202"/>
              <w:rPr>
                <w:rFonts w:eastAsia="Times New Roman"/>
                <w:sz w:val="22"/>
                <w:szCs w:val="22"/>
              </w:rPr>
            </w:pPr>
            <w:r w:rsidRPr="00975CA4">
              <w:rPr>
                <w:rFonts w:eastAsia="Times New Roman"/>
                <w:sz w:val="22"/>
                <w:szCs w:val="22"/>
              </w:rPr>
              <w:t>Anemija</w:t>
            </w:r>
          </w:p>
        </w:tc>
        <w:tc>
          <w:tcPr>
            <w:tcW w:w="1418" w:type="dxa"/>
            <w:tcBorders>
              <w:top w:val="single" w:sz="4" w:space="0" w:color="000000"/>
              <w:left w:val="single" w:sz="4" w:space="0" w:color="000000"/>
              <w:bottom w:val="single" w:sz="4" w:space="0" w:color="000000"/>
              <w:right w:val="single" w:sz="4" w:space="0" w:color="000000"/>
            </w:tcBorders>
            <w:hideMark/>
          </w:tcPr>
          <w:p w14:paraId="7FEEBA98" w14:textId="77777777" w:rsidR="00EB5423" w:rsidRPr="00975CA4" w:rsidRDefault="00EB5423">
            <w:pPr>
              <w:jc w:val="center"/>
              <w:rPr>
                <w:sz w:val="22"/>
                <w:szCs w:val="22"/>
              </w:rPr>
            </w:pPr>
            <w:r w:rsidRPr="00975CA4">
              <w:rPr>
                <w:sz w:val="22"/>
                <w:szCs w:val="22"/>
              </w:rPr>
              <w:t>13</w:t>
            </w:r>
          </w:p>
        </w:tc>
        <w:tc>
          <w:tcPr>
            <w:tcW w:w="1814" w:type="dxa"/>
            <w:tcBorders>
              <w:top w:val="single" w:sz="4" w:space="0" w:color="000000"/>
              <w:left w:val="single" w:sz="4" w:space="0" w:color="000000"/>
              <w:bottom w:val="single" w:sz="4" w:space="0" w:color="000000"/>
              <w:right w:val="single" w:sz="4" w:space="0" w:color="000000"/>
            </w:tcBorders>
            <w:hideMark/>
          </w:tcPr>
          <w:p w14:paraId="04795621" w14:textId="77777777" w:rsidR="00EB5423" w:rsidRPr="00975CA4" w:rsidRDefault="00EB5423">
            <w:pPr>
              <w:jc w:val="center"/>
              <w:rPr>
                <w:sz w:val="22"/>
                <w:szCs w:val="22"/>
              </w:rPr>
            </w:pPr>
            <w:r w:rsidRPr="00975CA4">
              <w:rPr>
                <w:sz w:val="22"/>
                <w:szCs w:val="22"/>
              </w:rPr>
              <w:t>47</w:t>
            </w:r>
          </w:p>
        </w:tc>
        <w:tc>
          <w:tcPr>
            <w:tcW w:w="1600" w:type="dxa"/>
            <w:tcBorders>
              <w:top w:val="single" w:sz="4" w:space="0" w:color="000000"/>
              <w:left w:val="single" w:sz="4" w:space="0" w:color="000000"/>
              <w:bottom w:val="single" w:sz="4" w:space="0" w:color="000000"/>
              <w:right w:val="single" w:sz="4" w:space="0" w:color="000000"/>
            </w:tcBorders>
            <w:hideMark/>
          </w:tcPr>
          <w:p w14:paraId="3DE9DBAC" w14:textId="77777777" w:rsidR="00EB5423" w:rsidRPr="00975CA4" w:rsidRDefault="00EB5423">
            <w:pPr>
              <w:jc w:val="center"/>
              <w:rPr>
                <w:sz w:val="22"/>
                <w:szCs w:val="22"/>
              </w:rPr>
            </w:pPr>
            <w:r w:rsidRPr="00975CA4">
              <w:rPr>
                <w:sz w:val="22"/>
                <w:szCs w:val="22"/>
              </w:rPr>
              <w:t>74</w:t>
            </w:r>
          </w:p>
        </w:tc>
        <w:tc>
          <w:tcPr>
            <w:tcW w:w="2268" w:type="dxa"/>
            <w:tcBorders>
              <w:top w:val="single" w:sz="4" w:space="0" w:color="000000"/>
              <w:left w:val="single" w:sz="4" w:space="0" w:color="000000"/>
              <w:bottom w:val="single" w:sz="4" w:space="0" w:color="000000"/>
              <w:right w:val="single" w:sz="4" w:space="0" w:color="000000"/>
            </w:tcBorders>
            <w:hideMark/>
          </w:tcPr>
          <w:p w14:paraId="4F9D2B5A" w14:textId="77777777" w:rsidR="00EB5423" w:rsidRPr="00975CA4" w:rsidRDefault="00EB5423">
            <w:pPr>
              <w:jc w:val="center"/>
              <w:rPr>
                <w:sz w:val="22"/>
                <w:szCs w:val="22"/>
              </w:rPr>
            </w:pPr>
            <w:r w:rsidRPr="00975CA4">
              <w:rPr>
                <w:sz w:val="22"/>
                <w:szCs w:val="22"/>
              </w:rPr>
              <w:t>44</w:t>
            </w:r>
          </w:p>
        </w:tc>
      </w:tr>
    </w:tbl>
    <w:p w14:paraId="7D880FD5" w14:textId="77777777" w:rsidR="00EB5423" w:rsidRPr="00975CA4" w:rsidRDefault="00EB5423" w:rsidP="00EB5423">
      <w:pPr>
        <w:suppressAutoHyphens/>
        <w:spacing w:after="0" w:line="240" w:lineRule="auto"/>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a</w:t>
      </w:r>
      <w:r w:rsidRPr="00975CA4">
        <w:rPr>
          <w:rFonts w:ascii="Times New Roman" w:eastAsia="SimSun" w:hAnsi="Times New Roman" w:cs="Times New Roman"/>
          <w:color w:val="000000"/>
          <w:lang w:eastAsia="ar-SA"/>
        </w:rPr>
        <w:t xml:space="preserve"> III fazės dozės optimizavimo tyrimo duomenys, apie kuriuos gauta pranešimų 2 metų stebėjimo metu.</w:t>
      </w:r>
    </w:p>
    <w:p w14:paraId="67D46579" w14:textId="4F1D25E5" w:rsidR="00EB5423" w:rsidRPr="00975CA4" w:rsidRDefault="00EB5423" w:rsidP="00EB5423">
      <w:pPr>
        <w:suppressAutoHyphens/>
        <w:spacing w:after="0" w:line="240" w:lineRule="auto"/>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b</w:t>
      </w:r>
      <w:r w:rsidRPr="00975CA4">
        <w:rPr>
          <w:rFonts w:ascii="Times New Roman" w:eastAsia="SimSun" w:hAnsi="Times New Roman" w:cs="Times New Roman"/>
          <w:color w:val="000000"/>
          <w:lang w:eastAsia="ar-SA"/>
        </w:rPr>
        <w:t xml:space="preserve"> CA180-034 tyrimo duomenys, užfiksuoti vartojant rekomenduojamą pradinę 100</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mg kartą per parą dozę.</w:t>
      </w:r>
    </w:p>
    <w:p w14:paraId="5A45BFFA" w14:textId="2C439A75"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vertAlign w:val="superscript"/>
          <w:lang w:eastAsia="ar-SA"/>
        </w:rPr>
        <w:t>c</w:t>
      </w:r>
      <w:r w:rsidRPr="00975CA4">
        <w:rPr>
          <w:rFonts w:ascii="Times New Roman" w:eastAsia="SimSun" w:hAnsi="Times New Roman" w:cs="Times New Roman"/>
          <w:color w:val="000000"/>
          <w:lang w:eastAsia="ar-SA"/>
        </w:rPr>
        <w:t xml:space="preserve"> CA180-035 tyrimo duomenys, užfiksuoti vartojant rekomenduojamą pradinę 140</w:t>
      </w:r>
      <w:r w:rsidR="007C169D"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mg kartą per parą dozę.</w:t>
      </w:r>
    </w:p>
    <w:p w14:paraId="40E2BEAD" w14:textId="58EAEF82"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lastRenderedPageBreak/>
        <w:t xml:space="preserve">CTC laipsniai: </w:t>
      </w:r>
      <w:proofErr w:type="spellStart"/>
      <w:r w:rsidRPr="00975CA4">
        <w:rPr>
          <w:rFonts w:ascii="Times New Roman" w:eastAsia="SimSun" w:hAnsi="Times New Roman" w:cs="Times New Roman"/>
          <w:color w:val="000000"/>
          <w:lang w:eastAsia="ar-SA"/>
        </w:rPr>
        <w:t>neutropenija</w:t>
      </w:r>
      <w:proofErr w:type="spellEnd"/>
      <w:r w:rsidRPr="00975CA4">
        <w:rPr>
          <w:rFonts w:ascii="Times New Roman" w:eastAsia="SimSun" w:hAnsi="Times New Roman" w:cs="Times New Roman"/>
          <w:color w:val="000000"/>
          <w:lang w:eastAsia="ar-SA"/>
        </w:rPr>
        <w:t xml:space="preserve"> (3 laipsnis ≥</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0,5 – &lt;</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10</w:t>
      </w:r>
      <w:r w:rsidRPr="00975CA4">
        <w:rPr>
          <w:rFonts w:ascii="Times New Roman" w:eastAsia="SimSun" w:hAnsi="Times New Roman" w:cs="Times New Roman"/>
          <w:color w:val="000000"/>
          <w:vertAlign w:val="superscript"/>
          <w:lang w:eastAsia="ar-SA"/>
        </w:rPr>
        <w:t>9</w:t>
      </w:r>
      <w:r w:rsidRPr="00975CA4">
        <w:rPr>
          <w:rFonts w:ascii="Times New Roman" w:eastAsia="SimSun" w:hAnsi="Times New Roman" w:cs="Times New Roman"/>
          <w:color w:val="000000"/>
          <w:lang w:eastAsia="ar-SA"/>
        </w:rPr>
        <w:t>/l, 4 laipsnis &lt;</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0,5</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10</w:t>
      </w:r>
      <w:r w:rsidRPr="00975CA4">
        <w:rPr>
          <w:rFonts w:ascii="Times New Roman" w:eastAsia="SimSun" w:hAnsi="Times New Roman" w:cs="Times New Roman"/>
          <w:color w:val="000000"/>
          <w:vertAlign w:val="superscript"/>
          <w:lang w:eastAsia="ar-SA"/>
        </w:rPr>
        <w:t>9</w:t>
      </w:r>
      <w:r w:rsidRPr="00975CA4">
        <w:rPr>
          <w:rFonts w:ascii="Times New Roman" w:eastAsia="SimSun" w:hAnsi="Times New Roman" w:cs="Times New Roman"/>
          <w:color w:val="000000"/>
          <w:lang w:eastAsia="ar-SA"/>
        </w:rPr>
        <w:t xml:space="preserve">/l); </w:t>
      </w:r>
      <w:proofErr w:type="spellStart"/>
      <w:r w:rsidRPr="00975CA4">
        <w:rPr>
          <w:rFonts w:ascii="Times New Roman" w:eastAsia="SimSun" w:hAnsi="Times New Roman" w:cs="Times New Roman"/>
          <w:color w:val="000000"/>
          <w:lang w:eastAsia="ar-SA"/>
        </w:rPr>
        <w:t>trombocitopenija</w:t>
      </w:r>
      <w:proofErr w:type="spellEnd"/>
      <w:r w:rsidRPr="00975CA4">
        <w:rPr>
          <w:rFonts w:ascii="Times New Roman" w:eastAsia="SimSun" w:hAnsi="Times New Roman" w:cs="Times New Roman"/>
          <w:color w:val="000000"/>
          <w:lang w:eastAsia="ar-SA"/>
        </w:rPr>
        <w:t xml:space="preserve"> (3 laipsnis ≥</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25 – &lt;</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50</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10</w:t>
      </w:r>
      <w:r w:rsidRPr="00975CA4">
        <w:rPr>
          <w:rFonts w:ascii="Times New Roman" w:eastAsia="SimSun" w:hAnsi="Times New Roman" w:cs="Times New Roman"/>
          <w:color w:val="000000"/>
          <w:vertAlign w:val="superscript"/>
          <w:lang w:eastAsia="ar-SA"/>
        </w:rPr>
        <w:t>9</w:t>
      </w:r>
      <w:r w:rsidRPr="00975CA4">
        <w:rPr>
          <w:rFonts w:ascii="Times New Roman" w:eastAsia="SimSun" w:hAnsi="Times New Roman" w:cs="Times New Roman"/>
          <w:color w:val="000000"/>
          <w:lang w:eastAsia="ar-SA"/>
        </w:rPr>
        <w:t>/l, 4 laipsnis &lt;</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25</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10</w:t>
      </w:r>
      <w:r w:rsidRPr="00975CA4">
        <w:rPr>
          <w:rFonts w:ascii="Times New Roman" w:eastAsia="SimSun" w:hAnsi="Times New Roman" w:cs="Times New Roman"/>
          <w:color w:val="000000"/>
          <w:vertAlign w:val="superscript"/>
          <w:lang w:eastAsia="ar-SA"/>
        </w:rPr>
        <w:t>9</w:t>
      </w:r>
      <w:r w:rsidRPr="00975CA4">
        <w:rPr>
          <w:rFonts w:ascii="Times New Roman" w:eastAsia="SimSun" w:hAnsi="Times New Roman" w:cs="Times New Roman"/>
          <w:color w:val="000000"/>
          <w:lang w:eastAsia="ar-SA"/>
        </w:rPr>
        <w:t>/l); anemija (hemoglobino 3 laipsnis ≥ 65 – &lt;</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80</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g/l, 4 laipsnis &lt;</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65</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g/l).</w:t>
      </w:r>
    </w:p>
    <w:p w14:paraId="55B9B90E"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p>
    <w:p w14:paraId="50FD2F7E" w14:textId="47F339AC"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Suminis 3 ar 4 laipsnio </w:t>
      </w:r>
      <w:proofErr w:type="spellStart"/>
      <w:r w:rsidRPr="00975CA4">
        <w:rPr>
          <w:rFonts w:ascii="Times New Roman" w:eastAsia="SimSun" w:hAnsi="Times New Roman" w:cs="Times New Roman"/>
          <w:color w:val="000000"/>
          <w:lang w:eastAsia="ar-SA"/>
        </w:rPr>
        <w:t>citopenijų</w:t>
      </w:r>
      <w:proofErr w:type="spellEnd"/>
      <w:r w:rsidRPr="00975CA4">
        <w:rPr>
          <w:rFonts w:ascii="Times New Roman" w:eastAsia="SimSun" w:hAnsi="Times New Roman" w:cs="Times New Roman"/>
          <w:color w:val="000000"/>
          <w:lang w:eastAsia="ar-SA"/>
        </w:rPr>
        <w:t xml:space="preserve"> pasireiškimo dažnis vartojant 100</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1 kartą per parą po 2 ir 5 metų buvo panašus: </w:t>
      </w:r>
      <w:proofErr w:type="spellStart"/>
      <w:r w:rsidRPr="00975CA4">
        <w:rPr>
          <w:rFonts w:ascii="Times New Roman" w:eastAsia="SimSun" w:hAnsi="Times New Roman" w:cs="Times New Roman"/>
          <w:color w:val="000000"/>
          <w:lang w:eastAsia="ar-SA"/>
        </w:rPr>
        <w:t>neutropenijos</w:t>
      </w:r>
      <w:proofErr w:type="spellEnd"/>
      <w:r w:rsidRPr="00975CA4">
        <w:rPr>
          <w:rFonts w:ascii="Times New Roman" w:eastAsia="SimSun" w:hAnsi="Times New Roman" w:cs="Times New Roman"/>
          <w:color w:val="000000"/>
          <w:lang w:eastAsia="ar-SA"/>
        </w:rPr>
        <w:t xml:space="preserve"> – atitinkamai 35</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36</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trombocitopenijos</w:t>
      </w:r>
      <w:proofErr w:type="spellEnd"/>
      <w:r w:rsidRPr="00975CA4">
        <w:rPr>
          <w:rFonts w:ascii="Times New Roman" w:eastAsia="SimSun" w:hAnsi="Times New Roman" w:cs="Times New Roman"/>
          <w:color w:val="000000"/>
          <w:lang w:eastAsia="ar-SA"/>
        </w:rPr>
        <w:t xml:space="preserve"> – 23</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24</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anemijos – 13</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13</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w:t>
      </w:r>
    </w:p>
    <w:p w14:paraId="1C13D3B6"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p>
    <w:p w14:paraId="3FADA5EA"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3 ar 4 laipsnio kaulų čiulpų funkcijos sutrikimas paprastai praeidavo trumpam nutraukus vaistinio preparato vartojimą ir (arba) sumažinus jo dozę. Visam laikui vaistinio preparato vartojimą nutraukė 5</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pacientų. Dauguma pacientų vėliau gydymą tęsė toliau be pastebimų kaulų čiulpų slopinimo požymių.</w:t>
      </w:r>
    </w:p>
    <w:p w14:paraId="03C2CFB6"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p>
    <w:p w14:paraId="63A73A74"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Biocheminiai rodikliai</w:t>
      </w:r>
    </w:p>
    <w:p w14:paraId="217A5CF8" w14:textId="203BAB80"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Naujai diagnozuotos lėtinės fazės LML tyrimo metu per ne trumpesnį kaip 12</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stebėjimo laikotarpį gauta pranešimų apie 3 ar 4 laipsnio </w:t>
      </w:r>
      <w:proofErr w:type="spellStart"/>
      <w:r w:rsidRPr="00975CA4">
        <w:rPr>
          <w:rFonts w:ascii="Times New Roman" w:eastAsia="SimSun" w:hAnsi="Times New Roman" w:cs="Times New Roman"/>
          <w:color w:val="000000"/>
          <w:lang w:eastAsia="ar-SA"/>
        </w:rPr>
        <w:t>hipofosfatemiją</w:t>
      </w:r>
      <w:proofErr w:type="spellEnd"/>
      <w:r w:rsidRPr="00975CA4">
        <w:rPr>
          <w:rFonts w:ascii="Times New Roman" w:eastAsia="SimSun" w:hAnsi="Times New Roman" w:cs="Times New Roman"/>
          <w:color w:val="000000"/>
          <w:lang w:eastAsia="ar-SA"/>
        </w:rPr>
        <w:t>, pasireiškusią 4</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gydytų pacientų, bei pranešimų apie 3 ar 4 laipsnio </w:t>
      </w:r>
      <w:proofErr w:type="spellStart"/>
      <w:r w:rsidRPr="00975CA4">
        <w:rPr>
          <w:rFonts w:ascii="Times New Roman" w:eastAsia="SimSun" w:hAnsi="Times New Roman" w:cs="Times New Roman"/>
          <w:color w:val="000000"/>
          <w:lang w:eastAsia="ar-SA"/>
        </w:rPr>
        <w:t>transaminazių</w:t>
      </w:r>
      <w:proofErr w:type="spellEnd"/>
      <w:r w:rsidRPr="00975CA4">
        <w:rPr>
          <w:rFonts w:ascii="Times New Roman" w:eastAsia="SimSun" w:hAnsi="Times New Roman" w:cs="Times New Roman"/>
          <w:color w:val="000000"/>
          <w:lang w:eastAsia="ar-SA"/>
        </w:rPr>
        <w:t xml:space="preserve"> aktyvumo, kreatinino ir </w:t>
      </w:r>
      <w:proofErr w:type="spellStart"/>
      <w:r w:rsidRPr="00975CA4">
        <w:rPr>
          <w:rFonts w:ascii="Times New Roman" w:eastAsia="SimSun" w:hAnsi="Times New Roman" w:cs="Times New Roman"/>
          <w:color w:val="000000"/>
          <w:lang w:eastAsia="ar-SA"/>
        </w:rPr>
        <w:t>bilirubino</w:t>
      </w:r>
      <w:proofErr w:type="spellEnd"/>
      <w:r w:rsidRPr="00975CA4">
        <w:rPr>
          <w:rFonts w:ascii="Times New Roman" w:eastAsia="SimSun" w:hAnsi="Times New Roman" w:cs="Times New Roman"/>
          <w:color w:val="000000"/>
          <w:lang w:eastAsia="ar-SA"/>
        </w:rPr>
        <w:t xml:space="preserve"> kiekio padidėjimą ≤</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pacientų. Per ne trumpesnį kaip 60</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stebėjimo laikotarpį suminis 3 ar 4 laipsnio </w:t>
      </w:r>
      <w:proofErr w:type="spellStart"/>
      <w:r w:rsidRPr="00975CA4">
        <w:rPr>
          <w:rFonts w:ascii="Times New Roman" w:eastAsia="SimSun" w:hAnsi="Times New Roman" w:cs="Times New Roman"/>
          <w:color w:val="000000"/>
          <w:lang w:eastAsia="ar-SA"/>
        </w:rPr>
        <w:t>hipofosfatemijos</w:t>
      </w:r>
      <w:proofErr w:type="spellEnd"/>
      <w:r w:rsidRPr="00975CA4">
        <w:rPr>
          <w:rFonts w:ascii="Times New Roman" w:eastAsia="SimSun" w:hAnsi="Times New Roman" w:cs="Times New Roman"/>
          <w:color w:val="000000"/>
          <w:lang w:eastAsia="ar-SA"/>
        </w:rPr>
        <w:t xml:space="preserve"> pasireiškimo dažnis buvo 7</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3 ar 4 laipsnio kreatinino ir </w:t>
      </w:r>
      <w:proofErr w:type="spellStart"/>
      <w:r w:rsidRPr="00975CA4">
        <w:rPr>
          <w:rFonts w:ascii="Times New Roman" w:eastAsia="SimSun" w:hAnsi="Times New Roman" w:cs="Times New Roman"/>
          <w:color w:val="000000"/>
          <w:lang w:eastAsia="ar-SA"/>
        </w:rPr>
        <w:t>bilirubino</w:t>
      </w:r>
      <w:proofErr w:type="spellEnd"/>
      <w:r w:rsidRPr="00975CA4">
        <w:rPr>
          <w:rFonts w:ascii="Times New Roman" w:eastAsia="SimSun" w:hAnsi="Times New Roman" w:cs="Times New Roman"/>
          <w:color w:val="000000"/>
          <w:lang w:eastAsia="ar-SA"/>
        </w:rPr>
        <w:t xml:space="preserve"> kiekio padidėjimo dažnis - 1</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o 3 ar 4 laipsnio </w:t>
      </w:r>
      <w:proofErr w:type="spellStart"/>
      <w:r w:rsidRPr="00975CA4">
        <w:rPr>
          <w:rFonts w:ascii="Times New Roman" w:eastAsia="SimSun" w:hAnsi="Times New Roman" w:cs="Times New Roman"/>
          <w:color w:val="000000"/>
          <w:lang w:eastAsia="ar-SA"/>
        </w:rPr>
        <w:t>transaminazių</w:t>
      </w:r>
      <w:proofErr w:type="spellEnd"/>
      <w:r w:rsidRPr="00975CA4">
        <w:rPr>
          <w:rFonts w:ascii="Times New Roman" w:eastAsia="SimSun" w:hAnsi="Times New Roman" w:cs="Times New Roman"/>
          <w:color w:val="000000"/>
          <w:lang w:eastAsia="ar-SA"/>
        </w:rPr>
        <w:t xml:space="preserve"> aktyvumo padidėjimo dažnis liko 1</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Dėl šių biocheminių laboratorinių rodiklių pokyčių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vartojimo nenutraukė nė vienas pacientas.</w:t>
      </w:r>
    </w:p>
    <w:p w14:paraId="6E4D4DFD"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p>
    <w:p w14:paraId="26B5D015"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lang w:eastAsia="ar-SA"/>
        </w:rPr>
        <w:t>2 metų trukmės stebėjimas</w:t>
      </w:r>
    </w:p>
    <w:p w14:paraId="27FC8222" w14:textId="6D837486"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3 ar 4 laipsnio </w:t>
      </w:r>
      <w:proofErr w:type="spellStart"/>
      <w:r w:rsidRPr="00975CA4">
        <w:rPr>
          <w:rFonts w:ascii="Times New Roman" w:eastAsia="SimSun" w:hAnsi="Times New Roman" w:cs="Times New Roman"/>
          <w:color w:val="000000"/>
          <w:lang w:eastAsia="ar-SA"/>
        </w:rPr>
        <w:t>transaminazių</w:t>
      </w:r>
      <w:proofErr w:type="spellEnd"/>
      <w:r w:rsidRPr="00975CA4">
        <w:rPr>
          <w:rFonts w:ascii="Times New Roman" w:eastAsia="SimSun" w:hAnsi="Times New Roman" w:cs="Times New Roman"/>
          <w:color w:val="000000"/>
          <w:lang w:eastAsia="ar-SA"/>
        </w:rPr>
        <w:t xml:space="preserve"> aktyvumo ar </w:t>
      </w:r>
      <w:proofErr w:type="spellStart"/>
      <w:r w:rsidRPr="00975CA4">
        <w:rPr>
          <w:rFonts w:ascii="Times New Roman" w:eastAsia="SimSun" w:hAnsi="Times New Roman" w:cs="Times New Roman"/>
          <w:color w:val="000000"/>
          <w:lang w:eastAsia="ar-SA"/>
        </w:rPr>
        <w:t>bilirubino</w:t>
      </w:r>
      <w:proofErr w:type="spellEnd"/>
      <w:r w:rsidRPr="00975CA4">
        <w:rPr>
          <w:rFonts w:ascii="Times New Roman" w:eastAsia="SimSun" w:hAnsi="Times New Roman" w:cs="Times New Roman"/>
          <w:color w:val="000000"/>
          <w:lang w:eastAsia="ar-SA"/>
        </w:rPr>
        <w:t xml:space="preserve"> kiekio padidėjimas nustatytas 1</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pacientų, sergančių lėtinės fazės LML, atsparia ankstesniam gydymui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arba tokio gydymo netoleruojantiems pacientams, bei 1–7</w:t>
      </w:r>
      <w:r w:rsidR="007C169D"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progresavusios fazės LML ir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ŪLL sergančių pacientų. Nustačius šį sutrikimą, paprastai būdavo mažinama vaistinio preparato dozė arba jo vartojimas laikinai nutraukiamas. III fazės dozės optimizavimo tyrimo, kuriame dalyvavo lėtinės fazės LML sergantys pacientai, metu 3 ar 4 laipsnio </w:t>
      </w:r>
      <w:proofErr w:type="spellStart"/>
      <w:r w:rsidRPr="00975CA4">
        <w:rPr>
          <w:rFonts w:ascii="Times New Roman" w:eastAsia="SimSun" w:hAnsi="Times New Roman" w:cs="Times New Roman"/>
          <w:color w:val="000000"/>
          <w:lang w:eastAsia="ar-SA"/>
        </w:rPr>
        <w:t>transaminazių</w:t>
      </w:r>
      <w:proofErr w:type="spellEnd"/>
      <w:r w:rsidRPr="00975CA4">
        <w:rPr>
          <w:rFonts w:ascii="Times New Roman" w:eastAsia="SimSun" w:hAnsi="Times New Roman" w:cs="Times New Roman"/>
          <w:color w:val="000000"/>
          <w:lang w:eastAsia="ar-SA"/>
        </w:rPr>
        <w:t xml:space="preserve"> aktyvumo ar </w:t>
      </w:r>
      <w:proofErr w:type="spellStart"/>
      <w:r w:rsidRPr="00975CA4">
        <w:rPr>
          <w:rFonts w:ascii="Times New Roman" w:eastAsia="SimSun" w:hAnsi="Times New Roman" w:cs="Times New Roman"/>
          <w:color w:val="000000"/>
          <w:lang w:eastAsia="ar-SA"/>
        </w:rPr>
        <w:t>bilirubino</w:t>
      </w:r>
      <w:proofErr w:type="spellEnd"/>
      <w:r w:rsidRPr="00975CA4">
        <w:rPr>
          <w:rFonts w:ascii="Times New Roman" w:eastAsia="SimSun" w:hAnsi="Times New Roman" w:cs="Times New Roman"/>
          <w:color w:val="000000"/>
          <w:lang w:eastAsia="ar-SA"/>
        </w:rPr>
        <w:t xml:space="preserve"> kiekio padidėjimas nustatytas ≤</w:t>
      </w:r>
      <w:r w:rsidR="0072676B"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w:t>
      </w:r>
      <w:r w:rsidR="0072676B"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pacientų (panašiu mažu dažniu visose 4 gydymo grupėse). III fazės dozės optimizavimo tyrimo, kuriame dalyvavo progresavusios fazės LML ir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ŪLL sergantys pacientai, metu 3 ar 4 laipsnio </w:t>
      </w:r>
      <w:proofErr w:type="spellStart"/>
      <w:r w:rsidRPr="00975CA4">
        <w:rPr>
          <w:rFonts w:ascii="Times New Roman" w:eastAsia="SimSun" w:hAnsi="Times New Roman" w:cs="Times New Roman"/>
          <w:color w:val="000000"/>
          <w:lang w:eastAsia="ar-SA"/>
        </w:rPr>
        <w:t>transaminazių</w:t>
      </w:r>
      <w:proofErr w:type="spellEnd"/>
      <w:r w:rsidRPr="00975CA4">
        <w:rPr>
          <w:rFonts w:ascii="Times New Roman" w:eastAsia="SimSun" w:hAnsi="Times New Roman" w:cs="Times New Roman"/>
          <w:color w:val="000000"/>
          <w:lang w:eastAsia="ar-SA"/>
        </w:rPr>
        <w:t xml:space="preserve"> aktyvumas ar </w:t>
      </w:r>
      <w:proofErr w:type="spellStart"/>
      <w:r w:rsidRPr="00975CA4">
        <w:rPr>
          <w:rFonts w:ascii="Times New Roman" w:eastAsia="SimSun" w:hAnsi="Times New Roman" w:cs="Times New Roman"/>
          <w:color w:val="000000"/>
          <w:lang w:eastAsia="ar-SA"/>
        </w:rPr>
        <w:t>bilirubino</w:t>
      </w:r>
      <w:proofErr w:type="spellEnd"/>
      <w:r w:rsidRPr="00975CA4">
        <w:rPr>
          <w:rFonts w:ascii="Times New Roman" w:eastAsia="SimSun" w:hAnsi="Times New Roman" w:cs="Times New Roman"/>
          <w:color w:val="000000"/>
          <w:lang w:eastAsia="ar-SA"/>
        </w:rPr>
        <w:t xml:space="preserve"> kiekio padidėjimas nustatytas 1-5</w:t>
      </w:r>
      <w:r w:rsidR="0072676B"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visų gydymo grupių pacientų.</w:t>
      </w:r>
    </w:p>
    <w:p w14:paraId="1D19174A"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p>
    <w:p w14:paraId="669F298D" w14:textId="671A2087"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Maždaug 5</w:t>
      </w:r>
      <w:r w:rsidR="0072676B"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gydytų pacientų, kuriems kalcio koncentracija iki tyrimo buvo normali, tyrimo metu kuriuo nors laiku pasireiškė 3 ar 4 laipsnio trumpalaikė </w:t>
      </w:r>
      <w:proofErr w:type="spellStart"/>
      <w:r w:rsidRPr="00975CA4">
        <w:rPr>
          <w:rFonts w:ascii="Times New Roman" w:eastAsia="SimSun" w:hAnsi="Times New Roman" w:cs="Times New Roman"/>
          <w:color w:val="000000"/>
          <w:lang w:eastAsia="ar-SA"/>
        </w:rPr>
        <w:t>hipokalcemija</w:t>
      </w:r>
      <w:proofErr w:type="spellEnd"/>
      <w:r w:rsidRPr="00975CA4">
        <w:rPr>
          <w:rFonts w:ascii="Times New Roman" w:eastAsia="SimSun" w:hAnsi="Times New Roman" w:cs="Times New Roman"/>
          <w:color w:val="000000"/>
          <w:lang w:eastAsia="ar-SA"/>
        </w:rPr>
        <w:t xml:space="preserve">. Apskritai ryšio tarp sumažėjusios kalcio koncentracijos s ir klinikinių simptomų nebuvo. 3 ar 4 laipsnio </w:t>
      </w:r>
      <w:proofErr w:type="spellStart"/>
      <w:r w:rsidRPr="00975CA4">
        <w:rPr>
          <w:rFonts w:ascii="Times New Roman" w:eastAsia="SimSun" w:hAnsi="Times New Roman" w:cs="Times New Roman"/>
          <w:color w:val="000000"/>
          <w:lang w:eastAsia="ar-SA"/>
        </w:rPr>
        <w:t>hipokalcemiją</w:t>
      </w:r>
      <w:proofErr w:type="spellEnd"/>
      <w:r w:rsidRPr="00975CA4">
        <w:rPr>
          <w:rFonts w:ascii="Times New Roman" w:eastAsia="SimSun" w:hAnsi="Times New Roman" w:cs="Times New Roman"/>
          <w:color w:val="000000"/>
          <w:lang w:eastAsia="ar-SA"/>
        </w:rPr>
        <w:t xml:space="preserve"> dažnai pavykdavo sureguliuoti geriamaisiais kalcio papildais. </w:t>
      </w:r>
    </w:p>
    <w:p w14:paraId="030A04DB"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p>
    <w:p w14:paraId="3268F7FD" w14:textId="334CA26E"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3 ar 4 laipsnio </w:t>
      </w:r>
      <w:proofErr w:type="spellStart"/>
      <w:r w:rsidRPr="00975CA4">
        <w:rPr>
          <w:rFonts w:ascii="Times New Roman" w:eastAsia="SimSun" w:hAnsi="Times New Roman" w:cs="Times New Roman"/>
          <w:color w:val="000000"/>
          <w:lang w:eastAsia="ar-SA"/>
        </w:rPr>
        <w:t>hipokalcemija</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hipokalemija</w:t>
      </w:r>
      <w:proofErr w:type="spellEnd"/>
      <w:r w:rsidRPr="00975CA4">
        <w:rPr>
          <w:rFonts w:ascii="Times New Roman" w:eastAsia="SimSun" w:hAnsi="Times New Roman" w:cs="Times New Roman"/>
          <w:color w:val="000000"/>
          <w:lang w:eastAsia="ar-SA"/>
        </w:rPr>
        <w:t xml:space="preserve"> bei </w:t>
      </w:r>
      <w:proofErr w:type="spellStart"/>
      <w:r w:rsidRPr="00975CA4">
        <w:rPr>
          <w:rFonts w:ascii="Times New Roman" w:eastAsia="SimSun" w:hAnsi="Times New Roman" w:cs="Times New Roman"/>
          <w:color w:val="000000"/>
          <w:lang w:eastAsia="ar-SA"/>
        </w:rPr>
        <w:t>hipofosfatemija</w:t>
      </w:r>
      <w:proofErr w:type="spellEnd"/>
      <w:r w:rsidRPr="00975CA4">
        <w:rPr>
          <w:rFonts w:ascii="Times New Roman" w:eastAsia="SimSun" w:hAnsi="Times New Roman" w:cs="Times New Roman"/>
          <w:color w:val="000000"/>
          <w:lang w:eastAsia="ar-SA"/>
        </w:rPr>
        <w:t xml:space="preserve"> nustatyt</w:t>
      </w:r>
      <w:r w:rsidR="00602A32" w:rsidRPr="00975CA4">
        <w:rPr>
          <w:rFonts w:ascii="Times New Roman" w:eastAsia="SimSun" w:hAnsi="Times New Roman" w:cs="Times New Roman"/>
          <w:color w:val="000000"/>
          <w:lang w:eastAsia="ar-SA"/>
        </w:rPr>
        <w:t>os</w:t>
      </w:r>
      <w:r w:rsidRPr="00975CA4">
        <w:rPr>
          <w:rFonts w:ascii="Times New Roman" w:eastAsia="SimSun" w:hAnsi="Times New Roman" w:cs="Times New Roman"/>
          <w:color w:val="000000"/>
          <w:lang w:eastAsia="ar-SA"/>
        </w:rPr>
        <w:t xml:space="preserve"> visose LML fazėse, tačiau dažniau pasireiškė </w:t>
      </w:r>
      <w:proofErr w:type="spellStart"/>
      <w:r w:rsidRPr="00975CA4">
        <w:rPr>
          <w:rFonts w:ascii="Times New Roman" w:eastAsia="SimSun" w:hAnsi="Times New Roman" w:cs="Times New Roman"/>
          <w:color w:val="000000"/>
          <w:lang w:eastAsia="ar-SA"/>
        </w:rPr>
        <w:t>mieloidinių</w:t>
      </w:r>
      <w:proofErr w:type="spellEnd"/>
      <w:r w:rsidRPr="00975CA4">
        <w:rPr>
          <w:rFonts w:ascii="Times New Roman" w:eastAsia="SimSun" w:hAnsi="Times New Roman" w:cs="Times New Roman"/>
          <w:color w:val="000000"/>
          <w:lang w:eastAsia="ar-SA"/>
        </w:rPr>
        <w:t xml:space="preserve"> ar </w:t>
      </w:r>
      <w:proofErr w:type="spellStart"/>
      <w:r w:rsidRPr="00975CA4">
        <w:rPr>
          <w:rFonts w:ascii="Times New Roman" w:eastAsia="SimSun" w:hAnsi="Times New Roman" w:cs="Times New Roman"/>
          <w:color w:val="000000"/>
          <w:lang w:eastAsia="ar-SA"/>
        </w:rPr>
        <w:t>limfoidinių</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blastų</w:t>
      </w:r>
      <w:proofErr w:type="spellEnd"/>
      <w:r w:rsidRPr="00975CA4">
        <w:rPr>
          <w:rFonts w:ascii="Times New Roman" w:eastAsia="SimSun" w:hAnsi="Times New Roman" w:cs="Times New Roman"/>
          <w:color w:val="000000"/>
          <w:lang w:eastAsia="ar-SA"/>
        </w:rPr>
        <w:t xml:space="preserve"> fazės LML ir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sergantiems pacientams. 3 ar 4 laipsnio kreatinino koncentracijos padidėjimas nustatytas &lt;</w:t>
      </w:r>
      <w:r w:rsidR="0072676B"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1</w:t>
      </w:r>
      <w:r w:rsidR="0072676B"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lėtinės fazės LML ir 1–4</w:t>
      </w:r>
      <w:r w:rsidR="0072676B"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progresavusios fazės LML sergančių pacientų.</w:t>
      </w:r>
    </w:p>
    <w:p w14:paraId="7FFE61C0"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p>
    <w:p w14:paraId="5CF90679" w14:textId="77777777" w:rsidR="00EB5423" w:rsidRPr="00975CA4" w:rsidRDefault="00EB5423" w:rsidP="00EB5423">
      <w:pPr>
        <w:suppressAutoHyphens/>
        <w:spacing w:after="0" w:line="240" w:lineRule="auto"/>
        <w:rPr>
          <w:rFonts w:ascii="Times New Roman" w:eastAsia="SimSun" w:hAnsi="Times New Roman" w:cs="Times New Roman"/>
          <w:color w:val="000000"/>
          <w:u w:val="single"/>
          <w:lang w:eastAsia="ar-SA"/>
        </w:rPr>
      </w:pPr>
      <w:r w:rsidRPr="00975CA4">
        <w:rPr>
          <w:rFonts w:ascii="Times New Roman" w:eastAsia="SimSun" w:hAnsi="Times New Roman" w:cs="Times New Roman"/>
          <w:color w:val="000000"/>
          <w:u w:val="single"/>
          <w:lang w:eastAsia="ar-SA"/>
        </w:rPr>
        <w:t xml:space="preserve">Vaikų populiacija </w:t>
      </w:r>
    </w:p>
    <w:p w14:paraId="587A3662" w14:textId="1E0033B3" w:rsidR="00EB5423" w:rsidRPr="00975CA4" w:rsidRDefault="00EB5423" w:rsidP="00EB5423">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Monoterapijos</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dazanitibu</w:t>
      </w:r>
      <w:proofErr w:type="spellEnd"/>
      <w:r w:rsidRPr="00975CA4">
        <w:rPr>
          <w:rFonts w:ascii="Times New Roman" w:eastAsia="SimSun" w:hAnsi="Times New Roman" w:cs="Times New Roman"/>
          <w:color w:val="000000"/>
          <w:lang w:eastAsia="ar-SA"/>
        </w:rPr>
        <w:t xml:space="preserve"> saugumo pobūdis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LML LF sergantiems vaikams buvo panašus į suaugusiųjų. </w:t>
      </w:r>
      <w:proofErr w:type="spellStart"/>
      <w:r w:rsidRPr="00975CA4">
        <w:rPr>
          <w:rFonts w:ascii="Times New Roman" w:eastAsia="SimSun" w:hAnsi="Times New Roman" w:cs="Times New Roman"/>
          <w:color w:val="000000"/>
          <w:lang w:eastAsia="ar-SA"/>
        </w:rPr>
        <w:t>Dazanitibo</w:t>
      </w:r>
      <w:proofErr w:type="spellEnd"/>
      <w:r w:rsidRPr="00975CA4">
        <w:rPr>
          <w:rFonts w:ascii="Times New Roman" w:eastAsia="SimSun" w:hAnsi="Times New Roman" w:cs="Times New Roman"/>
          <w:color w:val="000000"/>
          <w:lang w:eastAsia="ar-SA"/>
        </w:rPr>
        <w:t xml:space="preserve"> derinio su chemoterapija saugumo pobūdis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ŪLL sergantiems vaikams buvo panašus į suaugusiųjų ir atitiko tikėtiną chemoterapijos poveikį, išskyrus tai, kad skystis pleuros ertmėje vaikams pasireiškė rečiau negu suaugusiesiems. </w:t>
      </w:r>
    </w:p>
    <w:p w14:paraId="6385330D"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p>
    <w:p w14:paraId="080477AE"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LML tyrimų metu vaikams laboratorinių nukrypimų dažnis buvo panašus į anksčiau nustatytą suaugusiesiems. </w:t>
      </w:r>
    </w:p>
    <w:p w14:paraId="2E700EA7"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p>
    <w:p w14:paraId="1BEED83D"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ŪLL tyrimų metu vaikams laboratorinių nukrypimų dažnis buvo panašus į anksčiau nustatytą suaugusiesiems taikant ūminės leukemijos bazinę chemoterapiją. </w:t>
      </w:r>
    </w:p>
    <w:p w14:paraId="34EA5F26"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p>
    <w:p w14:paraId="1E50F71E"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Ypatingos populiacijos</w:t>
      </w:r>
    </w:p>
    <w:p w14:paraId="23250A39" w14:textId="22828F40" w:rsidR="00EB5423" w:rsidRPr="00975CA4" w:rsidRDefault="00EB5423" w:rsidP="00EB5423">
      <w:pPr>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saugumo pobūdis senyviems žmonėms yra panašus </w:t>
      </w:r>
      <w:r w:rsidR="008A256E" w:rsidRPr="00975CA4">
        <w:rPr>
          <w:rFonts w:ascii="Times New Roman" w:eastAsia="SimSun" w:hAnsi="Times New Roman" w:cs="Times New Roman"/>
          <w:color w:val="000000"/>
          <w:lang w:eastAsia="ar-SA"/>
        </w:rPr>
        <w:t xml:space="preserve">į </w:t>
      </w:r>
      <w:r w:rsidRPr="00975CA4">
        <w:rPr>
          <w:rFonts w:ascii="Times New Roman" w:eastAsia="SimSun" w:hAnsi="Times New Roman" w:cs="Times New Roman"/>
          <w:color w:val="000000"/>
          <w:lang w:eastAsia="ar-SA"/>
        </w:rPr>
        <w:t>jaunesni</w:t>
      </w:r>
      <w:r w:rsidR="008A256E" w:rsidRPr="00975CA4">
        <w:rPr>
          <w:rFonts w:ascii="Times New Roman" w:eastAsia="SimSun" w:hAnsi="Times New Roman" w:cs="Times New Roman"/>
          <w:color w:val="000000"/>
          <w:lang w:eastAsia="ar-SA"/>
        </w:rPr>
        <w:t>ų</w:t>
      </w:r>
      <w:r w:rsidRPr="00975CA4">
        <w:rPr>
          <w:rFonts w:ascii="Times New Roman" w:eastAsia="SimSun" w:hAnsi="Times New Roman" w:cs="Times New Roman"/>
          <w:color w:val="000000"/>
          <w:lang w:eastAsia="ar-SA"/>
        </w:rPr>
        <w:t xml:space="preserve"> tačiau 65 metų ir vyresnių pacientų polinkis į dažnas nepageidaujamas reakcijas (pvz., nuovargį, </w:t>
      </w:r>
      <w:r w:rsidR="00CF173B" w:rsidRPr="00975CA4">
        <w:rPr>
          <w:rFonts w:ascii="Times New Roman" w:eastAsia="SimSun" w:hAnsi="Times New Roman" w:cs="Times New Roman"/>
          <w:color w:val="000000"/>
          <w:lang w:eastAsia="ar-SA"/>
        </w:rPr>
        <w:t xml:space="preserve">skystį </w:t>
      </w:r>
      <w:r w:rsidRPr="00975CA4">
        <w:rPr>
          <w:rFonts w:ascii="Times New Roman" w:eastAsia="SimSun" w:hAnsi="Times New Roman" w:cs="Times New Roman"/>
          <w:color w:val="000000"/>
          <w:lang w:eastAsia="ar-SA"/>
        </w:rPr>
        <w:t>pleuros e</w:t>
      </w:r>
      <w:r w:rsidR="00CF173B" w:rsidRPr="00975CA4">
        <w:rPr>
          <w:rFonts w:ascii="Times New Roman" w:eastAsia="SimSun" w:hAnsi="Times New Roman" w:cs="Times New Roman"/>
          <w:color w:val="000000"/>
          <w:lang w:eastAsia="ar-SA"/>
        </w:rPr>
        <w:t xml:space="preserve">rtmėje </w:t>
      </w:r>
      <w:r w:rsidRPr="00975CA4">
        <w:rPr>
          <w:rFonts w:ascii="Times New Roman" w:eastAsia="SimSun" w:hAnsi="Times New Roman" w:cs="Times New Roman"/>
          <w:color w:val="000000"/>
          <w:lang w:eastAsia="ar-SA"/>
        </w:rPr>
        <w:t xml:space="preserve">, dusulį, kosulį, kraujavimą iš apatinės virškinimo trakto dalies ir apetito sutrikimus) bei retesnes nepageidaujamas reakcijas (pvz., pilvo pūtimą, svaigulį, </w:t>
      </w:r>
      <w:r w:rsidR="00CF173B" w:rsidRPr="00975CA4">
        <w:rPr>
          <w:rFonts w:ascii="Times New Roman" w:eastAsia="SimSun" w:hAnsi="Times New Roman" w:cs="Times New Roman"/>
          <w:color w:val="000000"/>
          <w:lang w:eastAsia="ar-SA"/>
        </w:rPr>
        <w:t xml:space="preserve">skystį </w:t>
      </w:r>
      <w:r w:rsidRPr="00975CA4">
        <w:rPr>
          <w:rFonts w:ascii="Times New Roman" w:eastAsia="SimSun" w:hAnsi="Times New Roman" w:cs="Times New Roman"/>
          <w:color w:val="000000"/>
          <w:lang w:eastAsia="ar-SA"/>
        </w:rPr>
        <w:t xml:space="preserve">perikardo </w:t>
      </w:r>
      <w:r w:rsidR="00CF173B" w:rsidRPr="00975CA4">
        <w:rPr>
          <w:rFonts w:ascii="Times New Roman" w:eastAsia="SimSun" w:hAnsi="Times New Roman" w:cs="Times New Roman"/>
          <w:color w:val="000000"/>
          <w:lang w:eastAsia="ar-SA"/>
        </w:rPr>
        <w:t>ertmėje</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stazinį</w:t>
      </w:r>
      <w:proofErr w:type="spellEnd"/>
      <w:r w:rsidRPr="00975CA4">
        <w:rPr>
          <w:rFonts w:ascii="Times New Roman" w:eastAsia="SimSun" w:hAnsi="Times New Roman" w:cs="Times New Roman"/>
          <w:color w:val="000000"/>
          <w:lang w:eastAsia="ar-SA"/>
        </w:rPr>
        <w:t xml:space="preserve"> širdies nepakankamumą ir svorio sumažėjimą) yra didesnis, todėl jų būklę reikia atidžiai stebėti (žr. 4.4 skyrių).</w:t>
      </w:r>
    </w:p>
    <w:p w14:paraId="5F05FBC1" w14:textId="77777777" w:rsidR="00EB5423" w:rsidRPr="00975CA4" w:rsidRDefault="00EB5423" w:rsidP="00EB5423">
      <w:pPr>
        <w:tabs>
          <w:tab w:val="left" w:pos="567"/>
        </w:tabs>
        <w:suppressAutoHyphens/>
        <w:spacing w:after="0" w:line="240" w:lineRule="auto"/>
        <w:rPr>
          <w:rFonts w:ascii="Times New Roman" w:eastAsia="SimSun" w:hAnsi="Times New Roman" w:cs="Times New Roman"/>
          <w:color w:val="000000"/>
          <w:lang w:eastAsia="ar-SA"/>
        </w:rPr>
      </w:pPr>
    </w:p>
    <w:p w14:paraId="03980D28" w14:textId="77777777" w:rsidR="00EB5423" w:rsidRPr="00975CA4" w:rsidRDefault="00EB5423" w:rsidP="00EB5423">
      <w:pPr>
        <w:tabs>
          <w:tab w:val="left" w:pos="567"/>
        </w:tabs>
        <w:suppressAutoHyphens/>
        <w:spacing w:after="0" w:line="240" w:lineRule="auto"/>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u w:val="single"/>
          <w:lang w:eastAsia="ar-SA"/>
        </w:rPr>
        <w:t>Pranešimas apie įtariamas nepageidaujamas reakcijas</w:t>
      </w:r>
    </w:p>
    <w:p w14:paraId="7B3D7C89" w14:textId="02A74BF9" w:rsidR="00EB5423" w:rsidRPr="00975CA4" w:rsidRDefault="00EB5423" w:rsidP="00EB5423">
      <w:pPr>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Times New Roman" w:hAnsi="Times New Roman" w:cs="Times New Roman"/>
          <w:color w:val="000000"/>
          <w:lang w:eastAsia="ar-SA"/>
        </w:rPr>
        <w:t xml:space="preserve">Svarbu pranešti apie įtariamas nepageidaujamas reakcijas, pastebėtas po vaistinio preparato registracijos, nes tai leidžia nuolat stebėti vaistinio preparato naudos ir rizikos santykį. Sveikatos priežiūros </w:t>
      </w:r>
      <w:r w:rsidR="009C582D" w:rsidRPr="00975CA4">
        <w:rPr>
          <w:rFonts w:ascii="Times New Roman" w:eastAsia="Times New Roman" w:hAnsi="Times New Roman" w:cs="Times New Roman"/>
          <w:color w:val="000000"/>
          <w:lang w:eastAsia="ar-SA"/>
        </w:rPr>
        <w:t xml:space="preserve">ar farmacijos </w:t>
      </w:r>
      <w:r w:rsidRPr="00975CA4">
        <w:rPr>
          <w:rFonts w:ascii="Times New Roman" w:eastAsia="Times New Roman" w:hAnsi="Times New Roman" w:cs="Times New Roman"/>
          <w:color w:val="000000"/>
          <w:lang w:eastAsia="ar-SA"/>
        </w:rPr>
        <w:t xml:space="preserve">specialistai turi pranešti apie bet kokias įtariamas nepageidaujamas reakcijas, </w:t>
      </w:r>
      <w:r w:rsidR="009C582D" w:rsidRPr="00975CA4">
        <w:rPr>
          <w:rFonts w:ascii="Times New Roman" w:eastAsia="Times New Roman" w:hAnsi="Times New Roman" w:cs="Times New Roman"/>
          <w:color w:val="000000"/>
          <w:lang w:eastAsia="ar-SA"/>
        </w:rPr>
        <w:t xml:space="preserve">tiesiogiai </w:t>
      </w:r>
      <w:r w:rsidRPr="00975CA4">
        <w:rPr>
          <w:rFonts w:ascii="Times New Roman" w:eastAsia="Times New Roman" w:hAnsi="Times New Roman" w:cs="Times New Roman"/>
          <w:color w:val="000000"/>
          <w:lang w:eastAsia="ar-SA"/>
        </w:rPr>
        <w:t xml:space="preserve">užpildę </w:t>
      </w:r>
      <w:r w:rsidR="009C582D" w:rsidRPr="00975CA4">
        <w:rPr>
          <w:rFonts w:ascii="Times New Roman" w:eastAsia="Times New Roman" w:hAnsi="Times New Roman" w:cs="Times New Roman"/>
          <w:color w:val="000000"/>
          <w:lang w:eastAsia="ar-SA"/>
        </w:rPr>
        <w:t>pranešimo</w:t>
      </w:r>
      <w:r w:rsidRPr="00975CA4">
        <w:rPr>
          <w:rFonts w:ascii="Times New Roman" w:eastAsia="Times New Roman" w:hAnsi="Times New Roman" w:cs="Times New Roman"/>
          <w:color w:val="000000"/>
          <w:lang w:eastAsia="ar-SA"/>
        </w:rPr>
        <w:t xml:space="preserve"> formą</w:t>
      </w:r>
      <w:r w:rsidR="009C582D" w:rsidRPr="00975CA4">
        <w:rPr>
          <w:rFonts w:ascii="Times New Roman" w:eastAsia="Times New Roman" w:hAnsi="Times New Roman" w:cs="Times New Roman"/>
          <w:color w:val="000000"/>
          <w:lang w:eastAsia="ar-SA"/>
        </w:rPr>
        <w:t xml:space="preserve"> internetu Tarnybos Vaistinių preparatų informacinėje sistemoje </w:t>
      </w:r>
      <w:hyperlink r:id="rId8" w:history="1">
        <w:r w:rsidR="009C582D" w:rsidRPr="00975CA4">
          <w:rPr>
            <w:rStyle w:val="Hipersaitas"/>
          </w:rPr>
          <w:t>https://vapris.vvkt.lt/vvkt-web/public/nrvSpecialist</w:t>
        </w:r>
      </w:hyperlink>
      <w:r w:rsidR="009C582D" w:rsidRPr="00975CA4">
        <w:rPr>
          <w:rFonts w:ascii="Times New Roman" w:eastAsia="Times New Roman" w:hAnsi="Times New Roman" w:cs="Times New Roman"/>
          <w:color w:val="000000"/>
          <w:lang w:eastAsia="ar-SA"/>
        </w:rPr>
        <w:t xml:space="preserve"> arba užpildę Sveikatos priežiūros ar farmacijos specialisto pranešimo apie įtariamą nepageidaujamą reakciją (ĮNR) formą, kuri skelbiama </w:t>
      </w:r>
      <w:hyperlink r:id="rId9" w:history="1">
        <w:r w:rsidR="009C582D" w:rsidRPr="00975CA4">
          <w:rPr>
            <w:rStyle w:val="Hipersaitas"/>
          </w:rPr>
          <w:t>https://www.vvkt.lt/index.php?1399030386</w:t>
        </w:r>
      </w:hyperlink>
      <w:r w:rsidR="009C582D" w:rsidRPr="00975CA4">
        <w:rPr>
          <w:rFonts w:ascii="Times New Roman" w:eastAsia="Times New Roman" w:hAnsi="Times New Roman" w:cs="Times New Roman"/>
          <w:color w:val="000000"/>
          <w:lang w:eastAsia="ar-SA"/>
        </w:rPr>
        <w:t>,</w:t>
      </w:r>
      <w:r w:rsidRPr="00975CA4">
        <w:rPr>
          <w:rFonts w:ascii="Times New Roman" w:eastAsia="Times New Roman" w:hAnsi="Times New Roman" w:cs="Times New Roman"/>
          <w:color w:val="000000"/>
          <w:lang w:eastAsia="ar-SA"/>
        </w:rPr>
        <w:t xml:space="preserve"> ir </w:t>
      </w:r>
      <w:r w:rsidR="009C582D" w:rsidRPr="00975CA4">
        <w:rPr>
          <w:rFonts w:ascii="Times New Roman" w:eastAsia="Times New Roman" w:hAnsi="Times New Roman" w:cs="Times New Roman"/>
          <w:color w:val="000000"/>
          <w:lang w:eastAsia="ar-SA"/>
        </w:rPr>
        <w:t>atsiųsti</w:t>
      </w:r>
      <w:r w:rsidRPr="00975CA4">
        <w:rPr>
          <w:rFonts w:ascii="Times New Roman" w:eastAsia="Times New Roman" w:hAnsi="Times New Roman" w:cs="Times New Roman"/>
          <w:color w:val="000000"/>
          <w:lang w:eastAsia="ar-SA"/>
        </w:rPr>
        <w:t xml:space="preserve"> elektroniniu paštu (adresu </w:t>
      </w:r>
      <w:proofErr w:type="spellStart"/>
      <w:r w:rsidRPr="00975CA4">
        <w:rPr>
          <w:color w:val="000000"/>
        </w:rPr>
        <w:t>Nepageidaujam</w:t>
      </w:r>
      <w:r w:rsidRPr="00975CA4">
        <w:rPr>
          <w:rFonts w:ascii="Times New Roman" w:hAnsi="Times New Roman"/>
          <w:color w:val="000000"/>
        </w:rPr>
        <w:t>aR@vvkt.lt</w:t>
      </w:r>
      <w:proofErr w:type="spellEnd"/>
      <w:r w:rsidRPr="00975CA4">
        <w:rPr>
          <w:rFonts w:ascii="Times New Roman" w:eastAsia="Times New Roman" w:hAnsi="Times New Roman" w:cs="Times New Roman"/>
          <w:color w:val="000000"/>
          <w:lang w:eastAsia="ar-SA"/>
        </w:rPr>
        <w:t>).</w:t>
      </w:r>
    </w:p>
    <w:p w14:paraId="00DF9F24" w14:textId="77777777" w:rsidR="00EB5423" w:rsidRPr="00975CA4" w:rsidRDefault="00EB5423" w:rsidP="00EB5423">
      <w:pPr>
        <w:tabs>
          <w:tab w:val="left" w:pos="567"/>
        </w:tabs>
        <w:suppressAutoHyphens/>
        <w:spacing w:after="0" w:line="240" w:lineRule="auto"/>
        <w:rPr>
          <w:rFonts w:ascii="Times New Roman" w:eastAsia="SimSun" w:hAnsi="Times New Roman" w:cs="Times New Roman"/>
          <w:color w:val="000000"/>
          <w:lang w:eastAsia="ar-SA"/>
        </w:rPr>
      </w:pPr>
    </w:p>
    <w:p w14:paraId="1DE8D5DD" w14:textId="77777777" w:rsidR="00EB5423" w:rsidRPr="00975CA4" w:rsidRDefault="00EB5423" w:rsidP="00EB5423">
      <w:pPr>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4.9</w:t>
      </w:r>
      <w:r w:rsidRPr="00975CA4">
        <w:rPr>
          <w:rFonts w:ascii="Times New Roman" w:eastAsia="SimSun" w:hAnsi="Times New Roman" w:cs="Times New Roman"/>
          <w:b/>
          <w:color w:val="000000"/>
          <w:lang w:eastAsia="ar-SA"/>
        </w:rPr>
        <w:tab/>
        <w:t>Perdozavimas</w:t>
      </w:r>
    </w:p>
    <w:p w14:paraId="08613217" w14:textId="77777777"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13CB612E" w14:textId="05BE58EE"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Klinikinių tyrimų metu buvo tik pavienių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perdozavimo atvejų. 2 daugiausia perdozavę pacientai vartojo 280</w:t>
      </w:r>
      <w:r w:rsidR="008A256E"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per parą vieną savaitę, jiems </w:t>
      </w:r>
      <w:proofErr w:type="spellStart"/>
      <w:r w:rsidRPr="00975CA4">
        <w:rPr>
          <w:rFonts w:ascii="Times New Roman" w:eastAsia="SimSun" w:hAnsi="Times New Roman" w:cs="Times New Roman"/>
          <w:color w:val="000000"/>
          <w:lang w:eastAsia="ar-SA"/>
        </w:rPr>
        <w:t>abiems</w:t>
      </w:r>
      <w:proofErr w:type="spellEnd"/>
      <w:r w:rsidRPr="00975CA4">
        <w:rPr>
          <w:rFonts w:ascii="Times New Roman" w:eastAsia="SimSun" w:hAnsi="Times New Roman" w:cs="Times New Roman"/>
          <w:color w:val="000000"/>
          <w:lang w:eastAsia="ar-SA"/>
        </w:rPr>
        <w:t xml:space="preserve"> reikšmingai sumažėjo trombocitų. Kadangi </w:t>
      </w: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yra susijęs su 3 ar 4 laipsnio kaulų čiulpų slopinimu (žr. 4.4 skyrių), todėl didesnę negu rekomenduojama dozę išgėrusį pacientą reikia atidžiai stebėti dėl galimo kaulų čiulpų slopinimo ir skirti tinkamą palaikomąjį gydymą.</w:t>
      </w:r>
    </w:p>
    <w:p w14:paraId="7C5BE21C" w14:textId="77777777"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6BFE3DCC" w14:textId="77777777"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1395B9D1" w14:textId="77777777"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5.</w:t>
      </w:r>
      <w:r w:rsidRPr="00975CA4">
        <w:rPr>
          <w:rFonts w:ascii="Times New Roman" w:eastAsia="SimSun" w:hAnsi="Times New Roman" w:cs="Times New Roman"/>
          <w:b/>
          <w:color w:val="000000"/>
          <w:lang w:eastAsia="ar-SA"/>
        </w:rPr>
        <w:tab/>
        <w:t>FARMAKOLOGINĖS SAVYBĖS</w:t>
      </w:r>
    </w:p>
    <w:p w14:paraId="72064065" w14:textId="77777777"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74E148BE" w14:textId="77777777"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5.1</w:t>
      </w:r>
      <w:r w:rsidRPr="00975CA4">
        <w:rPr>
          <w:rFonts w:ascii="Times New Roman" w:eastAsia="SimSun" w:hAnsi="Times New Roman" w:cs="Times New Roman"/>
          <w:b/>
          <w:color w:val="000000"/>
          <w:lang w:eastAsia="ar-SA"/>
        </w:rPr>
        <w:tab/>
      </w:r>
      <w:proofErr w:type="spellStart"/>
      <w:r w:rsidRPr="00975CA4">
        <w:rPr>
          <w:rFonts w:ascii="Times New Roman" w:eastAsia="SimSun" w:hAnsi="Times New Roman" w:cs="Times New Roman"/>
          <w:b/>
          <w:color w:val="000000"/>
          <w:lang w:eastAsia="ar-SA"/>
        </w:rPr>
        <w:t>Farmakodinaminės</w:t>
      </w:r>
      <w:proofErr w:type="spellEnd"/>
      <w:r w:rsidRPr="00975CA4">
        <w:rPr>
          <w:rFonts w:ascii="Times New Roman" w:eastAsia="SimSun" w:hAnsi="Times New Roman" w:cs="Times New Roman"/>
          <w:b/>
          <w:color w:val="000000"/>
          <w:lang w:eastAsia="ar-SA"/>
        </w:rPr>
        <w:t xml:space="preserve"> savybės</w:t>
      </w:r>
    </w:p>
    <w:p w14:paraId="01B08A27" w14:textId="77777777"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501C6EF6" w14:textId="57975436"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Farmakoterapinė</w:t>
      </w:r>
      <w:proofErr w:type="spellEnd"/>
      <w:r w:rsidRPr="00975CA4">
        <w:rPr>
          <w:rFonts w:ascii="Times New Roman" w:eastAsia="SimSun" w:hAnsi="Times New Roman" w:cs="Times New Roman"/>
          <w:color w:val="000000"/>
          <w:lang w:eastAsia="ar-SA"/>
        </w:rPr>
        <w:t xml:space="preserve"> grupė – vaistiniai preparatai nuo vėžio, </w:t>
      </w:r>
      <w:proofErr w:type="spellStart"/>
      <w:r w:rsidRPr="00975CA4">
        <w:rPr>
          <w:rFonts w:ascii="Times New Roman" w:eastAsia="SimSun" w:hAnsi="Times New Roman" w:cs="Times New Roman"/>
          <w:color w:val="000000"/>
          <w:lang w:eastAsia="ar-SA"/>
        </w:rPr>
        <w:t>proteinkinazės</w:t>
      </w:r>
      <w:proofErr w:type="spellEnd"/>
      <w:r w:rsidRPr="00975CA4">
        <w:rPr>
          <w:rFonts w:ascii="Times New Roman" w:eastAsia="SimSun" w:hAnsi="Times New Roman" w:cs="Times New Roman"/>
          <w:color w:val="000000"/>
          <w:lang w:eastAsia="ar-SA"/>
        </w:rPr>
        <w:t xml:space="preserve"> inhibitoriai.</w:t>
      </w:r>
      <w:r w:rsidR="009C582D"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ATC kodas – L01</w:t>
      </w:r>
      <w:r w:rsidR="004237CC" w:rsidRPr="00975CA4">
        <w:rPr>
          <w:rFonts w:ascii="Times New Roman" w:eastAsia="SimSun" w:hAnsi="Times New Roman" w:cs="Times New Roman"/>
          <w:color w:val="000000"/>
          <w:lang w:eastAsia="ar-SA"/>
        </w:rPr>
        <w:t>EA02</w:t>
      </w:r>
      <w:r w:rsidRPr="00975CA4">
        <w:rPr>
          <w:rFonts w:ascii="Times New Roman" w:eastAsia="SimSun" w:hAnsi="Times New Roman" w:cs="Times New Roman"/>
          <w:color w:val="000000"/>
          <w:lang w:eastAsia="ar-SA"/>
        </w:rPr>
        <w:t>.</w:t>
      </w:r>
    </w:p>
    <w:p w14:paraId="6DD9B43F" w14:textId="77777777"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
    <w:p w14:paraId="53E4CFC5" w14:textId="77777777" w:rsidR="00EB5423" w:rsidRPr="00975CA4" w:rsidRDefault="00EB5423" w:rsidP="00EB5423">
      <w:pPr>
        <w:widowControl w:val="0"/>
        <w:tabs>
          <w:tab w:val="left" w:pos="567"/>
        </w:tabs>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u w:val="single"/>
          <w:lang w:eastAsia="ar-SA"/>
        </w:rPr>
        <w:t>Farmakodinaminis</w:t>
      </w:r>
      <w:proofErr w:type="spellEnd"/>
      <w:r w:rsidRPr="00975CA4">
        <w:rPr>
          <w:rFonts w:ascii="Times New Roman" w:eastAsia="SimSun" w:hAnsi="Times New Roman" w:cs="Times New Roman"/>
          <w:color w:val="000000"/>
          <w:u w:val="single"/>
          <w:lang w:eastAsia="ar-SA"/>
        </w:rPr>
        <w:t xml:space="preserve"> poveikis</w:t>
      </w:r>
    </w:p>
    <w:p w14:paraId="0C038E37" w14:textId="72664B4B"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slopina BCR-ABL </w:t>
      </w:r>
      <w:proofErr w:type="spellStart"/>
      <w:r w:rsidRPr="00975CA4">
        <w:rPr>
          <w:rFonts w:ascii="Times New Roman" w:eastAsia="SimSun" w:hAnsi="Times New Roman" w:cs="Times New Roman"/>
          <w:color w:val="000000"/>
          <w:lang w:eastAsia="ar-SA"/>
        </w:rPr>
        <w:t>kinazės</w:t>
      </w:r>
      <w:proofErr w:type="spellEnd"/>
      <w:r w:rsidRPr="00975CA4">
        <w:rPr>
          <w:rFonts w:ascii="Times New Roman" w:eastAsia="SimSun" w:hAnsi="Times New Roman" w:cs="Times New Roman"/>
          <w:color w:val="000000"/>
          <w:lang w:eastAsia="ar-SA"/>
        </w:rPr>
        <w:t xml:space="preserve"> ir SRC šeimos </w:t>
      </w:r>
      <w:proofErr w:type="spellStart"/>
      <w:r w:rsidRPr="00975CA4">
        <w:rPr>
          <w:rFonts w:ascii="Times New Roman" w:eastAsia="SimSun" w:hAnsi="Times New Roman" w:cs="Times New Roman"/>
          <w:color w:val="000000"/>
          <w:lang w:eastAsia="ar-SA"/>
        </w:rPr>
        <w:t>kinazių</w:t>
      </w:r>
      <w:proofErr w:type="spellEnd"/>
      <w:r w:rsidRPr="00975CA4">
        <w:rPr>
          <w:rFonts w:ascii="Times New Roman" w:eastAsia="SimSun" w:hAnsi="Times New Roman" w:cs="Times New Roman"/>
          <w:color w:val="000000"/>
          <w:lang w:eastAsia="ar-SA"/>
        </w:rPr>
        <w:t xml:space="preserve"> aktyvumą, taip pat daugelį kitų </w:t>
      </w:r>
      <w:proofErr w:type="spellStart"/>
      <w:r w:rsidRPr="00975CA4">
        <w:rPr>
          <w:rFonts w:ascii="Times New Roman" w:eastAsia="SimSun" w:hAnsi="Times New Roman" w:cs="Times New Roman"/>
          <w:color w:val="000000"/>
          <w:lang w:eastAsia="ar-SA"/>
        </w:rPr>
        <w:t>onkogeninių</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kinazių</w:t>
      </w:r>
      <w:proofErr w:type="spellEnd"/>
      <w:r w:rsidRPr="00975CA4">
        <w:rPr>
          <w:rFonts w:ascii="Times New Roman" w:eastAsia="SimSun" w:hAnsi="Times New Roman" w:cs="Times New Roman"/>
          <w:color w:val="000000"/>
          <w:lang w:eastAsia="ar-SA"/>
        </w:rPr>
        <w:t xml:space="preserve">, įskaitant c-KIT, </w:t>
      </w:r>
      <w:proofErr w:type="spellStart"/>
      <w:r w:rsidRPr="00975CA4">
        <w:rPr>
          <w:rFonts w:ascii="Times New Roman" w:eastAsia="SimSun" w:hAnsi="Times New Roman" w:cs="Times New Roman"/>
          <w:color w:val="000000"/>
          <w:lang w:eastAsia="ar-SA"/>
        </w:rPr>
        <w:t>efrino</w:t>
      </w:r>
      <w:proofErr w:type="spellEnd"/>
      <w:r w:rsidRPr="00975CA4">
        <w:rPr>
          <w:rFonts w:ascii="Times New Roman" w:eastAsia="SimSun" w:hAnsi="Times New Roman" w:cs="Times New Roman"/>
          <w:color w:val="000000"/>
          <w:lang w:eastAsia="ar-SA"/>
        </w:rPr>
        <w:t xml:space="preserve"> (</w:t>
      </w:r>
      <w:r w:rsidR="00D64388" w:rsidRPr="00975CA4">
        <w:rPr>
          <w:rFonts w:ascii="Times New Roman" w:eastAsia="SimSun" w:hAnsi="Times New Roman" w:cs="Times New Roman"/>
          <w:color w:val="000000"/>
          <w:lang w:eastAsia="ar-SA"/>
        </w:rPr>
        <w:t xml:space="preserve">angl. </w:t>
      </w:r>
      <w:proofErr w:type="spellStart"/>
      <w:r w:rsidR="00D64388" w:rsidRPr="00975CA4">
        <w:rPr>
          <w:rFonts w:ascii="Times New Roman" w:eastAsia="SimSun" w:hAnsi="Times New Roman" w:cs="Times New Roman"/>
          <w:i/>
          <w:color w:val="000000"/>
          <w:lang w:eastAsia="ar-SA"/>
        </w:rPr>
        <w:t>ephrin</w:t>
      </w:r>
      <w:proofErr w:type="spellEnd"/>
      <w:r w:rsidR="00D64388"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 xml:space="preserve">EPH) receptorių </w:t>
      </w:r>
      <w:proofErr w:type="spellStart"/>
      <w:r w:rsidRPr="00975CA4">
        <w:rPr>
          <w:rFonts w:ascii="Times New Roman" w:eastAsia="SimSun" w:hAnsi="Times New Roman" w:cs="Times New Roman"/>
          <w:color w:val="000000"/>
          <w:lang w:eastAsia="ar-SA"/>
        </w:rPr>
        <w:t>kinazes</w:t>
      </w:r>
      <w:proofErr w:type="spellEnd"/>
      <w:r w:rsidRPr="00975CA4">
        <w:rPr>
          <w:rFonts w:ascii="Times New Roman" w:eastAsia="SimSun" w:hAnsi="Times New Roman" w:cs="Times New Roman"/>
          <w:color w:val="000000"/>
          <w:lang w:eastAsia="ar-SA"/>
        </w:rPr>
        <w:t xml:space="preserve"> ir PDGFβ receptorius. </w:t>
      </w: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yra stiprus BCR-ABL </w:t>
      </w:r>
      <w:proofErr w:type="spellStart"/>
      <w:r w:rsidRPr="00975CA4">
        <w:rPr>
          <w:rFonts w:ascii="Times New Roman" w:eastAsia="SimSun" w:hAnsi="Times New Roman" w:cs="Times New Roman"/>
          <w:color w:val="000000"/>
          <w:lang w:eastAsia="ar-SA"/>
        </w:rPr>
        <w:t>kinazės</w:t>
      </w:r>
      <w:proofErr w:type="spellEnd"/>
      <w:r w:rsidRPr="00975CA4">
        <w:rPr>
          <w:rFonts w:ascii="Times New Roman" w:eastAsia="SimSun" w:hAnsi="Times New Roman" w:cs="Times New Roman"/>
          <w:color w:val="000000"/>
          <w:lang w:eastAsia="ar-SA"/>
        </w:rPr>
        <w:t xml:space="preserve"> inhibitorius, kurio poveikis pasireiškia esant 0,6-0,8</w:t>
      </w:r>
      <w:r w:rsidR="00051110" w:rsidRPr="00975CA4">
        <w:rPr>
          <w:rFonts w:ascii="Times New Roman" w:eastAsia="SimSun" w:hAnsi="Times New Roman" w:cs="Times New Roman"/>
          <w:color w:val="000000"/>
          <w:lang w:eastAsia="ar-SA"/>
        </w:rPr>
        <w:t> </w:t>
      </w:r>
      <w:proofErr w:type="spellStart"/>
      <w:r w:rsidRPr="00975CA4">
        <w:rPr>
          <w:rFonts w:ascii="Times New Roman" w:eastAsia="SimSun" w:hAnsi="Times New Roman" w:cs="Times New Roman"/>
          <w:color w:val="000000"/>
          <w:lang w:eastAsia="ar-SA"/>
        </w:rPr>
        <w:t>nM</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subnanomolinei</w:t>
      </w:r>
      <w:proofErr w:type="spellEnd"/>
      <w:r w:rsidRPr="00975CA4">
        <w:rPr>
          <w:rFonts w:ascii="Times New Roman" w:eastAsia="SimSun" w:hAnsi="Times New Roman" w:cs="Times New Roman"/>
          <w:color w:val="000000"/>
          <w:lang w:eastAsia="ar-SA"/>
        </w:rPr>
        <w:t xml:space="preserve"> koncentracijai. Šis vaistinis preparatas prisijungia tiek prie neaktyvios, tiek prie aktyvios struktūros BCR-ABL fermento.</w:t>
      </w:r>
    </w:p>
    <w:p w14:paraId="7F7378B1"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0BEA1EA8"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i/>
          <w:iCs/>
          <w:color w:val="000000"/>
          <w:lang w:eastAsia="ar-SA"/>
        </w:rPr>
      </w:pPr>
      <w:r w:rsidRPr="00975CA4">
        <w:rPr>
          <w:rFonts w:ascii="Times New Roman" w:eastAsia="SimSun" w:hAnsi="Times New Roman" w:cs="Times New Roman"/>
          <w:color w:val="000000"/>
          <w:u w:val="single"/>
          <w:lang w:eastAsia="ar-SA"/>
        </w:rPr>
        <w:t>Veikimo mechanizmas</w:t>
      </w:r>
    </w:p>
    <w:p w14:paraId="2FA6CC5A"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i/>
          <w:iCs/>
          <w:color w:val="000000"/>
          <w:lang w:eastAsia="ar-SA"/>
        </w:rPr>
        <w:t>In</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vitro</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yra aktyvus leukemini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l</w:t>
      </w:r>
      <w:r w:rsidRPr="00975CA4">
        <w:rPr>
          <w:rFonts w:ascii="Times New Roman" w:eastAsia="MS Mincho" w:hAnsi="Times New Roman" w:cs="Times New Roman"/>
          <w:color w:val="000000"/>
          <w:lang w:eastAsia="ar-SA"/>
        </w:rPr>
        <w:t>ą</w:t>
      </w:r>
      <w:r w:rsidRPr="00975CA4">
        <w:rPr>
          <w:rFonts w:ascii="Times New Roman" w:eastAsia="SimSun" w:hAnsi="Times New Roman" w:cs="Times New Roman"/>
          <w:color w:val="000000"/>
          <w:lang w:eastAsia="ar-SA"/>
        </w:rPr>
        <w:t>steli</w:t>
      </w:r>
      <w:r w:rsidRPr="00975CA4">
        <w:rPr>
          <w:rFonts w:ascii="Times New Roman" w:eastAsia="MS Mincho" w:hAnsi="Times New Roman" w:cs="Times New Roman"/>
          <w:color w:val="000000"/>
          <w:lang w:eastAsia="ar-SA"/>
        </w:rPr>
        <w:t xml:space="preserve">ų </w:t>
      </w:r>
      <w:r w:rsidRPr="00975CA4">
        <w:rPr>
          <w:rFonts w:ascii="Times New Roman" w:eastAsia="SimSun" w:hAnsi="Times New Roman" w:cs="Times New Roman"/>
          <w:color w:val="000000"/>
          <w:lang w:eastAsia="ar-SA"/>
        </w:rPr>
        <w:t xml:space="preserve">linijose, reprezentuojančiose </w:t>
      </w:r>
      <w:proofErr w:type="spellStart"/>
      <w:r w:rsidRPr="00975CA4">
        <w:rPr>
          <w:rFonts w:ascii="Times New Roman" w:eastAsia="SimSun" w:hAnsi="Times New Roman" w:cs="Times New Roman"/>
          <w:color w:val="000000"/>
          <w:lang w:eastAsia="ar-SA"/>
        </w:rPr>
        <w:t>imatinibui</w:t>
      </w:r>
      <w:proofErr w:type="spellEnd"/>
      <w:r w:rsidRPr="00975CA4">
        <w:rPr>
          <w:rFonts w:ascii="Times New Roman" w:eastAsia="SimSun" w:hAnsi="Times New Roman" w:cs="Times New Roman"/>
          <w:color w:val="000000"/>
          <w:lang w:eastAsia="ar-SA"/>
        </w:rPr>
        <w:t xml:space="preserve"> jautrią ir jam atsparią ligą. Šie </w:t>
      </w:r>
      <w:proofErr w:type="spellStart"/>
      <w:r w:rsidRPr="00975CA4">
        <w:rPr>
          <w:rFonts w:ascii="Times New Roman" w:eastAsia="SimSun" w:hAnsi="Times New Roman" w:cs="Times New Roman"/>
          <w:color w:val="000000"/>
          <w:lang w:eastAsia="ar-SA"/>
        </w:rPr>
        <w:t>ikiklinikiniai</w:t>
      </w:r>
      <w:proofErr w:type="spellEnd"/>
      <w:r w:rsidRPr="00975CA4">
        <w:rPr>
          <w:rFonts w:ascii="Times New Roman" w:eastAsia="SimSun" w:hAnsi="Times New Roman" w:cs="Times New Roman"/>
          <w:color w:val="000000"/>
          <w:lang w:eastAsia="ar-SA"/>
        </w:rPr>
        <w:t xml:space="preserve"> tyrimai parod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 kad </w:t>
      </w: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gali įveikti atsparumą </w:t>
      </w:r>
      <w:proofErr w:type="spellStart"/>
      <w:r w:rsidRPr="00975CA4">
        <w:rPr>
          <w:rFonts w:ascii="Times New Roman" w:eastAsia="SimSun" w:hAnsi="Times New Roman" w:cs="Times New Roman"/>
          <w:color w:val="000000"/>
          <w:lang w:eastAsia="ar-SA"/>
        </w:rPr>
        <w:t>imatinibui</w:t>
      </w:r>
      <w:proofErr w:type="spellEnd"/>
      <w:r w:rsidRPr="00975CA4">
        <w:rPr>
          <w:rFonts w:ascii="Times New Roman" w:eastAsia="SimSun" w:hAnsi="Times New Roman" w:cs="Times New Roman"/>
          <w:color w:val="000000"/>
          <w:lang w:eastAsia="ar-SA"/>
        </w:rPr>
        <w:t>, atsiradusį d</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l BCR-ABL </w:t>
      </w:r>
      <w:proofErr w:type="spellStart"/>
      <w:r w:rsidRPr="00975CA4">
        <w:rPr>
          <w:rFonts w:ascii="Times New Roman" w:eastAsia="SimSun" w:hAnsi="Times New Roman" w:cs="Times New Roman"/>
          <w:color w:val="000000"/>
          <w:lang w:eastAsia="ar-SA"/>
        </w:rPr>
        <w:t>hiperekspresijos</w:t>
      </w:r>
      <w:proofErr w:type="spellEnd"/>
      <w:r w:rsidRPr="00975CA4">
        <w:rPr>
          <w:rFonts w:ascii="Times New Roman" w:eastAsia="SimSun" w:hAnsi="Times New Roman" w:cs="Times New Roman"/>
          <w:color w:val="000000"/>
          <w:lang w:eastAsia="ar-SA"/>
        </w:rPr>
        <w:t xml:space="preserve">, BCR-ABL </w:t>
      </w:r>
      <w:proofErr w:type="spellStart"/>
      <w:r w:rsidRPr="00975CA4">
        <w:rPr>
          <w:rFonts w:ascii="Times New Roman" w:eastAsia="SimSun" w:hAnsi="Times New Roman" w:cs="Times New Roman"/>
          <w:color w:val="000000"/>
          <w:lang w:eastAsia="ar-SA"/>
        </w:rPr>
        <w:t>kinaz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s</w:t>
      </w:r>
      <w:proofErr w:type="spellEnd"/>
      <w:r w:rsidRPr="00975CA4">
        <w:rPr>
          <w:rFonts w:ascii="Times New Roman" w:eastAsia="SimSun" w:hAnsi="Times New Roman" w:cs="Times New Roman"/>
          <w:color w:val="000000"/>
          <w:lang w:eastAsia="ar-SA"/>
        </w:rPr>
        <w:t xml:space="preserve"> domeno mutacij</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alternatyvi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signalo perdavimo keli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dalyvaujant SRC šeimos </w:t>
      </w:r>
      <w:proofErr w:type="spellStart"/>
      <w:r w:rsidRPr="00975CA4">
        <w:rPr>
          <w:rFonts w:ascii="Times New Roman" w:eastAsia="SimSun" w:hAnsi="Times New Roman" w:cs="Times New Roman"/>
          <w:color w:val="000000"/>
          <w:lang w:eastAsia="ar-SA"/>
        </w:rPr>
        <w:t>kinaz</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ms</w:t>
      </w:r>
      <w:proofErr w:type="spellEnd"/>
      <w:r w:rsidRPr="00975CA4">
        <w:rPr>
          <w:rFonts w:ascii="Times New Roman" w:eastAsia="SimSun" w:hAnsi="Times New Roman" w:cs="Times New Roman"/>
          <w:color w:val="000000"/>
          <w:lang w:eastAsia="ar-SA"/>
        </w:rPr>
        <w:t xml:space="preserve"> (LYN, HCK) suaktyv</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jimo ir atsparum</w:t>
      </w:r>
      <w:r w:rsidRPr="00975CA4">
        <w:rPr>
          <w:rFonts w:ascii="Times New Roman" w:eastAsia="MS Mincho" w:hAnsi="Times New Roman" w:cs="Times New Roman"/>
          <w:color w:val="000000"/>
          <w:lang w:eastAsia="ar-SA"/>
        </w:rPr>
        <w:t>ą</w:t>
      </w:r>
      <w:r w:rsidRPr="00975CA4">
        <w:rPr>
          <w:rFonts w:ascii="Times New Roman" w:eastAsia="SimSun" w:hAnsi="Times New Roman" w:cs="Times New Roman"/>
          <w:color w:val="000000"/>
          <w:lang w:eastAsia="ar-SA"/>
        </w:rPr>
        <w:t xml:space="preserve"> daugeliui vaistini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preparat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lemianči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gen</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hiperekspresijos</w:t>
      </w:r>
      <w:proofErr w:type="spellEnd"/>
      <w:r w:rsidRPr="00975CA4">
        <w:rPr>
          <w:rFonts w:ascii="Times New Roman" w:eastAsia="SimSun" w:hAnsi="Times New Roman" w:cs="Times New Roman"/>
          <w:color w:val="000000"/>
          <w:lang w:eastAsia="ar-SA"/>
        </w:rPr>
        <w:t xml:space="preserve">. Be to, </w:t>
      </w:r>
      <w:proofErr w:type="spellStart"/>
      <w:r w:rsidRPr="00975CA4">
        <w:rPr>
          <w:rFonts w:ascii="Times New Roman" w:eastAsia="SimSun" w:hAnsi="Times New Roman" w:cs="Times New Roman"/>
          <w:color w:val="000000"/>
          <w:lang w:eastAsia="ar-SA"/>
        </w:rPr>
        <w:t>subnanomolin</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s</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koncentracijos slopina SRC šeimos </w:t>
      </w:r>
      <w:proofErr w:type="spellStart"/>
      <w:r w:rsidRPr="00975CA4">
        <w:rPr>
          <w:rFonts w:ascii="Times New Roman" w:eastAsia="SimSun" w:hAnsi="Times New Roman" w:cs="Times New Roman"/>
          <w:color w:val="000000"/>
          <w:lang w:eastAsia="ar-SA"/>
        </w:rPr>
        <w:t>kinazes</w:t>
      </w:r>
      <w:proofErr w:type="spellEnd"/>
      <w:r w:rsidRPr="00975CA4">
        <w:rPr>
          <w:rFonts w:ascii="Times New Roman" w:eastAsia="SimSun" w:hAnsi="Times New Roman" w:cs="Times New Roman"/>
          <w:color w:val="000000"/>
          <w:lang w:eastAsia="ar-SA"/>
        </w:rPr>
        <w:t>.</w:t>
      </w:r>
    </w:p>
    <w:p w14:paraId="2CFA70D0"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1EC6A66B"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Atliekant atskirus eksperimentus su pelinių </w:t>
      </w:r>
      <w:proofErr w:type="spellStart"/>
      <w:r w:rsidRPr="00975CA4">
        <w:rPr>
          <w:rFonts w:ascii="Times New Roman" w:eastAsia="SimSun" w:hAnsi="Times New Roman" w:cs="Times New Roman"/>
          <w:color w:val="000000"/>
          <w:lang w:eastAsia="ar-SA"/>
        </w:rPr>
        <w:t>pošeimio</w:t>
      </w:r>
      <w:proofErr w:type="spellEnd"/>
      <w:r w:rsidRPr="00975CA4">
        <w:rPr>
          <w:rFonts w:ascii="Times New Roman" w:eastAsia="SimSun" w:hAnsi="Times New Roman" w:cs="Times New Roman"/>
          <w:color w:val="000000"/>
          <w:lang w:eastAsia="ar-SA"/>
        </w:rPr>
        <w:t xml:space="preserve"> LML modeliais </w:t>
      </w:r>
      <w:proofErr w:type="spellStart"/>
      <w:r w:rsidRPr="00975CA4">
        <w:rPr>
          <w:rFonts w:ascii="Times New Roman" w:eastAsia="SimSun" w:hAnsi="Times New Roman" w:cs="Times New Roman"/>
          <w:i/>
          <w:iCs/>
          <w:color w:val="000000"/>
          <w:lang w:eastAsia="ar-SA"/>
        </w:rPr>
        <w:t>in</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vivo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dazatinibas</w:t>
      </w:r>
      <w:proofErr w:type="spellEnd"/>
      <w:r w:rsidRPr="00975CA4">
        <w:rPr>
          <w:rFonts w:ascii="Times New Roman" w:eastAsia="SimSun" w:hAnsi="Times New Roman" w:cs="Times New Roman"/>
          <w:color w:val="000000"/>
          <w:lang w:eastAsia="ar-SA"/>
        </w:rPr>
        <w:t xml:space="preserve"> sutrukdė l</w:t>
      </w:r>
      <w:r w:rsidRPr="00975CA4">
        <w:rPr>
          <w:rFonts w:ascii="Times New Roman" w:eastAsia="MS Mincho" w:hAnsi="Times New Roman" w:cs="Times New Roman"/>
          <w:color w:val="000000"/>
          <w:lang w:eastAsia="ar-SA"/>
        </w:rPr>
        <w:t>ė</w:t>
      </w:r>
      <w:r w:rsidRPr="00975CA4">
        <w:rPr>
          <w:rFonts w:ascii="Times New Roman" w:eastAsia="SimSun" w:hAnsi="Times New Roman" w:cs="Times New Roman"/>
          <w:color w:val="000000"/>
          <w:lang w:eastAsia="ar-SA"/>
        </w:rPr>
        <w:t xml:space="preserve">tinei LML progresuoti </w:t>
      </w:r>
      <w:r w:rsidRPr="00975CA4">
        <w:rPr>
          <w:rFonts w:ascii="Times New Roman" w:eastAsia="MS Mincho" w:hAnsi="Times New Roman" w:cs="Times New Roman"/>
          <w:color w:val="000000"/>
          <w:lang w:eastAsia="ar-SA"/>
        </w:rPr>
        <w:t>į</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blast</w:t>
      </w:r>
      <w:r w:rsidRPr="00975CA4">
        <w:rPr>
          <w:rFonts w:ascii="Times New Roman" w:eastAsia="MS Mincho" w:hAnsi="Times New Roman" w:cs="Times New Roman"/>
          <w:color w:val="000000"/>
          <w:lang w:eastAsia="ar-SA"/>
        </w:rPr>
        <w:t>ų</w:t>
      </w:r>
      <w:proofErr w:type="spellEnd"/>
      <w:r w:rsidRPr="00975CA4">
        <w:rPr>
          <w:rFonts w:ascii="Times New Roman" w:eastAsia="SimSun" w:hAnsi="Times New Roman" w:cs="Times New Roman"/>
          <w:color w:val="000000"/>
          <w:lang w:eastAsia="ar-SA"/>
        </w:rPr>
        <w:t xml:space="preserve"> faz</w:t>
      </w:r>
      <w:r w:rsidRPr="00975CA4">
        <w:rPr>
          <w:rFonts w:ascii="Times New Roman" w:eastAsia="MS Mincho" w:hAnsi="Times New Roman" w:cs="Times New Roman"/>
          <w:color w:val="000000"/>
          <w:lang w:eastAsia="ar-SA"/>
        </w:rPr>
        <w:t>ę</w:t>
      </w:r>
      <w:r w:rsidRPr="00975CA4">
        <w:rPr>
          <w:rFonts w:ascii="Times New Roman" w:eastAsia="SimSun" w:hAnsi="Times New Roman" w:cs="Times New Roman"/>
          <w:color w:val="000000"/>
          <w:lang w:eastAsia="ar-SA"/>
        </w:rPr>
        <w:t xml:space="preserve"> ir pailgino išgyvenamumą peli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kurioms buvo perkelta LML l</w:t>
      </w:r>
      <w:r w:rsidRPr="00975CA4">
        <w:rPr>
          <w:rFonts w:ascii="Times New Roman" w:eastAsia="MS Mincho" w:hAnsi="Times New Roman" w:cs="Times New Roman"/>
          <w:color w:val="000000"/>
          <w:lang w:eastAsia="ar-SA"/>
        </w:rPr>
        <w:t>ą</w:t>
      </w:r>
      <w:r w:rsidRPr="00975CA4">
        <w:rPr>
          <w:rFonts w:ascii="Times New Roman" w:eastAsia="SimSun" w:hAnsi="Times New Roman" w:cs="Times New Roman"/>
          <w:color w:val="000000"/>
          <w:lang w:eastAsia="ar-SA"/>
        </w:rPr>
        <w:t>steli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linij</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iš </w:t>
      </w:r>
      <w:r w:rsidRPr="00975CA4">
        <w:rPr>
          <w:rFonts w:ascii="Times New Roman" w:eastAsia="MS Mincho" w:hAnsi="Times New Roman" w:cs="Times New Roman"/>
          <w:color w:val="000000"/>
          <w:lang w:eastAsia="ar-SA"/>
        </w:rPr>
        <w:t>į</w:t>
      </w:r>
      <w:r w:rsidRPr="00975CA4">
        <w:rPr>
          <w:rFonts w:ascii="Times New Roman" w:eastAsia="SimSun" w:hAnsi="Times New Roman" w:cs="Times New Roman"/>
          <w:color w:val="000000"/>
          <w:lang w:eastAsia="ar-SA"/>
        </w:rPr>
        <w:t>vairi</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paciento organizmo viet</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w:t>
      </w:r>
      <w:r w:rsidRPr="00975CA4">
        <w:rPr>
          <w:rFonts w:ascii="Times New Roman" w:eastAsia="MS Mincho" w:hAnsi="Times New Roman" w:cs="Times New Roman"/>
          <w:color w:val="000000"/>
          <w:lang w:eastAsia="ar-SA"/>
        </w:rPr>
        <w:t>į</w:t>
      </w:r>
      <w:r w:rsidRPr="00975CA4">
        <w:rPr>
          <w:rFonts w:ascii="Times New Roman" w:eastAsia="SimSun" w:hAnsi="Times New Roman" w:cs="Times New Roman"/>
          <w:color w:val="000000"/>
          <w:lang w:eastAsia="ar-SA"/>
        </w:rPr>
        <w:t>skaitant centrin</w:t>
      </w:r>
      <w:r w:rsidRPr="00975CA4">
        <w:rPr>
          <w:rFonts w:ascii="Times New Roman" w:eastAsia="MS Mincho" w:hAnsi="Times New Roman" w:cs="Times New Roman"/>
          <w:color w:val="000000"/>
          <w:lang w:eastAsia="ar-SA"/>
        </w:rPr>
        <w:t>ę</w:t>
      </w:r>
      <w:r w:rsidRPr="00975CA4">
        <w:rPr>
          <w:rFonts w:ascii="Times New Roman" w:eastAsia="SimSun" w:hAnsi="Times New Roman" w:cs="Times New Roman"/>
          <w:color w:val="000000"/>
          <w:lang w:eastAsia="ar-SA"/>
        </w:rPr>
        <w:t xml:space="preserve"> nerv</w:t>
      </w:r>
      <w:r w:rsidRPr="00975CA4">
        <w:rPr>
          <w:rFonts w:ascii="Times New Roman" w:eastAsia="MS Mincho" w:hAnsi="Times New Roman" w:cs="Times New Roman"/>
          <w:color w:val="000000"/>
          <w:lang w:eastAsia="ar-SA"/>
        </w:rPr>
        <w:t>ų</w:t>
      </w:r>
      <w:r w:rsidRPr="00975CA4">
        <w:rPr>
          <w:rFonts w:ascii="Times New Roman" w:eastAsia="SimSun" w:hAnsi="Times New Roman" w:cs="Times New Roman"/>
          <w:color w:val="000000"/>
          <w:lang w:eastAsia="ar-SA"/>
        </w:rPr>
        <w:t xml:space="preserve"> sistem</w:t>
      </w:r>
      <w:r w:rsidRPr="00975CA4">
        <w:rPr>
          <w:rFonts w:ascii="Times New Roman" w:eastAsia="MS Mincho" w:hAnsi="Times New Roman" w:cs="Times New Roman"/>
          <w:color w:val="000000"/>
          <w:lang w:eastAsia="ar-SA"/>
        </w:rPr>
        <w:t>ą</w:t>
      </w:r>
      <w:r w:rsidRPr="00975CA4">
        <w:rPr>
          <w:rFonts w:ascii="Times New Roman" w:eastAsia="SimSun" w:hAnsi="Times New Roman" w:cs="Times New Roman"/>
          <w:color w:val="000000"/>
          <w:lang w:eastAsia="ar-SA"/>
        </w:rPr>
        <w:t>).</w:t>
      </w:r>
    </w:p>
    <w:p w14:paraId="45EB1BF4"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679C4B9C"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u w:val="single"/>
          <w:lang w:eastAsia="ar-SA"/>
        </w:rPr>
        <w:t>Klinikinis veiksmingumas ir saugumas</w:t>
      </w:r>
    </w:p>
    <w:p w14:paraId="720D960E"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I fazės tyrimo metu hematologinis ir citogenetinis atsakas pirmiesiems 84 gydytiems pacientams, stebėtiems iki 27 mėnesių, nustatytas visose LML ir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xml:space="preserve">+ ŪLL fazėse. Visose LML ir </w:t>
      </w:r>
      <w:proofErr w:type="spellStart"/>
      <w:r w:rsidRPr="00975CA4">
        <w:rPr>
          <w:rFonts w:ascii="Times New Roman" w:eastAsia="SimSun" w:hAnsi="Times New Roman" w:cs="Times New Roman"/>
          <w:color w:val="000000"/>
          <w:lang w:eastAsia="ar-SA"/>
        </w:rPr>
        <w:t>Ph</w:t>
      </w:r>
      <w:proofErr w:type="spellEnd"/>
      <w:r w:rsidRPr="00975CA4">
        <w:rPr>
          <w:rFonts w:ascii="Times New Roman" w:eastAsia="SimSun" w:hAnsi="Times New Roman" w:cs="Times New Roman"/>
          <w:color w:val="000000"/>
          <w:lang w:eastAsia="ar-SA"/>
        </w:rPr>
        <w:t>+ ŪLL fazėse jis buvo ilgalaikis.</w:t>
      </w:r>
    </w:p>
    <w:p w14:paraId="0E4296FE"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2BA74426"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saugumui ir veiksmingumui nustatyti sergant lėtinės, akceleracijos ar </w:t>
      </w:r>
      <w:proofErr w:type="spellStart"/>
      <w:r w:rsidRPr="00975CA4">
        <w:rPr>
          <w:rFonts w:ascii="Times New Roman" w:eastAsia="SimSun" w:hAnsi="Times New Roman" w:cs="Times New Roman"/>
          <w:color w:val="000000"/>
          <w:lang w:eastAsia="ar-SA"/>
        </w:rPr>
        <w:t>blastų</w:t>
      </w:r>
      <w:proofErr w:type="spellEnd"/>
      <w:r w:rsidRPr="00975CA4">
        <w:rPr>
          <w:rFonts w:ascii="Times New Roman" w:eastAsia="SimSun" w:hAnsi="Times New Roman" w:cs="Times New Roman"/>
          <w:color w:val="000000"/>
          <w:lang w:eastAsia="ar-SA"/>
        </w:rPr>
        <w:t xml:space="preserve"> fazės LML kai yra atsparumas </w:t>
      </w:r>
      <w:proofErr w:type="spellStart"/>
      <w:r w:rsidRPr="00975CA4">
        <w:rPr>
          <w:rFonts w:ascii="Times New Roman" w:eastAsia="SimSun" w:hAnsi="Times New Roman" w:cs="Times New Roman"/>
          <w:color w:val="000000"/>
          <w:lang w:eastAsia="ar-SA"/>
        </w:rPr>
        <w:t>imatinibui</w:t>
      </w:r>
      <w:proofErr w:type="spellEnd"/>
      <w:r w:rsidRPr="00975CA4">
        <w:rPr>
          <w:rFonts w:ascii="Times New Roman" w:eastAsia="SimSun" w:hAnsi="Times New Roman" w:cs="Times New Roman"/>
          <w:color w:val="000000"/>
          <w:lang w:eastAsia="ar-SA"/>
        </w:rPr>
        <w:t xml:space="preserve"> arba jo netoleravimas, atlikti 4 vienos grupės nekontroliuojami atviri II fazės klinikiniai tyrimai. Vienas atsitiktinės atrankos nepalyginamasis tyrimas atliktas su lėtinės fazės pacientais, kuriems pradinis gydymas 400 ar 600 mg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doze buvo neveiksmingas. Pradinė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dozė buvo po 70 mg 2 kartus per parą. Vaistinio preparato aktyvumui pagerinti ar toksiškumui koreguoti buvo leidžiamas dozės koregavimas (žr. 4.2 skyrių).</w:t>
      </w:r>
    </w:p>
    <w:p w14:paraId="4AEE3048"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2EBF2920"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2 atsitiktinės atrankos atviri III fazės tyrimai atlikti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vartojimo 1 kartą per parą veiksmingumui palyginti su vartojimu 2 kartus per parą. Be to, vienas atviras atsitiktinės atrankos palyginamasis III fazės tyrimas atliktas su suaugusiais pacientais, sirgusiais naujai diagnozuota lėtinės fazės LML.</w:t>
      </w:r>
    </w:p>
    <w:p w14:paraId="76998AD6"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7B702841" w14:textId="77777777" w:rsidR="000C215A"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veiksmingumo įrodymai pagrįsti hematologinio ir citogenetinio atsako dažniu. </w:t>
      </w:r>
    </w:p>
    <w:p w14:paraId="18C530D7" w14:textId="77777777" w:rsidR="000C215A" w:rsidRPr="00975CA4" w:rsidRDefault="000C215A"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5FEF58E2"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Papildomi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klinikinės naudos įrodymai yra sukeliamo atsako trukmė ir apskaičiuoti išgyvenimo rodikliai.</w:t>
      </w:r>
    </w:p>
    <w:p w14:paraId="7C31B974"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1AA491CD" w14:textId="58A179D6"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Klinikinių tyrimų metu iš viso tirta 2712 pacientų, 23</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iš jų buvo 65 metų ar vyresni, 5</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 75 metų ar vyresni.</w:t>
      </w:r>
    </w:p>
    <w:p w14:paraId="367A2649"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071B9CEF" w14:textId="45CBEC7F"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i/>
          <w:color w:val="000000"/>
          <w:u w:val="single"/>
          <w:lang w:eastAsia="ar-SA"/>
        </w:rPr>
        <w:t>Naujai diagnozuota lėtinės fazės LML</w:t>
      </w:r>
    </w:p>
    <w:p w14:paraId="49602B34" w14:textId="7E815F5A"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Tarptautiniame atvirame </w:t>
      </w:r>
      <w:proofErr w:type="spellStart"/>
      <w:r w:rsidRPr="00975CA4">
        <w:rPr>
          <w:rFonts w:ascii="Times New Roman" w:eastAsia="SimSun" w:hAnsi="Times New Roman" w:cs="Times New Roman"/>
          <w:color w:val="000000"/>
          <w:lang w:eastAsia="ar-SA"/>
        </w:rPr>
        <w:t>daugiacentriame</w:t>
      </w:r>
      <w:proofErr w:type="spellEnd"/>
      <w:r w:rsidRPr="00975CA4">
        <w:rPr>
          <w:rFonts w:ascii="Times New Roman" w:eastAsia="SimSun" w:hAnsi="Times New Roman" w:cs="Times New Roman"/>
          <w:color w:val="000000"/>
          <w:lang w:eastAsia="ar-SA"/>
        </w:rPr>
        <w:t xml:space="preserve"> atsitiktinės atrankos palyginamajame III fazės tyrime dalyvavo suaugę pacientai, sergantys naujai diagnozuota lėtinės fazės LML. Pacientai buvo atsitiktinai parinkti vartoti 100</w:t>
      </w:r>
      <w:r w:rsidR="000C215A"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1 kartą per parą arba 400</w:t>
      </w:r>
      <w:r w:rsidR="000C215A"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mg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1 kartą per parą. Pagrindinė vertinamoji baigtis buvo patvirtinto visiško citogenetinio atsako (</w:t>
      </w:r>
      <w:proofErr w:type="spellStart"/>
      <w:r w:rsidRPr="00975CA4">
        <w:rPr>
          <w:rFonts w:ascii="Times New Roman" w:eastAsia="SimSun" w:hAnsi="Times New Roman" w:cs="Times New Roman"/>
          <w:color w:val="000000"/>
          <w:lang w:eastAsia="ar-SA"/>
        </w:rPr>
        <w:t>cCCyR</w:t>
      </w:r>
      <w:proofErr w:type="spellEnd"/>
      <w:r w:rsidRPr="00975CA4">
        <w:rPr>
          <w:rFonts w:ascii="Times New Roman" w:eastAsia="SimSun" w:hAnsi="Times New Roman" w:cs="Times New Roman"/>
          <w:color w:val="000000"/>
          <w:lang w:eastAsia="ar-SA"/>
        </w:rPr>
        <w:t xml:space="preserve">) pasireiškimo dažnis per 12 mėnesių. Antrinės vertinamosios baigtys buvo </w:t>
      </w:r>
      <w:proofErr w:type="spellStart"/>
      <w:r w:rsidRPr="00975CA4">
        <w:rPr>
          <w:rFonts w:ascii="Times New Roman" w:eastAsia="SimSun" w:hAnsi="Times New Roman" w:cs="Times New Roman"/>
          <w:color w:val="000000"/>
          <w:lang w:eastAsia="ar-SA"/>
        </w:rPr>
        <w:t>cCCyR</w:t>
      </w:r>
      <w:proofErr w:type="spellEnd"/>
      <w:r w:rsidRPr="00975CA4">
        <w:rPr>
          <w:rFonts w:ascii="Times New Roman" w:eastAsia="SimSun" w:hAnsi="Times New Roman" w:cs="Times New Roman"/>
          <w:color w:val="000000"/>
          <w:lang w:eastAsia="ar-SA"/>
        </w:rPr>
        <w:t xml:space="preserve"> trukmė (atsako tvarumo matas), laikas iki </w:t>
      </w:r>
      <w:proofErr w:type="spellStart"/>
      <w:r w:rsidRPr="00975CA4">
        <w:rPr>
          <w:rFonts w:ascii="Times New Roman" w:eastAsia="SimSun" w:hAnsi="Times New Roman" w:cs="Times New Roman"/>
          <w:color w:val="000000"/>
          <w:lang w:eastAsia="ar-SA"/>
        </w:rPr>
        <w:t>cCCyR</w:t>
      </w:r>
      <w:proofErr w:type="spellEnd"/>
      <w:r w:rsidRPr="00975CA4">
        <w:rPr>
          <w:rFonts w:ascii="Times New Roman" w:eastAsia="SimSun" w:hAnsi="Times New Roman" w:cs="Times New Roman"/>
          <w:color w:val="000000"/>
          <w:lang w:eastAsia="ar-SA"/>
        </w:rPr>
        <w:t xml:space="preserve"> pasireiškimo, didžiojo molekulinio atsako (angl. </w:t>
      </w:r>
      <w:proofErr w:type="spellStart"/>
      <w:r w:rsidRPr="00975CA4">
        <w:rPr>
          <w:rFonts w:ascii="Times New Roman" w:eastAsia="SimSun" w:hAnsi="Times New Roman" w:cs="Times New Roman"/>
          <w:i/>
          <w:color w:val="000000"/>
          <w:lang w:eastAsia="ar-SA"/>
        </w:rPr>
        <w:t>major</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molecular</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response</w:t>
      </w:r>
      <w:proofErr w:type="spellEnd"/>
      <w:r w:rsidR="000C215A" w:rsidRPr="00975CA4">
        <w:rPr>
          <w:rFonts w:ascii="Times New Roman" w:eastAsia="SimSun" w:hAnsi="Times New Roman" w:cs="Times New Roman"/>
          <w:i/>
          <w:color w:val="000000"/>
          <w:lang w:eastAsia="ar-SA"/>
        </w:rPr>
        <w:t xml:space="preserve">, </w:t>
      </w:r>
      <w:r w:rsidR="000C215A" w:rsidRPr="00975CA4">
        <w:rPr>
          <w:rFonts w:ascii="Times New Roman" w:eastAsia="SimSun" w:hAnsi="Times New Roman" w:cs="Times New Roman"/>
          <w:color w:val="000000"/>
          <w:lang w:eastAsia="ar-SA"/>
        </w:rPr>
        <w:t>MMR</w:t>
      </w:r>
      <w:r w:rsidRPr="00975CA4">
        <w:rPr>
          <w:rFonts w:ascii="Times New Roman" w:eastAsia="SimSun" w:hAnsi="Times New Roman" w:cs="Times New Roman"/>
          <w:color w:val="000000"/>
          <w:lang w:eastAsia="ar-SA"/>
        </w:rPr>
        <w:t xml:space="preserve">) pasireiškimo dažnis, laikas iki MMR pasireiškimo, neprogresuojant ligai išgyventas laikotarpis (angl. </w:t>
      </w:r>
      <w:proofErr w:type="spellStart"/>
      <w:r w:rsidRPr="00975CA4">
        <w:rPr>
          <w:rFonts w:ascii="Times New Roman" w:eastAsia="SimSun" w:hAnsi="Times New Roman" w:cs="Times New Roman"/>
          <w:i/>
          <w:color w:val="000000"/>
          <w:lang w:eastAsia="ar-SA"/>
        </w:rPr>
        <w:t>progression</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free</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survival</w:t>
      </w:r>
      <w:proofErr w:type="spellEnd"/>
      <w:r w:rsidR="000C215A" w:rsidRPr="00975CA4">
        <w:rPr>
          <w:rFonts w:ascii="Times New Roman" w:eastAsia="SimSun" w:hAnsi="Times New Roman" w:cs="Times New Roman"/>
          <w:i/>
          <w:color w:val="000000"/>
          <w:lang w:eastAsia="ar-SA"/>
        </w:rPr>
        <w:t xml:space="preserve">, </w:t>
      </w:r>
      <w:r w:rsidR="000C215A" w:rsidRPr="00975CA4">
        <w:rPr>
          <w:rFonts w:ascii="Times New Roman" w:eastAsia="SimSun" w:hAnsi="Times New Roman" w:cs="Times New Roman"/>
          <w:color w:val="000000"/>
          <w:lang w:eastAsia="ar-SA"/>
        </w:rPr>
        <w:t>PFS</w:t>
      </w:r>
      <w:r w:rsidRPr="00975CA4">
        <w:rPr>
          <w:rFonts w:ascii="Times New Roman" w:eastAsia="SimSun" w:hAnsi="Times New Roman" w:cs="Times New Roman"/>
          <w:color w:val="000000"/>
          <w:lang w:eastAsia="ar-SA"/>
        </w:rPr>
        <w:t xml:space="preserve">) ir bendras išgyventas laikotarpis (angl. </w:t>
      </w:r>
      <w:proofErr w:type="spellStart"/>
      <w:r w:rsidRPr="00975CA4">
        <w:rPr>
          <w:rFonts w:ascii="Times New Roman" w:eastAsia="SimSun" w:hAnsi="Times New Roman" w:cs="Times New Roman"/>
          <w:i/>
          <w:color w:val="000000"/>
          <w:lang w:eastAsia="ar-SA"/>
        </w:rPr>
        <w:t>overall</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survival</w:t>
      </w:r>
      <w:proofErr w:type="spellEnd"/>
      <w:r w:rsidR="000C215A" w:rsidRPr="00975CA4">
        <w:rPr>
          <w:rFonts w:ascii="Times New Roman" w:eastAsia="SimSun" w:hAnsi="Times New Roman" w:cs="Times New Roman"/>
          <w:i/>
          <w:color w:val="000000"/>
          <w:lang w:eastAsia="ar-SA"/>
        </w:rPr>
        <w:t xml:space="preserve">, </w:t>
      </w:r>
      <w:r w:rsidR="000C215A" w:rsidRPr="00975CA4">
        <w:rPr>
          <w:rFonts w:ascii="Times New Roman" w:eastAsia="SimSun" w:hAnsi="Times New Roman" w:cs="Times New Roman"/>
          <w:color w:val="000000"/>
          <w:lang w:eastAsia="ar-SA"/>
        </w:rPr>
        <w:t>OS</w:t>
      </w:r>
      <w:r w:rsidRPr="00975CA4">
        <w:rPr>
          <w:rFonts w:ascii="Times New Roman" w:eastAsia="SimSun" w:hAnsi="Times New Roman" w:cs="Times New Roman"/>
          <w:color w:val="000000"/>
          <w:lang w:eastAsia="ar-SA"/>
        </w:rPr>
        <w:t xml:space="preserve">). Kiti tiesiogiai susiję veiksmingumo duomenys buvo </w:t>
      </w:r>
      <w:proofErr w:type="spellStart"/>
      <w:r w:rsidRPr="00975CA4">
        <w:rPr>
          <w:rFonts w:ascii="Times New Roman" w:eastAsia="SimSun" w:hAnsi="Times New Roman" w:cs="Times New Roman"/>
          <w:color w:val="000000"/>
          <w:lang w:eastAsia="ar-SA"/>
        </w:rPr>
        <w:t>CCyR</w:t>
      </w:r>
      <w:proofErr w:type="spellEnd"/>
      <w:r w:rsidRPr="00975CA4">
        <w:rPr>
          <w:rFonts w:ascii="Times New Roman" w:eastAsia="SimSun" w:hAnsi="Times New Roman" w:cs="Times New Roman"/>
          <w:color w:val="000000"/>
          <w:lang w:eastAsia="ar-SA"/>
        </w:rPr>
        <w:t xml:space="preserve"> pasireiškimo dažnis ir visiško molekulinio atsako (angl. </w:t>
      </w:r>
      <w:proofErr w:type="spellStart"/>
      <w:r w:rsidRPr="00975CA4">
        <w:rPr>
          <w:rFonts w:ascii="Times New Roman" w:eastAsia="SimSun" w:hAnsi="Times New Roman" w:cs="Times New Roman"/>
          <w:i/>
          <w:color w:val="000000"/>
          <w:lang w:eastAsia="ar-SA"/>
        </w:rPr>
        <w:t>complete</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molecular</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response</w:t>
      </w:r>
      <w:proofErr w:type="spellEnd"/>
      <w:r w:rsidR="000C215A" w:rsidRPr="00975CA4">
        <w:rPr>
          <w:rFonts w:ascii="Times New Roman" w:eastAsia="SimSun" w:hAnsi="Times New Roman" w:cs="Times New Roman"/>
          <w:i/>
          <w:color w:val="000000"/>
          <w:lang w:eastAsia="ar-SA"/>
        </w:rPr>
        <w:t xml:space="preserve">, </w:t>
      </w:r>
      <w:r w:rsidR="000C215A" w:rsidRPr="00975CA4">
        <w:rPr>
          <w:rFonts w:ascii="Times New Roman" w:eastAsia="SimSun" w:hAnsi="Times New Roman" w:cs="Times New Roman"/>
          <w:color w:val="000000"/>
          <w:lang w:eastAsia="ar-SA"/>
        </w:rPr>
        <w:t>CMR</w:t>
      </w:r>
      <w:r w:rsidRPr="00975CA4">
        <w:rPr>
          <w:rFonts w:ascii="Times New Roman" w:eastAsia="SimSun" w:hAnsi="Times New Roman" w:cs="Times New Roman"/>
          <w:color w:val="000000"/>
          <w:lang w:eastAsia="ar-SA"/>
        </w:rPr>
        <w:t>) pasireiškimo dažnis. Šis tyrimas dar vyksta.</w:t>
      </w:r>
    </w:p>
    <w:p w14:paraId="09665471"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35C231C4" w14:textId="7A1D064C"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Iš viso į gydymo grupes atsitiktinės atrankos būdu </w:t>
      </w:r>
      <w:r w:rsidR="000C215A" w:rsidRPr="00975CA4">
        <w:rPr>
          <w:rFonts w:ascii="Times New Roman" w:eastAsia="SimSun" w:hAnsi="Times New Roman" w:cs="Times New Roman"/>
          <w:color w:val="000000"/>
          <w:lang w:eastAsia="ar-SA"/>
        </w:rPr>
        <w:t xml:space="preserve">buvo </w:t>
      </w:r>
      <w:r w:rsidRPr="00975CA4">
        <w:rPr>
          <w:rFonts w:ascii="Times New Roman" w:eastAsia="SimSun" w:hAnsi="Times New Roman" w:cs="Times New Roman"/>
          <w:color w:val="000000"/>
          <w:lang w:eastAsia="ar-SA"/>
        </w:rPr>
        <w:t xml:space="preserve">įtraukta 519 pacientų (259 į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260 į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grupę). Įtraukiant pacientus į šias grupes, buvo gerai išlaikyta pusiausvyra pagal pagrindines jų savybes: amžių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grupės pacientų amžiaus mediana buvo 46 metai,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 49; 65 metų ir vyresnių buvo atitinkamai 10</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11</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lytį (moterų buvo atitinkamai 44</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37</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rasę (europidų buvo atitinkamai 51</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55</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azijiečių – 42</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37</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Prieš gydymo pradžią gydymo </w:t>
      </w:r>
      <w:proofErr w:type="spellStart"/>
      <w:r w:rsidRPr="00975CA4">
        <w:rPr>
          <w:rFonts w:ascii="Times New Roman" w:eastAsia="SimSun" w:hAnsi="Times New Roman" w:cs="Times New Roman"/>
          <w:i/>
          <w:color w:val="000000"/>
          <w:lang w:eastAsia="ar-SA"/>
        </w:rPr>
        <w:t>Hasford</w:t>
      </w:r>
      <w:proofErr w:type="spellEnd"/>
      <w:r w:rsidRPr="00975CA4">
        <w:rPr>
          <w:rFonts w:ascii="Times New Roman" w:eastAsia="SimSun" w:hAnsi="Times New Roman" w:cs="Times New Roman"/>
          <w:color w:val="000000"/>
          <w:lang w:eastAsia="ar-SA"/>
        </w:rPr>
        <w:t xml:space="preserve"> skalės balų pasiskirstymas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grupėse buvo panašus (maža rizika – atitinkamai 33</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34</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vidutinė rizika – 48</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47</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didelė rizika – 19</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19</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Po bent 12 mėnesių trukusio stebėjimo 85</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grupės ir 81</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grupės pacientų toliau buvo taikomas pirmaeilis gydymas. Dėl ligos progresavimo per 12 mėnesių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vartojimą nutraukė 3</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ir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 5</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pacientų.</w:t>
      </w:r>
    </w:p>
    <w:p w14:paraId="75FC0750"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60B18378" w14:textId="2D0738A2"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Po ne trumpesnio kaip 60</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stebėjimo laikotarpio 60</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į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grupę atsitiktinės atrankos būdu paskirtų pacientų ir 63</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į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grupę atsitiktinės atrankos būdu paskirtų pacientų toliau taikytas pirmaeilis gydymas. Per 60</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dėl ligos progresavimo vartojimą nutraukė 11</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gydomų pacientų ir 14</w:t>
      </w:r>
      <w:r w:rsidR="00CF6041"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gydomų pacientų. </w:t>
      </w:r>
    </w:p>
    <w:p w14:paraId="150D72BB"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p>
    <w:p w14:paraId="3FF72522" w14:textId="77777777" w:rsidR="005C28B1" w:rsidRPr="00975CA4" w:rsidRDefault="005C28B1" w:rsidP="005C28B1">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Veiksmingumo duomenys pateikti 9 lentelėje. Per pirmuosius 12 gydymo mėnesių </w:t>
      </w:r>
      <w:proofErr w:type="spellStart"/>
      <w:r w:rsidRPr="00975CA4">
        <w:rPr>
          <w:rFonts w:ascii="Times New Roman" w:eastAsia="SimSun" w:hAnsi="Times New Roman" w:cs="Times New Roman"/>
          <w:color w:val="000000"/>
          <w:lang w:eastAsia="ar-SA"/>
        </w:rPr>
        <w:t>cCCyR</w:t>
      </w:r>
      <w:proofErr w:type="spellEnd"/>
      <w:r w:rsidRPr="00975CA4">
        <w:rPr>
          <w:rFonts w:ascii="Times New Roman" w:eastAsia="SimSun" w:hAnsi="Times New Roman" w:cs="Times New Roman"/>
          <w:color w:val="000000"/>
          <w:lang w:eastAsia="ar-SA"/>
        </w:rPr>
        <w:t xml:space="preserve"> pasireiškė </w:t>
      </w:r>
      <w:r w:rsidRPr="00975CA4">
        <w:rPr>
          <w:rFonts w:ascii="Times New Roman" w:eastAsia="SimSun" w:hAnsi="Times New Roman" w:cs="Times New Roman"/>
          <w:color w:val="000000"/>
          <w:lang w:eastAsia="ar-SA"/>
        </w:rPr>
        <w:lastRenderedPageBreak/>
        <w:t xml:space="preserve">statistiškai patikimai didesnei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grupės pacientų daliai negu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veiksmingumas buvo nuosekliai įrodytas įvairiems pogrupiams, įskaitant sudarytus pagal amžių, lytį ir </w:t>
      </w:r>
      <w:proofErr w:type="spellStart"/>
      <w:r w:rsidRPr="00975CA4">
        <w:rPr>
          <w:rFonts w:ascii="Times New Roman" w:eastAsia="SimSun" w:hAnsi="Times New Roman" w:cs="Times New Roman"/>
          <w:i/>
          <w:color w:val="000000"/>
          <w:lang w:eastAsia="ar-SA"/>
        </w:rPr>
        <w:t>Hasford</w:t>
      </w:r>
      <w:proofErr w:type="spellEnd"/>
      <w:r w:rsidRPr="00975CA4">
        <w:rPr>
          <w:rFonts w:ascii="Times New Roman" w:eastAsia="SimSun" w:hAnsi="Times New Roman" w:cs="Times New Roman"/>
          <w:color w:val="000000"/>
          <w:lang w:eastAsia="ar-SA"/>
        </w:rPr>
        <w:t xml:space="preserve"> skalės balus prieš gydymo pradžią.</w:t>
      </w:r>
    </w:p>
    <w:p w14:paraId="075861D8" w14:textId="77777777" w:rsidR="005C28B1" w:rsidRPr="00975CA4" w:rsidRDefault="005C28B1" w:rsidP="002938B7">
      <w:pPr>
        <w:widowControl w:val="0"/>
        <w:tabs>
          <w:tab w:val="left" w:pos="567"/>
        </w:tabs>
        <w:suppressAutoHyphens/>
        <w:spacing w:after="0" w:line="240" w:lineRule="auto"/>
        <w:rPr>
          <w:rFonts w:ascii="Times New Roman" w:eastAsia="SimSun" w:hAnsi="Times New Roman" w:cs="Times New Roman"/>
          <w:b/>
          <w:color w:val="000000"/>
          <w:lang w:eastAsia="ar-SA"/>
        </w:rPr>
      </w:pPr>
    </w:p>
    <w:p w14:paraId="64AE62CC" w14:textId="77777777" w:rsidR="005C28B1" w:rsidRPr="00975CA4" w:rsidRDefault="005C28B1" w:rsidP="002D3411">
      <w:pPr>
        <w:keepNext/>
        <w:tabs>
          <w:tab w:val="left" w:pos="0"/>
          <w:tab w:val="left" w:pos="567"/>
        </w:tabs>
        <w:suppressAutoHyphens/>
        <w:spacing w:after="0" w:line="240" w:lineRule="auto"/>
        <w:ind w:left="851" w:hanging="851"/>
        <w:rPr>
          <w:rFonts w:ascii="Times New Roman" w:eastAsia="SimSun" w:hAnsi="Times New Roman" w:cs="Times New Roman"/>
          <w:color w:val="000000"/>
          <w:lang w:eastAsia="ar-SA"/>
        </w:rPr>
      </w:pPr>
      <w:r w:rsidRPr="00975CA4">
        <w:rPr>
          <w:rFonts w:ascii="Times New Roman" w:eastAsia="SimSun" w:hAnsi="Times New Roman" w:cs="Times New Roman"/>
          <w:b/>
          <w:color w:val="000000"/>
          <w:lang w:eastAsia="ar-SA"/>
        </w:rPr>
        <w:t xml:space="preserve">9 lentelė. III fazės tyrimo metu nustatyti veiksmingumo duomenys pacientams, sergantiems naujai diagnozuota lėtinės fazės LML </w:t>
      </w:r>
    </w:p>
    <w:p w14:paraId="11112951" w14:textId="77777777" w:rsidR="00EB5423" w:rsidRPr="00975CA4" w:rsidRDefault="00EB5423" w:rsidP="002938B7">
      <w:pPr>
        <w:spacing w:after="0" w:line="240" w:lineRule="auto"/>
        <w:rPr>
          <w:rFonts w:ascii="Times New Roman" w:eastAsia="Calibri" w:hAnsi="Times New Roman" w:cs="Times New Roman"/>
          <w:lang w:eastAsia="ar-SA"/>
        </w:rPr>
      </w:pPr>
    </w:p>
    <w:tbl>
      <w:tblPr>
        <w:tblStyle w:val="Lentelstinklelis"/>
        <w:tblW w:w="0" w:type="auto"/>
        <w:jc w:val="center"/>
        <w:tblLook w:val="04A0" w:firstRow="1" w:lastRow="0" w:firstColumn="1" w:lastColumn="0" w:noHBand="0" w:noVBand="1"/>
      </w:tblPr>
      <w:tblGrid>
        <w:gridCol w:w="3243"/>
        <w:gridCol w:w="2041"/>
        <w:gridCol w:w="2043"/>
        <w:gridCol w:w="1448"/>
      </w:tblGrid>
      <w:tr w:rsidR="005C28B1" w:rsidRPr="00975CA4" w14:paraId="4A927B0B"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5A6ACFE8" w14:textId="77777777" w:rsidR="005C28B1" w:rsidRPr="00975CA4" w:rsidRDefault="005C28B1" w:rsidP="002938B7">
            <w:pPr>
              <w:jc w:val="center"/>
              <w:rPr>
                <w:rFonts w:eastAsia="Times New Roman"/>
                <w:b/>
                <w:bCs/>
                <w:sz w:val="22"/>
                <w:szCs w:val="22"/>
              </w:rPr>
            </w:pPr>
          </w:p>
        </w:tc>
        <w:tc>
          <w:tcPr>
            <w:tcW w:w="2041" w:type="dxa"/>
            <w:tcBorders>
              <w:top w:val="single" w:sz="4" w:space="0" w:color="000000"/>
              <w:left w:val="single" w:sz="4" w:space="0" w:color="000000"/>
              <w:bottom w:val="single" w:sz="4" w:space="0" w:color="000000"/>
              <w:right w:val="single" w:sz="4" w:space="0" w:color="000000"/>
            </w:tcBorders>
            <w:hideMark/>
          </w:tcPr>
          <w:p w14:paraId="4EB6DC0F" w14:textId="77777777" w:rsidR="005C28B1" w:rsidRPr="00975CA4" w:rsidRDefault="005C28B1" w:rsidP="002938B7">
            <w:pPr>
              <w:jc w:val="center"/>
              <w:rPr>
                <w:rFonts w:eastAsia="Times New Roman"/>
                <w:b/>
                <w:bCs/>
                <w:sz w:val="22"/>
                <w:szCs w:val="22"/>
              </w:rPr>
            </w:pPr>
            <w:proofErr w:type="spellStart"/>
            <w:r w:rsidRPr="00975CA4">
              <w:rPr>
                <w:rFonts w:eastAsia="Times New Roman"/>
                <w:b/>
                <w:bCs/>
                <w:sz w:val="22"/>
                <w:szCs w:val="22"/>
              </w:rPr>
              <w:t>Dazatinibas</w:t>
            </w:r>
            <w:proofErr w:type="spellEnd"/>
          </w:p>
          <w:p w14:paraId="5825110D" w14:textId="6F4A8849" w:rsidR="005C28B1" w:rsidRPr="00975CA4" w:rsidRDefault="005C28B1" w:rsidP="004877E7">
            <w:pPr>
              <w:jc w:val="center"/>
              <w:rPr>
                <w:rFonts w:eastAsia="Times New Roman"/>
                <w:sz w:val="22"/>
                <w:szCs w:val="22"/>
              </w:rPr>
            </w:pPr>
            <w:r w:rsidRPr="00975CA4">
              <w:rPr>
                <w:rFonts w:eastAsia="Times New Roman"/>
                <w:b/>
                <w:bCs/>
                <w:sz w:val="22"/>
                <w:szCs w:val="22"/>
              </w:rPr>
              <w:t>n</w:t>
            </w:r>
            <w:r w:rsidR="00467B83" w:rsidRPr="00975CA4">
              <w:rPr>
                <w:rFonts w:eastAsia="Times New Roman"/>
                <w:b/>
                <w:bCs/>
                <w:sz w:val="22"/>
                <w:szCs w:val="22"/>
              </w:rPr>
              <w:t> </w:t>
            </w:r>
            <w:r w:rsidRPr="00975CA4">
              <w:rPr>
                <w:rFonts w:eastAsia="Times New Roman"/>
                <w:b/>
                <w:bCs/>
                <w:sz w:val="22"/>
                <w:szCs w:val="22"/>
              </w:rPr>
              <w:t>=</w:t>
            </w:r>
            <w:r w:rsidR="00467B83" w:rsidRPr="00975CA4">
              <w:rPr>
                <w:rFonts w:eastAsia="Times New Roman"/>
                <w:b/>
                <w:bCs/>
                <w:sz w:val="22"/>
                <w:szCs w:val="22"/>
              </w:rPr>
              <w:t> </w:t>
            </w:r>
            <w:r w:rsidRPr="00975CA4">
              <w:rPr>
                <w:rFonts w:eastAsia="Times New Roman"/>
                <w:b/>
                <w:bCs/>
                <w:sz w:val="22"/>
                <w:szCs w:val="22"/>
              </w:rPr>
              <w:t>259</w:t>
            </w:r>
          </w:p>
        </w:tc>
        <w:tc>
          <w:tcPr>
            <w:tcW w:w="2043" w:type="dxa"/>
            <w:tcBorders>
              <w:top w:val="single" w:sz="4" w:space="0" w:color="000000"/>
              <w:left w:val="single" w:sz="4" w:space="0" w:color="000000"/>
              <w:bottom w:val="single" w:sz="4" w:space="0" w:color="000000"/>
              <w:right w:val="single" w:sz="4" w:space="0" w:color="000000"/>
            </w:tcBorders>
            <w:hideMark/>
          </w:tcPr>
          <w:p w14:paraId="210C0541" w14:textId="77777777" w:rsidR="005C28B1" w:rsidRPr="00975CA4" w:rsidRDefault="005C28B1" w:rsidP="002938B7">
            <w:pPr>
              <w:jc w:val="center"/>
              <w:rPr>
                <w:rFonts w:eastAsia="Times New Roman"/>
                <w:b/>
                <w:bCs/>
                <w:sz w:val="22"/>
                <w:szCs w:val="22"/>
              </w:rPr>
            </w:pPr>
            <w:proofErr w:type="spellStart"/>
            <w:r w:rsidRPr="00975CA4">
              <w:rPr>
                <w:rFonts w:eastAsia="Times New Roman"/>
                <w:b/>
                <w:bCs/>
                <w:sz w:val="22"/>
                <w:szCs w:val="22"/>
              </w:rPr>
              <w:t>Imatinibas</w:t>
            </w:r>
            <w:proofErr w:type="spellEnd"/>
          </w:p>
          <w:p w14:paraId="653246CF" w14:textId="5BB5F903" w:rsidR="005C28B1" w:rsidRPr="00975CA4" w:rsidRDefault="005C28B1" w:rsidP="004877E7">
            <w:pPr>
              <w:jc w:val="center"/>
              <w:rPr>
                <w:rFonts w:eastAsia="Times New Roman"/>
                <w:b/>
                <w:bCs/>
                <w:sz w:val="22"/>
                <w:szCs w:val="22"/>
              </w:rPr>
            </w:pPr>
            <w:r w:rsidRPr="00975CA4">
              <w:rPr>
                <w:rFonts w:eastAsia="Times New Roman"/>
                <w:b/>
                <w:bCs/>
                <w:sz w:val="22"/>
                <w:szCs w:val="22"/>
              </w:rPr>
              <w:t>n</w:t>
            </w:r>
            <w:r w:rsidR="00467B83" w:rsidRPr="00975CA4">
              <w:rPr>
                <w:rFonts w:eastAsia="Times New Roman"/>
                <w:b/>
                <w:bCs/>
                <w:sz w:val="22"/>
                <w:szCs w:val="22"/>
              </w:rPr>
              <w:t> </w:t>
            </w:r>
            <w:r w:rsidRPr="00975CA4">
              <w:rPr>
                <w:rFonts w:eastAsia="Times New Roman"/>
                <w:b/>
                <w:bCs/>
                <w:sz w:val="22"/>
                <w:szCs w:val="22"/>
              </w:rPr>
              <w:t>=</w:t>
            </w:r>
            <w:r w:rsidR="00467B83" w:rsidRPr="00975CA4">
              <w:rPr>
                <w:rFonts w:eastAsia="Times New Roman"/>
                <w:b/>
                <w:bCs/>
                <w:sz w:val="22"/>
                <w:szCs w:val="22"/>
              </w:rPr>
              <w:t> </w:t>
            </w:r>
            <w:r w:rsidRPr="00975CA4">
              <w:rPr>
                <w:rFonts w:eastAsia="Times New Roman"/>
                <w:b/>
                <w:bCs/>
                <w:sz w:val="22"/>
                <w:szCs w:val="22"/>
              </w:rPr>
              <w:t>260</w:t>
            </w:r>
          </w:p>
        </w:tc>
        <w:tc>
          <w:tcPr>
            <w:tcW w:w="1448" w:type="dxa"/>
            <w:tcBorders>
              <w:top w:val="single" w:sz="4" w:space="0" w:color="000000"/>
              <w:left w:val="single" w:sz="4" w:space="0" w:color="000000"/>
              <w:bottom w:val="single" w:sz="4" w:space="0" w:color="000000"/>
              <w:right w:val="single" w:sz="4" w:space="0" w:color="000000"/>
            </w:tcBorders>
            <w:hideMark/>
          </w:tcPr>
          <w:p w14:paraId="54D355E1" w14:textId="77777777" w:rsidR="005C28B1" w:rsidRPr="00975CA4" w:rsidRDefault="005C28B1" w:rsidP="002938B7">
            <w:pPr>
              <w:jc w:val="center"/>
              <w:rPr>
                <w:rFonts w:eastAsia="Times New Roman"/>
                <w:b/>
                <w:bCs/>
                <w:sz w:val="22"/>
                <w:szCs w:val="22"/>
              </w:rPr>
            </w:pPr>
            <w:r w:rsidRPr="00975CA4">
              <w:rPr>
                <w:rFonts w:eastAsia="Times New Roman"/>
                <w:b/>
                <w:bCs/>
                <w:sz w:val="22"/>
                <w:szCs w:val="22"/>
              </w:rPr>
              <w:t>p reikšmė</w:t>
            </w:r>
          </w:p>
        </w:tc>
      </w:tr>
      <w:tr w:rsidR="005C28B1" w:rsidRPr="00975CA4" w14:paraId="09387F8F"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70873AD2" w14:textId="77777777" w:rsidR="005C28B1" w:rsidRPr="00975CA4" w:rsidRDefault="005C28B1">
            <w:pPr>
              <w:jc w:val="center"/>
              <w:rPr>
                <w:rFonts w:eastAsia="Times New Roman"/>
                <w:b/>
                <w:bCs/>
                <w:sz w:val="22"/>
                <w:szCs w:val="22"/>
              </w:rPr>
            </w:pPr>
          </w:p>
        </w:tc>
        <w:tc>
          <w:tcPr>
            <w:tcW w:w="5532" w:type="dxa"/>
            <w:gridSpan w:val="3"/>
            <w:tcBorders>
              <w:top w:val="single" w:sz="4" w:space="0" w:color="000000"/>
              <w:left w:val="single" w:sz="4" w:space="0" w:color="000000"/>
              <w:bottom w:val="single" w:sz="4" w:space="0" w:color="000000"/>
              <w:right w:val="single" w:sz="4" w:space="0" w:color="000000"/>
            </w:tcBorders>
            <w:hideMark/>
          </w:tcPr>
          <w:p w14:paraId="0EE884BA" w14:textId="77777777" w:rsidR="005C28B1" w:rsidRPr="00975CA4" w:rsidRDefault="005C28B1">
            <w:pPr>
              <w:jc w:val="center"/>
              <w:rPr>
                <w:rFonts w:eastAsia="Times New Roman"/>
                <w:b/>
                <w:bCs/>
                <w:sz w:val="22"/>
                <w:szCs w:val="22"/>
              </w:rPr>
            </w:pPr>
            <w:r w:rsidRPr="00975CA4">
              <w:rPr>
                <w:rFonts w:eastAsia="Times New Roman"/>
                <w:b/>
                <w:bCs/>
                <w:sz w:val="22"/>
                <w:szCs w:val="22"/>
              </w:rPr>
              <w:t>Atsako dažnis (95</w:t>
            </w:r>
            <w:r w:rsidR="00467B83" w:rsidRPr="00975CA4">
              <w:rPr>
                <w:rFonts w:eastAsia="Times New Roman"/>
                <w:b/>
                <w:bCs/>
                <w:sz w:val="22"/>
                <w:szCs w:val="22"/>
              </w:rPr>
              <w:t> </w:t>
            </w:r>
            <w:r w:rsidRPr="00975CA4">
              <w:rPr>
                <w:rFonts w:eastAsia="Times New Roman"/>
                <w:b/>
                <w:bCs/>
                <w:sz w:val="22"/>
                <w:szCs w:val="22"/>
              </w:rPr>
              <w:t>% PI)</w:t>
            </w:r>
          </w:p>
        </w:tc>
      </w:tr>
      <w:tr w:rsidR="005C28B1" w:rsidRPr="00975CA4" w14:paraId="7813A878"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578235F6" w14:textId="77777777" w:rsidR="005C28B1" w:rsidRPr="00975CA4" w:rsidRDefault="005C28B1">
            <w:pPr>
              <w:ind w:left="-34"/>
              <w:rPr>
                <w:rFonts w:eastAsia="Times New Roman"/>
                <w:b/>
                <w:bCs/>
                <w:sz w:val="22"/>
                <w:szCs w:val="22"/>
              </w:rPr>
            </w:pPr>
            <w:proofErr w:type="spellStart"/>
            <w:r w:rsidRPr="00975CA4">
              <w:rPr>
                <w:rFonts w:eastAsia="Times New Roman"/>
                <w:b/>
                <w:bCs/>
                <w:sz w:val="22"/>
                <w:szCs w:val="22"/>
              </w:rPr>
              <w:t>Citogeninis</w:t>
            </w:r>
            <w:proofErr w:type="spellEnd"/>
            <w:r w:rsidRPr="00975CA4">
              <w:rPr>
                <w:rFonts w:eastAsia="Times New Roman"/>
                <w:b/>
                <w:bCs/>
                <w:sz w:val="22"/>
                <w:szCs w:val="22"/>
              </w:rPr>
              <w:t xml:space="preserve"> atsakas</w:t>
            </w:r>
          </w:p>
        </w:tc>
        <w:tc>
          <w:tcPr>
            <w:tcW w:w="2041" w:type="dxa"/>
            <w:tcBorders>
              <w:top w:val="single" w:sz="4" w:space="0" w:color="000000"/>
              <w:left w:val="single" w:sz="4" w:space="0" w:color="000000"/>
              <w:bottom w:val="single" w:sz="4" w:space="0" w:color="000000"/>
              <w:right w:val="single" w:sz="4" w:space="0" w:color="000000"/>
            </w:tcBorders>
          </w:tcPr>
          <w:p w14:paraId="395D143B" w14:textId="77777777" w:rsidR="005C28B1" w:rsidRPr="00975CA4"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42DDEA8F" w14:textId="77777777" w:rsidR="005C28B1" w:rsidRPr="00975CA4"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567C4298" w14:textId="77777777" w:rsidR="005C28B1" w:rsidRPr="00975CA4" w:rsidRDefault="005C28B1">
            <w:pPr>
              <w:jc w:val="center"/>
              <w:rPr>
                <w:rFonts w:eastAsia="Times New Roman"/>
                <w:b/>
                <w:bCs/>
                <w:sz w:val="22"/>
                <w:szCs w:val="22"/>
              </w:rPr>
            </w:pPr>
          </w:p>
        </w:tc>
      </w:tr>
      <w:tr w:rsidR="005C28B1" w:rsidRPr="00975CA4" w14:paraId="43609E59"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2532E8F9" w14:textId="77777777" w:rsidR="005C28B1" w:rsidRPr="00975CA4" w:rsidRDefault="005C28B1">
            <w:pPr>
              <w:ind w:left="204"/>
              <w:rPr>
                <w:rFonts w:eastAsia="Times New Roman"/>
                <w:b/>
                <w:bCs/>
                <w:sz w:val="22"/>
                <w:szCs w:val="22"/>
              </w:rPr>
            </w:pPr>
            <w:r w:rsidRPr="00975CA4">
              <w:rPr>
                <w:rFonts w:eastAsia="Times New Roman"/>
                <w:b/>
                <w:bCs/>
                <w:sz w:val="22"/>
                <w:szCs w:val="22"/>
              </w:rPr>
              <w:t>per 12 mėnesių</w:t>
            </w:r>
          </w:p>
        </w:tc>
        <w:tc>
          <w:tcPr>
            <w:tcW w:w="2041" w:type="dxa"/>
            <w:tcBorders>
              <w:top w:val="single" w:sz="4" w:space="0" w:color="000000"/>
              <w:left w:val="single" w:sz="4" w:space="0" w:color="000000"/>
              <w:bottom w:val="single" w:sz="4" w:space="0" w:color="000000"/>
              <w:right w:val="single" w:sz="4" w:space="0" w:color="000000"/>
            </w:tcBorders>
          </w:tcPr>
          <w:p w14:paraId="2D206928" w14:textId="77777777" w:rsidR="005C28B1" w:rsidRPr="00975CA4"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4F6EEF0F" w14:textId="77777777" w:rsidR="005C28B1" w:rsidRPr="00975CA4"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6DD5EFE2" w14:textId="77777777" w:rsidR="005C28B1" w:rsidRPr="00975CA4" w:rsidRDefault="005C28B1">
            <w:pPr>
              <w:jc w:val="center"/>
              <w:rPr>
                <w:rFonts w:eastAsia="Times New Roman"/>
                <w:b/>
                <w:bCs/>
                <w:sz w:val="22"/>
                <w:szCs w:val="22"/>
              </w:rPr>
            </w:pPr>
          </w:p>
        </w:tc>
      </w:tr>
      <w:tr w:rsidR="005C28B1" w:rsidRPr="00975CA4" w14:paraId="6DDAA54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6CA78FE0" w14:textId="77777777" w:rsidR="005C28B1" w:rsidRPr="00975CA4" w:rsidRDefault="005C28B1">
            <w:pPr>
              <w:jc w:val="center"/>
              <w:rPr>
                <w:rFonts w:eastAsia="Times New Roman"/>
                <w:b/>
                <w:bCs/>
                <w:sz w:val="22"/>
                <w:szCs w:val="22"/>
              </w:rPr>
            </w:pPr>
            <w:proofErr w:type="spellStart"/>
            <w:r w:rsidRPr="00975CA4">
              <w:rPr>
                <w:rFonts w:eastAsia="Times New Roman"/>
                <w:sz w:val="22"/>
                <w:szCs w:val="22"/>
              </w:rPr>
              <w:t>cCCyR</w:t>
            </w:r>
            <w:r w:rsidRPr="00975CA4">
              <w:rPr>
                <w:rFonts w:eastAsia="Times New Roman"/>
                <w:sz w:val="22"/>
                <w:szCs w:val="22"/>
                <w:vertAlign w:val="superscript"/>
              </w:rPr>
              <w:t>a</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3477284" w14:textId="77777777" w:rsidR="005C28B1" w:rsidRPr="00975CA4" w:rsidRDefault="005C28B1">
            <w:pPr>
              <w:ind w:left="-115" w:right="-108"/>
              <w:jc w:val="center"/>
              <w:rPr>
                <w:rFonts w:eastAsia="Times New Roman"/>
                <w:b/>
                <w:bCs/>
                <w:sz w:val="22"/>
                <w:szCs w:val="22"/>
              </w:rPr>
            </w:pPr>
            <w:r w:rsidRPr="00975CA4">
              <w:rPr>
                <w:rFonts w:eastAsia="Times New Roman"/>
                <w:sz w:val="22"/>
                <w:szCs w:val="22"/>
              </w:rPr>
              <w:t>76</w:t>
            </w:r>
            <w:r w:rsidR="007042ED" w:rsidRPr="00975CA4">
              <w:rPr>
                <w:rFonts w:eastAsia="Times New Roman"/>
                <w:sz w:val="22"/>
                <w:szCs w:val="22"/>
              </w:rPr>
              <w:t>,</w:t>
            </w:r>
            <w:r w:rsidRPr="00975CA4">
              <w:rPr>
                <w:rFonts w:eastAsia="Times New Roman"/>
                <w:sz w:val="22"/>
                <w:szCs w:val="22"/>
              </w:rPr>
              <w:t>8</w:t>
            </w:r>
            <w:r w:rsidR="004877E7" w:rsidRPr="00975CA4">
              <w:rPr>
                <w:rFonts w:eastAsia="Times New Roman"/>
                <w:sz w:val="22"/>
                <w:szCs w:val="22"/>
              </w:rPr>
              <w:t> </w:t>
            </w:r>
            <w:r w:rsidRPr="00975CA4">
              <w:rPr>
                <w:rFonts w:eastAsia="Times New Roman"/>
                <w:sz w:val="22"/>
                <w:szCs w:val="22"/>
              </w:rPr>
              <w:t>% (71</w:t>
            </w:r>
            <w:r w:rsidR="007042ED" w:rsidRPr="00975CA4">
              <w:rPr>
                <w:rFonts w:eastAsia="Times New Roman"/>
                <w:sz w:val="22"/>
                <w:szCs w:val="22"/>
              </w:rPr>
              <w:t>,</w:t>
            </w:r>
            <w:r w:rsidRPr="00975CA4">
              <w:rPr>
                <w:rFonts w:eastAsia="Times New Roman"/>
                <w:sz w:val="22"/>
                <w:szCs w:val="22"/>
              </w:rPr>
              <w:t>2 – 81</w:t>
            </w:r>
            <w:r w:rsidR="007042ED" w:rsidRPr="00975CA4">
              <w:rPr>
                <w:rFonts w:eastAsia="Times New Roman"/>
                <w:sz w:val="22"/>
                <w:szCs w:val="22"/>
              </w:rPr>
              <w:t>,</w:t>
            </w:r>
            <w:r w:rsidRPr="00975CA4">
              <w:rPr>
                <w:rFonts w:eastAsia="Times New Roman"/>
                <w:sz w:val="22"/>
                <w:szCs w:val="22"/>
              </w:rPr>
              <w:t>8)</w:t>
            </w:r>
          </w:p>
        </w:tc>
        <w:tc>
          <w:tcPr>
            <w:tcW w:w="2043" w:type="dxa"/>
            <w:tcBorders>
              <w:top w:val="single" w:sz="4" w:space="0" w:color="000000"/>
              <w:left w:val="single" w:sz="4" w:space="0" w:color="000000"/>
              <w:bottom w:val="single" w:sz="4" w:space="0" w:color="000000"/>
              <w:right w:val="single" w:sz="4" w:space="0" w:color="000000"/>
            </w:tcBorders>
            <w:hideMark/>
          </w:tcPr>
          <w:p w14:paraId="170132C2" w14:textId="77777777" w:rsidR="005C28B1" w:rsidRPr="00975CA4" w:rsidRDefault="005C28B1">
            <w:pPr>
              <w:ind w:left="-115" w:right="-108"/>
              <w:jc w:val="center"/>
              <w:rPr>
                <w:rFonts w:eastAsia="Times New Roman"/>
                <w:b/>
                <w:bCs/>
                <w:sz w:val="22"/>
                <w:szCs w:val="22"/>
              </w:rPr>
            </w:pPr>
            <w:r w:rsidRPr="00975CA4">
              <w:rPr>
                <w:rFonts w:eastAsia="Times New Roman"/>
                <w:sz w:val="22"/>
                <w:szCs w:val="22"/>
              </w:rPr>
              <w:t>66</w:t>
            </w:r>
            <w:r w:rsidR="007042ED" w:rsidRPr="00975CA4">
              <w:rPr>
                <w:rFonts w:eastAsia="Times New Roman"/>
                <w:sz w:val="22"/>
                <w:szCs w:val="22"/>
              </w:rPr>
              <w:t>,</w:t>
            </w:r>
            <w:r w:rsidRPr="00975CA4">
              <w:rPr>
                <w:rFonts w:eastAsia="Times New Roman"/>
                <w:sz w:val="22"/>
                <w:szCs w:val="22"/>
              </w:rPr>
              <w:t>2</w:t>
            </w:r>
            <w:r w:rsidR="004877E7" w:rsidRPr="00975CA4">
              <w:rPr>
                <w:rFonts w:eastAsia="Times New Roman"/>
                <w:sz w:val="22"/>
                <w:szCs w:val="22"/>
              </w:rPr>
              <w:t> </w:t>
            </w:r>
            <w:r w:rsidRPr="00975CA4">
              <w:rPr>
                <w:rFonts w:eastAsia="Times New Roman"/>
                <w:sz w:val="22"/>
                <w:szCs w:val="22"/>
              </w:rPr>
              <w:t>% (60</w:t>
            </w:r>
            <w:r w:rsidR="007042ED" w:rsidRPr="00975CA4">
              <w:rPr>
                <w:rFonts w:eastAsia="Times New Roman"/>
                <w:sz w:val="22"/>
                <w:szCs w:val="22"/>
              </w:rPr>
              <w:t>,</w:t>
            </w:r>
            <w:r w:rsidRPr="00975CA4">
              <w:rPr>
                <w:rFonts w:eastAsia="Times New Roman"/>
                <w:sz w:val="22"/>
                <w:szCs w:val="22"/>
              </w:rPr>
              <w:t>1 – 71</w:t>
            </w:r>
            <w:r w:rsidR="007042ED" w:rsidRPr="00975CA4">
              <w:rPr>
                <w:rFonts w:eastAsia="Times New Roman"/>
                <w:sz w:val="22"/>
                <w:szCs w:val="22"/>
              </w:rPr>
              <w:t>,</w:t>
            </w:r>
            <w:r w:rsidRPr="00975CA4">
              <w:rPr>
                <w:rFonts w:eastAsia="Times New Roman"/>
                <w:sz w:val="22"/>
                <w:szCs w:val="22"/>
              </w:rPr>
              <w:t>9)</w:t>
            </w:r>
          </w:p>
        </w:tc>
        <w:tc>
          <w:tcPr>
            <w:tcW w:w="1448" w:type="dxa"/>
            <w:tcBorders>
              <w:top w:val="single" w:sz="4" w:space="0" w:color="000000"/>
              <w:left w:val="single" w:sz="4" w:space="0" w:color="000000"/>
              <w:bottom w:val="single" w:sz="4" w:space="0" w:color="000000"/>
              <w:right w:val="single" w:sz="4" w:space="0" w:color="000000"/>
            </w:tcBorders>
            <w:hideMark/>
          </w:tcPr>
          <w:p w14:paraId="2404F93F" w14:textId="0A6CF45A" w:rsidR="005C28B1" w:rsidRPr="00975CA4" w:rsidRDefault="005C28B1" w:rsidP="00467B83">
            <w:pPr>
              <w:ind w:left="-115" w:right="-108"/>
              <w:jc w:val="center"/>
              <w:rPr>
                <w:rFonts w:eastAsia="Times New Roman"/>
                <w:b/>
                <w:bCs/>
                <w:sz w:val="22"/>
                <w:szCs w:val="22"/>
              </w:rPr>
            </w:pPr>
            <w:r w:rsidRPr="00975CA4">
              <w:rPr>
                <w:rFonts w:eastAsia="Times New Roman"/>
                <w:sz w:val="22"/>
                <w:szCs w:val="22"/>
              </w:rPr>
              <w:t>p</w:t>
            </w:r>
            <w:r w:rsidR="00467B83" w:rsidRPr="00975CA4">
              <w:rPr>
                <w:rFonts w:eastAsia="Times New Roman"/>
                <w:sz w:val="22"/>
                <w:szCs w:val="22"/>
              </w:rPr>
              <w:t> </w:t>
            </w:r>
            <w:r w:rsidRPr="00975CA4">
              <w:rPr>
                <w:rFonts w:eastAsia="Times New Roman"/>
                <w:sz w:val="22"/>
                <w:szCs w:val="22"/>
              </w:rPr>
              <w:t>&lt;</w:t>
            </w:r>
            <w:r w:rsidR="00467B83" w:rsidRPr="00975CA4">
              <w:rPr>
                <w:rFonts w:eastAsia="Times New Roman"/>
                <w:sz w:val="22"/>
                <w:szCs w:val="22"/>
              </w:rPr>
              <w:t> </w:t>
            </w:r>
            <w:r w:rsidRPr="00975CA4">
              <w:rPr>
                <w:rFonts w:eastAsia="Times New Roman"/>
                <w:sz w:val="22"/>
                <w:szCs w:val="22"/>
              </w:rPr>
              <w:t>0</w:t>
            </w:r>
            <w:r w:rsidR="007042ED" w:rsidRPr="00975CA4">
              <w:rPr>
                <w:rFonts w:eastAsia="Times New Roman"/>
                <w:sz w:val="22"/>
                <w:szCs w:val="22"/>
              </w:rPr>
              <w:t>,</w:t>
            </w:r>
            <w:r w:rsidRPr="00975CA4">
              <w:rPr>
                <w:rFonts w:eastAsia="Times New Roman"/>
                <w:sz w:val="22"/>
                <w:szCs w:val="22"/>
              </w:rPr>
              <w:t>007</w:t>
            </w:r>
            <w:r w:rsidRPr="00975CA4">
              <w:rPr>
                <w:rFonts w:eastAsia="Times New Roman"/>
                <w:sz w:val="22"/>
                <w:szCs w:val="22"/>
                <w:vertAlign w:val="superscript"/>
              </w:rPr>
              <w:t>*</w:t>
            </w:r>
          </w:p>
        </w:tc>
      </w:tr>
      <w:tr w:rsidR="005C28B1" w:rsidRPr="00975CA4" w14:paraId="5CA88452"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780361E4" w14:textId="77777777" w:rsidR="005C28B1" w:rsidRPr="00975CA4" w:rsidRDefault="005C28B1">
            <w:pPr>
              <w:jc w:val="center"/>
              <w:rPr>
                <w:rFonts w:eastAsia="Times New Roman"/>
                <w:b/>
                <w:bCs/>
                <w:sz w:val="22"/>
                <w:szCs w:val="22"/>
              </w:rPr>
            </w:pPr>
            <w:proofErr w:type="spellStart"/>
            <w:r w:rsidRPr="00975CA4">
              <w:rPr>
                <w:rFonts w:eastAsia="Times New Roman"/>
                <w:sz w:val="22"/>
                <w:szCs w:val="22"/>
              </w:rPr>
              <w:t>CCyR</w:t>
            </w:r>
            <w:r w:rsidRPr="00975CA4">
              <w:rPr>
                <w:rFonts w:eastAsia="Times New Roman"/>
                <w:sz w:val="22"/>
                <w:szCs w:val="22"/>
                <w:vertAlign w:val="superscript"/>
              </w:rPr>
              <w:t>b</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34CF6496" w14:textId="77777777" w:rsidR="005C28B1" w:rsidRPr="00975CA4" w:rsidRDefault="005C28B1">
            <w:pPr>
              <w:ind w:left="-115" w:right="-108"/>
              <w:jc w:val="center"/>
              <w:rPr>
                <w:rFonts w:eastAsia="Times New Roman"/>
                <w:b/>
                <w:bCs/>
                <w:sz w:val="22"/>
                <w:szCs w:val="22"/>
              </w:rPr>
            </w:pPr>
            <w:r w:rsidRPr="00975CA4">
              <w:rPr>
                <w:rFonts w:eastAsia="Times New Roman"/>
                <w:sz w:val="22"/>
                <w:szCs w:val="22"/>
              </w:rPr>
              <w:t>85</w:t>
            </w:r>
            <w:r w:rsidR="007042ED" w:rsidRPr="00975CA4">
              <w:rPr>
                <w:rFonts w:eastAsia="Times New Roman"/>
                <w:sz w:val="22"/>
                <w:szCs w:val="22"/>
              </w:rPr>
              <w:t>,</w:t>
            </w:r>
            <w:r w:rsidRPr="00975CA4">
              <w:rPr>
                <w:rFonts w:eastAsia="Times New Roman"/>
                <w:sz w:val="22"/>
                <w:szCs w:val="22"/>
              </w:rPr>
              <w:t>3</w:t>
            </w:r>
            <w:r w:rsidR="004877E7" w:rsidRPr="00975CA4">
              <w:rPr>
                <w:rFonts w:eastAsia="Times New Roman"/>
                <w:sz w:val="22"/>
                <w:szCs w:val="22"/>
              </w:rPr>
              <w:t> </w:t>
            </w:r>
            <w:r w:rsidRPr="00975CA4">
              <w:rPr>
                <w:rFonts w:eastAsia="Times New Roman"/>
                <w:sz w:val="22"/>
                <w:szCs w:val="22"/>
              </w:rPr>
              <w:t>% (80</w:t>
            </w:r>
            <w:r w:rsidR="007042ED" w:rsidRPr="00975CA4">
              <w:rPr>
                <w:rFonts w:eastAsia="Times New Roman"/>
                <w:sz w:val="22"/>
                <w:szCs w:val="22"/>
              </w:rPr>
              <w:t>,</w:t>
            </w:r>
            <w:r w:rsidRPr="00975CA4">
              <w:rPr>
                <w:rFonts w:eastAsia="Times New Roman"/>
                <w:sz w:val="22"/>
                <w:szCs w:val="22"/>
              </w:rPr>
              <w:t>4 – 89</w:t>
            </w:r>
            <w:r w:rsidR="007042ED" w:rsidRPr="00975CA4">
              <w:rPr>
                <w:rFonts w:eastAsia="Times New Roman"/>
                <w:sz w:val="22"/>
                <w:szCs w:val="22"/>
              </w:rPr>
              <w:t>,</w:t>
            </w:r>
            <w:r w:rsidRPr="00975CA4">
              <w:rPr>
                <w:rFonts w:eastAsia="Times New Roman"/>
                <w:sz w:val="22"/>
                <w:szCs w:val="22"/>
              </w:rPr>
              <w:t>4)</w:t>
            </w:r>
          </w:p>
        </w:tc>
        <w:tc>
          <w:tcPr>
            <w:tcW w:w="2043" w:type="dxa"/>
            <w:tcBorders>
              <w:top w:val="single" w:sz="4" w:space="0" w:color="000000"/>
              <w:left w:val="single" w:sz="4" w:space="0" w:color="000000"/>
              <w:bottom w:val="single" w:sz="4" w:space="0" w:color="000000"/>
              <w:right w:val="single" w:sz="4" w:space="0" w:color="000000"/>
            </w:tcBorders>
            <w:hideMark/>
          </w:tcPr>
          <w:p w14:paraId="1352929B" w14:textId="77777777" w:rsidR="005C28B1" w:rsidRPr="00975CA4" w:rsidRDefault="005C28B1">
            <w:pPr>
              <w:ind w:left="-115" w:right="-108"/>
              <w:jc w:val="center"/>
              <w:rPr>
                <w:rFonts w:eastAsia="Times New Roman"/>
                <w:b/>
                <w:bCs/>
                <w:sz w:val="22"/>
                <w:szCs w:val="22"/>
              </w:rPr>
            </w:pPr>
            <w:r w:rsidRPr="00975CA4">
              <w:rPr>
                <w:rFonts w:eastAsia="Times New Roman"/>
                <w:sz w:val="22"/>
                <w:szCs w:val="22"/>
              </w:rPr>
              <w:t>73</w:t>
            </w:r>
            <w:r w:rsidR="007042ED" w:rsidRPr="00975CA4">
              <w:rPr>
                <w:rFonts w:eastAsia="Times New Roman"/>
                <w:sz w:val="22"/>
                <w:szCs w:val="22"/>
              </w:rPr>
              <w:t>,</w:t>
            </w:r>
            <w:r w:rsidRPr="00975CA4">
              <w:rPr>
                <w:rFonts w:eastAsia="Times New Roman"/>
                <w:sz w:val="22"/>
                <w:szCs w:val="22"/>
              </w:rPr>
              <w:t>5</w:t>
            </w:r>
            <w:r w:rsidR="004877E7" w:rsidRPr="00975CA4">
              <w:rPr>
                <w:rFonts w:eastAsia="Times New Roman"/>
                <w:sz w:val="22"/>
                <w:szCs w:val="22"/>
              </w:rPr>
              <w:t> </w:t>
            </w:r>
            <w:r w:rsidRPr="00975CA4">
              <w:rPr>
                <w:rFonts w:eastAsia="Times New Roman"/>
                <w:sz w:val="22"/>
                <w:szCs w:val="22"/>
              </w:rPr>
              <w:t>% (67</w:t>
            </w:r>
            <w:r w:rsidR="007042ED" w:rsidRPr="00975CA4">
              <w:rPr>
                <w:rFonts w:eastAsia="Times New Roman"/>
                <w:sz w:val="22"/>
                <w:szCs w:val="22"/>
              </w:rPr>
              <w:t>,</w:t>
            </w:r>
            <w:r w:rsidRPr="00975CA4">
              <w:rPr>
                <w:rFonts w:eastAsia="Times New Roman"/>
                <w:sz w:val="22"/>
                <w:szCs w:val="22"/>
              </w:rPr>
              <w:t>7 – 78</w:t>
            </w:r>
            <w:r w:rsidR="007042ED" w:rsidRPr="00975CA4">
              <w:rPr>
                <w:rFonts w:eastAsia="Times New Roman"/>
                <w:sz w:val="22"/>
                <w:szCs w:val="22"/>
              </w:rPr>
              <w:t>,</w:t>
            </w:r>
            <w:r w:rsidRPr="00975CA4">
              <w:rPr>
                <w:rFonts w:eastAsia="Times New Roman"/>
                <w:sz w:val="22"/>
                <w:szCs w:val="22"/>
              </w:rPr>
              <w:t>7)</w:t>
            </w:r>
          </w:p>
        </w:tc>
        <w:tc>
          <w:tcPr>
            <w:tcW w:w="1448" w:type="dxa"/>
            <w:tcBorders>
              <w:top w:val="single" w:sz="4" w:space="0" w:color="000000"/>
              <w:left w:val="single" w:sz="4" w:space="0" w:color="000000"/>
              <w:bottom w:val="single" w:sz="4" w:space="0" w:color="000000"/>
              <w:right w:val="single" w:sz="4" w:space="0" w:color="000000"/>
            </w:tcBorders>
            <w:hideMark/>
          </w:tcPr>
          <w:p w14:paraId="61CEFC0E" w14:textId="77777777" w:rsidR="005C28B1" w:rsidRPr="00975CA4" w:rsidRDefault="005C28B1">
            <w:pPr>
              <w:ind w:left="-115" w:right="-108"/>
              <w:jc w:val="center"/>
              <w:rPr>
                <w:rFonts w:eastAsia="Times New Roman"/>
                <w:b/>
                <w:bCs/>
                <w:sz w:val="22"/>
                <w:szCs w:val="22"/>
              </w:rPr>
            </w:pPr>
            <w:r w:rsidRPr="00975CA4">
              <w:rPr>
                <w:rFonts w:ascii="Cambria Math" w:eastAsia="Segoe UI Symbol" w:hAnsi="Cambria Math" w:cs="Cambria Math"/>
                <w:sz w:val="22"/>
                <w:szCs w:val="22"/>
              </w:rPr>
              <w:t>⎯</w:t>
            </w:r>
          </w:p>
        </w:tc>
      </w:tr>
      <w:tr w:rsidR="005C28B1" w:rsidRPr="00975CA4" w14:paraId="316853C1"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47E91275" w14:textId="77777777" w:rsidR="005C28B1" w:rsidRPr="00975CA4" w:rsidRDefault="005C28B1">
            <w:pPr>
              <w:ind w:left="204"/>
              <w:rPr>
                <w:rFonts w:eastAsia="Times New Roman"/>
                <w:b/>
                <w:bCs/>
                <w:sz w:val="22"/>
                <w:szCs w:val="22"/>
              </w:rPr>
            </w:pPr>
            <w:r w:rsidRPr="00975CA4">
              <w:rPr>
                <w:rFonts w:eastAsia="Times New Roman"/>
                <w:b/>
                <w:bCs/>
                <w:sz w:val="22"/>
                <w:szCs w:val="22"/>
              </w:rPr>
              <w:t>per 24 mėnesius</w:t>
            </w:r>
          </w:p>
        </w:tc>
        <w:tc>
          <w:tcPr>
            <w:tcW w:w="2041" w:type="dxa"/>
            <w:tcBorders>
              <w:top w:val="single" w:sz="4" w:space="0" w:color="000000"/>
              <w:left w:val="single" w:sz="4" w:space="0" w:color="000000"/>
              <w:bottom w:val="single" w:sz="4" w:space="0" w:color="000000"/>
              <w:right w:val="single" w:sz="4" w:space="0" w:color="000000"/>
            </w:tcBorders>
          </w:tcPr>
          <w:p w14:paraId="5375F615" w14:textId="77777777" w:rsidR="005C28B1" w:rsidRPr="00975CA4"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6F6E6CD3" w14:textId="77777777" w:rsidR="005C28B1" w:rsidRPr="00975CA4"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7A51DBC0" w14:textId="77777777" w:rsidR="005C28B1" w:rsidRPr="00975CA4" w:rsidRDefault="005C28B1">
            <w:pPr>
              <w:jc w:val="center"/>
              <w:rPr>
                <w:rFonts w:eastAsia="Times New Roman"/>
                <w:b/>
                <w:bCs/>
                <w:sz w:val="22"/>
                <w:szCs w:val="22"/>
              </w:rPr>
            </w:pPr>
          </w:p>
        </w:tc>
      </w:tr>
      <w:tr w:rsidR="005C28B1" w:rsidRPr="00975CA4" w14:paraId="6B6A73C2"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0A61E876" w14:textId="77777777" w:rsidR="005C28B1" w:rsidRPr="00975CA4" w:rsidRDefault="005C28B1">
            <w:pPr>
              <w:jc w:val="center"/>
              <w:rPr>
                <w:rFonts w:eastAsia="Times New Roman"/>
                <w:b/>
                <w:bCs/>
                <w:sz w:val="22"/>
                <w:szCs w:val="22"/>
              </w:rPr>
            </w:pPr>
            <w:proofErr w:type="spellStart"/>
            <w:r w:rsidRPr="00975CA4">
              <w:rPr>
                <w:rFonts w:eastAsia="Times New Roman"/>
                <w:sz w:val="22"/>
                <w:szCs w:val="22"/>
              </w:rPr>
              <w:t>cCCyR</w:t>
            </w:r>
            <w:r w:rsidRPr="00975CA4">
              <w:rPr>
                <w:rFonts w:eastAsia="Times New Roman"/>
                <w:sz w:val="22"/>
                <w:szCs w:val="22"/>
                <w:vertAlign w:val="superscript"/>
              </w:rPr>
              <w:t>a</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691FA612" w14:textId="77777777" w:rsidR="005C28B1" w:rsidRPr="00975CA4" w:rsidRDefault="005C28B1">
            <w:pPr>
              <w:jc w:val="center"/>
              <w:rPr>
                <w:rFonts w:eastAsia="Times New Roman"/>
                <w:b/>
                <w:bCs/>
                <w:sz w:val="22"/>
                <w:szCs w:val="22"/>
              </w:rPr>
            </w:pPr>
            <w:r w:rsidRPr="00975CA4">
              <w:rPr>
                <w:rFonts w:eastAsia="Times New Roman"/>
                <w:sz w:val="22"/>
                <w:szCs w:val="22"/>
              </w:rPr>
              <w:t>80</w:t>
            </w:r>
            <w:r w:rsidR="007042ED" w:rsidRPr="00975CA4">
              <w:rPr>
                <w:rFonts w:eastAsia="Times New Roman"/>
                <w:sz w:val="22"/>
                <w:szCs w:val="22"/>
              </w:rPr>
              <w:t>,</w:t>
            </w:r>
            <w:r w:rsidRPr="00975CA4">
              <w:rPr>
                <w:rFonts w:eastAsia="Times New Roman"/>
                <w:sz w:val="22"/>
                <w:szCs w:val="22"/>
              </w:rPr>
              <w:t>3</w:t>
            </w:r>
            <w:r w:rsidR="004877E7" w:rsidRPr="00975CA4">
              <w:rPr>
                <w:rFonts w:eastAsia="Times New Roman"/>
                <w:sz w:val="22"/>
                <w:szCs w:val="22"/>
              </w:rPr>
              <w:t> </w:t>
            </w:r>
            <w:r w:rsidRPr="00975CA4">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7E32EB02" w14:textId="77777777" w:rsidR="005C28B1" w:rsidRPr="00975CA4" w:rsidRDefault="005C28B1">
            <w:pPr>
              <w:jc w:val="center"/>
              <w:rPr>
                <w:rFonts w:eastAsia="Times New Roman"/>
                <w:b/>
                <w:bCs/>
                <w:sz w:val="22"/>
                <w:szCs w:val="22"/>
              </w:rPr>
            </w:pPr>
            <w:r w:rsidRPr="00975CA4">
              <w:rPr>
                <w:rFonts w:eastAsia="Times New Roman"/>
                <w:sz w:val="22"/>
                <w:szCs w:val="22"/>
              </w:rPr>
              <w:t>7</w:t>
            </w:r>
            <w:r w:rsidR="007042ED" w:rsidRPr="00975CA4">
              <w:rPr>
                <w:rFonts w:eastAsia="Times New Roman"/>
                <w:sz w:val="22"/>
                <w:szCs w:val="22"/>
              </w:rPr>
              <w:t>,</w:t>
            </w:r>
            <w:r w:rsidRPr="00975CA4">
              <w:rPr>
                <w:rFonts w:eastAsia="Times New Roman"/>
                <w:sz w:val="22"/>
                <w:szCs w:val="22"/>
              </w:rPr>
              <w:t>2</w:t>
            </w:r>
            <w:r w:rsidR="004877E7" w:rsidRPr="00975CA4">
              <w:rPr>
                <w:rFonts w:eastAsia="Times New Roman"/>
                <w:sz w:val="22"/>
                <w:szCs w:val="22"/>
              </w:rPr>
              <w:t> </w:t>
            </w:r>
            <w:r w:rsidRPr="00975CA4">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026EB034" w14:textId="77777777" w:rsidR="005C28B1" w:rsidRPr="00975CA4" w:rsidRDefault="005C28B1">
            <w:pPr>
              <w:jc w:val="center"/>
              <w:rPr>
                <w:sz w:val="22"/>
                <w:szCs w:val="22"/>
              </w:rPr>
            </w:pPr>
            <w:r w:rsidRPr="00975CA4">
              <w:rPr>
                <w:rFonts w:ascii="Cambria Math" w:eastAsia="Segoe UI Symbol" w:hAnsi="Cambria Math" w:cs="Cambria Math"/>
                <w:sz w:val="22"/>
                <w:szCs w:val="22"/>
              </w:rPr>
              <w:t>⎯</w:t>
            </w:r>
          </w:p>
        </w:tc>
      </w:tr>
      <w:tr w:rsidR="005C28B1" w:rsidRPr="00975CA4" w14:paraId="1CB1C382"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6DE7D482" w14:textId="77777777" w:rsidR="005C28B1" w:rsidRPr="00975CA4" w:rsidRDefault="005C28B1">
            <w:pPr>
              <w:jc w:val="center"/>
              <w:rPr>
                <w:rFonts w:eastAsia="Times New Roman"/>
                <w:b/>
                <w:bCs/>
                <w:sz w:val="22"/>
                <w:szCs w:val="22"/>
              </w:rPr>
            </w:pPr>
            <w:proofErr w:type="spellStart"/>
            <w:r w:rsidRPr="00975CA4">
              <w:rPr>
                <w:rFonts w:eastAsia="Times New Roman"/>
                <w:sz w:val="22"/>
                <w:szCs w:val="22"/>
              </w:rPr>
              <w:t>CCyR</w:t>
            </w:r>
            <w:r w:rsidRPr="00975CA4">
              <w:rPr>
                <w:rFonts w:eastAsia="Times New Roman"/>
                <w:sz w:val="22"/>
                <w:szCs w:val="22"/>
                <w:vertAlign w:val="superscript"/>
              </w:rPr>
              <w:t>b</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71D079E2" w14:textId="77777777" w:rsidR="005C28B1" w:rsidRPr="00975CA4" w:rsidRDefault="005C28B1">
            <w:pPr>
              <w:jc w:val="center"/>
              <w:rPr>
                <w:rFonts w:eastAsia="Times New Roman"/>
                <w:b/>
                <w:bCs/>
                <w:sz w:val="22"/>
                <w:szCs w:val="22"/>
              </w:rPr>
            </w:pPr>
            <w:r w:rsidRPr="00975CA4">
              <w:rPr>
                <w:rFonts w:eastAsia="Times New Roman"/>
                <w:sz w:val="22"/>
                <w:szCs w:val="22"/>
              </w:rPr>
              <w:t>87</w:t>
            </w:r>
            <w:r w:rsidR="007042ED" w:rsidRPr="00975CA4">
              <w:rPr>
                <w:rFonts w:eastAsia="Times New Roman"/>
                <w:sz w:val="22"/>
                <w:szCs w:val="22"/>
              </w:rPr>
              <w:t>,</w:t>
            </w:r>
            <w:r w:rsidRPr="00975CA4">
              <w:rPr>
                <w:rFonts w:eastAsia="Times New Roman"/>
                <w:sz w:val="22"/>
                <w:szCs w:val="22"/>
              </w:rPr>
              <w:t>3</w:t>
            </w:r>
            <w:r w:rsidR="004877E7" w:rsidRPr="00975CA4">
              <w:rPr>
                <w:rFonts w:eastAsia="Times New Roman"/>
                <w:sz w:val="22"/>
                <w:szCs w:val="22"/>
              </w:rPr>
              <w:t> </w:t>
            </w:r>
            <w:r w:rsidRPr="00975CA4">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65E0BA47" w14:textId="77777777" w:rsidR="005C28B1" w:rsidRPr="00975CA4" w:rsidRDefault="005C28B1">
            <w:pPr>
              <w:jc w:val="center"/>
              <w:rPr>
                <w:rFonts w:eastAsia="Times New Roman"/>
                <w:b/>
                <w:bCs/>
                <w:sz w:val="22"/>
                <w:szCs w:val="22"/>
              </w:rPr>
            </w:pPr>
            <w:r w:rsidRPr="00975CA4">
              <w:rPr>
                <w:rFonts w:eastAsia="Times New Roman"/>
                <w:sz w:val="22"/>
                <w:szCs w:val="22"/>
              </w:rPr>
              <w:t>82</w:t>
            </w:r>
            <w:r w:rsidR="007042ED" w:rsidRPr="00975CA4">
              <w:rPr>
                <w:rFonts w:eastAsia="Times New Roman"/>
                <w:sz w:val="22"/>
                <w:szCs w:val="22"/>
              </w:rPr>
              <w:t>,</w:t>
            </w:r>
            <w:r w:rsidRPr="00975CA4">
              <w:rPr>
                <w:rFonts w:eastAsia="Times New Roman"/>
                <w:sz w:val="22"/>
                <w:szCs w:val="22"/>
              </w:rPr>
              <w:t>3</w:t>
            </w:r>
            <w:r w:rsidR="004877E7" w:rsidRPr="00975CA4">
              <w:rPr>
                <w:rFonts w:eastAsia="Times New Roman"/>
                <w:sz w:val="22"/>
                <w:szCs w:val="22"/>
              </w:rPr>
              <w:t> </w:t>
            </w:r>
            <w:r w:rsidRPr="00975CA4">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79571446" w14:textId="77777777" w:rsidR="005C28B1" w:rsidRPr="00975CA4" w:rsidRDefault="005C28B1">
            <w:pPr>
              <w:jc w:val="center"/>
              <w:rPr>
                <w:sz w:val="22"/>
                <w:szCs w:val="22"/>
              </w:rPr>
            </w:pPr>
            <w:r w:rsidRPr="00975CA4">
              <w:rPr>
                <w:rFonts w:ascii="Cambria Math" w:eastAsia="Segoe UI Symbol" w:hAnsi="Cambria Math" w:cs="Cambria Math"/>
                <w:sz w:val="22"/>
                <w:szCs w:val="22"/>
              </w:rPr>
              <w:t>⎯</w:t>
            </w:r>
          </w:p>
        </w:tc>
      </w:tr>
      <w:tr w:rsidR="005C28B1" w:rsidRPr="00975CA4" w14:paraId="4837C647"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6AA6124A" w14:textId="77777777" w:rsidR="005C28B1" w:rsidRPr="00975CA4" w:rsidRDefault="005C28B1">
            <w:pPr>
              <w:ind w:left="204"/>
              <w:rPr>
                <w:rFonts w:eastAsia="Times New Roman"/>
                <w:b/>
                <w:bCs/>
                <w:sz w:val="22"/>
                <w:szCs w:val="22"/>
              </w:rPr>
            </w:pPr>
            <w:r w:rsidRPr="00975CA4">
              <w:rPr>
                <w:rFonts w:eastAsia="Times New Roman"/>
                <w:b/>
                <w:bCs/>
                <w:sz w:val="22"/>
                <w:szCs w:val="22"/>
              </w:rPr>
              <w:t>per 36 mėnesius</w:t>
            </w:r>
          </w:p>
        </w:tc>
        <w:tc>
          <w:tcPr>
            <w:tcW w:w="2041" w:type="dxa"/>
            <w:tcBorders>
              <w:top w:val="single" w:sz="4" w:space="0" w:color="000000"/>
              <w:left w:val="single" w:sz="4" w:space="0" w:color="000000"/>
              <w:bottom w:val="single" w:sz="4" w:space="0" w:color="000000"/>
              <w:right w:val="single" w:sz="4" w:space="0" w:color="000000"/>
            </w:tcBorders>
          </w:tcPr>
          <w:p w14:paraId="00188657" w14:textId="77777777" w:rsidR="005C28B1" w:rsidRPr="00975CA4"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47E668D5" w14:textId="77777777" w:rsidR="005C28B1" w:rsidRPr="00975CA4"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6D509A2E" w14:textId="77777777" w:rsidR="005C28B1" w:rsidRPr="00975CA4" w:rsidRDefault="005C28B1">
            <w:pPr>
              <w:jc w:val="center"/>
              <w:rPr>
                <w:rFonts w:eastAsia="Times New Roman"/>
                <w:b/>
                <w:bCs/>
                <w:sz w:val="22"/>
                <w:szCs w:val="22"/>
              </w:rPr>
            </w:pPr>
          </w:p>
        </w:tc>
      </w:tr>
      <w:tr w:rsidR="005C28B1" w:rsidRPr="00975CA4" w14:paraId="75E095C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EBE7D78" w14:textId="77777777" w:rsidR="005C28B1" w:rsidRPr="00975CA4" w:rsidRDefault="005C28B1">
            <w:pPr>
              <w:jc w:val="center"/>
              <w:rPr>
                <w:rFonts w:eastAsia="Times New Roman"/>
                <w:b/>
                <w:bCs/>
                <w:sz w:val="22"/>
                <w:szCs w:val="22"/>
              </w:rPr>
            </w:pPr>
            <w:proofErr w:type="spellStart"/>
            <w:r w:rsidRPr="00975CA4">
              <w:rPr>
                <w:rFonts w:eastAsia="Times New Roman"/>
                <w:sz w:val="22"/>
                <w:szCs w:val="22"/>
              </w:rPr>
              <w:t>cCCyR</w:t>
            </w:r>
            <w:r w:rsidRPr="00975CA4">
              <w:rPr>
                <w:rFonts w:eastAsia="Times New Roman"/>
                <w:sz w:val="22"/>
                <w:szCs w:val="22"/>
                <w:vertAlign w:val="superscript"/>
              </w:rPr>
              <w:t>a</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0CE018BF" w14:textId="77777777" w:rsidR="005C28B1" w:rsidRPr="00975CA4" w:rsidRDefault="005C28B1">
            <w:pPr>
              <w:jc w:val="center"/>
              <w:rPr>
                <w:rFonts w:eastAsia="Times New Roman"/>
                <w:b/>
                <w:bCs/>
                <w:sz w:val="22"/>
                <w:szCs w:val="22"/>
              </w:rPr>
            </w:pPr>
            <w:r w:rsidRPr="00975CA4">
              <w:rPr>
                <w:rFonts w:eastAsia="Times New Roman"/>
                <w:sz w:val="22"/>
                <w:szCs w:val="22"/>
              </w:rPr>
              <w:t>82</w:t>
            </w:r>
            <w:r w:rsidR="007042ED" w:rsidRPr="00975CA4">
              <w:rPr>
                <w:rFonts w:eastAsia="Times New Roman"/>
                <w:sz w:val="22"/>
                <w:szCs w:val="22"/>
              </w:rPr>
              <w:t>,</w:t>
            </w:r>
            <w:r w:rsidRPr="00975CA4">
              <w:rPr>
                <w:rFonts w:eastAsia="Times New Roman"/>
                <w:sz w:val="22"/>
                <w:szCs w:val="22"/>
              </w:rPr>
              <w:t>6</w:t>
            </w:r>
            <w:r w:rsidR="004877E7" w:rsidRPr="00975CA4">
              <w:rPr>
                <w:rFonts w:eastAsia="Times New Roman"/>
                <w:sz w:val="22"/>
                <w:szCs w:val="22"/>
              </w:rPr>
              <w:t> </w:t>
            </w:r>
            <w:r w:rsidRPr="00975CA4">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0C221B0D" w14:textId="77777777" w:rsidR="005C28B1" w:rsidRPr="00975CA4" w:rsidRDefault="005C28B1">
            <w:pPr>
              <w:jc w:val="center"/>
              <w:rPr>
                <w:rFonts w:eastAsia="Times New Roman"/>
                <w:b/>
                <w:bCs/>
                <w:sz w:val="22"/>
                <w:szCs w:val="22"/>
              </w:rPr>
            </w:pPr>
            <w:r w:rsidRPr="00975CA4">
              <w:rPr>
                <w:rFonts w:eastAsia="Times New Roman"/>
                <w:sz w:val="22"/>
                <w:szCs w:val="22"/>
              </w:rPr>
              <w:t>77</w:t>
            </w:r>
            <w:r w:rsidR="007042ED" w:rsidRPr="00975CA4">
              <w:rPr>
                <w:rFonts w:eastAsia="Times New Roman"/>
                <w:sz w:val="22"/>
                <w:szCs w:val="22"/>
              </w:rPr>
              <w:t>,</w:t>
            </w:r>
            <w:r w:rsidRPr="00975CA4">
              <w:rPr>
                <w:rFonts w:eastAsia="Times New Roman"/>
                <w:sz w:val="22"/>
                <w:szCs w:val="22"/>
              </w:rPr>
              <w:t>3</w:t>
            </w:r>
            <w:r w:rsidR="004877E7" w:rsidRPr="00975CA4">
              <w:rPr>
                <w:rFonts w:eastAsia="Times New Roman"/>
                <w:sz w:val="22"/>
                <w:szCs w:val="22"/>
              </w:rPr>
              <w:t> </w:t>
            </w:r>
            <w:r w:rsidRPr="00975CA4">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13747607" w14:textId="77777777" w:rsidR="005C28B1" w:rsidRPr="00975CA4" w:rsidRDefault="005C28B1">
            <w:pPr>
              <w:jc w:val="center"/>
              <w:rPr>
                <w:sz w:val="22"/>
                <w:szCs w:val="22"/>
              </w:rPr>
            </w:pPr>
            <w:r w:rsidRPr="00975CA4">
              <w:rPr>
                <w:rFonts w:ascii="Cambria Math" w:eastAsia="Segoe UI Symbol" w:hAnsi="Cambria Math" w:cs="Cambria Math"/>
                <w:sz w:val="22"/>
                <w:szCs w:val="22"/>
              </w:rPr>
              <w:t>⎯</w:t>
            </w:r>
          </w:p>
        </w:tc>
      </w:tr>
      <w:tr w:rsidR="005C28B1" w:rsidRPr="00975CA4" w14:paraId="02CF2BEE"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43DEC5B7" w14:textId="77777777" w:rsidR="005C28B1" w:rsidRPr="00975CA4" w:rsidRDefault="005C28B1">
            <w:pPr>
              <w:jc w:val="center"/>
              <w:rPr>
                <w:rFonts w:eastAsia="Times New Roman"/>
                <w:b/>
                <w:bCs/>
                <w:sz w:val="22"/>
                <w:szCs w:val="22"/>
              </w:rPr>
            </w:pPr>
            <w:proofErr w:type="spellStart"/>
            <w:r w:rsidRPr="00975CA4">
              <w:rPr>
                <w:rFonts w:eastAsia="Times New Roman"/>
                <w:sz w:val="22"/>
                <w:szCs w:val="22"/>
              </w:rPr>
              <w:t>CCyR</w:t>
            </w:r>
            <w:r w:rsidRPr="00975CA4">
              <w:rPr>
                <w:rFonts w:eastAsia="Times New Roman"/>
                <w:sz w:val="22"/>
                <w:szCs w:val="22"/>
                <w:vertAlign w:val="superscript"/>
              </w:rPr>
              <w:t>b</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5453CFD3" w14:textId="77777777" w:rsidR="005C28B1" w:rsidRPr="00975CA4" w:rsidRDefault="005C28B1">
            <w:pPr>
              <w:jc w:val="center"/>
              <w:rPr>
                <w:rFonts w:eastAsia="Times New Roman"/>
                <w:b/>
                <w:bCs/>
                <w:sz w:val="22"/>
                <w:szCs w:val="22"/>
              </w:rPr>
            </w:pPr>
            <w:r w:rsidRPr="00975CA4">
              <w:rPr>
                <w:rFonts w:eastAsia="Times New Roman"/>
                <w:sz w:val="22"/>
                <w:szCs w:val="22"/>
              </w:rPr>
              <w:t>88</w:t>
            </w:r>
            <w:r w:rsidR="007042ED" w:rsidRPr="00975CA4">
              <w:rPr>
                <w:rFonts w:eastAsia="Times New Roman"/>
                <w:sz w:val="22"/>
                <w:szCs w:val="22"/>
              </w:rPr>
              <w:t>,</w:t>
            </w:r>
            <w:r w:rsidRPr="00975CA4">
              <w:rPr>
                <w:rFonts w:eastAsia="Times New Roman"/>
                <w:sz w:val="22"/>
                <w:szCs w:val="22"/>
              </w:rPr>
              <w:t>0</w:t>
            </w:r>
            <w:r w:rsidR="004877E7" w:rsidRPr="00975CA4">
              <w:rPr>
                <w:rFonts w:eastAsia="Times New Roman"/>
                <w:sz w:val="22"/>
                <w:szCs w:val="22"/>
              </w:rPr>
              <w:t> </w:t>
            </w:r>
            <w:r w:rsidRPr="00975CA4">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2E58C365" w14:textId="77777777" w:rsidR="005C28B1" w:rsidRPr="00975CA4" w:rsidRDefault="005C28B1">
            <w:pPr>
              <w:jc w:val="center"/>
              <w:rPr>
                <w:rFonts w:eastAsia="Times New Roman"/>
                <w:b/>
                <w:bCs/>
                <w:sz w:val="22"/>
                <w:szCs w:val="22"/>
              </w:rPr>
            </w:pPr>
            <w:r w:rsidRPr="00975CA4">
              <w:rPr>
                <w:rFonts w:eastAsia="Times New Roman"/>
                <w:sz w:val="22"/>
                <w:szCs w:val="22"/>
              </w:rPr>
              <w:t>83</w:t>
            </w:r>
            <w:r w:rsidR="007042ED" w:rsidRPr="00975CA4">
              <w:rPr>
                <w:rFonts w:eastAsia="Times New Roman"/>
                <w:sz w:val="22"/>
                <w:szCs w:val="22"/>
              </w:rPr>
              <w:t>,</w:t>
            </w:r>
            <w:r w:rsidRPr="00975CA4">
              <w:rPr>
                <w:rFonts w:eastAsia="Times New Roman"/>
                <w:sz w:val="22"/>
                <w:szCs w:val="22"/>
              </w:rPr>
              <w:t>5</w:t>
            </w:r>
            <w:r w:rsidR="004877E7" w:rsidRPr="00975CA4">
              <w:rPr>
                <w:rFonts w:eastAsia="Times New Roman"/>
                <w:sz w:val="22"/>
                <w:szCs w:val="22"/>
              </w:rPr>
              <w:t> </w:t>
            </w:r>
            <w:r w:rsidRPr="00975CA4">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1E4CC931" w14:textId="77777777" w:rsidR="005C28B1" w:rsidRPr="00975CA4" w:rsidRDefault="005C28B1">
            <w:pPr>
              <w:jc w:val="center"/>
              <w:rPr>
                <w:sz w:val="22"/>
                <w:szCs w:val="22"/>
              </w:rPr>
            </w:pPr>
            <w:r w:rsidRPr="00975CA4">
              <w:rPr>
                <w:rFonts w:ascii="Cambria Math" w:eastAsia="Segoe UI Symbol" w:hAnsi="Cambria Math" w:cs="Cambria Math"/>
                <w:sz w:val="22"/>
                <w:szCs w:val="22"/>
              </w:rPr>
              <w:t>⎯</w:t>
            </w:r>
          </w:p>
        </w:tc>
      </w:tr>
      <w:tr w:rsidR="005C28B1" w:rsidRPr="00975CA4" w14:paraId="381B97A5"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60D4F5BE" w14:textId="77777777" w:rsidR="005C28B1" w:rsidRPr="00975CA4" w:rsidRDefault="005C28B1">
            <w:pPr>
              <w:ind w:left="204"/>
              <w:rPr>
                <w:rFonts w:eastAsia="Times New Roman"/>
                <w:b/>
                <w:bCs/>
                <w:sz w:val="22"/>
                <w:szCs w:val="22"/>
              </w:rPr>
            </w:pPr>
            <w:r w:rsidRPr="00975CA4">
              <w:rPr>
                <w:rFonts w:eastAsia="Times New Roman"/>
                <w:b/>
                <w:bCs/>
                <w:sz w:val="22"/>
                <w:szCs w:val="22"/>
              </w:rPr>
              <w:t>per 48 mėnesius</w:t>
            </w:r>
          </w:p>
        </w:tc>
        <w:tc>
          <w:tcPr>
            <w:tcW w:w="2041" w:type="dxa"/>
            <w:tcBorders>
              <w:top w:val="single" w:sz="4" w:space="0" w:color="000000"/>
              <w:left w:val="single" w:sz="4" w:space="0" w:color="000000"/>
              <w:bottom w:val="single" w:sz="4" w:space="0" w:color="000000"/>
              <w:right w:val="single" w:sz="4" w:space="0" w:color="000000"/>
            </w:tcBorders>
          </w:tcPr>
          <w:p w14:paraId="64E46146" w14:textId="77777777" w:rsidR="005C28B1" w:rsidRPr="00975CA4"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2874B6D0" w14:textId="77777777" w:rsidR="005C28B1" w:rsidRPr="00975CA4"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2096111F" w14:textId="77777777" w:rsidR="005C28B1" w:rsidRPr="00975CA4" w:rsidRDefault="005C28B1">
            <w:pPr>
              <w:jc w:val="center"/>
              <w:rPr>
                <w:rFonts w:eastAsia="Times New Roman"/>
                <w:b/>
                <w:bCs/>
                <w:sz w:val="22"/>
                <w:szCs w:val="22"/>
              </w:rPr>
            </w:pPr>
          </w:p>
        </w:tc>
      </w:tr>
      <w:tr w:rsidR="005C28B1" w:rsidRPr="00975CA4" w14:paraId="7FFC079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595766D" w14:textId="77777777" w:rsidR="005C28B1" w:rsidRPr="00975CA4" w:rsidRDefault="005C28B1">
            <w:pPr>
              <w:jc w:val="center"/>
              <w:rPr>
                <w:rFonts w:eastAsia="Times New Roman"/>
                <w:b/>
                <w:bCs/>
                <w:sz w:val="22"/>
                <w:szCs w:val="22"/>
              </w:rPr>
            </w:pPr>
            <w:proofErr w:type="spellStart"/>
            <w:r w:rsidRPr="00975CA4">
              <w:rPr>
                <w:rFonts w:eastAsia="Times New Roman"/>
                <w:sz w:val="22"/>
                <w:szCs w:val="22"/>
              </w:rPr>
              <w:t>cCCyR</w:t>
            </w:r>
            <w:r w:rsidRPr="00975CA4">
              <w:rPr>
                <w:rFonts w:eastAsia="Times New Roman"/>
                <w:sz w:val="22"/>
                <w:szCs w:val="22"/>
                <w:vertAlign w:val="superscript"/>
              </w:rPr>
              <w:t>a</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21ECF324" w14:textId="10E6D4C6" w:rsidR="005C28B1" w:rsidRPr="00975CA4" w:rsidRDefault="005C28B1" w:rsidP="009F6927">
            <w:pPr>
              <w:jc w:val="center"/>
              <w:rPr>
                <w:rFonts w:eastAsia="Times New Roman"/>
                <w:b/>
                <w:bCs/>
                <w:sz w:val="22"/>
                <w:szCs w:val="22"/>
              </w:rPr>
            </w:pPr>
            <w:r w:rsidRPr="00975CA4">
              <w:rPr>
                <w:rFonts w:eastAsia="Times New Roman"/>
                <w:sz w:val="22"/>
                <w:szCs w:val="22"/>
              </w:rPr>
              <w:t>82</w:t>
            </w:r>
            <w:r w:rsidR="009F6927" w:rsidRPr="00975CA4">
              <w:rPr>
                <w:rFonts w:eastAsia="Times New Roman"/>
                <w:sz w:val="22"/>
                <w:szCs w:val="22"/>
              </w:rPr>
              <w:t>,</w:t>
            </w:r>
            <w:r w:rsidRPr="00975CA4">
              <w:rPr>
                <w:rFonts w:eastAsia="Times New Roman"/>
                <w:sz w:val="22"/>
                <w:szCs w:val="22"/>
              </w:rPr>
              <w:t>6</w:t>
            </w:r>
            <w:r w:rsidR="004877E7" w:rsidRPr="00975CA4">
              <w:rPr>
                <w:rFonts w:eastAsia="Times New Roman"/>
                <w:sz w:val="22"/>
                <w:szCs w:val="22"/>
              </w:rPr>
              <w:t> </w:t>
            </w:r>
            <w:r w:rsidRPr="00975CA4">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1A3860C1" w14:textId="77777777" w:rsidR="005C28B1" w:rsidRPr="00975CA4" w:rsidRDefault="005C28B1">
            <w:pPr>
              <w:jc w:val="center"/>
              <w:rPr>
                <w:rFonts w:eastAsia="Times New Roman"/>
                <w:b/>
                <w:bCs/>
                <w:sz w:val="22"/>
                <w:szCs w:val="22"/>
              </w:rPr>
            </w:pPr>
            <w:r w:rsidRPr="00975CA4">
              <w:rPr>
                <w:rFonts w:eastAsia="Times New Roman"/>
                <w:sz w:val="22"/>
                <w:szCs w:val="22"/>
              </w:rPr>
              <w:t>78</w:t>
            </w:r>
            <w:r w:rsidR="007042ED" w:rsidRPr="00975CA4">
              <w:rPr>
                <w:rFonts w:eastAsia="Times New Roman"/>
                <w:sz w:val="22"/>
                <w:szCs w:val="22"/>
              </w:rPr>
              <w:t>,</w:t>
            </w:r>
            <w:r w:rsidRPr="00975CA4">
              <w:rPr>
                <w:rFonts w:eastAsia="Times New Roman"/>
                <w:sz w:val="22"/>
                <w:szCs w:val="22"/>
              </w:rPr>
              <w:t>5</w:t>
            </w:r>
            <w:r w:rsidR="004877E7" w:rsidRPr="00975CA4">
              <w:rPr>
                <w:rFonts w:eastAsia="Times New Roman"/>
                <w:sz w:val="22"/>
                <w:szCs w:val="22"/>
              </w:rPr>
              <w:t> </w:t>
            </w:r>
            <w:r w:rsidRPr="00975CA4">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7FE49A2F" w14:textId="77777777" w:rsidR="005C28B1" w:rsidRPr="00975CA4" w:rsidRDefault="005C28B1">
            <w:pPr>
              <w:jc w:val="center"/>
              <w:rPr>
                <w:sz w:val="22"/>
                <w:szCs w:val="22"/>
              </w:rPr>
            </w:pPr>
            <w:r w:rsidRPr="00975CA4">
              <w:rPr>
                <w:rFonts w:ascii="Cambria Math" w:eastAsia="Segoe UI Symbol" w:hAnsi="Cambria Math" w:cs="Cambria Math"/>
                <w:sz w:val="22"/>
                <w:szCs w:val="22"/>
              </w:rPr>
              <w:t>⎯</w:t>
            </w:r>
          </w:p>
        </w:tc>
      </w:tr>
      <w:tr w:rsidR="005C28B1" w:rsidRPr="00975CA4" w14:paraId="296744D8"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02BD0CB2" w14:textId="77777777" w:rsidR="005C28B1" w:rsidRPr="00975CA4" w:rsidRDefault="005C28B1">
            <w:pPr>
              <w:jc w:val="center"/>
              <w:rPr>
                <w:rFonts w:eastAsia="Times New Roman"/>
                <w:b/>
                <w:bCs/>
                <w:sz w:val="22"/>
                <w:szCs w:val="22"/>
              </w:rPr>
            </w:pPr>
            <w:proofErr w:type="spellStart"/>
            <w:r w:rsidRPr="00975CA4">
              <w:rPr>
                <w:rFonts w:eastAsia="Times New Roman"/>
                <w:sz w:val="22"/>
                <w:szCs w:val="22"/>
              </w:rPr>
              <w:t>CCyR</w:t>
            </w:r>
            <w:r w:rsidRPr="00975CA4">
              <w:rPr>
                <w:rFonts w:eastAsia="Times New Roman"/>
                <w:sz w:val="22"/>
                <w:szCs w:val="22"/>
                <w:vertAlign w:val="superscript"/>
              </w:rPr>
              <w:t>b</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299CC97B" w14:textId="77777777" w:rsidR="005C28B1" w:rsidRPr="00975CA4" w:rsidRDefault="005C28B1">
            <w:pPr>
              <w:jc w:val="center"/>
              <w:rPr>
                <w:rFonts w:eastAsia="Times New Roman"/>
                <w:b/>
                <w:bCs/>
                <w:sz w:val="22"/>
                <w:szCs w:val="22"/>
              </w:rPr>
            </w:pPr>
            <w:r w:rsidRPr="00975CA4">
              <w:rPr>
                <w:rFonts w:eastAsia="Times New Roman"/>
                <w:sz w:val="22"/>
                <w:szCs w:val="22"/>
              </w:rPr>
              <w:t>87</w:t>
            </w:r>
            <w:r w:rsidR="007042ED" w:rsidRPr="00975CA4">
              <w:rPr>
                <w:rFonts w:eastAsia="Times New Roman"/>
                <w:sz w:val="22"/>
                <w:szCs w:val="22"/>
              </w:rPr>
              <w:t>,</w:t>
            </w:r>
            <w:r w:rsidRPr="00975CA4">
              <w:rPr>
                <w:rFonts w:eastAsia="Times New Roman"/>
                <w:sz w:val="22"/>
                <w:szCs w:val="22"/>
              </w:rPr>
              <w:t>6</w:t>
            </w:r>
            <w:r w:rsidR="004877E7" w:rsidRPr="00975CA4">
              <w:rPr>
                <w:rFonts w:eastAsia="Times New Roman"/>
                <w:sz w:val="22"/>
                <w:szCs w:val="22"/>
              </w:rPr>
              <w:t> </w:t>
            </w:r>
            <w:r w:rsidRPr="00975CA4">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7EEA2BBB" w14:textId="77777777" w:rsidR="005C28B1" w:rsidRPr="00975CA4" w:rsidRDefault="005C28B1">
            <w:pPr>
              <w:jc w:val="center"/>
              <w:rPr>
                <w:rFonts w:eastAsia="Times New Roman"/>
                <w:b/>
                <w:bCs/>
                <w:sz w:val="22"/>
                <w:szCs w:val="22"/>
              </w:rPr>
            </w:pPr>
            <w:r w:rsidRPr="00975CA4">
              <w:rPr>
                <w:rFonts w:eastAsia="Times New Roman"/>
                <w:sz w:val="22"/>
                <w:szCs w:val="22"/>
              </w:rPr>
              <w:t>83</w:t>
            </w:r>
            <w:r w:rsidR="007042ED" w:rsidRPr="00975CA4">
              <w:rPr>
                <w:rFonts w:eastAsia="Times New Roman"/>
                <w:sz w:val="22"/>
                <w:szCs w:val="22"/>
              </w:rPr>
              <w:t>,</w:t>
            </w:r>
            <w:r w:rsidRPr="00975CA4">
              <w:rPr>
                <w:rFonts w:eastAsia="Times New Roman"/>
                <w:sz w:val="22"/>
                <w:szCs w:val="22"/>
              </w:rPr>
              <w:t>8</w:t>
            </w:r>
            <w:r w:rsidR="004877E7" w:rsidRPr="00975CA4">
              <w:rPr>
                <w:rFonts w:eastAsia="Times New Roman"/>
                <w:sz w:val="22"/>
                <w:szCs w:val="22"/>
              </w:rPr>
              <w:t> </w:t>
            </w:r>
            <w:r w:rsidRPr="00975CA4">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789C90AD" w14:textId="77777777" w:rsidR="005C28B1" w:rsidRPr="00975CA4" w:rsidRDefault="005C28B1">
            <w:pPr>
              <w:jc w:val="center"/>
              <w:rPr>
                <w:sz w:val="22"/>
                <w:szCs w:val="22"/>
              </w:rPr>
            </w:pPr>
            <w:r w:rsidRPr="00975CA4">
              <w:rPr>
                <w:rFonts w:ascii="Cambria Math" w:eastAsia="Segoe UI Symbol" w:hAnsi="Cambria Math" w:cs="Cambria Math"/>
                <w:sz w:val="22"/>
                <w:szCs w:val="22"/>
              </w:rPr>
              <w:t>⎯</w:t>
            </w:r>
          </w:p>
        </w:tc>
      </w:tr>
      <w:tr w:rsidR="005C28B1" w:rsidRPr="00975CA4" w14:paraId="1B53DF9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79C8E004" w14:textId="77777777" w:rsidR="005C28B1" w:rsidRPr="00975CA4" w:rsidRDefault="005C28B1">
            <w:pPr>
              <w:ind w:left="204"/>
              <w:rPr>
                <w:rFonts w:eastAsia="Times New Roman"/>
                <w:b/>
                <w:bCs/>
                <w:sz w:val="22"/>
                <w:szCs w:val="22"/>
              </w:rPr>
            </w:pPr>
            <w:r w:rsidRPr="00975CA4">
              <w:rPr>
                <w:rFonts w:eastAsia="Times New Roman"/>
                <w:b/>
                <w:bCs/>
                <w:sz w:val="22"/>
                <w:szCs w:val="22"/>
              </w:rPr>
              <w:t>per 60 mėnesių</w:t>
            </w:r>
          </w:p>
        </w:tc>
        <w:tc>
          <w:tcPr>
            <w:tcW w:w="2041" w:type="dxa"/>
            <w:tcBorders>
              <w:top w:val="single" w:sz="4" w:space="0" w:color="000000"/>
              <w:left w:val="single" w:sz="4" w:space="0" w:color="000000"/>
              <w:bottom w:val="single" w:sz="4" w:space="0" w:color="000000"/>
              <w:right w:val="single" w:sz="4" w:space="0" w:color="000000"/>
            </w:tcBorders>
          </w:tcPr>
          <w:p w14:paraId="2A46F995" w14:textId="77777777" w:rsidR="005C28B1" w:rsidRPr="00975CA4"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7FE193FB" w14:textId="77777777" w:rsidR="005C28B1" w:rsidRPr="00975CA4"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0BF6EFA2" w14:textId="77777777" w:rsidR="005C28B1" w:rsidRPr="00975CA4" w:rsidRDefault="005C28B1">
            <w:pPr>
              <w:jc w:val="center"/>
              <w:rPr>
                <w:rFonts w:eastAsia="Times New Roman"/>
                <w:b/>
                <w:bCs/>
                <w:sz w:val="22"/>
                <w:szCs w:val="22"/>
              </w:rPr>
            </w:pPr>
          </w:p>
        </w:tc>
      </w:tr>
      <w:tr w:rsidR="005C28B1" w:rsidRPr="00975CA4" w14:paraId="0790EAD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7BB641A1" w14:textId="77777777" w:rsidR="005C28B1" w:rsidRPr="00975CA4" w:rsidRDefault="005C28B1">
            <w:pPr>
              <w:jc w:val="center"/>
              <w:rPr>
                <w:rFonts w:eastAsia="Times New Roman"/>
                <w:b/>
                <w:bCs/>
                <w:sz w:val="22"/>
                <w:szCs w:val="22"/>
              </w:rPr>
            </w:pPr>
            <w:proofErr w:type="spellStart"/>
            <w:r w:rsidRPr="00975CA4">
              <w:rPr>
                <w:rFonts w:eastAsia="Times New Roman"/>
                <w:sz w:val="22"/>
                <w:szCs w:val="22"/>
              </w:rPr>
              <w:t>cCCyR</w:t>
            </w:r>
            <w:r w:rsidRPr="00975CA4">
              <w:rPr>
                <w:rFonts w:eastAsia="Times New Roman"/>
                <w:sz w:val="22"/>
                <w:szCs w:val="22"/>
                <w:vertAlign w:val="superscript"/>
              </w:rPr>
              <w:t>a</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1A00B527" w14:textId="77777777" w:rsidR="005C28B1" w:rsidRPr="00975CA4" w:rsidRDefault="005C28B1">
            <w:pPr>
              <w:jc w:val="center"/>
              <w:rPr>
                <w:rFonts w:eastAsia="Times New Roman"/>
                <w:b/>
                <w:bCs/>
                <w:sz w:val="22"/>
                <w:szCs w:val="22"/>
              </w:rPr>
            </w:pPr>
            <w:r w:rsidRPr="00975CA4">
              <w:rPr>
                <w:rFonts w:eastAsia="Times New Roman"/>
                <w:sz w:val="22"/>
                <w:szCs w:val="22"/>
              </w:rPr>
              <w:t>83</w:t>
            </w:r>
            <w:r w:rsidR="007042ED" w:rsidRPr="00975CA4">
              <w:rPr>
                <w:rFonts w:eastAsia="Times New Roman"/>
                <w:sz w:val="22"/>
                <w:szCs w:val="22"/>
              </w:rPr>
              <w:t>,</w:t>
            </w:r>
            <w:r w:rsidRPr="00975CA4">
              <w:rPr>
                <w:rFonts w:eastAsia="Times New Roman"/>
                <w:sz w:val="22"/>
                <w:szCs w:val="22"/>
              </w:rPr>
              <w:t>0</w:t>
            </w:r>
            <w:r w:rsidR="004877E7" w:rsidRPr="00975CA4">
              <w:rPr>
                <w:rFonts w:eastAsia="Times New Roman"/>
                <w:sz w:val="22"/>
                <w:szCs w:val="22"/>
              </w:rPr>
              <w:t> </w:t>
            </w:r>
            <w:r w:rsidRPr="00975CA4">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28324FCB" w14:textId="77777777" w:rsidR="005C28B1" w:rsidRPr="00975CA4" w:rsidRDefault="005C28B1">
            <w:pPr>
              <w:jc w:val="center"/>
              <w:rPr>
                <w:rFonts w:eastAsia="Times New Roman"/>
                <w:b/>
                <w:bCs/>
                <w:sz w:val="22"/>
                <w:szCs w:val="22"/>
              </w:rPr>
            </w:pPr>
            <w:r w:rsidRPr="00975CA4">
              <w:rPr>
                <w:rFonts w:eastAsia="Times New Roman"/>
                <w:sz w:val="22"/>
                <w:szCs w:val="22"/>
              </w:rPr>
              <w:t>78</w:t>
            </w:r>
            <w:r w:rsidR="007042ED" w:rsidRPr="00975CA4">
              <w:rPr>
                <w:rFonts w:eastAsia="Times New Roman"/>
                <w:sz w:val="22"/>
                <w:szCs w:val="22"/>
              </w:rPr>
              <w:t>,</w:t>
            </w:r>
            <w:r w:rsidRPr="00975CA4">
              <w:rPr>
                <w:rFonts w:eastAsia="Times New Roman"/>
                <w:sz w:val="22"/>
                <w:szCs w:val="22"/>
              </w:rPr>
              <w:t>5</w:t>
            </w:r>
            <w:r w:rsidR="004877E7" w:rsidRPr="00975CA4">
              <w:rPr>
                <w:rFonts w:eastAsia="Times New Roman"/>
                <w:sz w:val="22"/>
                <w:szCs w:val="22"/>
              </w:rPr>
              <w:t> </w:t>
            </w:r>
            <w:r w:rsidRPr="00975CA4">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2D2BE22F" w14:textId="77777777" w:rsidR="005C28B1" w:rsidRPr="00975CA4" w:rsidRDefault="005C28B1">
            <w:pPr>
              <w:jc w:val="center"/>
              <w:rPr>
                <w:sz w:val="22"/>
                <w:szCs w:val="22"/>
              </w:rPr>
            </w:pPr>
            <w:r w:rsidRPr="00975CA4">
              <w:rPr>
                <w:rFonts w:ascii="Cambria Math" w:eastAsia="Segoe UI Symbol" w:hAnsi="Cambria Math" w:cs="Cambria Math"/>
                <w:sz w:val="22"/>
                <w:szCs w:val="22"/>
              </w:rPr>
              <w:t>⎯</w:t>
            </w:r>
          </w:p>
        </w:tc>
      </w:tr>
      <w:tr w:rsidR="005C28B1" w:rsidRPr="00975CA4" w14:paraId="3BC9C0B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5D8DCB56" w14:textId="77777777" w:rsidR="005C28B1" w:rsidRPr="00975CA4" w:rsidRDefault="005C28B1">
            <w:pPr>
              <w:jc w:val="center"/>
              <w:rPr>
                <w:rFonts w:eastAsia="Times New Roman"/>
                <w:b/>
                <w:bCs/>
                <w:sz w:val="22"/>
                <w:szCs w:val="22"/>
              </w:rPr>
            </w:pPr>
            <w:proofErr w:type="spellStart"/>
            <w:r w:rsidRPr="00975CA4">
              <w:rPr>
                <w:rFonts w:eastAsia="Times New Roman"/>
                <w:sz w:val="22"/>
                <w:szCs w:val="22"/>
              </w:rPr>
              <w:t>CCyR</w:t>
            </w:r>
            <w:r w:rsidRPr="00975CA4">
              <w:rPr>
                <w:rFonts w:eastAsia="Times New Roman"/>
                <w:sz w:val="22"/>
                <w:szCs w:val="22"/>
                <w:vertAlign w:val="superscript"/>
              </w:rPr>
              <w:t>b</w:t>
            </w:r>
            <w:proofErr w:type="spellEnd"/>
          </w:p>
        </w:tc>
        <w:tc>
          <w:tcPr>
            <w:tcW w:w="2041" w:type="dxa"/>
            <w:tcBorders>
              <w:top w:val="single" w:sz="4" w:space="0" w:color="000000"/>
              <w:left w:val="single" w:sz="4" w:space="0" w:color="000000"/>
              <w:bottom w:val="single" w:sz="4" w:space="0" w:color="000000"/>
              <w:right w:val="single" w:sz="4" w:space="0" w:color="000000"/>
            </w:tcBorders>
            <w:hideMark/>
          </w:tcPr>
          <w:p w14:paraId="23BE99E8" w14:textId="77777777" w:rsidR="005C28B1" w:rsidRPr="00975CA4" w:rsidRDefault="005C28B1">
            <w:pPr>
              <w:jc w:val="center"/>
              <w:rPr>
                <w:rFonts w:eastAsia="Times New Roman"/>
                <w:b/>
                <w:bCs/>
                <w:sz w:val="22"/>
                <w:szCs w:val="22"/>
              </w:rPr>
            </w:pPr>
            <w:r w:rsidRPr="00975CA4">
              <w:rPr>
                <w:rFonts w:eastAsia="Times New Roman"/>
                <w:sz w:val="22"/>
                <w:szCs w:val="22"/>
              </w:rPr>
              <w:t>8</w:t>
            </w:r>
            <w:r w:rsidR="007042ED" w:rsidRPr="00975CA4">
              <w:rPr>
                <w:rFonts w:eastAsia="Times New Roman"/>
                <w:sz w:val="22"/>
                <w:szCs w:val="22"/>
              </w:rPr>
              <w:t>,</w:t>
            </w:r>
            <w:r w:rsidRPr="00975CA4">
              <w:rPr>
                <w:rFonts w:eastAsia="Times New Roman"/>
                <w:sz w:val="22"/>
                <w:szCs w:val="22"/>
              </w:rPr>
              <w:t>0</w:t>
            </w:r>
            <w:r w:rsidR="004877E7" w:rsidRPr="00975CA4">
              <w:rPr>
                <w:rFonts w:eastAsia="Times New Roman"/>
                <w:sz w:val="22"/>
                <w:szCs w:val="22"/>
              </w:rPr>
              <w:t> </w:t>
            </w:r>
            <w:r w:rsidRPr="00975CA4">
              <w:rPr>
                <w:rFonts w:eastAsia="Times New Roman"/>
                <w:sz w:val="22"/>
                <w:szCs w:val="22"/>
              </w:rPr>
              <w:t>%</w:t>
            </w:r>
          </w:p>
        </w:tc>
        <w:tc>
          <w:tcPr>
            <w:tcW w:w="2043" w:type="dxa"/>
            <w:tcBorders>
              <w:top w:val="single" w:sz="4" w:space="0" w:color="000000"/>
              <w:left w:val="single" w:sz="4" w:space="0" w:color="000000"/>
              <w:bottom w:val="single" w:sz="4" w:space="0" w:color="000000"/>
              <w:right w:val="single" w:sz="4" w:space="0" w:color="000000"/>
            </w:tcBorders>
            <w:hideMark/>
          </w:tcPr>
          <w:p w14:paraId="62230FD4" w14:textId="77777777" w:rsidR="005C28B1" w:rsidRPr="00975CA4" w:rsidRDefault="005C28B1">
            <w:pPr>
              <w:jc w:val="center"/>
              <w:rPr>
                <w:rFonts w:eastAsia="Times New Roman"/>
                <w:b/>
                <w:bCs/>
                <w:sz w:val="22"/>
                <w:szCs w:val="22"/>
              </w:rPr>
            </w:pPr>
            <w:r w:rsidRPr="00975CA4">
              <w:rPr>
                <w:rFonts w:eastAsia="Times New Roman"/>
                <w:sz w:val="22"/>
                <w:szCs w:val="22"/>
              </w:rPr>
              <w:t>83</w:t>
            </w:r>
            <w:r w:rsidR="007042ED" w:rsidRPr="00975CA4">
              <w:rPr>
                <w:rFonts w:eastAsia="Times New Roman"/>
                <w:sz w:val="22"/>
                <w:szCs w:val="22"/>
              </w:rPr>
              <w:t>,</w:t>
            </w:r>
            <w:r w:rsidRPr="00975CA4">
              <w:rPr>
                <w:rFonts w:eastAsia="Times New Roman"/>
                <w:sz w:val="22"/>
                <w:szCs w:val="22"/>
              </w:rPr>
              <w:t>8</w:t>
            </w:r>
            <w:r w:rsidR="004877E7" w:rsidRPr="00975CA4">
              <w:rPr>
                <w:rFonts w:eastAsia="Times New Roman"/>
                <w:sz w:val="22"/>
                <w:szCs w:val="22"/>
              </w:rPr>
              <w:t> </w:t>
            </w:r>
            <w:r w:rsidRPr="00975CA4">
              <w:rPr>
                <w:rFonts w:eastAsia="Times New Roman"/>
                <w:sz w:val="22"/>
                <w:szCs w:val="22"/>
              </w:rPr>
              <w:t>%</w:t>
            </w:r>
          </w:p>
        </w:tc>
        <w:tc>
          <w:tcPr>
            <w:tcW w:w="1448" w:type="dxa"/>
            <w:tcBorders>
              <w:top w:val="single" w:sz="4" w:space="0" w:color="000000"/>
              <w:left w:val="single" w:sz="4" w:space="0" w:color="000000"/>
              <w:bottom w:val="single" w:sz="4" w:space="0" w:color="000000"/>
              <w:right w:val="single" w:sz="4" w:space="0" w:color="000000"/>
            </w:tcBorders>
            <w:hideMark/>
          </w:tcPr>
          <w:p w14:paraId="76231AD8" w14:textId="77777777" w:rsidR="005C28B1" w:rsidRPr="00975CA4" w:rsidRDefault="005C28B1">
            <w:pPr>
              <w:jc w:val="center"/>
              <w:rPr>
                <w:sz w:val="22"/>
                <w:szCs w:val="22"/>
              </w:rPr>
            </w:pPr>
            <w:r w:rsidRPr="00975CA4">
              <w:rPr>
                <w:rFonts w:ascii="Cambria Math" w:eastAsia="Segoe UI Symbol" w:hAnsi="Cambria Math" w:cs="Cambria Math"/>
                <w:sz w:val="22"/>
                <w:szCs w:val="22"/>
              </w:rPr>
              <w:t>⎯</w:t>
            </w:r>
          </w:p>
        </w:tc>
      </w:tr>
      <w:tr w:rsidR="005C28B1" w:rsidRPr="00975CA4" w14:paraId="3D8477E8"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45F2E3DA" w14:textId="77777777" w:rsidR="005C28B1" w:rsidRPr="00975CA4" w:rsidRDefault="005C28B1">
            <w:pPr>
              <w:ind w:left="-34"/>
              <w:rPr>
                <w:rFonts w:eastAsia="Times New Roman"/>
                <w:b/>
                <w:bCs/>
                <w:sz w:val="22"/>
                <w:szCs w:val="22"/>
              </w:rPr>
            </w:pPr>
            <w:r w:rsidRPr="00975CA4">
              <w:rPr>
                <w:rFonts w:eastAsia="Times New Roman"/>
                <w:b/>
                <w:bCs/>
                <w:sz w:val="22"/>
                <w:szCs w:val="22"/>
              </w:rPr>
              <w:t xml:space="preserve">Didysis molekulinis </w:t>
            </w:r>
            <w:proofErr w:type="spellStart"/>
            <w:r w:rsidRPr="00975CA4">
              <w:rPr>
                <w:rFonts w:eastAsia="Times New Roman"/>
                <w:b/>
                <w:bCs/>
                <w:sz w:val="22"/>
                <w:szCs w:val="22"/>
              </w:rPr>
              <w:t>atsakas</w:t>
            </w:r>
            <w:r w:rsidRPr="00975CA4">
              <w:rPr>
                <w:rFonts w:eastAsia="Times New Roman"/>
                <w:b/>
                <w:bCs/>
                <w:sz w:val="22"/>
                <w:szCs w:val="22"/>
                <w:vertAlign w:val="superscript"/>
              </w:rPr>
              <w:t>c</w:t>
            </w:r>
            <w:proofErr w:type="spellEnd"/>
          </w:p>
        </w:tc>
        <w:tc>
          <w:tcPr>
            <w:tcW w:w="2041" w:type="dxa"/>
            <w:tcBorders>
              <w:top w:val="single" w:sz="4" w:space="0" w:color="000000"/>
              <w:left w:val="single" w:sz="4" w:space="0" w:color="000000"/>
              <w:bottom w:val="single" w:sz="4" w:space="0" w:color="000000"/>
              <w:right w:val="single" w:sz="4" w:space="0" w:color="000000"/>
            </w:tcBorders>
          </w:tcPr>
          <w:p w14:paraId="121C04F4" w14:textId="77777777" w:rsidR="005C28B1" w:rsidRPr="00975CA4" w:rsidRDefault="005C28B1">
            <w:pPr>
              <w:jc w:val="center"/>
              <w:rPr>
                <w:rFonts w:eastAsia="Times New Roman"/>
                <w:b/>
                <w:bCs/>
                <w:sz w:val="22"/>
                <w:szCs w:val="22"/>
              </w:rPr>
            </w:pPr>
          </w:p>
        </w:tc>
        <w:tc>
          <w:tcPr>
            <w:tcW w:w="2043" w:type="dxa"/>
            <w:tcBorders>
              <w:top w:val="single" w:sz="4" w:space="0" w:color="000000"/>
              <w:left w:val="single" w:sz="4" w:space="0" w:color="000000"/>
              <w:bottom w:val="single" w:sz="4" w:space="0" w:color="000000"/>
              <w:right w:val="single" w:sz="4" w:space="0" w:color="000000"/>
            </w:tcBorders>
          </w:tcPr>
          <w:p w14:paraId="57F6C78D" w14:textId="77777777" w:rsidR="005C28B1" w:rsidRPr="00975CA4" w:rsidRDefault="005C28B1">
            <w:pPr>
              <w:jc w:val="center"/>
              <w:rPr>
                <w:rFonts w:eastAsia="Times New Roman"/>
                <w:b/>
                <w:bCs/>
                <w:sz w:val="22"/>
                <w:szCs w:val="22"/>
              </w:rPr>
            </w:pPr>
          </w:p>
        </w:tc>
        <w:tc>
          <w:tcPr>
            <w:tcW w:w="1448" w:type="dxa"/>
            <w:tcBorders>
              <w:top w:val="single" w:sz="4" w:space="0" w:color="000000"/>
              <w:left w:val="single" w:sz="4" w:space="0" w:color="000000"/>
              <w:bottom w:val="single" w:sz="4" w:space="0" w:color="000000"/>
              <w:right w:val="single" w:sz="4" w:space="0" w:color="000000"/>
            </w:tcBorders>
          </w:tcPr>
          <w:p w14:paraId="31524DEE" w14:textId="77777777" w:rsidR="005C28B1" w:rsidRPr="00975CA4" w:rsidRDefault="005C28B1">
            <w:pPr>
              <w:jc w:val="center"/>
              <w:rPr>
                <w:rFonts w:eastAsia="Times New Roman"/>
                <w:b/>
                <w:bCs/>
                <w:sz w:val="22"/>
                <w:szCs w:val="22"/>
              </w:rPr>
            </w:pPr>
          </w:p>
        </w:tc>
      </w:tr>
      <w:tr w:rsidR="005C28B1" w:rsidRPr="00975CA4" w14:paraId="779BB00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DF8CDF5" w14:textId="77777777" w:rsidR="005C28B1" w:rsidRPr="00975CA4" w:rsidRDefault="005C28B1">
            <w:pPr>
              <w:ind w:left="204"/>
              <w:rPr>
                <w:rFonts w:eastAsia="Times New Roman"/>
                <w:b/>
                <w:bCs/>
                <w:sz w:val="22"/>
                <w:szCs w:val="22"/>
              </w:rPr>
            </w:pPr>
            <w:r w:rsidRPr="00975CA4">
              <w:rPr>
                <w:rFonts w:eastAsia="Times New Roman"/>
                <w:b/>
                <w:bCs/>
                <w:sz w:val="22"/>
                <w:szCs w:val="22"/>
              </w:rPr>
              <w:t>12 mėnesių</w:t>
            </w:r>
          </w:p>
        </w:tc>
        <w:tc>
          <w:tcPr>
            <w:tcW w:w="2041" w:type="dxa"/>
            <w:tcBorders>
              <w:top w:val="single" w:sz="4" w:space="0" w:color="000000"/>
              <w:left w:val="single" w:sz="4" w:space="0" w:color="000000"/>
              <w:bottom w:val="single" w:sz="4" w:space="0" w:color="000000"/>
              <w:right w:val="single" w:sz="4" w:space="0" w:color="000000"/>
            </w:tcBorders>
            <w:hideMark/>
          </w:tcPr>
          <w:p w14:paraId="6D01FF33" w14:textId="77777777" w:rsidR="005C28B1" w:rsidRPr="00975CA4" w:rsidRDefault="005C28B1">
            <w:pPr>
              <w:ind w:left="-115" w:right="-108"/>
              <w:jc w:val="center"/>
              <w:rPr>
                <w:rFonts w:eastAsia="Times New Roman"/>
                <w:sz w:val="22"/>
                <w:szCs w:val="22"/>
              </w:rPr>
            </w:pPr>
            <w:r w:rsidRPr="00975CA4">
              <w:rPr>
                <w:rFonts w:eastAsia="Times New Roman"/>
                <w:sz w:val="22"/>
                <w:szCs w:val="22"/>
              </w:rPr>
              <w:t>52</w:t>
            </w:r>
            <w:r w:rsidR="007042ED" w:rsidRPr="00975CA4">
              <w:rPr>
                <w:rFonts w:eastAsia="Times New Roman"/>
                <w:sz w:val="22"/>
                <w:szCs w:val="22"/>
              </w:rPr>
              <w:t>,</w:t>
            </w:r>
            <w:r w:rsidRPr="00975CA4">
              <w:rPr>
                <w:rFonts w:eastAsia="Times New Roman"/>
                <w:sz w:val="22"/>
                <w:szCs w:val="22"/>
              </w:rPr>
              <w:t>1</w:t>
            </w:r>
            <w:r w:rsidR="004877E7" w:rsidRPr="00975CA4">
              <w:rPr>
                <w:rFonts w:eastAsia="Times New Roman"/>
                <w:sz w:val="22"/>
                <w:szCs w:val="22"/>
              </w:rPr>
              <w:t> </w:t>
            </w:r>
            <w:r w:rsidRPr="00975CA4">
              <w:rPr>
                <w:rFonts w:eastAsia="Times New Roman"/>
                <w:sz w:val="22"/>
                <w:szCs w:val="22"/>
              </w:rPr>
              <w:t>% (45</w:t>
            </w:r>
            <w:r w:rsidR="007042ED" w:rsidRPr="00975CA4">
              <w:rPr>
                <w:rFonts w:eastAsia="Times New Roman"/>
                <w:sz w:val="22"/>
                <w:szCs w:val="22"/>
              </w:rPr>
              <w:t>,</w:t>
            </w:r>
            <w:r w:rsidRPr="00975CA4">
              <w:rPr>
                <w:rFonts w:eastAsia="Times New Roman"/>
                <w:sz w:val="22"/>
                <w:szCs w:val="22"/>
              </w:rPr>
              <w:t>9 – 58</w:t>
            </w:r>
            <w:r w:rsidR="007042ED" w:rsidRPr="00975CA4">
              <w:rPr>
                <w:rFonts w:eastAsia="Times New Roman"/>
                <w:sz w:val="22"/>
                <w:szCs w:val="22"/>
              </w:rPr>
              <w:t>,</w:t>
            </w:r>
            <w:r w:rsidRPr="00975CA4">
              <w:rPr>
                <w:rFonts w:eastAsia="Times New Roman"/>
                <w:sz w:val="22"/>
                <w:szCs w:val="22"/>
              </w:rPr>
              <w:t>3)</w:t>
            </w:r>
          </w:p>
        </w:tc>
        <w:tc>
          <w:tcPr>
            <w:tcW w:w="2043" w:type="dxa"/>
            <w:tcBorders>
              <w:top w:val="single" w:sz="4" w:space="0" w:color="000000"/>
              <w:left w:val="single" w:sz="4" w:space="0" w:color="000000"/>
              <w:bottom w:val="single" w:sz="4" w:space="0" w:color="000000"/>
              <w:right w:val="single" w:sz="4" w:space="0" w:color="000000"/>
            </w:tcBorders>
            <w:hideMark/>
          </w:tcPr>
          <w:p w14:paraId="00A84782" w14:textId="77777777" w:rsidR="005C28B1" w:rsidRPr="00975CA4" w:rsidRDefault="005C28B1">
            <w:pPr>
              <w:ind w:left="-115" w:right="-108"/>
              <w:jc w:val="center"/>
              <w:rPr>
                <w:rFonts w:eastAsia="Times New Roman"/>
                <w:sz w:val="22"/>
                <w:szCs w:val="22"/>
              </w:rPr>
            </w:pPr>
            <w:r w:rsidRPr="00975CA4">
              <w:rPr>
                <w:rFonts w:eastAsia="Times New Roman"/>
                <w:sz w:val="22"/>
                <w:szCs w:val="22"/>
              </w:rPr>
              <w:t>33</w:t>
            </w:r>
            <w:r w:rsidR="007042ED" w:rsidRPr="00975CA4">
              <w:rPr>
                <w:rFonts w:eastAsia="Times New Roman"/>
                <w:sz w:val="22"/>
                <w:szCs w:val="22"/>
              </w:rPr>
              <w:t>,</w:t>
            </w:r>
            <w:r w:rsidRPr="00975CA4">
              <w:rPr>
                <w:rFonts w:eastAsia="Times New Roman"/>
                <w:sz w:val="22"/>
                <w:szCs w:val="22"/>
              </w:rPr>
              <w:t>8</w:t>
            </w:r>
            <w:r w:rsidR="004877E7" w:rsidRPr="00975CA4">
              <w:rPr>
                <w:rFonts w:eastAsia="Times New Roman"/>
                <w:sz w:val="22"/>
                <w:szCs w:val="22"/>
              </w:rPr>
              <w:t> </w:t>
            </w:r>
            <w:r w:rsidRPr="00975CA4">
              <w:rPr>
                <w:rFonts w:eastAsia="Times New Roman"/>
                <w:sz w:val="22"/>
                <w:szCs w:val="22"/>
              </w:rPr>
              <w:t>% (28</w:t>
            </w:r>
            <w:r w:rsidR="007042ED" w:rsidRPr="00975CA4">
              <w:rPr>
                <w:rFonts w:eastAsia="Times New Roman"/>
                <w:sz w:val="22"/>
                <w:szCs w:val="22"/>
              </w:rPr>
              <w:t>,</w:t>
            </w:r>
            <w:r w:rsidRPr="00975CA4">
              <w:rPr>
                <w:rFonts w:eastAsia="Times New Roman"/>
                <w:sz w:val="22"/>
                <w:szCs w:val="22"/>
              </w:rPr>
              <w:t>1 – 39</w:t>
            </w:r>
            <w:r w:rsidR="007042ED" w:rsidRPr="00975CA4">
              <w:rPr>
                <w:rFonts w:eastAsia="Times New Roman"/>
                <w:sz w:val="22"/>
                <w:szCs w:val="22"/>
              </w:rPr>
              <w:t>,</w:t>
            </w:r>
            <w:r w:rsidRPr="00975CA4">
              <w:rPr>
                <w:rFonts w:eastAsia="Times New Roman"/>
                <w:sz w:val="22"/>
                <w:szCs w:val="22"/>
              </w:rPr>
              <w:t>9)</w:t>
            </w:r>
          </w:p>
        </w:tc>
        <w:tc>
          <w:tcPr>
            <w:tcW w:w="1448" w:type="dxa"/>
            <w:tcBorders>
              <w:top w:val="single" w:sz="4" w:space="0" w:color="000000"/>
              <w:left w:val="single" w:sz="4" w:space="0" w:color="000000"/>
              <w:bottom w:val="single" w:sz="4" w:space="0" w:color="000000"/>
              <w:right w:val="single" w:sz="4" w:space="0" w:color="000000"/>
            </w:tcBorders>
            <w:hideMark/>
          </w:tcPr>
          <w:p w14:paraId="52CC02FE" w14:textId="20BCEE8C" w:rsidR="005C28B1" w:rsidRPr="00975CA4" w:rsidRDefault="00467B83" w:rsidP="004877E7">
            <w:pPr>
              <w:ind w:right="-94"/>
              <w:jc w:val="center"/>
              <w:rPr>
                <w:rFonts w:eastAsia="Times New Roman"/>
                <w:b/>
                <w:bCs/>
                <w:sz w:val="22"/>
                <w:szCs w:val="22"/>
              </w:rPr>
            </w:pPr>
            <w:r w:rsidRPr="00975CA4">
              <w:rPr>
                <w:rFonts w:eastAsia="Times New Roman"/>
                <w:sz w:val="22"/>
                <w:szCs w:val="22"/>
              </w:rPr>
              <w:t>P </w:t>
            </w:r>
            <w:r w:rsidR="005C28B1" w:rsidRPr="00975CA4">
              <w:rPr>
                <w:rFonts w:eastAsia="Times New Roman"/>
                <w:sz w:val="22"/>
                <w:szCs w:val="22"/>
              </w:rPr>
              <w:t>&lt;</w:t>
            </w:r>
            <w:r w:rsidRPr="00975CA4">
              <w:rPr>
                <w:rFonts w:eastAsia="Times New Roman"/>
                <w:sz w:val="22"/>
                <w:szCs w:val="22"/>
              </w:rPr>
              <w:t> </w:t>
            </w:r>
            <w:r w:rsidR="005C28B1" w:rsidRPr="00975CA4">
              <w:rPr>
                <w:rFonts w:eastAsia="Times New Roman"/>
                <w:sz w:val="22"/>
                <w:szCs w:val="22"/>
              </w:rPr>
              <w:t>0</w:t>
            </w:r>
            <w:r w:rsidR="007042ED" w:rsidRPr="00975CA4">
              <w:rPr>
                <w:rFonts w:eastAsia="Times New Roman"/>
                <w:sz w:val="22"/>
                <w:szCs w:val="22"/>
              </w:rPr>
              <w:t>,</w:t>
            </w:r>
            <w:r w:rsidR="005C28B1" w:rsidRPr="00975CA4">
              <w:rPr>
                <w:rFonts w:eastAsia="Times New Roman"/>
                <w:sz w:val="22"/>
                <w:szCs w:val="22"/>
              </w:rPr>
              <w:t>00003</w:t>
            </w:r>
            <w:r w:rsidR="005C28B1" w:rsidRPr="00975CA4">
              <w:rPr>
                <w:rFonts w:eastAsia="Times New Roman"/>
                <w:sz w:val="22"/>
                <w:szCs w:val="22"/>
                <w:vertAlign w:val="superscript"/>
              </w:rPr>
              <w:t>*</w:t>
            </w:r>
          </w:p>
        </w:tc>
      </w:tr>
      <w:tr w:rsidR="005C28B1" w:rsidRPr="00975CA4" w14:paraId="41EB15D7"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2ABCD51C" w14:textId="77777777" w:rsidR="005C28B1" w:rsidRPr="00975CA4" w:rsidRDefault="005C28B1">
            <w:pPr>
              <w:ind w:left="204"/>
              <w:rPr>
                <w:rFonts w:eastAsia="Times New Roman"/>
                <w:b/>
                <w:bCs/>
                <w:sz w:val="22"/>
                <w:szCs w:val="22"/>
              </w:rPr>
            </w:pPr>
            <w:r w:rsidRPr="00975CA4">
              <w:rPr>
                <w:rFonts w:eastAsia="Times New Roman"/>
                <w:b/>
                <w:bCs/>
                <w:sz w:val="22"/>
                <w:szCs w:val="22"/>
              </w:rPr>
              <w:t>24 mėnesiai</w:t>
            </w:r>
          </w:p>
        </w:tc>
        <w:tc>
          <w:tcPr>
            <w:tcW w:w="2041" w:type="dxa"/>
            <w:tcBorders>
              <w:top w:val="single" w:sz="4" w:space="0" w:color="000000"/>
              <w:left w:val="single" w:sz="4" w:space="0" w:color="000000"/>
              <w:bottom w:val="single" w:sz="4" w:space="0" w:color="000000"/>
              <w:right w:val="single" w:sz="4" w:space="0" w:color="000000"/>
            </w:tcBorders>
            <w:hideMark/>
          </w:tcPr>
          <w:p w14:paraId="294861A0" w14:textId="77777777" w:rsidR="005C28B1" w:rsidRPr="00975CA4" w:rsidRDefault="005C28B1">
            <w:pPr>
              <w:ind w:left="-115" w:right="-108"/>
              <w:jc w:val="center"/>
              <w:rPr>
                <w:rFonts w:eastAsia="Times New Roman"/>
                <w:sz w:val="22"/>
                <w:szCs w:val="22"/>
              </w:rPr>
            </w:pPr>
            <w:r w:rsidRPr="00975CA4">
              <w:rPr>
                <w:rFonts w:eastAsia="Times New Roman"/>
                <w:sz w:val="22"/>
                <w:szCs w:val="22"/>
              </w:rPr>
              <w:t>64</w:t>
            </w:r>
            <w:r w:rsidR="007042ED" w:rsidRPr="00975CA4">
              <w:rPr>
                <w:rFonts w:eastAsia="Times New Roman"/>
                <w:sz w:val="22"/>
                <w:szCs w:val="22"/>
              </w:rPr>
              <w:t>,</w:t>
            </w:r>
            <w:r w:rsidRPr="00975CA4">
              <w:rPr>
                <w:rFonts w:eastAsia="Times New Roman"/>
                <w:sz w:val="22"/>
                <w:szCs w:val="22"/>
              </w:rPr>
              <w:t>5</w:t>
            </w:r>
            <w:r w:rsidR="004877E7" w:rsidRPr="00975CA4">
              <w:rPr>
                <w:rFonts w:eastAsia="Times New Roman"/>
                <w:sz w:val="22"/>
                <w:szCs w:val="22"/>
              </w:rPr>
              <w:t> </w:t>
            </w:r>
            <w:r w:rsidRPr="00975CA4">
              <w:rPr>
                <w:rFonts w:eastAsia="Times New Roman"/>
                <w:sz w:val="22"/>
                <w:szCs w:val="22"/>
              </w:rPr>
              <w:t>% (58</w:t>
            </w:r>
            <w:r w:rsidR="007042ED" w:rsidRPr="00975CA4">
              <w:rPr>
                <w:rFonts w:eastAsia="Times New Roman"/>
                <w:sz w:val="22"/>
                <w:szCs w:val="22"/>
              </w:rPr>
              <w:t>,</w:t>
            </w:r>
            <w:r w:rsidRPr="00975CA4">
              <w:rPr>
                <w:rFonts w:eastAsia="Times New Roman"/>
                <w:sz w:val="22"/>
                <w:szCs w:val="22"/>
              </w:rPr>
              <w:t>3 – 70</w:t>
            </w:r>
            <w:r w:rsidR="007042ED" w:rsidRPr="00975CA4">
              <w:rPr>
                <w:rFonts w:eastAsia="Times New Roman"/>
                <w:sz w:val="22"/>
                <w:szCs w:val="22"/>
              </w:rPr>
              <w:t>,</w:t>
            </w:r>
            <w:r w:rsidRPr="00975CA4">
              <w:rPr>
                <w:rFonts w:eastAsia="Times New Roman"/>
                <w:sz w:val="22"/>
                <w:szCs w:val="22"/>
              </w:rPr>
              <w:t>3)</w:t>
            </w:r>
          </w:p>
        </w:tc>
        <w:tc>
          <w:tcPr>
            <w:tcW w:w="2043" w:type="dxa"/>
            <w:tcBorders>
              <w:top w:val="single" w:sz="4" w:space="0" w:color="000000"/>
              <w:left w:val="single" w:sz="4" w:space="0" w:color="000000"/>
              <w:bottom w:val="single" w:sz="4" w:space="0" w:color="000000"/>
              <w:right w:val="single" w:sz="4" w:space="0" w:color="000000"/>
            </w:tcBorders>
            <w:hideMark/>
          </w:tcPr>
          <w:p w14:paraId="58D5F16B" w14:textId="77777777" w:rsidR="005C28B1" w:rsidRPr="00975CA4" w:rsidRDefault="005C28B1">
            <w:pPr>
              <w:ind w:left="-115" w:right="-108"/>
              <w:jc w:val="center"/>
              <w:rPr>
                <w:rFonts w:eastAsia="Times New Roman"/>
                <w:sz w:val="22"/>
                <w:szCs w:val="22"/>
              </w:rPr>
            </w:pPr>
            <w:r w:rsidRPr="00975CA4">
              <w:rPr>
                <w:rFonts w:eastAsia="Times New Roman"/>
                <w:sz w:val="22"/>
                <w:szCs w:val="22"/>
              </w:rPr>
              <w:t>50</w:t>
            </w:r>
            <w:r w:rsidR="004877E7" w:rsidRPr="00975CA4">
              <w:rPr>
                <w:rFonts w:eastAsia="Times New Roman"/>
                <w:sz w:val="22"/>
                <w:szCs w:val="22"/>
              </w:rPr>
              <w:t> </w:t>
            </w:r>
            <w:r w:rsidRPr="00975CA4">
              <w:rPr>
                <w:rFonts w:eastAsia="Times New Roman"/>
                <w:sz w:val="22"/>
                <w:szCs w:val="22"/>
              </w:rPr>
              <w:t>% (43</w:t>
            </w:r>
            <w:r w:rsidR="007042ED" w:rsidRPr="00975CA4">
              <w:rPr>
                <w:rFonts w:eastAsia="Times New Roman"/>
                <w:sz w:val="22"/>
                <w:szCs w:val="22"/>
              </w:rPr>
              <w:t>,</w:t>
            </w:r>
            <w:r w:rsidRPr="00975CA4">
              <w:rPr>
                <w:rFonts w:eastAsia="Times New Roman"/>
                <w:sz w:val="22"/>
                <w:szCs w:val="22"/>
              </w:rPr>
              <w:t>8 – 56</w:t>
            </w:r>
            <w:r w:rsidR="007042ED" w:rsidRPr="00975CA4">
              <w:rPr>
                <w:rFonts w:eastAsia="Times New Roman"/>
                <w:sz w:val="22"/>
                <w:szCs w:val="22"/>
              </w:rPr>
              <w:t>,</w:t>
            </w:r>
            <w:r w:rsidRPr="00975CA4">
              <w:rPr>
                <w:rFonts w:eastAsia="Times New Roman"/>
                <w:sz w:val="22"/>
                <w:szCs w:val="22"/>
              </w:rPr>
              <w:t>2)</w:t>
            </w:r>
          </w:p>
        </w:tc>
        <w:tc>
          <w:tcPr>
            <w:tcW w:w="1448" w:type="dxa"/>
            <w:tcBorders>
              <w:top w:val="single" w:sz="4" w:space="0" w:color="000000"/>
              <w:left w:val="single" w:sz="4" w:space="0" w:color="000000"/>
              <w:bottom w:val="single" w:sz="4" w:space="0" w:color="000000"/>
              <w:right w:val="single" w:sz="4" w:space="0" w:color="000000"/>
            </w:tcBorders>
            <w:hideMark/>
          </w:tcPr>
          <w:p w14:paraId="229B7BDA" w14:textId="77777777" w:rsidR="005C28B1" w:rsidRPr="00975CA4" w:rsidRDefault="005C28B1">
            <w:pPr>
              <w:jc w:val="center"/>
              <w:rPr>
                <w:rFonts w:eastAsia="Segoe UI Symbol"/>
                <w:sz w:val="22"/>
                <w:szCs w:val="22"/>
              </w:rPr>
            </w:pPr>
            <w:r w:rsidRPr="00975CA4">
              <w:rPr>
                <w:rFonts w:ascii="Cambria Math" w:eastAsia="Segoe UI Symbol" w:hAnsi="Cambria Math" w:cs="Cambria Math"/>
                <w:sz w:val="22"/>
                <w:szCs w:val="22"/>
              </w:rPr>
              <w:t>⎯</w:t>
            </w:r>
          </w:p>
        </w:tc>
      </w:tr>
      <w:tr w:rsidR="005C28B1" w:rsidRPr="00975CA4" w14:paraId="29013DF9"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72B1A30F" w14:textId="77777777" w:rsidR="005C28B1" w:rsidRPr="00975CA4" w:rsidRDefault="005C28B1">
            <w:pPr>
              <w:ind w:left="204"/>
              <w:rPr>
                <w:rFonts w:eastAsia="Times New Roman"/>
                <w:b/>
                <w:bCs/>
                <w:sz w:val="22"/>
                <w:szCs w:val="22"/>
              </w:rPr>
            </w:pPr>
            <w:r w:rsidRPr="00975CA4">
              <w:rPr>
                <w:rFonts w:eastAsia="Times New Roman"/>
                <w:b/>
                <w:bCs/>
                <w:sz w:val="22"/>
                <w:szCs w:val="22"/>
              </w:rPr>
              <w:t>36 mėnesiai</w:t>
            </w:r>
          </w:p>
        </w:tc>
        <w:tc>
          <w:tcPr>
            <w:tcW w:w="2041" w:type="dxa"/>
            <w:tcBorders>
              <w:top w:val="single" w:sz="4" w:space="0" w:color="000000"/>
              <w:left w:val="single" w:sz="4" w:space="0" w:color="000000"/>
              <w:bottom w:val="single" w:sz="4" w:space="0" w:color="000000"/>
              <w:right w:val="single" w:sz="4" w:space="0" w:color="000000"/>
            </w:tcBorders>
            <w:hideMark/>
          </w:tcPr>
          <w:p w14:paraId="23C95B01" w14:textId="77777777" w:rsidR="005C28B1" w:rsidRPr="00975CA4" w:rsidRDefault="005C28B1">
            <w:pPr>
              <w:ind w:left="-115" w:right="-108"/>
              <w:jc w:val="center"/>
              <w:rPr>
                <w:rFonts w:eastAsia="Times New Roman"/>
                <w:sz w:val="22"/>
                <w:szCs w:val="22"/>
              </w:rPr>
            </w:pPr>
            <w:r w:rsidRPr="00975CA4">
              <w:rPr>
                <w:rFonts w:eastAsia="Times New Roman"/>
                <w:sz w:val="22"/>
                <w:szCs w:val="22"/>
              </w:rPr>
              <w:t>69</w:t>
            </w:r>
            <w:r w:rsidR="007042ED" w:rsidRPr="00975CA4">
              <w:rPr>
                <w:rFonts w:eastAsia="Times New Roman"/>
                <w:sz w:val="22"/>
                <w:szCs w:val="22"/>
              </w:rPr>
              <w:t>,</w:t>
            </w:r>
            <w:r w:rsidRPr="00975CA4">
              <w:rPr>
                <w:rFonts w:eastAsia="Times New Roman"/>
                <w:sz w:val="22"/>
                <w:szCs w:val="22"/>
              </w:rPr>
              <w:t>1</w:t>
            </w:r>
            <w:r w:rsidR="004877E7" w:rsidRPr="00975CA4">
              <w:rPr>
                <w:rFonts w:eastAsia="Times New Roman"/>
                <w:sz w:val="22"/>
                <w:szCs w:val="22"/>
              </w:rPr>
              <w:t> </w:t>
            </w:r>
            <w:r w:rsidRPr="00975CA4">
              <w:rPr>
                <w:rFonts w:eastAsia="Times New Roman"/>
                <w:sz w:val="22"/>
                <w:szCs w:val="22"/>
              </w:rPr>
              <w:t>% (63</w:t>
            </w:r>
            <w:r w:rsidR="007042ED" w:rsidRPr="00975CA4">
              <w:rPr>
                <w:rFonts w:eastAsia="Times New Roman"/>
                <w:sz w:val="22"/>
                <w:szCs w:val="22"/>
              </w:rPr>
              <w:t>,</w:t>
            </w:r>
            <w:r w:rsidRPr="00975CA4">
              <w:rPr>
                <w:rFonts w:eastAsia="Times New Roman"/>
                <w:sz w:val="22"/>
                <w:szCs w:val="22"/>
              </w:rPr>
              <w:t>1 – 74</w:t>
            </w:r>
            <w:r w:rsidR="007042ED" w:rsidRPr="00975CA4">
              <w:rPr>
                <w:rFonts w:eastAsia="Times New Roman"/>
                <w:sz w:val="22"/>
                <w:szCs w:val="22"/>
              </w:rPr>
              <w:t>,</w:t>
            </w:r>
            <w:r w:rsidRPr="00975CA4">
              <w:rPr>
                <w:rFonts w:eastAsia="Times New Roman"/>
                <w:sz w:val="22"/>
                <w:szCs w:val="22"/>
              </w:rPr>
              <w:t>7)</w:t>
            </w:r>
          </w:p>
        </w:tc>
        <w:tc>
          <w:tcPr>
            <w:tcW w:w="2043" w:type="dxa"/>
            <w:tcBorders>
              <w:top w:val="single" w:sz="4" w:space="0" w:color="000000"/>
              <w:left w:val="single" w:sz="4" w:space="0" w:color="000000"/>
              <w:bottom w:val="single" w:sz="4" w:space="0" w:color="000000"/>
              <w:right w:val="single" w:sz="4" w:space="0" w:color="000000"/>
            </w:tcBorders>
            <w:hideMark/>
          </w:tcPr>
          <w:p w14:paraId="7EB50635" w14:textId="77777777" w:rsidR="005C28B1" w:rsidRPr="00975CA4" w:rsidRDefault="005C28B1">
            <w:pPr>
              <w:ind w:left="-115" w:right="-108"/>
              <w:jc w:val="center"/>
              <w:rPr>
                <w:rFonts w:eastAsia="Times New Roman"/>
                <w:sz w:val="22"/>
                <w:szCs w:val="22"/>
              </w:rPr>
            </w:pPr>
            <w:r w:rsidRPr="00975CA4">
              <w:rPr>
                <w:rFonts w:eastAsia="Times New Roman"/>
                <w:sz w:val="22"/>
                <w:szCs w:val="22"/>
              </w:rPr>
              <w:t>56</w:t>
            </w:r>
            <w:r w:rsidR="007042ED" w:rsidRPr="00975CA4">
              <w:rPr>
                <w:rFonts w:eastAsia="Times New Roman"/>
                <w:sz w:val="22"/>
                <w:szCs w:val="22"/>
              </w:rPr>
              <w:t>,</w:t>
            </w:r>
            <w:r w:rsidRPr="00975CA4">
              <w:rPr>
                <w:rFonts w:eastAsia="Times New Roman"/>
                <w:sz w:val="22"/>
                <w:szCs w:val="22"/>
              </w:rPr>
              <w:t>2</w:t>
            </w:r>
            <w:r w:rsidR="004877E7" w:rsidRPr="00975CA4">
              <w:rPr>
                <w:rFonts w:eastAsia="Times New Roman"/>
                <w:sz w:val="22"/>
                <w:szCs w:val="22"/>
              </w:rPr>
              <w:t> </w:t>
            </w:r>
            <w:r w:rsidRPr="00975CA4">
              <w:rPr>
                <w:rFonts w:eastAsia="Times New Roman"/>
                <w:sz w:val="22"/>
                <w:szCs w:val="22"/>
              </w:rPr>
              <w:t>% (49</w:t>
            </w:r>
            <w:r w:rsidR="007042ED" w:rsidRPr="00975CA4">
              <w:rPr>
                <w:rFonts w:eastAsia="Times New Roman"/>
                <w:sz w:val="22"/>
                <w:szCs w:val="22"/>
              </w:rPr>
              <w:t>,</w:t>
            </w:r>
            <w:r w:rsidRPr="00975CA4">
              <w:rPr>
                <w:rFonts w:eastAsia="Times New Roman"/>
                <w:sz w:val="22"/>
                <w:szCs w:val="22"/>
              </w:rPr>
              <w:t>9 – 62</w:t>
            </w:r>
            <w:r w:rsidR="007042ED" w:rsidRPr="00975CA4">
              <w:rPr>
                <w:rFonts w:eastAsia="Times New Roman"/>
                <w:sz w:val="22"/>
                <w:szCs w:val="22"/>
              </w:rPr>
              <w:t>,</w:t>
            </w:r>
            <w:r w:rsidRPr="00975CA4">
              <w:rPr>
                <w:rFonts w:eastAsia="Times New Roman"/>
                <w:sz w:val="22"/>
                <w:szCs w:val="22"/>
              </w:rPr>
              <w:t>3)</w:t>
            </w:r>
          </w:p>
        </w:tc>
        <w:tc>
          <w:tcPr>
            <w:tcW w:w="1448" w:type="dxa"/>
            <w:tcBorders>
              <w:top w:val="single" w:sz="4" w:space="0" w:color="000000"/>
              <w:left w:val="single" w:sz="4" w:space="0" w:color="000000"/>
              <w:bottom w:val="single" w:sz="4" w:space="0" w:color="000000"/>
              <w:right w:val="single" w:sz="4" w:space="0" w:color="000000"/>
            </w:tcBorders>
            <w:hideMark/>
          </w:tcPr>
          <w:p w14:paraId="01BC1F16" w14:textId="77777777" w:rsidR="005C28B1" w:rsidRPr="00975CA4" w:rsidRDefault="005C28B1">
            <w:pPr>
              <w:jc w:val="center"/>
              <w:rPr>
                <w:rFonts w:eastAsia="Segoe UI Symbol"/>
                <w:sz w:val="22"/>
                <w:szCs w:val="22"/>
              </w:rPr>
            </w:pPr>
            <w:r w:rsidRPr="00975CA4">
              <w:rPr>
                <w:rFonts w:ascii="Cambria Math" w:eastAsia="Segoe UI Symbol" w:hAnsi="Cambria Math" w:cs="Cambria Math"/>
                <w:sz w:val="22"/>
                <w:szCs w:val="22"/>
              </w:rPr>
              <w:t>⎯</w:t>
            </w:r>
          </w:p>
        </w:tc>
      </w:tr>
      <w:tr w:rsidR="005C28B1" w:rsidRPr="00975CA4" w14:paraId="62731DF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2FB34F07" w14:textId="77777777" w:rsidR="005C28B1" w:rsidRPr="00975CA4" w:rsidRDefault="005C28B1">
            <w:pPr>
              <w:ind w:left="204"/>
              <w:rPr>
                <w:rFonts w:eastAsia="Times New Roman"/>
                <w:b/>
                <w:bCs/>
                <w:sz w:val="22"/>
                <w:szCs w:val="22"/>
              </w:rPr>
            </w:pPr>
            <w:r w:rsidRPr="00975CA4">
              <w:rPr>
                <w:rFonts w:eastAsia="Times New Roman"/>
                <w:b/>
                <w:bCs/>
                <w:sz w:val="22"/>
                <w:szCs w:val="22"/>
              </w:rPr>
              <w:t>48 mėnesiai</w:t>
            </w:r>
          </w:p>
        </w:tc>
        <w:tc>
          <w:tcPr>
            <w:tcW w:w="2041" w:type="dxa"/>
            <w:tcBorders>
              <w:top w:val="single" w:sz="4" w:space="0" w:color="000000"/>
              <w:left w:val="single" w:sz="4" w:space="0" w:color="000000"/>
              <w:bottom w:val="single" w:sz="4" w:space="0" w:color="000000"/>
              <w:right w:val="single" w:sz="4" w:space="0" w:color="000000"/>
            </w:tcBorders>
            <w:hideMark/>
          </w:tcPr>
          <w:p w14:paraId="0CEB9AA9" w14:textId="77777777" w:rsidR="005C28B1" w:rsidRPr="00975CA4" w:rsidRDefault="005C28B1">
            <w:pPr>
              <w:ind w:left="-115" w:right="-108"/>
              <w:jc w:val="center"/>
              <w:rPr>
                <w:rFonts w:eastAsia="Times New Roman"/>
                <w:sz w:val="22"/>
                <w:szCs w:val="22"/>
              </w:rPr>
            </w:pPr>
            <w:r w:rsidRPr="00975CA4">
              <w:rPr>
                <w:rFonts w:eastAsia="Times New Roman"/>
                <w:sz w:val="22"/>
                <w:szCs w:val="22"/>
              </w:rPr>
              <w:t>75</w:t>
            </w:r>
            <w:r w:rsidR="007042ED" w:rsidRPr="00975CA4">
              <w:rPr>
                <w:rFonts w:eastAsia="Times New Roman"/>
                <w:sz w:val="22"/>
                <w:szCs w:val="22"/>
              </w:rPr>
              <w:t>,</w:t>
            </w:r>
            <w:r w:rsidRPr="00975CA4">
              <w:rPr>
                <w:rFonts w:eastAsia="Times New Roman"/>
                <w:sz w:val="22"/>
                <w:szCs w:val="22"/>
              </w:rPr>
              <w:t>7</w:t>
            </w:r>
            <w:r w:rsidR="004877E7" w:rsidRPr="00975CA4">
              <w:rPr>
                <w:rFonts w:eastAsia="Times New Roman"/>
                <w:sz w:val="22"/>
                <w:szCs w:val="22"/>
              </w:rPr>
              <w:t> </w:t>
            </w:r>
            <w:r w:rsidRPr="00975CA4">
              <w:rPr>
                <w:rFonts w:eastAsia="Times New Roman"/>
                <w:sz w:val="22"/>
                <w:szCs w:val="22"/>
              </w:rPr>
              <w:t>% (70</w:t>
            </w:r>
            <w:r w:rsidR="007042ED" w:rsidRPr="00975CA4">
              <w:rPr>
                <w:rFonts w:eastAsia="Times New Roman"/>
                <w:sz w:val="22"/>
                <w:szCs w:val="22"/>
              </w:rPr>
              <w:t>,</w:t>
            </w:r>
            <w:r w:rsidRPr="00975CA4">
              <w:rPr>
                <w:rFonts w:eastAsia="Times New Roman"/>
                <w:sz w:val="22"/>
                <w:szCs w:val="22"/>
              </w:rPr>
              <w:t>0 – 80</w:t>
            </w:r>
            <w:r w:rsidR="007042ED" w:rsidRPr="00975CA4">
              <w:rPr>
                <w:rFonts w:eastAsia="Times New Roman"/>
                <w:sz w:val="22"/>
                <w:szCs w:val="22"/>
              </w:rPr>
              <w:t>,</w:t>
            </w:r>
            <w:r w:rsidRPr="00975CA4">
              <w:rPr>
                <w:rFonts w:eastAsia="Times New Roman"/>
                <w:sz w:val="22"/>
                <w:szCs w:val="22"/>
              </w:rPr>
              <w:t>8)</w:t>
            </w:r>
          </w:p>
        </w:tc>
        <w:tc>
          <w:tcPr>
            <w:tcW w:w="2043" w:type="dxa"/>
            <w:tcBorders>
              <w:top w:val="single" w:sz="4" w:space="0" w:color="000000"/>
              <w:left w:val="single" w:sz="4" w:space="0" w:color="000000"/>
              <w:bottom w:val="single" w:sz="4" w:space="0" w:color="000000"/>
              <w:right w:val="single" w:sz="4" w:space="0" w:color="000000"/>
            </w:tcBorders>
            <w:hideMark/>
          </w:tcPr>
          <w:p w14:paraId="4598F413" w14:textId="77777777" w:rsidR="005C28B1" w:rsidRPr="00975CA4" w:rsidRDefault="005C28B1">
            <w:pPr>
              <w:ind w:left="-115" w:right="-108"/>
              <w:jc w:val="center"/>
              <w:rPr>
                <w:rFonts w:eastAsia="Times New Roman"/>
                <w:sz w:val="22"/>
                <w:szCs w:val="22"/>
              </w:rPr>
            </w:pPr>
            <w:r w:rsidRPr="00975CA4">
              <w:rPr>
                <w:rFonts w:eastAsia="Times New Roman"/>
                <w:sz w:val="22"/>
                <w:szCs w:val="22"/>
              </w:rPr>
              <w:t>62</w:t>
            </w:r>
            <w:r w:rsidR="007042ED" w:rsidRPr="00975CA4">
              <w:rPr>
                <w:rFonts w:eastAsia="Times New Roman"/>
                <w:sz w:val="22"/>
                <w:szCs w:val="22"/>
              </w:rPr>
              <w:t>,</w:t>
            </w:r>
            <w:r w:rsidRPr="00975CA4">
              <w:rPr>
                <w:rFonts w:eastAsia="Times New Roman"/>
                <w:sz w:val="22"/>
                <w:szCs w:val="22"/>
              </w:rPr>
              <w:t>7</w:t>
            </w:r>
            <w:r w:rsidR="004877E7" w:rsidRPr="00975CA4">
              <w:rPr>
                <w:rFonts w:eastAsia="Times New Roman"/>
                <w:sz w:val="22"/>
                <w:szCs w:val="22"/>
              </w:rPr>
              <w:t> </w:t>
            </w:r>
            <w:r w:rsidRPr="00975CA4">
              <w:rPr>
                <w:rFonts w:eastAsia="Times New Roman"/>
                <w:sz w:val="22"/>
                <w:szCs w:val="22"/>
              </w:rPr>
              <w:t>% (56</w:t>
            </w:r>
            <w:r w:rsidR="007042ED" w:rsidRPr="00975CA4">
              <w:rPr>
                <w:rFonts w:eastAsia="Times New Roman"/>
                <w:sz w:val="22"/>
                <w:szCs w:val="22"/>
              </w:rPr>
              <w:t>,</w:t>
            </w:r>
            <w:r w:rsidRPr="00975CA4">
              <w:rPr>
                <w:rFonts w:eastAsia="Times New Roman"/>
                <w:sz w:val="22"/>
                <w:szCs w:val="22"/>
              </w:rPr>
              <w:t>5 – 68</w:t>
            </w:r>
            <w:r w:rsidR="007042ED" w:rsidRPr="00975CA4">
              <w:rPr>
                <w:rFonts w:eastAsia="Times New Roman"/>
                <w:sz w:val="22"/>
                <w:szCs w:val="22"/>
              </w:rPr>
              <w:t>,</w:t>
            </w:r>
            <w:r w:rsidRPr="00975CA4">
              <w:rPr>
                <w:rFonts w:eastAsia="Times New Roman"/>
                <w:sz w:val="22"/>
                <w:szCs w:val="22"/>
              </w:rPr>
              <w:t>6)</w:t>
            </w:r>
          </w:p>
        </w:tc>
        <w:tc>
          <w:tcPr>
            <w:tcW w:w="1448" w:type="dxa"/>
            <w:tcBorders>
              <w:top w:val="single" w:sz="4" w:space="0" w:color="000000"/>
              <w:left w:val="single" w:sz="4" w:space="0" w:color="000000"/>
              <w:bottom w:val="single" w:sz="4" w:space="0" w:color="000000"/>
              <w:right w:val="single" w:sz="4" w:space="0" w:color="000000"/>
            </w:tcBorders>
            <w:hideMark/>
          </w:tcPr>
          <w:p w14:paraId="17D85CF7" w14:textId="77777777" w:rsidR="005C28B1" w:rsidRPr="00975CA4" w:rsidRDefault="005C28B1">
            <w:pPr>
              <w:jc w:val="center"/>
              <w:rPr>
                <w:rFonts w:eastAsia="Segoe UI Symbol"/>
                <w:sz w:val="22"/>
                <w:szCs w:val="22"/>
              </w:rPr>
            </w:pPr>
            <w:r w:rsidRPr="00975CA4">
              <w:rPr>
                <w:rFonts w:ascii="Cambria Math" w:eastAsia="Segoe UI Symbol" w:hAnsi="Cambria Math" w:cs="Cambria Math"/>
                <w:sz w:val="22"/>
                <w:szCs w:val="22"/>
              </w:rPr>
              <w:t>⎯</w:t>
            </w:r>
          </w:p>
        </w:tc>
      </w:tr>
      <w:tr w:rsidR="005C28B1" w:rsidRPr="00975CA4" w14:paraId="15249784"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755142FA" w14:textId="77777777" w:rsidR="005C28B1" w:rsidRPr="00975CA4" w:rsidRDefault="005C28B1">
            <w:pPr>
              <w:ind w:left="204"/>
              <w:rPr>
                <w:rFonts w:eastAsia="Times New Roman"/>
                <w:b/>
                <w:bCs/>
                <w:sz w:val="22"/>
                <w:szCs w:val="22"/>
              </w:rPr>
            </w:pPr>
            <w:r w:rsidRPr="00975CA4">
              <w:rPr>
                <w:rFonts w:eastAsia="Times New Roman"/>
                <w:b/>
                <w:bCs/>
                <w:sz w:val="22"/>
                <w:szCs w:val="22"/>
              </w:rPr>
              <w:t>60 mėnesių</w:t>
            </w:r>
          </w:p>
        </w:tc>
        <w:tc>
          <w:tcPr>
            <w:tcW w:w="2041" w:type="dxa"/>
            <w:tcBorders>
              <w:top w:val="single" w:sz="4" w:space="0" w:color="000000"/>
              <w:left w:val="single" w:sz="4" w:space="0" w:color="000000"/>
              <w:bottom w:val="single" w:sz="4" w:space="0" w:color="000000"/>
              <w:right w:val="single" w:sz="4" w:space="0" w:color="000000"/>
            </w:tcBorders>
            <w:hideMark/>
          </w:tcPr>
          <w:p w14:paraId="49835E24" w14:textId="77777777" w:rsidR="005C28B1" w:rsidRPr="00975CA4" w:rsidRDefault="005C28B1">
            <w:pPr>
              <w:ind w:left="-115" w:right="-108"/>
              <w:jc w:val="center"/>
              <w:rPr>
                <w:rFonts w:eastAsia="Times New Roman"/>
                <w:sz w:val="22"/>
                <w:szCs w:val="22"/>
              </w:rPr>
            </w:pPr>
            <w:r w:rsidRPr="00975CA4">
              <w:rPr>
                <w:rFonts w:eastAsia="Times New Roman"/>
                <w:sz w:val="22"/>
                <w:szCs w:val="22"/>
              </w:rPr>
              <w:t>76</w:t>
            </w:r>
            <w:r w:rsidR="007042ED" w:rsidRPr="00975CA4">
              <w:rPr>
                <w:rFonts w:eastAsia="Times New Roman"/>
                <w:sz w:val="22"/>
                <w:szCs w:val="22"/>
              </w:rPr>
              <w:t>,</w:t>
            </w:r>
            <w:r w:rsidRPr="00975CA4">
              <w:rPr>
                <w:rFonts w:eastAsia="Times New Roman"/>
                <w:sz w:val="22"/>
                <w:szCs w:val="22"/>
              </w:rPr>
              <w:t>4</w:t>
            </w:r>
            <w:r w:rsidR="004877E7" w:rsidRPr="00975CA4">
              <w:rPr>
                <w:rFonts w:eastAsia="Times New Roman"/>
                <w:sz w:val="22"/>
                <w:szCs w:val="22"/>
              </w:rPr>
              <w:t> </w:t>
            </w:r>
            <w:r w:rsidRPr="00975CA4">
              <w:rPr>
                <w:rFonts w:eastAsia="Times New Roman"/>
                <w:sz w:val="22"/>
                <w:szCs w:val="22"/>
              </w:rPr>
              <w:t>% (70</w:t>
            </w:r>
            <w:r w:rsidR="007042ED" w:rsidRPr="00975CA4">
              <w:rPr>
                <w:rFonts w:eastAsia="Times New Roman"/>
                <w:sz w:val="22"/>
                <w:szCs w:val="22"/>
              </w:rPr>
              <w:t>,</w:t>
            </w:r>
            <w:r w:rsidRPr="00975CA4">
              <w:rPr>
                <w:rFonts w:eastAsia="Times New Roman"/>
                <w:sz w:val="22"/>
                <w:szCs w:val="22"/>
              </w:rPr>
              <w:t>8 – 81</w:t>
            </w:r>
            <w:r w:rsidR="007042ED" w:rsidRPr="00975CA4">
              <w:rPr>
                <w:rFonts w:eastAsia="Times New Roman"/>
                <w:sz w:val="22"/>
                <w:szCs w:val="22"/>
              </w:rPr>
              <w:t>,</w:t>
            </w:r>
            <w:r w:rsidRPr="00975CA4">
              <w:rPr>
                <w:rFonts w:eastAsia="Times New Roman"/>
                <w:sz w:val="22"/>
                <w:szCs w:val="22"/>
              </w:rPr>
              <w:t>5)</w:t>
            </w:r>
          </w:p>
        </w:tc>
        <w:tc>
          <w:tcPr>
            <w:tcW w:w="2043" w:type="dxa"/>
            <w:tcBorders>
              <w:top w:val="single" w:sz="4" w:space="0" w:color="000000"/>
              <w:left w:val="single" w:sz="4" w:space="0" w:color="000000"/>
              <w:bottom w:val="single" w:sz="4" w:space="0" w:color="000000"/>
              <w:right w:val="single" w:sz="4" w:space="0" w:color="000000"/>
            </w:tcBorders>
            <w:hideMark/>
          </w:tcPr>
          <w:p w14:paraId="4FBF6584" w14:textId="77777777" w:rsidR="005C28B1" w:rsidRPr="00975CA4" w:rsidRDefault="005C28B1">
            <w:pPr>
              <w:ind w:left="-115" w:right="-108"/>
              <w:jc w:val="center"/>
              <w:rPr>
                <w:rFonts w:eastAsia="Times New Roman"/>
                <w:sz w:val="22"/>
                <w:szCs w:val="22"/>
              </w:rPr>
            </w:pPr>
            <w:r w:rsidRPr="00975CA4">
              <w:rPr>
                <w:rFonts w:eastAsia="Times New Roman"/>
                <w:sz w:val="22"/>
                <w:szCs w:val="22"/>
              </w:rPr>
              <w:t>64</w:t>
            </w:r>
            <w:r w:rsidR="007042ED" w:rsidRPr="00975CA4">
              <w:rPr>
                <w:rFonts w:eastAsia="Times New Roman"/>
                <w:sz w:val="22"/>
                <w:szCs w:val="22"/>
              </w:rPr>
              <w:t>,</w:t>
            </w:r>
            <w:r w:rsidRPr="00975CA4">
              <w:rPr>
                <w:rFonts w:eastAsia="Times New Roman"/>
                <w:sz w:val="22"/>
                <w:szCs w:val="22"/>
              </w:rPr>
              <w:t>2</w:t>
            </w:r>
            <w:r w:rsidR="004877E7" w:rsidRPr="00975CA4">
              <w:rPr>
                <w:rFonts w:eastAsia="Times New Roman"/>
                <w:sz w:val="22"/>
                <w:szCs w:val="22"/>
              </w:rPr>
              <w:t> </w:t>
            </w:r>
            <w:r w:rsidRPr="00975CA4">
              <w:rPr>
                <w:rFonts w:eastAsia="Times New Roman"/>
                <w:sz w:val="22"/>
                <w:szCs w:val="22"/>
              </w:rPr>
              <w:t>% (58</w:t>
            </w:r>
            <w:r w:rsidR="007042ED" w:rsidRPr="00975CA4">
              <w:rPr>
                <w:rFonts w:eastAsia="Times New Roman"/>
                <w:sz w:val="22"/>
                <w:szCs w:val="22"/>
              </w:rPr>
              <w:t>,</w:t>
            </w:r>
            <w:r w:rsidRPr="00975CA4">
              <w:rPr>
                <w:rFonts w:eastAsia="Times New Roman"/>
                <w:sz w:val="22"/>
                <w:szCs w:val="22"/>
              </w:rPr>
              <w:t>1 – 70</w:t>
            </w:r>
            <w:r w:rsidR="007042ED" w:rsidRPr="00975CA4">
              <w:rPr>
                <w:rFonts w:eastAsia="Times New Roman"/>
                <w:sz w:val="22"/>
                <w:szCs w:val="22"/>
              </w:rPr>
              <w:t>,</w:t>
            </w:r>
            <w:r w:rsidRPr="00975CA4">
              <w:rPr>
                <w:rFonts w:eastAsia="Times New Roman"/>
                <w:sz w:val="22"/>
                <w:szCs w:val="22"/>
              </w:rPr>
              <w:t>1)</w:t>
            </w:r>
          </w:p>
        </w:tc>
        <w:tc>
          <w:tcPr>
            <w:tcW w:w="1448" w:type="dxa"/>
            <w:tcBorders>
              <w:top w:val="single" w:sz="4" w:space="0" w:color="000000"/>
              <w:left w:val="single" w:sz="4" w:space="0" w:color="000000"/>
              <w:bottom w:val="single" w:sz="4" w:space="0" w:color="000000"/>
              <w:right w:val="single" w:sz="4" w:space="0" w:color="000000"/>
            </w:tcBorders>
            <w:hideMark/>
          </w:tcPr>
          <w:p w14:paraId="7CA65C01" w14:textId="77777777" w:rsidR="005C28B1" w:rsidRPr="00975CA4" w:rsidRDefault="005C28B1" w:rsidP="004877E7">
            <w:pPr>
              <w:jc w:val="center"/>
              <w:rPr>
                <w:rFonts w:eastAsia="Times New Roman"/>
                <w:sz w:val="22"/>
                <w:szCs w:val="22"/>
              </w:rPr>
            </w:pPr>
            <w:r w:rsidRPr="00975CA4">
              <w:rPr>
                <w:rFonts w:eastAsia="Times New Roman"/>
                <w:sz w:val="22"/>
                <w:szCs w:val="22"/>
              </w:rPr>
              <w:t>p = 0</w:t>
            </w:r>
            <w:r w:rsidR="007042ED" w:rsidRPr="00975CA4">
              <w:rPr>
                <w:rFonts w:eastAsia="Times New Roman"/>
                <w:sz w:val="22"/>
                <w:szCs w:val="22"/>
              </w:rPr>
              <w:t>,</w:t>
            </w:r>
            <w:r w:rsidRPr="00975CA4">
              <w:rPr>
                <w:rFonts w:eastAsia="Times New Roman"/>
                <w:sz w:val="22"/>
                <w:szCs w:val="22"/>
              </w:rPr>
              <w:t>0021</w:t>
            </w:r>
          </w:p>
        </w:tc>
      </w:tr>
      <w:tr w:rsidR="005C28B1" w:rsidRPr="00975CA4" w14:paraId="058C24A3"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37D54DE3" w14:textId="77777777" w:rsidR="005C28B1" w:rsidRPr="00975CA4"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0D19DA61" w14:textId="77777777" w:rsidR="005C28B1" w:rsidRPr="00975CA4" w:rsidRDefault="007042ED">
            <w:pPr>
              <w:jc w:val="center"/>
              <w:rPr>
                <w:rFonts w:eastAsia="Times New Roman"/>
                <w:sz w:val="22"/>
                <w:szCs w:val="22"/>
              </w:rPr>
            </w:pPr>
            <w:r w:rsidRPr="00975CA4">
              <w:rPr>
                <w:rFonts w:eastAsia="Times New Roman"/>
                <w:b/>
                <w:bCs/>
                <w:sz w:val="22"/>
                <w:szCs w:val="22"/>
              </w:rPr>
              <w:t>Rizikos santykis</w:t>
            </w:r>
            <w:r w:rsidR="005C28B1" w:rsidRPr="00975CA4">
              <w:rPr>
                <w:rFonts w:eastAsia="Times New Roman"/>
                <w:b/>
                <w:bCs/>
                <w:sz w:val="22"/>
                <w:szCs w:val="22"/>
              </w:rPr>
              <w:t xml:space="preserve"> (R</w:t>
            </w:r>
            <w:r w:rsidRPr="00975CA4">
              <w:rPr>
                <w:rFonts w:eastAsia="Times New Roman"/>
                <w:b/>
                <w:bCs/>
                <w:sz w:val="22"/>
                <w:szCs w:val="22"/>
              </w:rPr>
              <w:t>S</w:t>
            </w:r>
            <w:r w:rsidR="005C28B1" w:rsidRPr="00975CA4">
              <w:rPr>
                <w:rFonts w:eastAsia="Times New Roman"/>
                <w:b/>
                <w:bCs/>
                <w:sz w:val="22"/>
                <w:szCs w:val="22"/>
              </w:rPr>
              <w:t>)</w:t>
            </w:r>
          </w:p>
        </w:tc>
        <w:tc>
          <w:tcPr>
            <w:tcW w:w="1448" w:type="dxa"/>
            <w:tcBorders>
              <w:top w:val="single" w:sz="4" w:space="0" w:color="000000"/>
              <w:left w:val="single" w:sz="4" w:space="0" w:color="000000"/>
              <w:bottom w:val="single" w:sz="4" w:space="0" w:color="000000"/>
              <w:right w:val="single" w:sz="4" w:space="0" w:color="000000"/>
            </w:tcBorders>
          </w:tcPr>
          <w:p w14:paraId="33DB77B5" w14:textId="77777777" w:rsidR="005C28B1" w:rsidRPr="00975CA4" w:rsidRDefault="005C28B1">
            <w:pPr>
              <w:jc w:val="center"/>
              <w:rPr>
                <w:rFonts w:eastAsia="Times New Roman"/>
                <w:b/>
                <w:bCs/>
                <w:sz w:val="22"/>
                <w:szCs w:val="22"/>
              </w:rPr>
            </w:pPr>
          </w:p>
        </w:tc>
      </w:tr>
      <w:tr w:rsidR="005C28B1" w:rsidRPr="00975CA4" w14:paraId="2C213532"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6C66386F" w14:textId="77777777" w:rsidR="005C28B1" w:rsidRPr="00975CA4"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288FF582" w14:textId="77777777" w:rsidR="005C28B1" w:rsidRPr="00975CA4" w:rsidRDefault="007042ED">
            <w:pPr>
              <w:jc w:val="center"/>
              <w:rPr>
                <w:rFonts w:eastAsia="Times New Roman"/>
                <w:b/>
                <w:bCs/>
                <w:sz w:val="22"/>
                <w:szCs w:val="22"/>
              </w:rPr>
            </w:pPr>
            <w:r w:rsidRPr="00975CA4">
              <w:rPr>
                <w:rFonts w:eastAsia="Times New Roman"/>
                <w:b/>
                <w:bCs/>
                <w:sz w:val="22"/>
                <w:szCs w:val="22"/>
              </w:rPr>
              <w:t>per</w:t>
            </w:r>
            <w:r w:rsidR="005C28B1" w:rsidRPr="00975CA4">
              <w:rPr>
                <w:rFonts w:eastAsia="Times New Roman"/>
                <w:b/>
                <w:bCs/>
                <w:sz w:val="22"/>
                <w:szCs w:val="22"/>
              </w:rPr>
              <w:t xml:space="preserve"> 12 m</w:t>
            </w:r>
            <w:r w:rsidRPr="00975CA4">
              <w:rPr>
                <w:rFonts w:eastAsia="Times New Roman"/>
                <w:b/>
                <w:bCs/>
                <w:sz w:val="22"/>
                <w:szCs w:val="22"/>
              </w:rPr>
              <w:t>ėne</w:t>
            </w:r>
            <w:r w:rsidR="005C28B1" w:rsidRPr="00975CA4">
              <w:rPr>
                <w:rFonts w:eastAsia="Times New Roman"/>
                <w:b/>
                <w:bCs/>
                <w:sz w:val="22"/>
                <w:szCs w:val="22"/>
              </w:rPr>
              <w:t>s</w:t>
            </w:r>
            <w:r w:rsidRPr="00975CA4">
              <w:rPr>
                <w:rFonts w:eastAsia="Times New Roman"/>
                <w:b/>
                <w:bCs/>
                <w:sz w:val="22"/>
                <w:szCs w:val="22"/>
              </w:rPr>
              <w:t>ių</w:t>
            </w:r>
            <w:r w:rsidR="005C28B1" w:rsidRPr="00975CA4">
              <w:rPr>
                <w:rFonts w:eastAsia="Times New Roman"/>
                <w:b/>
                <w:bCs/>
                <w:sz w:val="22"/>
                <w:szCs w:val="22"/>
              </w:rPr>
              <w:t xml:space="preserve"> (99</w:t>
            </w:r>
            <w:r w:rsidRPr="00975CA4">
              <w:rPr>
                <w:rFonts w:eastAsia="Times New Roman"/>
                <w:b/>
                <w:bCs/>
                <w:sz w:val="22"/>
                <w:szCs w:val="22"/>
              </w:rPr>
              <w:t>,</w:t>
            </w:r>
            <w:r w:rsidR="005C28B1" w:rsidRPr="00975CA4">
              <w:rPr>
                <w:rFonts w:eastAsia="Times New Roman"/>
                <w:b/>
                <w:bCs/>
                <w:sz w:val="22"/>
                <w:szCs w:val="22"/>
              </w:rPr>
              <w:t>99</w:t>
            </w:r>
            <w:r w:rsidR="00467B83" w:rsidRPr="00975CA4">
              <w:rPr>
                <w:rFonts w:eastAsia="Times New Roman"/>
                <w:b/>
                <w:bCs/>
                <w:sz w:val="22"/>
                <w:szCs w:val="22"/>
              </w:rPr>
              <w:t> </w:t>
            </w:r>
            <w:r w:rsidR="005C28B1" w:rsidRPr="00975CA4">
              <w:rPr>
                <w:rFonts w:eastAsia="Times New Roman"/>
                <w:b/>
                <w:bCs/>
                <w:sz w:val="22"/>
                <w:szCs w:val="22"/>
              </w:rPr>
              <w:t xml:space="preserve">% </w:t>
            </w:r>
            <w:r w:rsidRPr="00975CA4">
              <w:rPr>
                <w:rFonts w:eastAsia="Times New Roman"/>
                <w:b/>
                <w:bCs/>
                <w:sz w:val="22"/>
                <w:szCs w:val="22"/>
              </w:rPr>
              <w:t>P</w:t>
            </w:r>
            <w:r w:rsidR="005C28B1" w:rsidRPr="00975CA4">
              <w:rPr>
                <w:rFonts w:eastAsia="Times New Roman"/>
                <w:b/>
                <w:bCs/>
                <w:sz w:val="22"/>
                <w:szCs w:val="22"/>
              </w:rPr>
              <w:t>I)</w:t>
            </w:r>
          </w:p>
        </w:tc>
        <w:tc>
          <w:tcPr>
            <w:tcW w:w="1448" w:type="dxa"/>
            <w:tcBorders>
              <w:top w:val="single" w:sz="4" w:space="0" w:color="000000"/>
              <w:left w:val="single" w:sz="4" w:space="0" w:color="000000"/>
              <w:bottom w:val="single" w:sz="4" w:space="0" w:color="000000"/>
              <w:right w:val="single" w:sz="4" w:space="0" w:color="000000"/>
            </w:tcBorders>
          </w:tcPr>
          <w:p w14:paraId="35CA4761" w14:textId="77777777" w:rsidR="005C28B1" w:rsidRPr="00975CA4" w:rsidRDefault="005C28B1">
            <w:pPr>
              <w:jc w:val="center"/>
              <w:rPr>
                <w:rFonts w:eastAsia="Times New Roman"/>
                <w:b/>
                <w:bCs/>
                <w:sz w:val="22"/>
                <w:szCs w:val="22"/>
              </w:rPr>
            </w:pPr>
          </w:p>
        </w:tc>
      </w:tr>
      <w:tr w:rsidR="005C28B1" w:rsidRPr="00975CA4" w14:paraId="2324E515"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1029AA8" w14:textId="77777777" w:rsidR="005C28B1" w:rsidRPr="00975CA4" w:rsidRDefault="007042ED">
            <w:pPr>
              <w:rPr>
                <w:rFonts w:eastAsia="Times New Roman"/>
                <w:bCs/>
                <w:sz w:val="22"/>
                <w:szCs w:val="22"/>
              </w:rPr>
            </w:pPr>
            <w:r w:rsidRPr="00975CA4">
              <w:rPr>
                <w:rFonts w:eastAsia="Times New Roman"/>
                <w:bCs/>
                <w:sz w:val="22"/>
                <w:szCs w:val="22"/>
              </w:rPr>
              <w:t>Laikas iki</w:t>
            </w:r>
            <w:r w:rsidR="005C28B1" w:rsidRPr="00975CA4">
              <w:rPr>
                <w:rFonts w:eastAsia="Times New Roman"/>
                <w:bCs/>
                <w:sz w:val="22"/>
                <w:szCs w:val="22"/>
              </w:rPr>
              <w:t xml:space="preserve"> </w:t>
            </w:r>
            <w:proofErr w:type="spellStart"/>
            <w:r w:rsidR="005C28B1" w:rsidRPr="00975CA4">
              <w:rPr>
                <w:rFonts w:eastAsia="Times New Roman"/>
                <w:bCs/>
                <w:sz w:val="22"/>
                <w:szCs w:val="22"/>
              </w:rPr>
              <w:t>cCCyR</w:t>
            </w:r>
            <w:proofErr w:type="spellEnd"/>
            <w:r w:rsidRPr="00975CA4">
              <w:rPr>
                <w:rFonts w:eastAsia="Times New Roman"/>
                <w:bCs/>
                <w:sz w:val="22"/>
                <w:szCs w:val="22"/>
              </w:rPr>
              <w:t xml:space="preserve"> pasireiškimo </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2BF3CA31" w14:textId="77777777" w:rsidR="005C28B1" w:rsidRPr="00975CA4" w:rsidRDefault="005C28B1">
            <w:pPr>
              <w:jc w:val="center"/>
              <w:rPr>
                <w:rFonts w:eastAsia="Times New Roman"/>
                <w:b/>
                <w:bCs/>
                <w:sz w:val="22"/>
                <w:szCs w:val="22"/>
              </w:rPr>
            </w:pPr>
            <w:r w:rsidRPr="00975CA4">
              <w:rPr>
                <w:rFonts w:eastAsia="Times New Roman"/>
                <w:sz w:val="22"/>
                <w:szCs w:val="22"/>
              </w:rPr>
              <w:t>1</w:t>
            </w:r>
            <w:r w:rsidR="007042ED" w:rsidRPr="00975CA4">
              <w:rPr>
                <w:rFonts w:eastAsia="Times New Roman"/>
                <w:sz w:val="22"/>
                <w:szCs w:val="22"/>
              </w:rPr>
              <w:t>,</w:t>
            </w:r>
            <w:r w:rsidRPr="00975CA4">
              <w:rPr>
                <w:rFonts w:eastAsia="Times New Roman"/>
                <w:sz w:val="22"/>
                <w:szCs w:val="22"/>
              </w:rPr>
              <w:t>55 (1</w:t>
            </w:r>
            <w:r w:rsidR="007042ED" w:rsidRPr="00975CA4">
              <w:rPr>
                <w:rFonts w:eastAsia="Times New Roman"/>
                <w:sz w:val="22"/>
                <w:szCs w:val="22"/>
              </w:rPr>
              <w:t>,</w:t>
            </w:r>
            <w:r w:rsidRPr="00975CA4">
              <w:rPr>
                <w:rFonts w:eastAsia="Times New Roman"/>
                <w:sz w:val="22"/>
                <w:szCs w:val="22"/>
              </w:rPr>
              <w:t>0 – 2</w:t>
            </w:r>
            <w:r w:rsidR="007042ED" w:rsidRPr="00975CA4">
              <w:rPr>
                <w:rFonts w:eastAsia="Times New Roman"/>
                <w:sz w:val="22"/>
                <w:szCs w:val="22"/>
              </w:rPr>
              <w:t>,</w:t>
            </w:r>
            <w:r w:rsidRPr="00975CA4">
              <w:rPr>
                <w:rFonts w:eastAsia="Times New Roman"/>
                <w:sz w:val="22"/>
                <w:szCs w:val="22"/>
              </w:rPr>
              <w:t>3)</w:t>
            </w:r>
          </w:p>
        </w:tc>
        <w:tc>
          <w:tcPr>
            <w:tcW w:w="1448" w:type="dxa"/>
            <w:tcBorders>
              <w:top w:val="single" w:sz="4" w:space="0" w:color="000000"/>
              <w:left w:val="single" w:sz="4" w:space="0" w:color="000000"/>
              <w:bottom w:val="single" w:sz="4" w:space="0" w:color="000000"/>
              <w:right w:val="single" w:sz="4" w:space="0" w:color="000000"/>
            </w:tcBorders>
            <w:hideMark/>
          </w:tcPr>
          <w:p w14:paraId="42A08541" w14:textId="3CAC0C93" w:rsidR="005C28B1" w:rsidRPr="00975CA4" w:rsidRDefault="005C28B1" w:rsidP="004877E7">
            <w:pPr>
              <w:jc w:val="center"/>
              <w:rPr>
                <w:rFonts w:eastAsia="Times New Roman"/>
                <w:b/>
                <w:bCs/>
                <w:sz w:val="22"/>
                <w:szCs w:val="22"/>
              </w:rPr>
            </w:pPr>
            <w:r w:rsidRPr="00975CA4">
              <w:rPr>
                <w:rFonts w:eastAsia="Times New Roman"/>
                <w:sz w:val="22"/>
                <w:szCs w:val="22"/>
              </w:rPr>
              <w:t>p</w:t>
            </w:r>
            <w:r w:rsidR="00467B83" w:rsidRPr="00975CA4">
              <w:rPr>
                <w:rFonts w:eastAsia="Times New Roman"/>
                <w:sz w:val="22"/>
                <w:szCs w:val="22"/>
              </w:rPr>
              <w:t> </w:t>
            </w:r>
            <w:r w:rsidRPr="00975CA4">
              <w:rPr>
                <w:rFonts w:eastAsia="Times New Roman"/>
                <w:sz w:val="22"/>
                <w:szCs w:val="22"/>
              </w:rPr>
              <w:t>&lt;</w:t>
            </w:r>
            <w:r w:rsidR="00467B83" w:rsidRPr="00975CA4">
              <w:rPr>
                <w:rFonts w:eastAsia="Times New Roman"/>
                <w:sz w:val="22"/>
                <w:szCs w:val="22"/>
              </w:rPr>
              <w:t> </w:t>
            </w:r>
            <w:r w:rsidRPr="00975CA4">
              <w:rPr>
                <w:rFonts w:eastAsia="Times New Roman"/>
                <w:sz w:val="22"/>
                <w:szCs w:val="22"/>
              </w:rPr>
              <w:t>0</w:t>
            </w:r>
            <w:r w:rsidR="007042ED" w:rsidRPr="00975CA4">
              <w:rPr>
                <w:rFonts w:eastAsia="Times New Roman"/>
                <w:sz w:val="22"/>
                <w:szCs w:val="22"/>
              </w:rPr>
              <w:t>,</w:t>
            </w:r>
            <w:r w:rsidRPr="00975CA4">
              <w:rPr>
                <w:rFonts w:eastAsia="Times New Roman"/>
                <w:sz w:val="22"/>
                <w:szCs w:val="22"/>
              </w:rPr>
              <w:t>0001</w:t>
            </w:r>
            <w:r w:rsidRPr="00975CA4">
              <w:rPr>
                <w:rFonts w:eastAsia="Times New Roman"/>
                <w:sz w:val="22"/>
                <w:szCs w:val="22"/>
                <w:vertAlign w:val="superscript"/>
              </w:rPr>
              <w:t>*</w:t>
            </w:r>
          </w:p>
        </w:tc>
      </w:tr>
      <w:tr w:rsidR="005C28B1" w:rsidRPr="00975CA4" w14:paraId="2936E5DF"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597521A2" w14:textId="77777777" w:rsidR="005C28B1" w:rsidRPr="00975CA4" w:rsidRDefault="007042ED">
            <w:pPr>
              <w:rPr>
                <w:rFonts w:eastAsia="Times New Roman"/>
                <w:bCs/>
                <w:sz w:val="22"/>
                <w:szCs w:val="22"/>
              </w:rPr>
            </w:pPr>
            <w:r w:rsidRPr="00975CA4">
              <w:rPr>
                <w:rFonts w:eastAsia="Times New Roman"/>
                <w:bCs/>
                <w:sz w:val="22"/>
                <w:szCs w:val="22"/>
              </w:rPr>
              <w:t>Laikas iki</w:t>
            </w:r>
            <w:r w:rsidR="005C28B1" w:rsidRPr="00975CA4">
              <w:rPr>
                <w:rFonts w:eastAsia="Times New Roman"/>
                <w:bCs/>
                <w:sz w:val="22"/>
                <w:szCs w:val="22"/>
              </w:rPr>
              <w:t xml:space="preserve"> MMR</w:t>
            </w:r>
            <w:r w:rsidRPr="00975CA4">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7D9816DE" w14:textId="77777777" w:rsidR="005C28B1" w:rsidRPr="00975CA4" w:rsidRDefault="007042ED">
            <w:pPr>
              <w:jc w:val="center"/>
              <w:rPr>
                <w:rFonts w:eastAsia="Times New Roman"/>
                <w:b/>
                <w:bCs/>
                <w:sz w:val="22"/>
                <w:szCs w:val="22"/>
              </w:rPr>
            </w:pPr>
            <w:r w:rsidRPr="00975CA4">
              <w:rPr>
                <w:rFonts w:eastAsia="Times New Roman"/>
                <w:sz w:val="22"/>
                <w:szCs w:val="22"/>
              </w:rPr>
              <w:t>2,</w:t>
            </w:r>
            <w:r w:rsidR="005C28B1" w:rsidRPr="00975CA4">
              <w:rPr>
                <w:rFonts w:eastAsia="Times New Roman"/>
                <w:sz w:val="22"/>
                <w:szCs w:val="22"/>
              </w:rPr>
              <w:t>01 (1</w:t>
            </w:r>
            <w:r w:rsidRPr="00975CA4">
              <w:rPr>
                <w:rFonts w:eastAsia="Times New Roman"/>
                <w:sz w:val="22"/>
                <w:szCs w:val="22"/>
              </w:rPr>
              <w:t>,</w:t>
            </w:r>
            <w:r w:rsidR="005C28B1" w:rsidRPr="00975CA4">
              <w:rPr>
                <w:rFonts w:eastAsia="Times New Roman"/>
                <w:sz w:val="22"/>
                <w:szCs w:val="22"/>
              </w:rPr>
              <w:t>2 – 3</w:t>
            </w:r>
            <w:r w:rsidRPr="00975CA4">
              <w:rPr>
                <w:rFonts w:eastAsia="Times New Roman"/>
                <w:sz w:val="22"/>
                <w:szCs w:val="22"/>
              </w:rPr>
              <w:t>,</w:t>
            </w:r>
            <w:r w:rsidR="005C28B1" w:rsidRPr="00975CA4">
              <w:rPr>
                <w:rFonts w:eastAsia="Times New Roman"/>
                <w:sz w:val="22"/>
                <w:szCs w:val="22"/>
              </w:rPr>
              <w:t>4)</w:t>
            </w:r>
          </w:p>
        </w:tc>
        <w:tc>
          <w:tcPr>
            <w:tcW w:w="1448" w:type="dxa"/>
            <w:tcBorders>
              <w:top w:val="single" w:sz="4" w:space="0" w:color="000000"/>
              <w:left w:val="single" w:sz="4" w:space="0" w:color="000000"/>
              <w:bottom w:val="single" w:sz="4" w:space="0" w:color="000000"/>
              <w:right w:val="single" w:sz="4" w:space="0" w:color="000000"/>
            </w:tcBorders>
            <w:hideMark/>
          </w:tcPr>
          <w:p w14:paraId="4EB24CBE" w14:textId="40B47E36" w:rsidR="005C28B1" w:rsidRPr="00975CA4" w:rsidRDefault="005C28B1" w:rsidP="004877E7">
            <w:pPr>
              <w:jc w:val="center"/>
              <w:rPr>
                <w:rFonts w:eastAsia="Times New Roman"/>
                <w:b/>
                <w:bCs/>
                <w:sz w:val="22"/>
                <w:szCs w:val="22"/>
              </w:rPr>
            </w:pPr>
            <w:r w:rsidRPr="00975CA4">
              <w:rPr>
                <w:rFonts w:eastAsia="Times New Roman"/>
                <w:sz w:val="22"/>
                <w:szCs w:val="22"/>
              </w:rPr>
              <w:t>p</w:t>
            </w:r>
            <w:r w:rsidR="00467B83" w:rsidRPr="00975CA4">
              <w:rPr>
                <w:rFonts w:eastAsia="Times New Roman"/>
                <w:sz w:val="22"/>
                <w:szCs w:val="22"/>
              </w:rPr>
              <w:t> </w:t>
            </w:r>
            <w:r w:rsidRPr="00975CA4">
              <w:rPr>
                <w:rFonts w:eastAsia="Times New Roman"/>
                <w:sz w:val="22"/>
                <w:szCs w:val="22"/>
              </w:rPr>
              <w:t>&lt;</w:t>
            </w:r>
            <w:r w:rsidR="00467B83" w:rsidRPr="00975CA4">
              <w:rPr>
                <w:rFonts w:eastAsia="Times New Roman"/>
                <w:sz w:val="22"/>
                <w:szCs w:val="22"/>
              </w:rPr>
              <w:t> </w:t>
            </w:r>
            <w:r w:rsidRPr="00975CA4">
              <w:rPr>
                <w:rFonts w:eastAsia="Times New Roman"/>
                <w:sz w:val="22"/>
                <w:szCs w:val="22"/>
              </w:rPr>
              <w:t>0</w:t>
            </w:r>
            <w:r w:rsidR="007042ED" w:rsidRPr="00975CA4">
              <w:rPr>
                <w:rFonts w:eastAsia="Times New Roman"/>
                <w:sz w:val="22"/>
                <w:szCs w:val="22"/>
              </w:rPr>
              <w:t>,</w:t>
            </w:r>
            <w:r w:rsidRPr="00975CA4">
              <w:rPr>
                <w:rFonts w:eastAsia="Times New Roman"/>
                <w:sz w:val="22"/>
                <w:szCs w:val="22"/>
              </w:rPr>
              <w:t>0001</w:t>
            </w:r>
            <w:r w:rsidRPr="00975CA4">
              <w:rPr>
                <w:rFonts w:eastAsia="Times New Roman"/>
                <w:sz w:val="22"/>
                <w:szCs w:val="22"/>
                <w:vertAlign w:val="superscript"/>
              </w:rPr>
              <w:t>*</w:t>
            </w:r>
          </w:p>
        </w:tc>
      </w:tr>
      <w:tr w:rsidR="005C28B1" w:rsidRPr="00975CA4" w14:paraId="470347D8"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3A1D757A" w14:textId="77777777" w:rsidR="005C28B1" w:rsidRPr="00975CA4" w:rsidRDefault="005C28B1">
            <w:pPr>
              <w:rPr>
                <w:rFonts w:eastAsia="Times New Roman"/>
                <w:b/>
                <w:bCs/>
                <w:sz w:val="22"/>
                <w:szCs w:val="22"/>
              </w:rPr>
            </w:pPr>
            <w:proofErr w:type="spellStart"/>
            <w:r w:rsidRPr="00975CA4">
              <w:rPr>
                <w:rFonts w:eastAsia="Times New Roman"/>
                <w:sz w:val="22"/>
                <w:szCs w:val="22"/>
              </w:rPr>
              <w:t>cCCyR</w:t>
            </w:r>
            <w:proofErr w:type="spellEnd"/>
            <w:r w:rsidR="007042ED" w:rsidRPr="00975CA4">
              <w:rPr>
                <w:rFonts w:eastAsia="Times New Roman"/>
                <w:sz w:val="22"/>
                <w:szCs w:val="22"/>
              </w:rPr>
              <w:t xml:space="preserve"> tvarumas</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17309E84" w14:textId="77777777" w:rsidR="005C28B1" w:rsidRPr="00975CA4" w:rsidRDefault="005C28B1">
            <w:pPr>
              <w:jc w:val="center"/>
              <w:rPr>
                <w:rFonts w:eastAsia="Times New Roman"/>
                <w:b/>
                <w:bCs/>
                <w:sz w:val="22"/>
                <w:szCs w:val="22"/>
              </w:rPr>
            </w:pPr>
            <w:r w:rsidRPr="00975CA4">
              <w:rPr>
                <w:rFonts w:eastAsia="Times New Roman"/>
                <w:sz w:val="22"/>
                <w:szCs w:val="22"/>
              </w:rPr>
              <w:t>0</w:t>
            </w:r>
            <w:r w:rsidR="007042ED" w:rsidRPr="00975CA4">
              <w:rPr>
                <w:rFonts w:eastAsia="Times New Roman"/>
                <w:sz w:val="22"/>
                <w:szCs w:val="22"/>
              </w:rPr>
              <w:t>,</w:t>
            </w:r>
            <w:r w:rsidRPr="00975CA4">
              <w:rPr>
                <w:rFonts w:eastAsia="Times New Roman"/>
                <w:sz w:val="22"/>
                <w:szCs w:val="22"/>
              </w:rPr>
              <w:t>7 (0</w:t>
            </w:r>
            <w:r w:rsidR="007042ED" w:rsidRPr="00975CA4">
              <w:rPr>
                <w:rFonts w:eastAsia="Times New Roman"/>
                <w:sz w:val="22"/>
                <w:szCs w:val="22"/>
              </w:rPr>
              <w:t>,</w:t>
            </w:r>
            <w:r w:rsidRPr="00975CA4">
              <w:rPr>
                <w:rFonts w:eastAsia="Times New Roman"/>
                <w:sz w:val="22"/>
                <w:szCs w:val="22"/>
              </w:rPr>
              <w:t>4 – 1</w:t>
            </w:r>
            <w:r w:rsidR="007042ED" w:rsidRPr="00975CA4">
              <w:rPr>
                <w:rFonts w:eastAsia="Times New Roman"/>
                <w:sz w:val="22"/>
                <w:szCs w:val="22"/>
              </w:rPr>
              <w:t>,</w:t>
            </w:r>
            <w:r w:rsidRPr="00975CA4">
              <w:rPr>
                <w:rFonts w:eastAsia="Times New Roman"/>
                <w:sz w:val="22"/>
                <w:szCs w:val="22"/>
              </w:rPr>
              <w:t>4)</w:t>
            </w:r>
          </w:p>
        </w:tc>
        <w:tc>
          <w:tcPr>
            <w:tcW w:w="1448" w:type="dxa"/>
            <w:tcBorders>
              <w:top w:val="single" w:sz="4" w:space="0" w:color="000000"/>
              <w:left w:val="single" w:sz="4" w:space="0" w:color="000000"/>
              <w:bottom w:val="single" w:sz="4" w:space="0" w:color="000000"/>
              <w:right w:val="single" w:sz="4" w:space="0" w:color="000000"/>
            </w:tcBorders>
            <w:hideMark/>
          </w:tcPr>
          <w:p w14:paraId="3F3DF596" w14:textId="1F50C8C3" w:rsidR="005C28B1" w:rsidRPr="00975CA4" w:rsidRDefault="005C28B1" w:rsidP="00467B83">
            <w:pPr>
              <w:jc w:val="center"/>
              <w:rPr>
                <w:rFonts w:eastAsia="Times New Roman"/>
                <w:b/>
                <w:bCs/>
                <w:sz w:val="22"/>
                <w:szCs w:val="22"/>
              </w:rPr>
            </w:pPr>
            <w:r w:rsidRPr="00975CA4">
              <w:rPr>
                <w:rFonts w:eastAsia="Times New Roman"/>
                <w:sz w:val="22"/>
                <w:szCs w:val="22"/>
              </w:rPr>
              <w:t>p</w:t>
            </w:r>
            <w:r w:rsidR="00467B83" w:rsidRPr="00975CA4">
              <w:rPr>
                <w:rFonts w:eastAsia="Times New Roman"/>
                <w:sz w:val="22"/>
                <w:szCs w:val="22"/>
              </w:rPr>
              <w:t> </w:t>
            </w:r>
            <w:r w:rsidRPr="00975CA4">
              <w:rPr>
                <w:rFonts w:eastAsia="Times New Roman"/>
                <w:sz w:val="22"/>
                <w:szCs w:val="22"/>
              </w:rPr>
              <w:t>&lt;</w:t>
            </w:r>
            <w:r w:rsidR="00467B83" w:rsidRPr="00975CA4">
              <w:rPr>
                <w:rFonts w:eastAsia="Times New Roman"/>
                <w:sz w:val="22"/>
                <w:szCs w:val="22"/>
              </w:rPr>
              <w:t> </w:t>
            </w:r>
            <w:r w:rsidRPr="00975CA4">
              <w:rPr>
                <w:rFonts w:eastAsia="Times New Roman"/>
                <w:sz w:val="22"/>
                <w:szCs w:val="22"/>
              </w:rPr>
              <w:t>0</w:t>
            </w:r>
            <w:r w:rsidR="007042ED" w:rsidRPr="00975CA4">
              <w:rPr>
                <w:rFonts w:eastAsia="Times New Roman"/>
                <w:sz w:val="22"/>
                <w:szCs w:val="22"/>
              </w:rPr>
              <w:t>,</w:t>
            </w:r>
            <w:r w:rsidRPr="00975CA4">
              <w:rPr>
                <w:rFonts w:eastAsia="Times New Roman"/>
                <w:sz w:val="22"/>
                <w:szCs w:val="22"/>
              </w:rPr>
              <w:t>035</w:t>
            </w:r>
          </w:p>
        </w:tc>
      </w:tr>
      <w:tr w:rsidR="005C28B1" w:rsidRPr="00975CA4" w14:paraId="156ABDA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63E806D4" w14:textId="77777777" w:rsidR="005C28B1" w:rsidRPr="00975CA4"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575AD94B" w14:textId="77777777" w:rsidR="005C28B1" w:rsidRPr="00975CA4" w:rsidRDefault="007042ED">
            <w:pPr>
              <w:jc w:val="center"/>
              <w:rPr>
                <w:rFonts w:eastAsia="Times New Roman"/>
                <w:b/>
                <w:bCs/>
                <w:sz w:val="22"/>
                <w:szCs w:val="22"/>
              </w:rPr>
            </w:pPr>
            <w:r w:rsidRPr="00975CA4">
              <w:rPr>
                <w:rFonts w:eastAsia="Times New Roman"/>
                <w:b/>
                <w:bCs/>
                <w:sz w:val="22"/>
                <w:szCs w:val="22"/>
              </w:rPr>
              <w:t>per</w:t>
            </w:r>
            <w:r w:rsidR="005C28B1" w:rsidRPr="00975CA4">
              <w:rPr>
                <w:rFonts w:eastAsia="Times New Roman"/>
                <w:b/>
                <w:bCs/>
                <w:sz w:val="22"/>
                <w:szCs w:val="22"/>
              </w:rPr>
              <w:t xml:space="preserve"> 24 </w:t>
            </w:r>
            <w:r w:rsidRPr="00975CA4">
              <w:rPr>
                <w:rFonts w:eastAsia="Times New Roman"/>
                <w:b/>
                <w:bCs/>
                <w:sz w:val="22"/>
                <w:szCs w:val="22"/>
              </w:rPr>
              <w:t xml:space="preserve">mėnesius </w:t>
            </w:r>
            <w:r w:rsidR="005C28B1" w:rsidRPr="00975CA4">
              <w:rPr>
                <w:rFonts w:eastAsia="Times New Roman"/>
                <w:b/>
                <w:bCs/>
                <w:sz w:val="22"/>
                <w:szCs w:val="22"/>
              </w:rPr>
              <w:t>(95</w:t>
            </w:r>
            <w:r w:rsidR="00467B83" w:rsidRPr="00975CA4">
              <w:rPr>
                <w:rFonts w:eastAsia="Times New Roman"/>
                <w:b/>
                <w:bCs/>
                <w:sz w:val="22"/>
                <w:szCs w:val="22"/>
              </w:rPr>
              <w:t> </w:t>
            </w:r>
            <w:r w:rsidR="005C28B1" w:rsidRPr="00975CA4">
              <w:rPr>
                <w:rFonts w:eastAsia="Times New Roman"/>
                <w:b/>
                <w:bCs/>
                <w:sz w:val="22"/>
                <w:szCs w:val="22"/>
              </w:rPr>
              <w:t xml:space="preserve">% </w:t>
            </w:r>
            <w:r w:rsidRPr="00975CA4">
              <w:rPr>
                <w:rFonts w:eastAsia="Times New Roman"/>
                <w:b/>
                <w:bCs/>
                <w:sz w:val="22"/>
                <w:szCs w:val="22"/>
              </w:rPr>
              <w:t>P</w:t>
            </w:r>
            <w:r w:rsidR="005C28B1" w:rsidRPr="00975CA4">
              <w:rPr>
                <w:rFonts w:eastAsia="Times New Roman"/>
                <w:b/>
                <w:bCs/>
                <w:sz w:val="22"/>
                <w:szCs w:val="22"/>
              </w:rPr>
              <w:t>I)</w:t>
            </w:r>
          </w:p>
        </w:tc>
        <w:tc>
          <w:tcPr>
            <w:tcW w:w="1448" w:type="dxa"/>
            <w:tcBorders>
              <w:top w:val="single" w:sz="4" w:space="0" w:color="000000"/>
              <w:left w:val="single" w:sz="4" w:space="0" w:color="000000"/>
              <w:bottom w:val="single" w:sz="4" w:space="0" w:color="000000"/>
              <w:right w:val="single" w:sz="4" w:space="0" w:color="000000"/>
            </w:tcBorders>
          </w:tcPr>
          <w:p w14:paraId="534EE9C3" w14:textId="77777777" w:rsidR="005C28B1" w:rsidRPr="00975CA4" w:rsidRDefault="005C28B1">
            <w:pPr>
              <w:jc w:val="center"/>
              <w:rPr>
                <w:rFonts w:eastAsia="Times New Roman"/>
                <w:b/>
                <w:bCs/>
                <w:sz w:val="22"/>
                <w:szCs w:val="22"/>
              </w:rPr>
            </w:pPr>
          </w:p>
        </w:tc>
      </w:tr>
      <w:tr w:rsidR="005C28B1" w:rsidRPr="00975CA4" w14:paraId="3B5E9346"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3AFB558A" w14:textId="77777777" w:rsidR="005C28B1" w:rsidRPr="00975CA4" w:rsidRDefault="007042ED">
            <w:pPr>
              <w:rPr>
                <w:rFonts w:eastAsia="Times New Roman"/>
                <w:bCs/>
                <w:sz w:val="22"/>
                <w:szCs w:val="22"/>
              </w:rPr>
            </w:pPr>
            <w:r w:rsidRPr="00975CA4">
              <w:rPr>
                <w:rFonts w:eastAsia="Times New Roman"/>
                <w:bCs/>
                <w:sz w:val="22"/>
                <w:szCs w:val="22"/>
              </w:rPr>
              <w:t xml:space="preserve">Laikas iki </w:t>
            </w:r>
            <w:proofErr w:type="spellStart"/>
            <w:r w:rsidR="005C28B1" w:rsidRPr="00975CA4">
              <w:rPr>
                <w:rFonts w:eastAsia="Times New Roman"/>
                <w:bCs/>
                <w:sz w:val="22"/>
                <w:szCs w:val="22"/>
              </w:rPr>
              <w:t>cCCyR</w:t>
            </w:r>
            <w:proofErr w:type="spellEnd"/>
            <w:r w:rsidRPr="00975CA4">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570D51BE" w14:textId="77777777" w:rsidR="005C28B1" w:rsidRPr="00975CA4" w:rsidRDefault="005C28B1">
            <w:pPr>
              <w:jc w:val="center"/>
              <w:rPr>
                <w:rFonts w:eastAsia="Times New Roman"/>
                <w:sz w:val="22"/>
                <w:szCs w:val="22"/>
              </w:rPr>
            </w:pPr>
            <w:r w:rsidRPr="00975CA4">
              <w:rPr>
                <w:rFonts w:eastAsia="Times New Roman"/>
                <w:sz w:val="22"/>
                <w:szCs w:val="22"/>
              </w:rPr>
              <w:t>1</w:t>
            </w:r>
            <w:r w:rsidR="007042ED" w:rsidRPr="00975CA4">
              <w:rPr>
                <w:rFonts w:eastAsia="Times New Roman"/>
                <w:sz w:val="22"/>
                <w:szCs w:val="22"/>
              </w:rPr>
              <w:t>,</w:t>
            </w:r>
            <w:r w:rsidRPr="00975CA4">
              <w:rPr>
                <w:rFonts w:eastAsia="Times New Roman"/>
                <w:sz w:val="22"/>
                <w:szCs w:val="22"/>
              </w:rPr>
              <w:t>49 (1</w:t>
            </w:r>
            <w:r w:rsidR="007042ED" w:rsidRPr="00975CA4">
              <w:rPr>
                <w:rFonts w:eastAsia="Times New Roman"/>
                <w:sz w:val="22"/>
                <w:szCs w:val="22"/>
              </w:rPr>
              <w:t>,</w:t>
            </w:r>
            <w:r w:rsidRPr="00975CA4">
              <w:rPr>
                <w:rFonts w:eastAsia="Times New Roman"/>
                <w:sz w:val="22"/>
                <w:szCs w:val="22"/>
              </w:rPr>
              <w:t>22 – 1</w:t>
            </w:r>
            <w:r w:rsidR="007042ED" w:rsidRPr="00975CA4">
              <w:rPr>
                <w:rFonts w:eastAsia="Times New Roman"/>
                <w:sz w:val="22"/>
                <w:szCs w:val="22"/>
              </w:rPr>
              <w:t>,</w:t>
            </w:r>
            <w:r w:rsidRPr="00975CA4">
              <w:rPr>
                <w:rFonts w:eastAsia="Times New Roman"/>
                <w:sz w:val="22"/>
                <w:szCs w:val="22"/>
              </w:rPr>
              <w:t>82)</w:t>
            </w:r>
          </w:p>
        </w:tc>
        <w:tc>
          <w:tcPr>
            <w:tcW w:w="1448" w:type="dxa"/>
            <w:tcBorders>
              <w:top w:val="single" w:sz="4" w:space="0" w:color="000000"/>
              <w:left w:val="single" w:sz="4" w:space="0" w:color="000000"/>
              <w:bottom w:val="single" w:sz="4" w:space="0" w:color="000000"/>
              <w:right w:val="single" w:sz="4" w:space="0" w:color="000000"/>
            </w:tcBorders>
            <w:hideMark/>
          </w:tcPr>
          <w:p w14:paraId="3505D239" w14:textId="77777777" w:rsidR="005C28B1" w:rsidRPr="00975CA4" w:rsidRDefault="005C28B1">
            <w:pPr>
              <w:jc w:val="center"/>
              <w:rPr>
                <w:sz w:val="22"/>
                <w:szCs w:val="22"/>
              </w:rPr>
            </w:pPr>
            <w:r w:rsidRPr="00975CA4">
              <w:rPr>
                <w:rFonts w:ascii="Cambria Math" w:hAnsi="Cambria Math" w:cs="Cambria Math"/>
                <w:sz w:val="22"/>
                <w:szCs w:val="22"/>
              </w:rPr>
              <w:t>⎯</w:t>
            </w:r>
          </w:p>
        </w:tc>
      </w:tr>
      <w:tr w:rsidR="005C28B1" w:rsidRPr="00975CA4" w14:paraId="7BA8E8A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3644B19B" w14:textId="77777777" w:rsidR="005C28B1" w:rsidRPr="00975CA4" w:rsidRDefault="007042ED">
            <w:pPr>
              <w:rPr>
                <w:rFonts w:eastAsia="Times New Roman"/>
                <w:bCs/>
                <w:sz w:val="22"/>
                <w:szCs w:val="22"/>
              </w:rPr>
            </w:pPr>
            <w:r w:rsidRPr="00975CA4">
              <w:rPr>
                <w:rFonts w:eastAsia="Times New Roman"/>
                <w:bCs/>
                <w:sz w:val="22"/>
                <w:szCs w:val="22"/>
              </w:rPr>
              <w:t xml:space="preserve">Laikas iki </w:t>
            </w:r>
            <w:r w:rsidR="005C28B1" w:rsidRPr="00975CA4">
              <w:rPr>
                <w:rFonts w:eastAsia="Times New Roman"/>
                <w:bCs/>
                <w:sz w:val="22"/>
                <w:szCs w:val="22"/>
              </w:rPr>
              <w:t>MMR</w:t>
            </w:r>
            <w:r w:rsidRPr="00975CA4">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045E6499" w14:textId="77777777" w:rsidR="005C28B1" w:rsidRPr="00975CA4" w:rsidRDefault="005C28B1">
            <w:pPr>
              <w:jc w:val="center"/>
              <w:rPr>
                <w:rFonts w:eastAsia="Times New Roman"/>
                <w:sz w:val="22"/>
                <w:szCs w:val="22"/>
              </w:rPr>
            </w:pPr>
            <w:r w:rsidRPr="00975CA4">
              <w:rPr>
                <w:rFonts w:eastAsia="Times New Roman"/>
                <w:sz w:val="22"/>
                <w:szCs w:val="22"/>
              </w:rPr>
              <w:t>1</w:t>
            </w:r>
            <w:r w:rsidR="007042ED" w:rsidRPr="00975CA4">
              <w:rPr>
                <w:rFonts w:eastAsia="Times New Roman"/>
                <w:sz w:val="22"/>
                <w:szCs w:val="22"/>
              </w:rPr>
              <w:t>,</w:t>
            </w:r>
            <w:r w:rsidRPr="00975CA4">
              <w:rPr>
                <w:rFonts w:eastAsia="Times New Roman"/>
                <w:sz w:val="22"/>
                <w:szCs w:val="22"/>
              </w:rPr>
              <w:t>69 (1</w:t>
            </w:r>
            <w:r w:rsidR="007042ED" w:rsidRPr="00975CA4">
              <w:rPr>
                <w:rFonts w:eastAsia="Times New Roman"/>
                <w:sz w:val="22"/>
                <w:szCs w:val="22"/>
              </w:rPr>
              <w:t>,</w:t>
            </w:r>
            <w:r w:rsidRPr="00975CA4">
              <w:rPr>
                <w:rFonts w:eastAsia="Times New Roman"/>
                <w:sz w:val="22"/>
                <w:szCs w:val="22"/>
              </w:rPr>
              <w:t>34 – 2</w:t>
            </w:r>
            <w:r w:rsidR="007042ED" w:rsidRPr="00975CA4">
              <w:rPr>
                <w:rFonts w:eastAsia="Times New Roman"/>
                <w:sz w:val="22"/>
                <w:szCs w:val="22"/>
              </w:rPr>
              <w:t>,</w:t>
            </w:r>
            <w:r w:rsidRPr="00975CA4">
              <w:rPr>
                <w:rFonts w:eastAsia="Times New Roman"/>
                <w:sz w:val="22"/>
                <w:szCs w:val="22"/>
              </w:rPr>
              <w:t>12)</w:t>
            </w:r>
          </w:p>
        </w:tc>
        <w:tc>
          <w:tcPr>
            <w:tcW w:w="1448" w:type="dxa"/>
            <w:tcBorders>
              <w:top w:val="single" w:sz="4" w:space="0" w:color="000000"/>
              <w:left w:val="single" w:sz="4" w:space="0" w:color="000000"/>
              <w:bottom w:val="single" w:sz="4" w:space="0" w:color="000000"/>
              <w:right w:val="single" w:sz="4" w:space="0" w:color="000000"/>
            </w:tcBorders>
            <w:hideMark/>
          </w:tcPr>
          <w:p w14:paraId="3445FA87" w14:textId="77777777" w:rsidR="005C28B1" w:rsidRPr="00975CA4" w:rsidRDefault="005C28B1">
            <w:pPr>
              <w:jc w:val="center"/>
              <w:rPr>
                <w:sz w:val="22"/>
                <w:szCs w:val="22"/>
              </w:rPr>
            </w:pPr>
            <w:r w:rsidRPr="00975CA4">
              <w:rPr>
                <w:rFonts w:ascii="Cambria Math" w:hAnsi="Cambria Math" w:cs="Cambria Math"/>
                <w:sz w:val="22"/>
                <w:szCs w:val="22"/>
              </w:rPr>
              <w:t>⎯</w:t>
            </w:r>
          </w:p>
        </w:tc>
      </w:tr>
      <w:tr w:rsidR="005C28B1" w:rsidRPr="00975CA4" w14:paraId="02FEBFD9"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9F33AAC" w14:textId="77777777" w:rsidR="005C28B1" w:rsidRPr="00975CA4" w:rsidRDefault="005C28B1">
            <w:pPr>
              <w:rPr>
                <w:rFonts w:eastAsia="Times New Roman"/>
                <w:b/>
                <w:bCs/>
                <w:sz w:val="22"/>
                <w:szCs w:val="22"/>
              </w:rPr>
            </w:pPr>
            <w:proofErr w:type="spellStart"/>
            <w:r w:rsidRPr="00975CA4">
              <w:rPr>
                <w:rFonts w:eastAsia="Times New Roman"/>
                <w:sz w:val="22"/>
                <w:szCs w:val="22"/>
              </w:rPr>
              <w:t>cCCyR</w:t>
            </w:r>
            <w:proofErr w:type="spellEnd"/>
            <w:r w:rsidR="007042ED" w:rsidRPr="00975CA4">
              <w:rPr>
                <w:rFonts w:eastAsia="Times New Roman"/>
                <w:sz w:val="22"/>
                <w:szCs w:val="22"/>
              </w:rPr>
              <w:t xml:space="preserve"> tvarumas</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231E9BD9" w14:textId="77777777" w:rsidR="005C28B1" w:rsidRPr="00975CA4" w:rsidRDefault="005C28B1">
            <w:pPr>
              <w:jc w:val="center"/>
              <w:rPr>
                <w:rFonts w:eastAsia="Times New Roman"/>
                <w:sz w:val="22"/>
                <w:szCs w:val="22"/>
              </w:rPr>
            </w:pPr>
            <w:r w:rsidRPr="00975CA4">
              <w:rPr>
                <w:rFonts w:eastAsia="Times New Roman"/>
                <w:sz w:val="22"/>
                <w:szCs w:val="22"/>
              </w:rPr>
              <w:t>0</w:t>
            </w:r>
            <w:r w:rsidR="007042ED" w:rsidRPr="00975CA4">
              <w:rPr>
                <w:rFonts w:eastAsia="Times New Roman"/>
                <w:sz w:val="22"/>
                <w:szCs w:val="22"/>
              </w:rPr>
              <w:t>,</w:t>
            </w:r>
            <w:r w:rsidRPr="00975CA4">
              <w:rPr>
                <w:rFonts w:eastAsia="Times New Roman"/>
                <w:sz w:val="22"/>
                <w:szCs w:val="22"/>
              </w:rPr>
              <w:t>77 (0</w:t>
            </w:r>
            <w:r w:rsidR="007042ED" w:rsidRPr="00975CA4">
              <w:rPr>
                <w:rFonts w:eastAsia="Times New Roman"/>
                <w:sz w:val="22"/>
                <w:szCs w:val="22"/>
              </w:rPr>
              <w:t>,</w:t>
            </w:r>
            <w:r w:rsidRPr="00975CA4">
              <w:rPr>
                <w:rFonts w:eastAsia="Times New Roman"/>
                <w:sz w:val="22"/>
                <w:szCs w:val="22"/>
              </w:rPr>
              <w:t>55 – 1</w:t>
            </w:r>
            <w:r w:rsidR="007042ED" w:rsidRPr="00975CA4">
              <w:rPr>
                <w:rFonts w:eastAsia="Times New Roman"/>
                <w:sz w:val="22"/>
                <w:szCs w:val="22"/>
              </w:rPr>
              <w:t>,</w:t>
            </w:r>
            <w:r w:rsidRPr="00975CA4">
              <w:rPr>
                <w:rFonts w:eastAsia="Times New Roman"/>
                <w:sz w:val="22"/>
                <w:szCs w:val="22"/>
              </w:rPr>
              <w:t>10)</w:t>
            </w:r>
          </w:p>
        </w:tc>
        <w:tc>
          <w:tcPr>
            <w:tcW w:w="1448" w:type="dxa"/>
            <w:tcBorders>
              <w:top w:val="single" w:sz="4" w:space="0" w:color="000000"/>
              <w:left w:val="single" w:sz="4" w:space="0" w:color="000000"/>
              <w:bottom w:val="single" w:sz="4" w:space="0" w:color="000000"/>
              <w:right w:val="single" w:sz="4" w:space="0" w:color="000000"/>
            </w:tcBorders>
            <w:hideMark/>
          </w:tcPr>
          <w:p w14:paraId="684D929F" w14:textId="77777777" w:rsidR="005C28B1" w:rsidRPr="00975CA4" w:rsidRDefault="005C28B1">
            <w:pPr>
              <w:jc w:val="center"/>
              <w:rPr>
                <w:sz w:val="22"/>
                <w:szCs w:val="22"/>
              </w:rPr>
            </w:pPr>
            <w:r w:rsidRPr="00975CA4">
              <w:rPr>
                <w:rFonts w:eastAsia="Times New Roman"/>
                <w:sz w:val="22"/>
                <w:szCs w:val="22"/>
              </w:rPr>
              <w:t>–</w:t>
            </w:r>
          </w:p>
        </w:tc>
      </w:tr>
      <w:tr w:rsidR="005C28B1" w:rsidRPr="00975CA4" w14:paraId="1AF5FE4F"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02129265" w14:textId="77777777" w:rsidR="005C28B1" w:rsidRPr="00975CA4"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1D86E6C4" w14:textId="77777777" w:rsidR="005C28B1" w:rsidRPr="00975CA4" w:rsidRDefault="007042ED">
            <w:pPr>
              <w:jc w:val="center"/>
              <w:rPr>
                <w:rFonts w:eastAsia="Times New Roman"/>
                <w:b/>
                <w:bCs/>
                <w:sz w:val="22"/>
                <w:szCs w:val="22"/>
              </w:rPr>
            </w:pPr>
            <w:r w:rsidRPr="00975CA4">
              <w:rPr>
                <w:rFonts w:eastAsia="Times New Roman"/>
                <w:b/>
                <w:bCs/>
                <w:sz w:val="22"/>
                <w:szCs w:val="22"/>
              </w:rPr>
              <w:t xml:space="preserve">per </w:t>
            </w:r>
            <w:r w:rsidR="005C28B1" w:rsidRPr="00975CA4">
              <w:rPr>
                <w:rFonts w:eastAsia="Times New Roman"/>
                <w:b/>
                <w:bCs/>
                <w:sz w:val="22"/>
                <w:szCs w:val="22"/>
              </w:rPr>
              <w:t xml:space="preserve">36 </w:t>
            </w:r>
            <w:r w:rsidRPr="00975CA4">
              <w:rPr>
                <w:rFonts w:eastAsia="Times New Roman"/>
                <w:b/>
                <w:bCs/>
                <w:sz w:val="22"/>
                <w:szCs w:val="22"/>
              </w:rPr>
              <w:t xml:space="preserve">mėnesius </w:t>
            </w:r>
            <w:r w:rsidR="005C28B1" w:rsidRPr="00975CA4">
              <w:rPr>
                <w:rFonts w:eastAsia="Times New Roman"/>
                <w:b/>
                <w:bCs/>
                <w:sz w:val="22"/>
                <w:szCs w:val="22"/>
              </w:rPr>
              <w:t>(95</w:t>
            </w:r>
            <w:r w:rsidR="00467B83" w:rsidRPr="00975CA4">
              <w:rPr>
                <w:rFonts w:eastAsia="Times New Roman"/>
                <w:b/>
                <w:bCs/>
                <w:sz w:val="22"/>
                <w:szCs w:val="22"/>
              </w:rPr>
              <w:t> </w:t>
            </w:r>
            <w:r w:rsidR="005C28B1" w:rsidRPr="00975CA4">
              <w:rPr>
                <w:rFonts w:eastAsia="Times New Roman"/>
                <w:b/>
                <w:bCs/>
                <w:sz w:val="22"/>
                <w:szCs w:val="22"/>
              </w:rPr>
              <w:t xml:space="preserve">% </w:t>
            </w:r>
            <w:r w:rsidRPr="00975CA4">
              <w:rPr>
                <w:rFonts w:eastAsia="Times New Roman"/>
                <w:b/>
                <w:bCs/>
                <w:sz w:val="22"/>
                <w:szCs w:val="22"/>
              </w:rPr>
              <w:t>P</w:t>
            </w:r>
            <w:r w:rsidR="005C28B1" w:rsidRPr="00975CA4">
              <w:rPr>
                <w:rFonts w:eastAsia="Times New Roman"/>
                <w:b/>
                <w:bCs/>
                <w:sz w:val="22"/>
                <w:szCs w:val="22"/>
              </w:rPr>
              <w:t>I)</w:t>
            </w:r>
          </w:p>
        </w:tc>
        <w:tc>
          <w:tcPr>
            <w:tcW w:w="1448" w:type="dxa"/>
            <w:tcBorders>
              <w:top w:val="single" w:sz="4" w:space="0" w:color="000000"/>
              <w:left w:val="single" w:sz="4" w:space="0" w:color="000000"/>
              <w:bottom w:val="single" w:sz="4" w:space="0" w:color="000000"/>
              <w:right w:val="single" w:sz="4" w:space="0" w:color="000000"/>
            </w:tcBorders>
          </w:tcPr>
          <w:p w14:paraId="5B4FAEE9" w14:textId="77777777" w:rsidR="005C28B1" w:rsidRPr="00975CA4" w:rsidRDefault="005C28B1">
            <w:pPr>
              <w:jc w:val="center"/>
              <w:rPr>
                <w:rFonts w:eastAsia="Times New Roman"/>
                <w:b/>
                <w:bCs/>
                <w:sz w:val="22"/>
                <w:szCs w:val="22"/>
              </w:rPr>
            </w:pPr>
          </w:p>
        </w:tc>
      </w:tr>
      <w:tr w:rsidR="005C28B1" w:rsidRPr="00975CA4" w14:paraId="1A7899C1"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6A29D21F" w14:textId="77777777" w:rsidR="005C28B1" w:rsidRPr="00975CA4" w:rsidRDefault="007042ED">
            <w:pPr>
              <w:rPr>
                <w:rFonts w:eastAsia="Times New Roman"/>
                <w:bCs/>
                <w:sz w:val="22"/>
                <w:szCs w:val="22"/>
              </w:rPr>
            </w:pPr>
            <w:r w:rsidRPr="00975CA4">
              <w:rPr>
                <w:rFonts w:eastAsia="Times New Roman"/>
                <w:bCs/>
                <w:sz w:val="22"/>
                <w:szCs w:val="22"/>
              </w:rPr>
              <w:t xml:space="preserve">Laikas iki </w:t>
            </w:r>
            <w:proofErr w:type="spellStart"/>
            <w:r w:rsidR="005C28B1" w:rsidRPr="00975CA4">
              <w:rPr>
                <w:rFonts w:eastAsia="Times New Roman"/>
                <w:bCs/>
                <w:sz w:val="22"/>
                <w:szCs w:val="22"/>
              </w:rPr>
              <w:t>cCCyR</w:t>
            </w:r>
            <w:proofErr w:type="spellEnd"/>
            <w:r w:rsidRPr="00975CA4">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616EDCA8" w14:textId="77777777" w:rsidR="005C28B1" w:rsidRPr="00975CA4" w:rsidRDefault="005C28B1">
            <w:pPr>
              <w:jc w:val="center"/>
              <w:rPr>
                <w:sz w:val="22"/>
                <w:szCs w:val="22"/>
              </w:rPr>
            </w:pPr>
            <w:r w:rsidRPr="00975CA4">
              <w:rPr>
                <w:sz w:val="22"/>
                <w:szCs w:val="22"/>
              </w:rPr>
              <w:t>1</w:t>
            </w:r>
            <w:r w:rsidR="007042ED" w:rsidRPr="00975CA4">
              <w:rPr>
                <w:sz w:val="22"/>
                <w:szCs w:val="22"/>
              </w:rPr>
              <w:t>,</w:t>
            </w:r>
            <w:r w:rsidRPr="00975CA4">
              <w:rPr>
                <w:sz w:val="22"/>
                <w:szCs w:val="22"/>
              </w:rPr>
              <w:t>48 (1</w:t>
            </w:r>
            <w:r w:rsidR="007042ED" w:rsidRPr="00975CA4">
              <w:rPr>
                <w:sz w:val="22"/>
                <w:szCs w:val="22"/>
              </w:rPr>
              <w:t>,</w:t>
            </w:r>
            <w:r w:rsidRPr="00975CA4">
              <w:rPr>
                <w:sz w:val="22"/>
                <w:szCs w:val="22"/>
              </w:rPr>
              <w:t>22</w:t>
            </w:r>
            <w:r w:rsidRPr="00975CA4">
              <w:rPr>
                <w:rFonts w:eastAsia="Times New Roman"/>
                <w:sz w:val="22"/>
                <w:szCs w:val="22"/>
              </w:rPr>
              <w:t xml:space="preserve"> – </w:t>
            </w:r>
            <w:r w:rsidRPr="00975CA4">
              <w:rPr>
                <w:sz w:val="22"/>
                <w:szCs w:val="22"/>
              </w:rPr>
              <w:t>1</w:t>
            </w:r>
            <w:r w:rsidR="007042ED" w:rsidRPr="00975CA4">
              <w:rPr>
                <w:sz w:val="22"/>
                <w:szCs w:val="22"/>
              </w:rPr>
              <w:t>,</w:t>
            </w:r>
            <w:r w:rsidRPr="00975CA4">
              <w:rPr>
                <w:sz w:val="22"/>
                <w:szCs w:val="22"/>
              </w:rPr>
              <w:t>80)</w:t>
            </w:r>
          </w:p>
        </w:tc>
        <w:tc>
          <w:tcPr>
            <w:tcW w:w="1448" w:type="dxa"/>
            <w:tcBorders>
              <w:top w:val="single" w:sz="4" w:space="0" w:color="000000"/>
              <w:left w:val="single" w:sz="4" w:space="0" w:color="000000"/>
              <w:bottom w:val="single" w:sz="4" w:space="0" w:color="000000"/>
              <w:right w:val="single" w:sz="4" w:space="0" w:color="000000"/>
            </w:tcBorders>
            <w:hideMark/>
          </w:tcPr>
          <w:p w14:paraId="7513FA5C" w14:textId="77777777" w:rsidR="005C28B1" w:rsidRPr="00975CA4" w:rsidRDefault="005C28B1">
            <w:pPr>
              <w:jc w:val="center"/>
              <w:rPr>
                <w:sz w:val="22"/>
                <w:szCs w:val="22"/>
              </w:rPr>
            </w:pPr>
            <w:r w:rsidRPr="00975CA4">
              <w:rPr>
                <w:sz w:val="22"/>
                <w:szCs w:val="22"/>
              </w:rPr>
              <w:t>–</w:t>
            </w:r>
          </w:p>
        </w:tc>
      </w:tr>
      <w:tr w:rsidR="005C28B1" w:rsidRPr="00975CA4" w14:paraId="684C5480"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FAF3E2F" w14:textId="77777777" w:rsidR="005C28B1" w:rsidRPr="00975CA4" w:rsidRDefault="007042ED">
            <w:pPr>
              <w:rPr>
                <w:rFonts w:eastAsia="Times New Roman"/>
                <w:bCs/>
                <w:sz w:val="22"/>
                <w:szCs w:val="22"/>
              </w:rPr>
            </w:pPr>
            <w:r w:rsidRPr="00975CA4">
              <w:rPr>
                <w:rFonts w:eastAsia="Times New Roman"/>
                <w:bCs/>
                <w:sz w:val="22"/>
                <w:szCs w:val="22"/>
              </w:rPr>
              <w:t xml:space="preserve">Laikas iki </w:t>
            </w:r>
            <w:r w:rsidR="005C28B1" w:rsidRPr="00975CA4">
              <w:rPr>
                <w:rFonts w:eastAsia="Times New Roman"/>
                <w:bCs/>
                <w:sz w:val="22"/>
                <w:szCs w:val="22"/>
              </w:rPr>
              <w:t>MMR</w:t>
            </w:r>
            <w:r w:rsidRPr="00975CA4">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20F145FA" w14:textId="77777777" w:rsidR="005C28B1" w:rsidRPr="00975CA4" w:rsidRDefault="005C28B1">
            <w:pPr>
              <w:jc w:val="center"/>
              <w:rPr>
                <w:sz w:val="22"/>
                <w:szCs w:val="22"/>
              </w:rPr>
            </w:pPr>
            <w:r w:rsidRPr="00975CA4">
              <w:rPr>
                <w:sz w:val="22"/>
                <w:szCs w:val="22"/>
              </w:rPr>
              <w:t>1</w:t>
            </w:r>
            <w:r w:rsidR="007042ED" w:rsidRPr="00975CA4">
              <w:rPr>
                <w:sz w:val="22"/>
                <w:szCs w:val="22"/>
              </w:rPr>
              <w:t>,</w:t>
            </w:r>
            <w:r w:rsidRPr="00975CA4">
              <w:rPr>
                <w:sz w:val="22"/>
                <w:szCs w:val="22"/>
              </w:rPr>
              <w:t>59 (1</w:t>
            </w:r>
            <w:r w:rsidR="007042ED" w:rsidRPr="00975CA4">
              <w:rPr>
                <w:sz w:val="22"/>
                <w:szCs w:val="22"/>
              </w:rPr>
              <w:t>,</w:t>
            </w:r>
            <w:r w:rsidRPr="00975CA4">
              <w:rPr>
                <w:sz w:val="22"/>
                <w:szCs w:val="22"/>
              </w:rPr>
              <w:t>28</w:t>
            </w:r>
            <w:r w:rsidRPr="00975CA4">
              <w:rPr>
                <w:rFonts w:eastAsia="Times New Roman"/>
                <w:sz w:val="22"/>
                <w:szCs w:val="22"/>
              </w:rPr>
              <w:t xml:space="preserve"> – </w:t>
            </w:r>
            <w:r w:rsidRPr="00975CA4">
              <w:rPr>
                <w:sz w:val="22"/>
                <w:szCs w:val="22"/>
              </w:rPr>
              <w:t>1</w:t>
            </w:r>
            <w:r w:rsidR="007042ED" w:rsidRPr="00975CA4">
              <w:rPr>
                <w:sz w:val="22"/>
                <w:szCs w:val="22"/>
              </w:rPr>
              <w:t>,</w:t>
            </w:r>
            <w:r w:rsidRPr="00975CA4">
              <w:rPr>
                <w:sz w:val="22"/>
                <w:szCs w:val="22"/>
              </w:rPr>
              <w:t>99)</w:t>
            </w:r>
          </w:p>
        </w:tc>
        <w:tc>
          <w:tcPr>
            <w:tcW w:w="1448" w:type="dxa"/>
            <w:tcBorders>
              <w:top w:val="single" w:sz="4" w:space="0" w:color="000000"/>
              <w:left w:val="single" w:sz="4" w:space="0" w:color="000000"/>
              <w:bottom w:val="single" w:sz="4" w:space="0" w:color="000000"/>
              <w:right w:val="single" w:sz="4" w:space="0" w:color="000000"/>
            </w:tcBorders>
            <w:hideMark/>
          </w:tcPr>
          <w:p w14:paraId="6316446F" w14:textId="77777777" w:rsidR="005C28B1" w:rsidRPr="00975CA4" w:rsidRDefault="005C28B1">
            <w:pPr>
              <w:jc w:val="center"/>
              <w:rPr>
                <w:sz w:val="22"/>
                <w:szCs w:val="22"/>
              </w:rPr>
            </w:pPr>
            <w:r w:rsidRPr="00975CA4">
              <w:rPr>
                <w:sz w:val="22"/>
                <w:szCs w:val="22"/>
              </w:rPr>
              <w:t>–</w:t>
            </w:r>
          </w:p>
        </w:tc>
      </w:tr>
      <w:tr w:rsidR="005C28B1" w:rsidRPr="00975CA4" w14:paraId="06E08CF4"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5352AE35" w14:textId="77777777" w:rsidR="005C28B1" w:rsidRPr="00975CA4" w:rsidRDefault="005C28B1">
            <w:pPr>
              <w:rPr>
                <w:rFonts w:eastAsia="Times New Roman"/>
                <w:b/>
                <w:bCs/>
                <w:sz w:val="22"/>
                <w:szCs w:val="22"/>
              </w:rPr>
            </w:pPr>
            <w:proofErr w:type="spellStart"/>
            <w:r w:rsidRPr="00975CA4">
              <w:rPr>
                <w:rFonts w:eastAsia="Times New Roman"/>
                <w:sz w:val="22"/>
                <w:szCs w:val="22"/>
              </w:rPr>
              <w:t>cCCyR</w:t>
            </w:r>
            <w:proofErr w:type="spellEnd"/>
            <w:r w:rsidR="007042ED" w:rsidRPr="00975CA4">
              <w:rPr>
                <w:rFonts w:eastAsia="Times New Roman"/>
                <w:sz w:val="22"/>
                <w:szCs w:val="22"/>
              </w:rPr>
              <w:t xml:space="preserve"> tvarumas</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25F1FCD3" w14:textId="77777777" w:rsidR="005C28B1" w:rsidRPr="00975CA4" w:rsidRDefault="005C28B1">
            <w:pPr>
              <w:jc w:val="center"/>
              <w:rPr>
                <w:sz w:val="22"/>
                <w:szCs w:val="22"/>
              </w:rPr>
            </w:pPr>
            <w:r w:rsidRPr="00975CA4">
              <w:rPr>
                <w:sz w:val="22"/>
                <w:szCs w:val="22"/>
              </w:rPr>
              <w:t>0</w:t>
            </w:r>
            <w:r w:rsidR="007042ED" w:rsidRPr="00975CA4">
              <w:rPr>
                <w:sz w:val="22"/>
                <w:szCs w:val="22"/>
              </w:rPr>
              <w:t>,</w:t>
            </w:r>
            <w:r w:rsidRPr="00975CA4">
              <w:rPr>
                <w:sz w:val="22"/>
                <w:szCs w:val="22"/>
              </w:rPr>
              <w:t>77 (0</w:t>
            </w:r>
            <w:r w:rsidR="007042ED" w:rsidRPr="00975CA4">
              <w:rPr>
                <w:sz w:val="22"/>
                <w:szCs w:val="22"/>
              </w:rPr>
              <w:t>,</w:t>
            </w:r>
            <w:r w:rsidRPr="00975CA4">
              <w:rPr>
                <w:sz w:val="22"/>
                <w:szCs w:val="22"/>
              </w:rPr>
              <w:t>53</w:t>
            </w:r>
            <w:r w:rsidRPr="00975CA4">
              <w:rPr>
                <w:rFonts w:eastAsia="Times New Roman"/>
                <w:sz w:val="22"/>
                <w:szCs w:val="22"/>
              </w:rPr>
              <w:t xml:space="preserve"> – </w:t>
            </w:r>
            <w:r w:rsidRPr="00975CA4">
              <w:rPr>
                <w:sz w:val="22"/>
                <w:szCs w:val="22"/>
              </w:rPr>
              <w:t>1</w:t>
            </w:r>
            <w:r w:rsidR="007042ED" w:rsidRPr="00975CA4">
              <w:rPr>
                <w:sz w:val="22"/>
                <w:szCs w:val="22"/>
              </w:rPr>
              <w:t>,</w:t>
            </w:r>
            <w:r w:rsidRPr="00975CA4">
              <w:rPr>
                <w:sz w:val="22"/>
                <w:szCs w:val="22"/>
              </w:rPr>
              <w:t>11)</w:t>
            </w:r>
          </w:p>
        </w:tc>
        <w:tc>
          <w:tcPr>
            <w:tcW w:w="1448" w:type="dxa"/>
            <w:tcBorders>
              <w:top w:val="single" w:sz="4" w:space="0" w:color="000000"/>
              <w:left w:val="single" w:sz="4" w:space="0" w:color="000000"/>
              <w:bottom w:val="single" w:sz="4" w:space="0" w:color="000000"/>
              <w:right w:val="single" w:sz="4" w:space="0" w:color="000000"/>
            </w:tcBorders>
            <w:hideMark/>
          </w:tcPr>
          <w:p w14:paraId="4F7CEEC3" w14:textId="77777777" w:rsidR="005C28B1" w:rsidRPr="00975CA4" w:rsidRDefault="005C28B1">
            <w:pPr>
              <w:jc w:val="center"/>
              <w:rPr>
                <w:sz w:val="22"/>
                <w:szCs w:val="22"/>
              </w:rPr>
            </w:pPr>
            <w:r w:rsidRPr="00975CA4">
              <w:rPr>
                <w:sz w:val="22"/>
                <w:szCs w:val="22"/>
              </w:rPr>
              <w:t>–</w:t>
            </w:r>
          </w:p>
        </w:tc>
      </w:tr>
      <w:tr w:rsidR="005C28B1" w:rsidRPr="00975CA4" w14:paraId="4B379A9A"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6F8C2582" w14:textId="77777777" w:rsidR="005C28B1" w:rsidRPr="00975CA4"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6E87E742" w14:textId="77777777" w:rsidR="005C28B1" w:rsidRPr="00975CA4" w:rsidRDefault="007042ED">
            <w:pPr>
              <w:jc w:val="center"/>
              <w:rPr>
                <w:rFonts w:eastAsia="Times New Roman"/>
                <w:b/>
                <w:bCs/>
                <w:sz w:val="22"/>
                <w:szCs w:val="22"/>
              </w:rPr>
            </w:pPr>
            <w:r w:rsidRPr="00975CA4">
              <w:rPr>
                <w:rFonts w:eastAsia="Times New Roman"/>
                <w:b/>
                <w:bCs/>
                <w:sz w:val="22"/>
                <w:szCs w:val="22"/>
              </w:rPr>
              <w:t xml:space="preserve">per </w:t>
            </w:r>
            <w:r w:rsidR="005C28B1" w:rsidRPr="00975CA4">
              <w:rPr>
                <w:rFonts w:eastAsia="Times New Roman"/>
                <w:b/>
                <w:bCs/>
                <w:sz w:val="22"/>
                <w:szCs w:val="22"/>
              </w:rPr>
              <w:t xml:space="preserve">48 </w:t>
            </w:r>
            <w:r w:rsidRPr="00975CA4">
              <w:rPr>
                <w:rFonts w:eastAsia="Times New Roman"/>
                <w:b/>
                <w:bCs/>
                <w:sz w:val="22"/>
                <w:szCs w:val="22"/>
              </w:rPr>
              <w:t xml:space="preserve">mėnesius </w:t>
            </w:r>
            <w:r w:rsidR="005C28B1" w:rsidRPr="00975CA4">
              <w:rPr>
                <w:rFonts w:eastAsia="Times New Roman"/>
                <w:b/>
                <w:bCs/>
                <w:sz w:val="22"/>
                <w:szCs w:val="22"/>
              </w:rPr>
              <w:t>(95</w:t>
            </w:r>
            <w:r w:rsidR="00467B83" w:rsidRPr="00975CA4">
              <w:rPr>
                <w:rFonts w:eastAsia="Times New Roman"/>
                <w:b/>
                <w:bCs/>
                <w:sz w:val="22"/>
                <w:szCs w:val="22"/>
              </w:rPr>
              <w:t> </w:t>
            </w:r>
            <w:r w:rsidR="005C28B1" w:rsidRPr="00975CA4">
              <w:rPr>
                <w:rFonts w:eastAsia="Times New Roman"/>
                <w:b/>
                <w:bCs/>
                <w:sz w:val="22"/>
                <w:szCs w:val="22"/>
              </w:rPr>
              <w:t xml:space="preserve">% </w:t>
            </w:r>
            <w:r w:rsidRPr="00975CA4">
              <w:rPr>
                <w:rFonts w:eastAsia="Times New Roman"/>
                <w:b/>
                <w:bCs/>
                <w:sz w:val="22"/>
                <w:szCs w:val="22"/>
              </w:rPr>
              <w:t>P</w:t>
            </w:r>
            <w:r w:rsidR="005C28B1" w:rsidRPr="00975CA4">
              <w:rPr>
                <w:rFonts w:eastAsia="Times New Roman"/>
                <w:b/>
                <w:bCs/>
                <w:sz w:val="22"/>
                <w:szCs w:val="22"/>
              </w:rPr>
              <w:t>I)</w:t>
            </w:r>
          </w:p>
        </w:tc>
        <w:tc>
          <w:tcPr>
            <w:tcW w:w="1448" w:type="dxa"/>
            <w:tcBorders>
              <w:top w:val="single" w:sz="4" w:space="0" w:color="000000"/>
              <w:left w:val="single" w:sz="4" w:space="0" w:color="000000"/>
              <w:bottom w:val="single" w:sz="4" w:space="0" w:color="000000"/>
              <w:right w:val="single" w:sz="4" w:space="0" w:color="000000"/>
            </w:tcBorders>
          </w:tcPr>
          <w:p w14:paraId="6EBFB2B4" w14:textId="77777777" w:rsidR="005C28B1" w:rsidRPr="00975CA4" w:rsidRDefault="005C28B1">
            <w:pPr>
              <w:jc w:val="center"/>
              <w:rPr>
                <w:rFonts w:eastAsia="Times New Roman"/>
                <w:b/>
                <w:bCs/>
                <w:sz w:val="22"/>
                <w:szCs w:val="22"/>
              </w:rPr>
            </w:pPr>
          </w:p>
        </w:tc>
      </w:tr>
      <w:tr w:rsidR="005C28B1" w:rsidRPr="00975CA4" w14:paraId="527A61B7"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2F32DF7C" w14:textId="77777777" w:rsidR="005C28B1" w:rsidRPr="00975CA4" w:rsidRDefault="007042ED">
            <w:pPr>
              <w:rPr>
                <w:rFonts w:eastAsia="Times New Roman"/>
                <w:bCs/>
                <w:sz w:val="22"/>
                <w:szCs w:val="22"/>
              </w:rPr>
            </w:pPr>
            <w:r w:rsidRPr="00975CA4">
              <w:rPr>
                <w:rFonts w:eastAsia="Times New Roman"/>
                <w:bCs/>
                <w:sz w:val="22"/>
                <w:szCs w:val="22"/>
              </w:rPr>
              <w:t xml:space="preserve">Laikas iki </w:t>
            </w:r>
            <w:proofErr w:type="spellStart"/>
            <w:r w:rsidR="005C28B1" w:rsidRPr="00975CA4">
              <w:rPr>
                <w:rFonts w:eastAsia="Times New Roman"/>
                <w:bCs/>
                <w:sz w:val="22"/>
                <w:szCs w:val="22"/>
              </w:rPr>
              <w:t>cCCyR</w:t>
            </w:r>
            <w:proofErr w:type="spellEnd"/>
            <w:r w:rsidRPr="00975CA4">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4DB47435" w14:textId="77777777" w:rsidR="005C28B1" w:rsidRPr="00975CA4" w:rsidRDefault="005C28B1">
            <w:pPr>
              <w:jc w:val="center"/>
              <w:rPr>
                <w:sz w:val="22"/>
                <w:szCs w:val="22"/>
              </w:rPr>
            </w:pPr>
            <w:r w:rsidRPr="00975CA4">
              <w:rPr>
                <w:sz w:val="22"/>
                <w:szCs w:val="22"/>
              </w:rPr>
              <w:t>1</w:t>
            </w:r>
            <w:r w:rsidR="007042ED" w:rsidRPr="00975CA4">
              <w:rPr>
                <w:sz w:val="22"/>
                <w:szCs w:val="22"/>
              </w:rPr>
              <w:t>,</w:t>
            </w:r>
            <w:r w:rsidRPr="00975CA4">
              <w:rPr>
                <w:sz w:val="22"/>
                <w:szCs w:val="22"/>
              </w:rPr>
              <w:t>45 (1</w:t>
            </w:r>
            <w:r w:rsidR="007042ED" w:rsidRPr="00975CA4">
              <w:rPr>
                <w:sz w:val="22"/>
                <w:szCs w:val="22"/>
              </w:rPr>
              <w:t>,</w:t>
            </w:r>
            <w:r w:rsidRPr="00975CA4">
              <w:rPr>
                <w:sz w:val="22"/>
                <w:szCs w:val="22"/>
              </w:rPr>
              <w:t>20</w:t>
            </w:r>
            <w:r w:rsidRPr="00975CA4">
              <w:rPr>
                <w:rFonts w:eastAsia="Times New Roman"/>
                <w:sz w:val="22"/>
                <w:szCs w:val="22"/>
              </w:rPr>
              <w:t xml:space="preserve"> – </w:t>
            </w:r>
            <w:r w:rsidRPr="00975CA4">
              <w:rPr>
                <w:sz w:val="22"/>
                <w:szCs w:val="22"/>
              </w:rPr>
              <w:t>1</w:t>
            </w:r>
            <w:r w:rsidR="007042ED" w:rsidRPr="00975CA4">
              <w:rPr>
                <w:sz w:val="22"/>
                <w:szCs w:val="22"/>
              </w:rPr>
              <w:t>,</w:t>
            </w:r>
            <w:r w:rsidRPr="00975CA4">
              <w:rPr>
                <w:sz w:val="22"/>
                <w:szCs w:val="22"/>
              </w:rPr>
              <w:t>77)</w:t>
            </w:r>
          </w:p>
        </w:tc>
        <w:tc>
          <w:tcPr>
            <w:tcW w:w="1448" w:type="dxa"/>
            <w:tcBorders>
              <w:top w:val="single" w:sz="4" w:space="0" w:color="000000"/>
              <w:left w:val="single" w:sz="4" w:space="0" w:color="000000"/>
              <w:bottom w:val="single" w:sz="4" w:space="0" w:color="000000"/>
              <w:right w:val="single" w:sz="4" w:space="0" w:color="000000"/>
            </w:tcBorders>
            <w:hideMark/>
          </w:tcPr>
          <w:p w14:paraId="1EDAFF21" w14:textId="77777777" w:rsidR="005C28B1" w:rsidRPr="00975CA4" w:rsidRDefault="005C28B1">
            <w:pPr>
              <w:jc w:val="center"/>
              <w:rPr>
                <w:sz w:val="22"/>
                <w:szCs w:val="22"/>
              </w:rPr>
            </w:pPr>
            <w:r w:rsidRPr="00975CA4">
              <w:rPr>
                <w:sz w:val="22"/>
                <w:szCs w:val="22"/>
              </w:rPr>
              <w:t>–</w:t>
            </w:r>
          </w:p>
        </w:tc>
      </w:tr>
      <w:tr w:rsidR="005C28B1" w:rsidRPr="00975CA4" w14:paraId="556CDC47"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3C038352" w14:textId="77777777" w:rsidR="005C28B1" w:rsidRPr="00975CA4" w:rsidRDefault="007042ED">
            <w:pPr>
              <w:rPr>
                <w:rFonts w:eastAsia="Times New Roman"/>
                <w:bCs/>
                <w:sz w:val="22"/>
                <w:szCs w:val="22"/>
              </w:rPr>
            </w:pPr>
            <w:r w:rsidRPr="00975CA4">
              <w:rPr>
                <w:rFonts w:eastAsia="Times New Roman"/>
                <w:bCs/>
                <w:sz w:val="22"/>
                <w:szCs w:val="22"/>
              </w:rPr>
              <w:lastRenderedPageBreak/>
              <w:t xml:space="preserve">Laikas iki </w:t>
            </w:r>
            <w:r w:rsidR="005C28B1" w:rsidRPr="00975CA4">
              <w:rPr>
                <w:rFonts w:eastAsia="Times New Roman"/>
                <w:bCs/>
                <w:sz w:val="22"/>
                <w:szCs w:val="22"/>
              </w:rPr>
              <w:t>MMR</w:t>
            </w:r>
            <w:r w:rsidRPr="00975CA4">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6DD1B275" w14:textId="77777777" w:rsidR="005C28B1" w:rsidRPr="00975CA4" w:rsidRDefault="005C28B1">
            <w:pPr>
              <w:jc w:val="center"/>
              <w:rPr>
                <w:sz w:val="22"/>
                <w:szCs w:val="22"/>
              </w:rPr>
            </w:pPr>
            <w:r w:rsidRPr="00975CA4">
              <w:rPr>
                <w:sz w:val="22"/>
                <w:szCs w:val="22"/>
              </w:rPr>
              <w:t>1</w:t>
            </w:r>
            <w:r w:rsidR="007042ED" w:rsidRPr="00975CA4">
              <w:rPr>
                <w:sz w:val="22"/>
                <w:szCs w:val="22"/>
              </w:rPr>
              <w:t>,</w:t>
            </w:r>
            <w:r w:rsidRPr="00975CA4">
              <w:rPr>
                <w:sz w:val="22"/>
                <w:szCs w:val="22"/>
              </w:rPr>
              <w:t>55 (1</w:t>
            </w:r>
            <w:r w:rsidR="007042ED" w:rsidRPr="00975CA4">
              <w:rPr>
                <w:sz w:val="22"/>
                <w:szCs w:val="22"/>
              </w:rPr>
              <w:t>,</w:t>
            </w:r>
            <w:r w:rsidRPr="00975CA4">
              <w:rPr>
                <w:sz w:val="22"/>
                <w:szCs w:val="22"/>
              </w:rPr>
              <w:t>26</w:t>
            </w:r>
            <w:r w:rsidRPr="00975CA4">
              <w:rPr>
                <w:rFonts w:eastAsia="Times New Roman"/>
                <w:sz w:val="22"/>
                <w:szCs w:val="22"/>
              </w:rPr>
              <w:t xml:space="preserve"> – </w:t>
            </w:r>
            <w:r w:rsidRPr="00975CA4">
              <w:rPr>
                <w:sz w:val="22"/>
                <w:szCs w:val="22"/>
              </w:rPr>
              <w:t>1</w:t>
            </w:r>
            <w:r w:rsidR="007042ED" w:rsidRPr="00975CA4">
              <w:rPr>
                <w:sz w:val="22"/>
                <w:szCs w:val="22"/>
              </w:rPr>
              <w:t>,</w:t>
            </w:r>
            <w:r w:rsidRPr="00975CA4">
              <w:rPr>
                <w:sz w:val="22"/>
                <w:szCs w:val="22"/>
              </w:rPr>
              <w:t>91)</w:t>
            </w:r>
          </w:p>
        </w:tc>
        <w:tc>
          <w:tcPr>
            <w:tcW w:w="1448" w:type="dxa"/>
            <w:tcBorders>
              <w:top w:val="single" w:sz="4" w:space="0" w:color="000000"/>
              <w:left w:val="single" w:sz="4" w:space="0" w:color="000000"/>
              <w:bottom w:val="single" w:sz="4" w:space="0" w:color="000000"/>
              <w:right w:val="single" w:sz="4" w:space="0" w:color="000000"/>
            </w:tcBorders>
            <w:hideMark/>
          </w:tcPr>
          <w:p w14:paraId="20B83242" w14:textId="77777777" w:rsidR="005C28B1" w:rsidRPr="00975CA4" w:rsidRDefault="005C28B1">
            <w:pPr>
              <w:jc w:val="center"/>
              <w:rPr>
                <w:sz w:val="22"/>
                <w:szCs w:val="22"/>
              </w:rPr>
            </w:pPr>
            <w:r w:rsidRPr="00975CA4">
              <w:rPr>
                <w:sz w:val="22"/>
                <w:szCs w:val="22"/>
              </w:rPr>
              <w:t>–</w:t>
            </w:r>
          </w:p>
        </w:tc>
      </w:tr>
      <w:tr w:rsidR="005C28B1" w:rsidRPr="00975CA4" w14:paraId="2D611881"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4C4B6283" w14:textId="77777777" w:rsidR="005C28B1" w:rsidRPr="00975CA4" w:rsidRDefault="005C28B1">
            <w:pPr>
              <w:rPr>
                <w:rFonts w:eastAsia="Times New Roman"/>
                <w:b/>
                <w:bCs/>
                <w:sz w:val="22"/>
                <w:szCs w:val="22"/>
              </w:rPr>
            </w:pPr>
            <w:proofErr w:type="spellStart"/>
            <w:r w:rsidRPr="00975CA4">
              <w:rPr>
                <w:rFonts w:eastAsia="Times New Roman"/>
                <w:sz w:val="22"/>
                <w:szCs w:val="22"/>
              </w:rPr>
              <w:t>cCCyR</w:t>
            </w:r>
            <w:proofErr w:type="spellEnd"/>
            <w:r w:rsidR="007042ED" w:rsidRPr="00975CA4">
              <w:rPr>
                <w:rFonts w:eastAsia="Times New Roman"/>
                <w:sz w:val="22"/>
                <w:szCs w:val="22"/>
              </w:rPr>
              <w:t xml:space="preserve"> tvarumas</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030F29D0" w14:textId="77777777" w:rsidR="005C28B1" w:rsidRPr="00975CA4" w:rsidRDefault="005C28B1">
            <w:pPr>
              <w:jc w:val="center"/>
              <w:rPr>
                <w:sz w:val="22"/>
                <w:szCs w:val="22"/>
              </w:rPr>
            </w:pPr>
            <w:r w:rsidRPr="00975CA4">
              <w:rPr>
                <w:sz w:val="22"/>
                <w:szCs w:val="22"/>
              </w:rPr>
              <w:t>0</w:t>
            </w:r>
            <w:r w:rsidR="007042ED" w:rsidRPr="00975CA4">
              <w:rPr>
                <w:sz w:val="22"/>
                <w:szCs w:val="22"/>
              </w:rPr>
              <w:t>,</w:t>
            </w:r>
            <w:r w:rsidRPr="00975CA4">
              <w:rPr>
                <w:sz w:val="22"/>
                <w:szCs w:val="22"/>
              </w:rPr>
              <w:t>81 (0</w:t>
            </w:r>
            <w:r w:rsidR="007042ED" w:rsidRPr="00975CA4">
              <w:rPr>
                <w:sz w:val="22"/>
                <w:szCs w:val="22"/>
              </w:rPr>
              <w:t>,</w:t>
            </w:r>
            <w:r w:rsidRPr="00975CA4">
              <w:rPr>
                <w:sz w:val="22"/>
                <w:szCs w:val="22"/>
              </w:rPr>
              <w:t>56</w:t>
            </w:r>
            <w:r w:rsidRPr="00975CA4">
              <w:rPr>
                <w:rFonts w:eastAsia="Times New Roman"/>
                <w:sz w:val="22"/>
                <w:szCs w:val="22"/>
              </w:rPr>
              <w:t xml:space="preserve"> – </w:t>
            </w:r>
            <w:r w:rsidRPr="00975CA4">
              <w:rPr>
                <w:sz w:val="22"/>
                <w:szCs w:val="22"/>
              </w:rPr>
              <w:t>1</w:t>
            </w:r>
            <w:r w:rsidR="007042ED" w:rsidRPr="00975CA4">
              <w:rPr>
                <w:sz w:val="22"/>
                <w:szCs w:val="22"/>
              </w:rPr>
              <w:t>,</w:t>
            </w:r>
            <w:r w:rsidRPr="00975CA4">
              <w:rPr>
                <w:sz w:val="22"/>
                <w:szCs w:val="22"/>
              </w:rPr>
              <w:t>17)</w:t>
            </w:r>
          </w:p>
        </w:tc>
        <w:tc>
          <w:tcPr>
            <w:tcW w:w="1448" w:type="dxa"/>
            <w:tcBorders>
              <w:top w:val="single" w:sz="4" w:space="0" w:color="000000"/>
              <w:left w:val="single" w:sz="4" w:space="0" w:color="000000"/>
              <w:bottom w:val="single" w:sz="4" w:space="0" w:color="000000"/>
              <w:right w:val="single" w:sz="4" w:space="0" w:color="000000"/>
            </w:tcBorders>
            <w:hideMark/>
          </w:tcPr>
          <w:p w14:paraId="77C3CB74" w14:textId="77777777" w:rsidR="005C28B1" w:rsidRPr="00975CA4" w:rsidRDefault="005C28B1">
            <w:pPr>
              <w:jc w:val="center"/>
              <w:rPr>
                <w:sz w:val="22"/>
                <w:szCs w:val="22"/>
              </w:rPr>
            </w:pPr>
            <w:r w:rsidRPr="00975CA4">
              <w:rPr>
                <w:sz w:val="22"/>
                <w:szCs w:val="22"/>
              </w:rPr>
              <w:t>–</w:t>
            </w:r>
          </w:p>
        </w:tc>
      </w:tr>
      <w:tr w:rsidR="005C28B1" w:rsidRPr="00975CA4" w14:paraId="3E6BE3D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tcPr>
          <w:p w14:paraId="00F5E4E8" w14:textId="77777777" w:rsidR="005C28B1" w:rsidRPr="00975CA4" w:rsidRDefault="005C28B1">
            <w:pPr>
              <w:rPr>
                <w:rFonts w:eastAsia="Times New Roman"/>
                <w:b/>
                <w:bCs/>
                <w:sz w:val="22"/>
                <w:szCs w:val="22"/>
              </w:rPr>
            </w:pP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745B5C2A" w14:textId="77777777" w:rsidR="005C28B1" w:rsidRPr="00975CA4" w:rsidRDefault="007042ED">
            <w:pPr>
              <w:jc w:val="center"/>
              <w:rPr>
                <w:rFonts w:eastAsia="Times New Roman"/>
                <w:b/>
                <w:bCs/>
                <w:sz w:val="22"/>
                <w:szCs w:val="22"/>
              </w:rPr>
            </w:pPr>
            <w:r w:rsidRPr="00975CA4">
              <w:rPr>
                <w:rFonts w:eastAsia="Times New Roman"/>
                <w:b/>
                <w:bCs/>
                <w:sz w:val="22"/>
                <w:szCs w:val="22"/>
              </w:rPr>
              <w:t xml:space="preserve">per </w:t>
            </w:r>
            <w:r w:rsidR="005C28B1" w:rsidRPr="00975CA4">
              <w:rPr>
                <w:rFonts w:eastAsia="Times New Roman"/>
                <w:b/>
                <w:bCs/>
                <w:sz w:val="22"/>
                <w:szCs w:val="22"/>
              </w:rPr>
              <w:t xml:space="preserve">60 </w:t>
            </w:r>
            <w:r w:rsidRPr="00975CA4">
              <w:rPr>
                <w:rFonts w:eastAsia="Times New Roman"/>
                <w:b/>
                <w:bCs/>
                <w:sz w:val="22"/>
                <w:szCs w:val="22"/>
              </w:rPr>
              <w:t xml:space="preserve">mėnesių </w:t>
            </w:r>
            <w:r w:rsidR="005C28B1" w:rsidRPr="00975CA4">
              <w:rPr>
                <w:rFonts w:eastAsia="Times New Roman"/>
                <w:b/>
                <w:bCs/>
                <w:sz w:val="22"/>
                <w:szCs w:val="22"/>
              </w:rPr>
              <w:t>(95</w:t>
            </w:r>
            <w:r w:rsidR="00467B83" w:rsidRPr="00975CA4">
              <w:rPr>
                <w:rFonts w:eastAsia="Times New Roman"/>
                <w:b/>
                <w:bCs/>
                <w:sz w:val="22"/>
                <w:szCs w:val="22"/>
              </w:rPr>
              <w:t> </w:t>
            </w:r>
            <w:r w:rsidR="005C28B1" w:rsidRPr="00975CA4">
              <w:rPr>
                <w:rFonts w:eastAsia="Times New Roman"/>
                <w:b/>
                <w:bCs/>
                <w:sz w:val="22"/>
                <w:szCs w:val="22"/>
              </w:rPr>
              <w:t xml:space="preserve">% </w:t>
            </w:r>
            <w:r w:rsidRPr="00975CA4">
              <w:rPr>
                <w:rFonts w:eastAsia="Times New Roman"/>
                <w:b/>
                <w:bCs/>
                <w:sz w:val="22"/>
                <w:szCs w:val="22"/>
              </w:rPr>
              <w:t>P</w:t>
            </w:r>
            <w:r w:rsidR="005C28B1" w:rsidRPr="00975CA4">
              <w:rPr>
                <w:rFonts w:eastAsia="Times New Roman"/>
                <w:b/>
                <w:bCs/>
                <w:sz w:val="22"/>
                <w:szCs w:val="22"/>
              </w:rPr>
              <w:t>I)</w:t>
            </w:r>
          </w:p>
        </w:tc>
        <w:tc>
          <w:tcPr>
            <w:tcW w:w="1448" w:type="dxa"/>
            <w:tcBorders>
              <w:top w:val="single" w:sz="4" w:space="0" w:color="000000"/>
              <w:left w:val="single" w:sz="4" w:space="0" w:color="000000"/>
              <w:bottom w:val="single" w:sz="4" w:space="0" w:color="000000"/>
              <w:right w:val="single" w:sz="4" w:space="0" w:color="000000"/>
            </w:tcBorders>
          </w:tcPr>
          <w:p w14:paraId="6FEBA6D3" w14:textId="77777777" w:rsidR="005C28B1" w:rsidRPr="00975CA4" w:rsidRDefault="005C28B1">
            <w:pPr>
              <w:jc w:val="center"/>
              <w:rPr>
                <w:rFonts w:eastAsia="Times New Roman"/>
                <w:b/>
                <w:bCs/>
                <w:sz w:val="22"/>
                <w:szCs w:val="22"/>
              </w:rPr>
            </w:pPr>
          </w:p>
        </w:tc>
      </w:tr>
      <w:tr w:rsidR="005C28B1" w:rsidRPr="00975CA4" w14:paraId="7B842669"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4C116ED3" w14:textId="77777777" w:rsidR="005C28B1" w:rsidRPr="00975CA4" w:rsidRDefault="007042ED">
            <w:pPr>
              <w:rPr>
                <w:rFonts w:eastAsia="Times New Roman"/>
                <w:bCs/>
                <w:sz w:val="22"/>
                <w:szCs w:val="22"/>
              </w:rPr>
            </w:pPr>
            <w:r w:rsidRPr="00975CA4">
              <w:rPr>
                <w:rFonts w:eastAsia="Times New Roman"/>
                <w:bCs/>
                <w:sz w:val="22"/>
                <w:szCs w:val="22"/>
              </w:rPr>
              <w:t xml:space="preserve">Laikas iki </w:t>
            </w:r>
            <w:proofErr w:type="spellStart"/>
            <w:r w:rsidR="005C28B1" w:rsidRPr="00975CA4">
              <w:rPr>
                <w:rFonts w:eastAsia="Times New Roman"/>
                <w:bCs/>
                <w:sz w:val="22"/>
                <w:szCs w:val="22"/>
              </w:rPr>
              <w:t>cCCyR</w:t>
            </w:r>
            <w:proofErr w:type="spellEnd"/>
            <w:r w:rsidRPr="00975CA4">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53D570D0" w14:textId="77777777" w:rsidR="005C28B1" w:rsidRPr="00975CA4" w:rsidRDefault="005C28B1">
            <w:pPr>
              <w:jc w:val="center"/>
              <w:rPr>
                <w:sz w:val="22"/>
                <w:szCs w:val="22"/>
              </w:rPr>
            </w:pPr>
            <w:r w:rsidRPr="00975CA4">
              <w:rPr>
                <w:sz w:val="22"/>
                <w:szCs w:val="22"/>
              </w:rPr>
              <w:t>1</w:t>
            </w:r>
            <w:r w:rsidR="007042ED" w:rsidRPr="00975CA4">
              <w:rPr>
                <w:sz w:val="22"/>
                <w:szCs w:val="22"/>
              </w:rPr>
              <w:t>,</w:t>
            </w:r>
            <w:r w:rsidRPr="00975CA4">
              <w:rPr>
                <w:sz w:val="22"/>
                <w:szCs w:val="22"/>
              </w:rPr>
              <w:t>46 (1</w:t>
            </w:r>
            <w:r w:rsidR="007042ED" w:rsidRPr="00975CA4">
              <w:rPr>
                <w:sz w:val="22"/>
                <w:szCs w:val="22"/>
              </w:rPr>
              <w:t>,</w:t>
            </w:r>
            <w:r w:rsidRPr="00975CA4">
              <w:rPr>
                <w:sz w:val="22"/>
                <w:szCs w:val="22"/>
              </w:rPr>
              <w:t>20</w:t>
            </w:r>
            <w:r w:rsidRPr="00975CA4">
              <w:rPr>
                <w:rFonts w:eastAsia="Times New Roman"/>
                <w:sz w:val="22"/>
                <w:szCs w:val="22"/>
              </w:rPr>
              <w:t xml:space="preserve"> – </w:t>
            </w:r>
            <w:r w:rsidRPr="00975CA4">
              <w:rPr>
                <w:sz w:val="22"/>
                <w:szCs w:val="22"/>
              </w:rPr>
              <w:t>1</w:t>
            </w:r>
            <w:r w:rsidR="007042ED" w:rsidRPr="00975CA4">
              <w:rPr>
                <w:sz w:val="22"/>
                <w:szCs w:val="22"/>
              </w:rPr>
              <w:t>,</w:t>
            </w:r>
            <w:r w:rsidRPr="00975CA4">
              <w:rPr>
                <w:sz w:val="22"/>
                <w:szCs w:val="22"/>
              </w:rPr>
              <w:t>77)</w:t>
            </w:r>
          </w:p>
        </w:tc>
        <w:tc>
          <w:tcPr>
            <w:tcW w:w="1448" w:type="dxa"/>
            <w:tcBorders>
              <w:top w:val="single" w:sz="4" w:space="0" w:color="000000"/>
              <w:left w:val="single" w:sz="4" w:space="0" w:color="000000"/>
              <w:bottom w:val="single" w:sz="4" w:space="0" w:color="000000"/>
              <w:right w:val="single" w:sz="4" w:space="0" w:color="000000"/>
            </w:tcBorders>
            <w:hideMark/>
          </w:tcPr>
          <w:p w14:paraId="3E55C570" w14:textId="28534C5A" w:rsidR="005C28B1" w:rsidRPr="00975CA4" w:rsidRDefault="005C28B1" w:rsidP="009F6927">
            <w:pPr>
              <w:jc w:val="center"/>
              <w:rPr>
                <w:sz w:val="22"/>
                <w:szCs w:val="22"/>
              </w:rPr>
            </w:pPr>
            <w:r w:rsidRPr="00975CA4">
              <w:rPr>
                <w:sz w:val="22"/>
                <w:szCs w:val="22"/>
              </w:rPr>
              <w:t>p</w:t>
            </w:r>
            <w:r w:rsidR="009F6927" w:rsidRPr="00975CA4">
              <w:rPr>
                <w:sz w:val="22"/>
                <w:szCs w:val="22"/>
              </w:rPr>
              <w:t> </w:t>
            </w:r>
            <w:r w:rsidRPr="00975CA4">
              <w:rPr>
                <w:sz w:val="22"/>
                <w:szCs w:val="22"/>
              </w:rPr>
              <w:t>=</w:t>
            </w:r>
            <w:r w:rsidR="009F6927" w:rsidRPr="00975CA4">
              <w:rPr>
                <w:sz w:val="22"/>
                <w:szCs w:val="22"/>
              </w:rPr>
              <w:t> </w:t>
            </w:r>
            <w:r w:rsidRPr="00975CA4">
              <w:rPr>
                <w:sz w:val="22"/>
                <w:szCs w:val="22"/>
              </w:rPr>
              <w:t>0</w:t>
            </w:r>
            <w:r w:rsidR="007042ED" w:rsidRPr="00975CA4">
              <w:rPr>
                <w:sz w:val="22"/>
                <w:szCs w:val="22"/>
              </w:rPr>
              <w:t>,</w:t>
            </w:r>
            <w:r w:rsidRPr="00975CA4">
              <w:rPr>
                <w:sz w:val="22"/>
                <w:szCs w:val="22"/>
              </w:rPr>
              <w:t>0001</w:t>
            </w:r>
          </w:p>
        </w:tc>
      </w:tr>
      <w:tr w:rsidR="005C28B1" w:rsidRPr="00975CA4" w14:paraId="6AB0E13A"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7C28A5A" w14:textId="77777777" w:rsidR="005C28B1" w:rsidRPr="00975CA4" w:rsidRDefault="007042ED">
            <w:pPr>
              <w:rPr>
                <w:rFonts w:eastAsia="Times New Roman"/>
                <w:bCs/>
                <w:sz w:val="22"/>
                <w:szCs w:val="22"/>
              </w:rPr>
            </w:pPr>
            <w:r w:rsidRPr="00975CA4">
              <w:rPr>
                <w:rFonts w:eastAsia="Times New Roman"/>
                <w:bCs/>
                <w:sz w:val="22"/>
                <w:szCs w:val="22"/>
              </w:rPr>
              <w:t xml:space="preserve">Laikas iki </w:t>
            </w:r>
            <w:r w:rsidR="005C28B1" w:rsidRPr="00975CA4">
              <w:rPr>
                <w:rFonts w:eastAsia="Times New Roman"/>
                <w:bCs/>
                <w:sz w:val="22"/>
                <w:szCs w:val="22"/>
              </w:rPr>
              <w:t>MMR</w:t>
            </w:r>
            <w:r w:rsidRPr="00975CA4">
              <w:rPr>
                <w:rFonts w:eastAsia="Times New Roman"/>
                <w:bCs/>
                <w:sz w:val="22"/>
                <w:szCs w:val="22"/>
              </w:rPr>
              <w:t xml:space="preserve"> pasireiškimo</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1D424A15" w14:textId="77777777" w:rsidR="005C28B1" w:rsidRPr="00975CA4" w:rsidRDefault="005C28B1">
            <w:pPr>
              <w:jc w:val="center"/>
              <w:rPr>
                <w:sz w:val="22"/>
                <w:szCs w:val="22"/>
              </w:rPr>
            </w:pPr>
            <w:r w:rsidRPr="00975CA4">
              <w:rPr>
                <w:sz w:val="22"/>
                <w:szCs w:val="22"/>
              </w:rPr>
              <w:t>1</w:t>
            </w:r>
            <w:r w:rsidR="007042ED" w:rsidRPr="00975CA4">
              <w:rPr>
                <w:sz w:val="22"/>
                <w:szCs w:val="22"/>
              </w:rPr>
              <w:t>,</w:t>
            </w:r>
            <w:r w:rsidRPr="00975CA4">
              <w:rPr>
                <w:sz w:val="22"/>
                <w:szCs w:val="22"/>
              </w:rPr>
              <w:t>54 (1</w:t>
            </w:r>
            <w:r w:rsidR="007042ED" w:rsidRPr="00975CA4">
              <w:rPr>
                <w:sz w:val="22"/>
                <w:szCs w:val="22"/>
              </w:rPr>
              <w:t>,</w:t>
            </w:r>
            <w:r w:rsidRPr="00975CA4">
              <w:rPr>
                <w:sz w:val="22"/>
                <w:szCs w:val="22"/>
              </w:rPr>
              <w:t>25</w:t>
            </w:r>
            <w:r w:rsidRPr="00975CA4">
              <w:rPr>
                <w:rFonts w:eastAsia="Times New Roman"/>
                <w:sz w:val="22"/>
                <w:szCs w:val="22"/>
              </w:rPr>
              <w:t xml:space="preserve"> – </w:t>
            </w:r>
            <w:r w:rsidRPr="00975CA4">
              <w:rPr>
                <w:sz w:val="22"/>
                <w:szCs w:val="22"/>
              </w:rPr>
              <w:t>1</w:t>
            </w:r>
            <w:r w:rsidR="007042ED" w:rsidRPr="00975CA4">
              <w:rPr>
                <w:sz w:val="22"/>
                <w:szCs w:val="22"/>
              </w:rPr>
              <w:t>,</w:t>
            </w:r>
            <w:r w:rsidRPr="00975CA4">
              <w:rPr>
                <w:sz w:val="22"/>
                <w:szCs w:val="22"/>
              </w:rPr>
              <w:t>89)</w:t>
            </w:r>
          </w:p>
        </w:tc>
        <w:tc>
          <w:tcPr>
            <w:tcW w:w="1448" w:type="dxa"/>
            <w:tcBorders>
              <w:top w:val="single" w:sz="4" w:space="0" w:color="000000"/>
              <w:left w:val="single" w:sz="4" w:space="0" w:color="000000"/>
              <w:bottom w:val="single" w:sz="4" w:space="0" w:color="000000"/>
              <w:right w:val="single" w:sz="4" w:space="0" w:color="000000"/>
            </w:tcBorders>
            <w:hideMark/>
          </w:tcPr>
          <w:p w14:paraId="1320C1A0" w14:textId="37F0CF57" w:rsidR="005C28B1" w:rsidRPr="00975CA4" w:rsidRDefault="005C28B1">
            <w:pPr>
              <w:jc w:val="center"/>
              <w:rPr>
                <w:sz w:val="22"/>
                <w:szCs w:val="22"/>
              </w:rPr>
            </w:pPr>
            <w:r w:rsidRPr="00975CA4">
              <w:rPr>
                <w:sz w:val="22"/>
                <w:szCs w:val="22"/>
              </w:rPr>
              <w:t>p</w:t>
            </w:r>
            <w:r w:rsidR="009F6927" w:rsidRPr="00975CA4">
              <w:rPr>
                <w:sz w:val="22"/>
                <w:szCs w:val="22"/>
              </w:rPr>
              <w:t> </w:t>
            </w:r>
            <w:r w:rsidRPr="00975CA4">
              <w:rPr>
                <w:sz w:val="22"/>
                <w:szCs w:val="22"/>
              </w:rPr>
              <w:t>&lt;</w:t>
            </w:r>
            <w:r w:rsidR="009F6927" w:rsidRPr="00975CA4">
              <w:rPr>
                <w:sz w:val="22"/>
                <w:szCs w:val="22"/>
              </w:rPr>
              <w:t> </w:t>
            </w:r>
            <w:r w:rsidRPr="00975CA4">
              <w:rPr>
                <w:sz w:val="22"/>
                <w:szCs w:val="22"/>
              </w:rPr>
              <w:t>0</w:t>
            </w:r>
            <w:r w:rsidR="007042ED" w:rsidRPr="00975CA4">
              <w:rPr>
                <w:sz w:val="22"/>
                <w:szCs w:val="22"/>
              </w:rPr>
              <w:t>,</w:t>
            </w:r>
            <w:r w:rsidRPr="00975CA4">
              <w:rPr>
                <w:sz w:val="22"/>
                <w:szCs w:val="22"/>
              </w:rPr>
              <w:t>0001</w:t>
            </w:r>
          </w:p>
        </w:tc>
      </w:tr>
      <w:tr w:rsidR="005C28B1" w:rsidRPr="00975CA4" w14:paraId="3E2BBDDD" w14:textId="77777777" w:rsidTr="007042ED">
        <w:trPr>
          <w:trHeight w:val="283"/>
          <w:jc w:val="center"/>
        </w:trPr>
        <w:tc>
          <w:tcPr>
            <w:tcW w:w="3243" w:type="dxa"/>
            <w:tcBorders>
              <w:top w:val="single" w:sz="4" w:space="0" w:color="000000"/>
              <w:left w:val="single" w:sz="4" w:space="0" w:color="000000"/>
              <w:bottom w:val="single" w:sz="4" w:space="0" w:color="000000"/>
              <w:right w:val="single" w:sz="4" w:space="0" w:color="000000"/>
            </w:tcBorders>
            <w:hideMark/>
          </w:tcPr>
          <w:p w14:paraId="1EBD6090" w14:textId="77777777" w:rsidR="005C28B1" w:rsidRPr="00975CA4" w:rsidRDefault="005C28B1">
            <w:pPr>
              <w:rPr>
                <w:rFonts w:eastAsia="Times New Roman"/>
                <w:b/>
                <w:bCs/>
                <w:sz w:val="22"/>
                <w:szCs w:val="22"/>
              </w:rPr>
            </w:pPr>
            <w:proofErr w:type="spellStart"/>
            <w:r w:rsidRPr="00975CA4">
              <w:rPr>
                <w:rFonts w:eastAsia="Times New Roman"/>
                <w:sz w:val="22"/>
                <w:szCs w:val="22"/>
              </w:rPr>
              <w:t>cCCyR</w:t>
            </w:r>
            <w:proofErr w:type="spellEnd"/>
            <w:r w:rsidR="007042ED" w:rsidRPr="00975CA4">
              <w:rPr>
                <w:rFonts w:eastAsia="Times New Roman"/>
                <w:sz w:val="22"/>
                <w:szCs w:val="22"/>
              </w:rPr>
              <w:t xml:space="preserve"> tvarumas</w:t>
            </w:r>
          </w:p>
        </w:tc>
        <w:tc>
          <w:tcPr>
            <w:tcW w:w="4084" w:type="dxa"/>
            <w:gridSpan w:val="2"/>
            <w:tcBorders>
              <w:top w:val="single" w:sz="4" w:space="0" w:color="000000"/>
              <w:left w:val="single" w:sz="4" w:space="0" w:color="000000"/>
              <w:bottom w:val="single" w:sz="4" w:space="0" w:color="000000"/>
              <w:right w:val="single" w:sz="4" w:space="0" w:color="000000"/>
            </w:tcBorders>
            <w:hideMark/>
          </w:tcPr>
          <w:p w14:paraId="622E3CC4" w14:textId="77777777" w:rsidR="005C28B1" w:rsidRPr="00975CA4" w:rsidRDefault="005C28B1">
            <w:pPr>
              <w:jc w:val="center"/>
              <w:rPr>
                <w:sz w:val="22"/>
                <w:szCs w:val="22"/>
              </w:rPr>
            </w:pPr>
            <w:r w:rsidRPr="00975CA4">
              <w:rPr>
                <w:sz w:val="22"/>
                <w:szCs w:val="22"/>
              </w:rPr>
              <w:t>0</w:t>
            </w:r>
            <w:r w:rsidR="007042ED" w:rsidRPr="00975CA4">
              <w:rPr>
                <w:sz w:val="22"/>
                <w:szCs w:val="22"/>
              </w:rPr>
              <w:t>,</w:t>
            </w:r>
            <w:r w:rsidRPr="00975CA4">
              <w:rPr>
                <w:sz w:val="22"/>
                <w:szCs w:val="22"/>
              </w:rPr>
              <w:t>79 (0</w:t>
            </w:r>
            <w:r w:rsidR="007042ED" w:rsidRPr="00975CA4">
              <w:rPr>
                <w:sz w:val="22"/>
                <w:szCs w:val="22"/>
              </w:rPr>
              <w:t>,</w:t>
            </w:r>
            <w:r w:rsidRPr="00975CA4">
              <w:rPr>
                <w:sz w:val="22"/>
                <w:szCs w:val="22"/>
              </w:rPr>
              <w:t>55</w:t>
            </w:r>
            <w:r w:rsidRPr="00975CA4">
              <w:rPr>
                <w:rFonts w:eastAsia="Times New Roman"/>
                <w:sz w:val="22"/>
                <w:szCs w:val="22"/>
              </w:rPr>
              <w:t xml:space="preserve"> – </w:t>
            </w:r>
            <w:r w:rsidRPr="00975CA4">
              <w:rPr>
                <w:sz w:val="22"/>
                <w:szCs w:val="22"/>
              </w:rPr>
              <w:t>1</w:t>
            </w:r>
            <w:r w:rsidR="007042ED" w:rsidRPr="00975CA4">
              <w:rPr>
                <w:sz w:val="22"/>
                <w:szCs w:val="22"/>
              </w:rPr>
              <w:t>,</w:t>
            </w:r>
            <w:r w:rsidRPr="00975CA4">
              <w:rPr>
                <w:sz w:val="22"/>
                <w:szCs w:val="22"/>
              </w:rPr>
              <w:t>13)</w:t>
            </w:r>
          </w:p>
        </w:tc>
        <w:tc>
          <w:tcPr>
            <w:tcW w:w="1448" w:type="dxa"/>
            <w:tcBorders>
              <w:top w:val="single" w:sz="4" w:space="0" w:color="000000"/>
              <w:left w:val="single" w:sz="4" w:space="0" w:color="000000"/>
              <w:bottom w:val="single" w:sz="4" w:space="0" w:color="000000"/>
              <w:right w:val="single" w:sz="4" w:space="0" w:color="000000"/>
            </w:tcBorders>
            <w:hideMark/>
          </w:tcPr>
          <w:p w14:paraId="22DE1DD8" w14:textId="705F2D9E" w:rsidR="005C28B1" w:rsidRPr="00975CA4" w:rsidRDefault="005C28B1">
            <w:pPr>
              <w:jc w:val="center"/>
              <w:rPr>
                <w:sz w:val="22"/>
                <w:szCs w:val="22"/>
              </w:rPr>
            </w:pPr>
            <w:r w:rsidRPr="00975CA4">
              <w:rPr>
                <w:sz w:val="22"/>
                <w:szCs w:val="22"/>
              </w:rPr>
              <w:t>p</w:t>
            </w:r>
            <w:r w:rsidR="009F6927" w:rsidRPr="00975CA4">
              <w:rPr>
                <w:sz w:val="22"/>
                <w:szCs w:val="22"/>
              </w:rPr>
              <w:t> </w:t>
            </w:r>
            <w:r w:rsidRPr="00975CA4">
              <w:rPr>
                <w:sz w:val="22"/>
                <w:szCs w:val="22"/>
              </w:rPr>
              <w:t>=</w:t>
            </w:r>
            <w:r w:rsidR="009F6927" w:rsidRPr="00975CA4">
              <w:rPr>
                <w:sz w:val="22"/>
                <w:szCs w:val="22"/>
              </w:rPr>
              <w:t> </w:t>
            </w:r>
            <w:r w:rsidRPr="00975CA4">
              <w:rPr>
                <w:sz w:val="22"/>
                <w:szCs w:val="22"/>
              </w:rPr>
              <w:t>0</w:t>
            </w:r>
            <w:r w:rsidR="007042ED" w:rsidRPr="00975CA4">
              <w:rPr>
                <w:sz w:val="22"/>
                <w:szCs w:val="22"/>
              </w:rPr>
              <w:t>,</w:t>
            </w:r>
            <w:r w:rsidRPr="00975CA4">
              <w:rPr>
                <w:sz w:val="22"/>
                <w:szCs w:val="22"/>
              </w:rPr>
              <w:t>1983</w:t>
            </w:r>
          </w:p>
        </w:tc>
      </w:tr>
    </w:tbl>
    <w:p w14:paraId="2F1F8B52" w14:textId="77777777" w:rsidR="007042ED" w:rsidRPr="00975CA4" w:rsidRDefault="007042ED" w:rsidP="007042ED">
      <w:pPr>
        <w:widowControl w:val="0"/>
        <w:tabs>
          <w:tab w:val="left" w:pos="567"/>
        </w:tabs>
        <w:suppressAutoHyphens/>
        <w:spacing w:after="0" w:line="240" w:lineRule="auto"/>
        <w:ind w:left="142" w:hanging="142"/>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a</w:t>
      </w:r>
      <w:r w:rsidRPr="00975CA4">
        <w:rPr>
          <w:rFonts w:ascii="Times New Roman" w:eastAsia="SimSun" w:hAnsi="Times New Roman" w:cs="Times New Roman"/>
          <w:color w:val="000000"/>
          <w:lang w:eastAsia="ar-SA"/>
        </w:rPr>
        <w:t xml:space="preserve"> Patvirtintas visiškas citogenetinis atsakas (</w:t>
      </w:r>
      <w:proofErr w:type="spellStart"/>
      <w:r w:rsidRPr="00975CA4">
        <w:rPr>
          <w:rFonts w:ascii="Times New Roman" w:eastAsia="SimSun" w:hAnsi="Times New Roman" w:cs="Times New Roman"/>
          <w:color w:val="000000"/>
          <w:lang w:eastAsia="ar-SA"/>
        </w:rPr>
        <w:t>cCCyR</w:t>
      </w:r>
      <w:proofErr w:type="spellEnd"/>
      <w:r w:rsidRPr="00975CA4">
        <w:rPr>
          <w:rFonts w:ascii="Times New Roman" w:eastAsia="SimSun" w:hAnsi="Times New Roman" w:cs="Times New Roman"/>
          <w:color w:val="000000"/>
          <w:lang w:eastAsia="ar-SA"/>
        </w:rPr>
        <w:t>) apibrėžtas kaip 2 kartus iš eilės su ne mažesne kaip 28 parų pertrauka nustatytas atsakas.</w:t>
      </w:r>
    </w:p>
    <w:p w14:paraId="68309FEE" w14:textId="77777777" w:rsidR="007042ED" w:rsidRPr="00975CA4" w:rsidRDefault="007042ED" w:rsidP="007042ED">
      <w:pPr>
        <w:widowControl w:val="0"/>
        <w:tabs>
          <w:tab w:val="left" w:pos="567"/>
        </w:tabs>
        <w:suppressAutoHyphens/>
        <w:spacing w:after="0" w:line="240" w:lineRule="auto"/>
        <w:rPr>
          <w:rFonts w:ascii="Times New Roman" w:eastAsia="SimSun" w:hAnsi="Times New Roman" w:cs="Times New Roman"/>
          <w:color w:val="000000"/>
          <w:vertAlign w:val="superscript"/>
          <w:lang w:eastAsia="ar-SA"/>
        </w:rPr>
      </w:pPr>
      <w:r w:rsidRPr="00975CA4">
        <w:rPr>
          <w:rFonts w:ascii="Times New Roman" w:eastAsia="SimSun" w:hAnsi="Times New Roman" w:cs="Times New Roman"/>
          <w:color w:val="000000"/>
          <w:vertAlign w:val="superscript"/>
          <w:lang w:eastAsia="ar-SA"/>
        </w:rPr>
        <w:t>b</w:t>
      </w:r>
      <w:r w:rsidRPr="00975CA4">
        <w:rPr>
          <w:rFonts w:ascii="Times New Roman" w:eastAsia="SimSun" w:hAnsi="Times New Roman" w:cs="Times New Roman"/>
          <w:color w:val="000000"/>
          <w:lang w:eastAsia="ar-SA"/>
        </w:rPr>
        <w:t xml:space="preserve"> Visiškas citogenetinis atsakas (</w:t>
      </w:r>
      <w:proofErr w:type="spellStart"/>
      <w:r w:rsidRPr="00975CA4">
        <w:rPr>
          <w:rFonts w:ascii="Times New Roman" w:eastAsia="SimSun" w:hAnsi="Times New Roman" w:cs="Times New Roman"/>
          <w:color w:val="000000"/>
          <w:lang w:eastAsia="ar-SA"/>
        </w:rPr>
        <w:t>CCyR</w:t>
      </w:r>
      <w:proofErr w:type="spellEnd"/>
      <w:r w:rsidRPr="00975CA4">
        <w:rPr>
          <w:rFonts w:ascii="Times New Roman" w:eastAsia="SimSun" w:hAnsi="Times New Roman" w:cs="Times New Roman"/>
          <w:color w:val="000000"/>
          <w:lang w:eastAsia="ar-SA"/>
        </w:rPr>
        <w:t>) buvo nustatomas vienu kaulų čiulpų citogenetiniu tyrimu.</w:t>
      </w:r>
    </w:p>
    <w:p w14:paraId="2C7450D1" w14:textId="687D4921" w:rsidR="007042ED" w:rsidRPr="00975CA4" w:rsidRDefault="007042ED" w:rsidP="007042ED">
      <w:pPr>
        <w:widowControl w:val="0"/>
        <w:tabs>
          <w:tab w:val="left" w:pos="567"/>
        </w:tabs>
        <w:suppressAutoHyphens/>
        <w:spacing w:after="0" w:line="240" w:lineRule="auto"/>
        <w:ind w:left="142" w:hanging="142"/>
        <w:rPr>
          <w:rFonts w:ascii="Times New Roman" w:eastAsia="SimSun" w:hAnsi="Times New Roman" w:cs="Times New Roman"/>
          <w:color w:val="000000"/>
          <w:lang w:eastAsia="ar-SA"/>
        </w:rPr>
      </w:pPr>
      <w:r w:rsidRPr="00975CA4">
        <w:rPr>
          <w:rFonts w:ascii="Times New Roman" w:eastAsia="SimSun" w:hAnsi="Times New Roman" w:cs="Times New Roman"/>
          <w:color w:val="000000"/>
          <w:vertAlign w:val="superscript"/>
          <w:lang w:eastAsia="ar-SA"/>
        </w:rPr>
        <w:t>c</w:t>
      </w:r>
      <w:r w:rsidRPr="00975CA4">
        <w:rPr>
          <w:rFonts w:ascii="Times New Roman" w:eastAsia="SimSun" w:hAnsi="Times New Roman" w:cs="Times New Roman"/>
          <w:color w:val="000000"/>
          <w:lang w:eastAsia="ar-SA"/>
        </w:rPr>
        <w:t xml:space="preserve"> Didysis molekulinis atsakas (angl. </w:t>
      </w:r>
      <w:proofErr w:type="spellStart"/>
      <w:r w:rsidRPr="00975CA4">
        <w:rPr>
          <w:rFonts w:ascii="Times New Roman" w:eastAsia="SimSun" w:hAnsi="Times New Roman" w:cs="Times New Roman"/>
          <w:i/>
          <w:color w:val="000000"/>
          <w:lang w:eastAsia="ar-SA"/>
        </w:rPr>
        <w:t>major</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molecular</w:t>
      </w:r>
      <w:proofErr w:type="spellEnd"/>
      <w:r w:rsidRPr="00975CA4">
        <w:rPr>
          <w:rFonts w:ascii="Times New Roman" w:eastAsia="SimSun" w:hAnsi="Times New Roman" w:cs="Times New Roman"/>
          <w:i/>
          <w:color w:val="000000"/>
          <w:lang w:eastAsia="ar-SA"/>
        </w:rPr>
        <w:t xml:space="preserve"> </w:t>
      </w:r>
      <w:proofErr w:type="spellStart"/>
      <w:r w:rsidRPr="00975CA4">
        <w:rPr>
          <w:rFonts w:ascii="Times New Roman" w:eastAsia="SimSun" w:hAnsi="Times New Roman" w:cs="Times New Roman"/>
          <w:i/>
          <w:color w:val="000000"/>
          <w:lang w:eastAsia="ar-SA"/>
        </w:rPr>
        <w:t>response</w:t>
      </w:r>
      <w:proofErr w:type="spellEnd"/>
      <w:r w:rsidR="00906C63" w:rsidRPr="00975CA4">
        <w:rPr>
          <w:rFonts w:ascii="Times New Roman" w:eastAsia="SimSun" w:hAnsi="Times New Roman" w:cs="Times New Roman"/>
          <w:i/>
          <w:color w:val="000000"/>
          <w:lang w:eastAsia="ar-SA"/>
        </w:rPr>
        <w:t xml:space="preserve">, </w:t>
      </w:r>
      <w:r w:rsidR="00906C63" w:rsidRPr="00975CA4">
        <w:rPr>
          <w:rFonts w:ascii="Times New Roman" w:eastAsia="SimSun" w:hAnsi="Times New Roman" w:cs="Times New Roman"/>
          <w:color w:val="000000"/>
          <w:lang w:eastAsia="ar-SA"/>
        </w:rPr>
        <w:t>MMR</w:t>
      </w:r>
      <w:r w:rsidRPr="00975CA4">
        <w:rPr>
          <w:rFonts w:ascii="Times New Roman" w:eastAsia="SimSun" w:hAnsi="Times New Roman" w:cs="Times New Roman"/>
          <w:color w:val="000000"/>
          <w:lang w:eastAsia="ar-SA"/>
        </w:rPr>
        <w:t xml:space="preserve">) (bet kuriuo laiku) apibrėžtas kaip BCR-ABL </w:t>
      </w:r>
      <w:r w:rsidR="00906C63" w:rsidRPr="00975CA4">
        <w:rPr>
          <w:rFonts w:ascii="Times New Roman" w:eastAsia="SimSun" w:hAnsi="Times New Roman" w:cs="Times New Roman"/>
          <w:color w:val="000000"/>
          <w:lang w:eastAsia="ar-SA"/>
        </w:rPr>
        <w:t xml:space="preserve">santykis ≤ 0,1 % </w:t>
      </w:r>
      <w:r w:rsidRPr="00975CA4">
        <w:rPr>
          <w:rFonts w:ascii="Times New Roman" w:eastAsia="SimSun" w:hAnsi="Times New Roman" w:cs="Times New Roman"/>
          <w:color w:val="000000"/>
          <w:lang w:eastAsia="ar-SA"/>
        </w:rPr>
        <w:t>periferinio kraujo mėginiuose RQ-PCR metodu (standartizuotas pagal tarptautinę skalę). Pateikti suminiai duomenys, rodantys minimalios trukmės stebėjimą nurodyto laikotarpio ribose.</w:t>
      </w:r>
    </w:p>
    <w:p w14:paraId="054D3639" w14:textId="77777777" w:rsidR="007042ED" w:rsidRPr="00975CA4" w:rsidRDefault="007042ED" w:rsidP="007042ED">
      <w:pPr>
        <w:widowControl w:val="0"/>
        <w:tabs>
          <w:tab w:val="left" w:pos="567"/>
        </w:tabs>
        <w:suppressAutoHyphens/>
        <w:spacing w:after="0" w:line="240" w:lineRule="auto"/>
        <w:ind w:left="142" w:hanging="142"/>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 Koreguota pagal </w:t>
      </w:r>
      <w:proofErr w:type="spellStart"/>
      <w:r w:rsidRPr="00975CA4">
        <w:rPr>
          <w:rFonts w:ascii="Times New Roman" w:eastAsia="SimSun" w:hAnsi="Times New Roman" w:cs="Times New Roman"/>
          <w:i/>
          <w:color w:val="000000"/>
          <w:lang w:eastAsia="ar-SA"/>
        </w:rPr>
        <w:t>Hasford</w:t>
      </w:r>
      <w:proofErr w:type="spellEnd"/>
      <w:r w:rsidRPr="00975CA4">
        <w:rPr>
          <w:rFonts w:ascii="Times New Roman" w:eastAsia="SimSun" w:hAnsi="Times New Roman" w:cs="Times New Roman"/>
          <w:color w:val="000000"/>
          <w:lang w:eastAsia="ar-SA"/>
        </w:rPr>
        <w:t xml:space="preserve"> skalę; rodo statistinį reikšmingumą pagal iš anksto numatytą nominalų reikšmingumo lygį.</w:t>
      </w:r>
    </w:p>
    <w:p w14:paraId="7E25E971" w14:textId="296B7685" w:rsidR="007042ED" w:rsidRPr="00975CA4" w:rsidRDefault="007042ED" w:rsidP="007042ED">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PI</w:t>
      </w:r>
      <w:r w:rsidR="00906C63"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pasikliautinasis</w:t>
      </w:r>
      <w:proofErr w:type="spellEnd"/>
      <w:r w:rsidRPr="00975CA4">
        <w:rPr>
          <w:rFonts w:ascii="Times New Roman" w:eastAsia="SimSun" w:hAnsi="Times New Roman" w:cs="Times New Roman"/>
          <w:color w:val="000000"/>
          <w:lang w:eastAsia="ar-SA"/>
        </w:rPr>
        <w:t xml:space="preserve"> intervalas.</w:t>
      </w:r>
    </w:p>
    <w:p w14:paraId="0F7991DC" w14:textId="77777777" w:rsidR="007042ED" w:rsidRPr="00975CA4" w:rsidRDefault="007042ED" w:rsidP="007042ED">
      <w:pPr>
        <w:widowControl w:val="0"/>
        <w:tabs>
          <w:tab w:val="left" w:pos="567"/>
        </w:tabs>
        <w:suppressAutoHyphens/>
        <w:spacing w:after="0" w:line="240" w:lineRule="auto"/>
        <w:rPr>
          <w:rFonts w:ascii="Times New Roman" w:eastAsia="SimSun" w:hAnsi="Times New Roman" w:cs="Times New Roman"/>
          <w:color w:val="000000"/>
          <w:lang w:eastAsia="ar-SA"/>
        </w:rPr>
      </w:pPr>
    </w:p>
    <w:p w14:paraId="45DD5780" w14:textId="47248FE1" w:rsidR="007042ED" w:rsidRPr="00975CA4" w:rsidRDefault="007042ED" w:rsidP="007042ED">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Po 60</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stebėjimo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grupės pacientams, kuriems buvo patvirtintas </w:t>
      </w:r>
      <w:proofErr w:type="spellStart"/>
      <w:r w:rsidRPr="00975CA4">
        <w:rPr>
          <w:rFonts w:ascii="Times New Roman" w:eastAsia="SimSun" w:hAnsi="Times New Roman" w:cs="Times New Roman"/>
          <w:color w:val="000000"/>
          <w:lang w:eastAsia="ar-SA"/>
        </w:rPr>
        <w:t>CCyR</w:t>
      </w:r>
      <w:proofErr w:type="spellEnd"/>
      <w:r w:rsidRPr="00975CA4">
        <w:rPr>
          <w:rFonts w:ascii="Times New Roman" w:eastAsia="SimSun" w:hAnsi="Times New Roman" w:cs="Times New Roman"/>
          <w:color w:val="000000"/>
          <w:lang w:eastAsia="ar-SA"/>
        </w:rPr>
        <w:t xml:space="preserve">, laikotarpio iki </w:t>
      </w:r>
      <w:proofErr w:type="spellStart"/>
      <w:r w:rsidRPr="00975CA4">
        <w:rPr>
          <w:rFonts w:ascii="Times New Roman" w:eastAsia="SimSun" w:hAnsi="Times New Roman" w:cs="Times New Roman"/>
          <w:color w:val="000000"/>
          <w:lang w:eastAsia="ar-SA"/>
        </w:rPr>
        <w:t>cCCyR</w:t>
      </w:r>
      <w:proofErr w:type="spellEnd"/>
      <w:r w:rsidRPr="00975CA4">
        <w:rPr>
          <w:rFonts w:ascii="Times New Roman" w:eastAsia="SimSun" w:hAnsi="Times New Roman" w:cs="Times New Roman"/>
          <w:color w:val="000000"/>
          <w:lang w:eastAsia="ar-SA"/>
        </w:rPr>
        <w:t xml:space="preserve"> pasireiškimo mediana buvo 3,1</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grupės – 5,8</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 Po 60</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stebėjimo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grupės pacientams, kuriems nustatytas MMR, laikotarpio iki MMR pasireiškimo mediana buvo 9,3</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grupės – 15,0</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mėn. Šie duomenys </w:t>
      </w:r>
      <w:r w:rsidR="00C95917" w:rsidRPr="00975CA4">
        <w:rPr>
          <w:rFonts w:ascii="Times New Roman" w:eastAsia="SimSun" w:hAnsi="Times New Roman" w:cs="Times New Roman"/>
          <w:color w:val="000000"/>
          <w:lang w:eastAsia="ar-SA"/>
        </w:rPr>
        <w:t>atitinka rezultatus</w:t>
      </w:r>
      <w:r w:rsidRPr="00975CA4">
        <w:rPr>
          <w:rFonts w:ascii="Times New Roman" w:eastAsia="SimSun" w:hAnsi="Times New Roman" w:cs="Times New Roman"/>
          <w:color w:val="000000"/>
          <w:lang w:eastAsia="ar-SA"/>
        </w:rPr>
        <w:t xml:space="preserve"> gaut</w:t>
      </w:r>
      <w:r w:rsidR="00C95917" w:rsidRPr="00975CA4">
        <w:rPr>
          <w:rFonts w:ascii="Times New Roman" w:eastAsia="SimSun" w:hAnsi="Times New Roman" w:cs="Times New Roman"/>
          <w:color w:val="000000"/>
          <w:lang w:eastAsia="ar-SA"/>
        </w:rPr>
        <w:t>u</w:t>
      </w:r>
      <w:r w:rsidRPr="00975CA4">
        <w:rPr>
          <w:rFonts w:ascii="Times New Roman" w:eastAsia="SimSun" w:hAnsi="Times New Roman" w:cs="Times New Roman"/>
          <w:color w:val="000000"/>
          <w:lang w:eastAsia="ar-SA"/>
        </w:rPr>
        <w:t>s po 12, 24 ir 36</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mėnesių.</w:t>
      </w:r>
    </w:p>
    <w:p w14:paraId="57729447" w14:textId="77777777" w:rsidR="00166F1B" w:rsidRPr="00975CA4" w:rsidRDefault="00166F1B" w:rsidP="007042ED">
      <w:pPr>
        <w:widowControl w:val="0"/>
        <w:tabs>
          <w:tab w:val="left" w:pos="567"/>
        </w:tabs>
        <w:suppressAutoHyphens/>
        <w:spacing w:after="0" w:line="240" w:lineRule="auto"/>
        <w:rPr>
          <w:rFonts w:ascii="Times New Roman" w:eastAsia="SimSun" w:hAnsi="Times New Roman" w:cs="Times New Roman"/>
          <w:color w:val="000000"/>
          <w:lang w:eastAsia="ar-SA"/>
        </w:rPr>
      </w:pPr>
    </w:p>
    <w:p w14:paraId="61AF4C45" w14:textId="60B08493" w:rsidR="007042ED" w:rsidRPr="00975CA4" w:rsidRDefault="007042ED" w:rsidP="007042ED">
      <w:pPr>
        <w:widowControl w:val="0"/>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1 paveiksle grafiškai pavaizduotas laikas iki MMR pasireiškimo. Laikas iki MMR pasireiškimo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gydytiems pacientams buvo </w:t>
      </w:r>
      <w:r w:rsidR="00C95917" w:rsidRPr="00975CA4">
        <w:rPr>
          <w:rFonts w:ascii="Times New Roman" w:eastAsia="SimSun" w:hAnsi="Times New Roman" w:cs="Times New Roman"/>
          <w:color w:val="000000"/>
          <w:lang w:eastAsia="ar-SA"/>
        </w:rPr>
        <w:t xml:space="preserve">nuolat </w:t>
      </w:r>
      <w:r w:rsidRPr="00975CA4">
        <w:rPr>
          <w:rFonts w:ascii="Times New Roman" w:eastAsia="SimSun" w:hAnsi="Times New Roman" w:cs="Times New Roman"/>
          <w:color w:val="000000"/>
          <w:lang w:eastAsia="ar-SA"/>
        </w:rPr>
        <w:t xml:space="preserve">trumpesnis negu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gydytiems pacientams.</w:t>
      </w:r>
    </w:p>
    <w:p w14:paraId="1D0DE329" w14:textId="77777777" w:rsidR="007042ED" w:rsidRPr="00975CA4" w:rsidRDefault="007042ED" w:rsidP="007042ED">
      <w:pPr>
        <w:widowControl w:val="0"/>
        <w:tabs>
          <w:tab w:val="left" w:pos="567"/>
        </w:tabs>
        <w:suppressAutoHyphens/>
        <w:spacing w:after="0" w:line="240" w:lineRule="auto"/>
        <w:rPr>
          <w:rFonts w:ascii="Times New Roman" w:eastAsia="SimSun" w:hAnsi="Times New Roman" w:cs="Times New Roman"/>
          <w:color w:val="000000"/>
          <w:lang w:eastAsia="ar-SA"/>
        </w:rPr>
      </w:pPr>
    </w:p>
    <w:p w14:paraId="38D06B8B" w14:textId="77777777" w:rsidR="007042ED" w:rsidRPr="00975CA4" w:rsidRDefault="00166F1B" w:rsidP="007042ED">
      <w:pPr>
        <w:widowControl w:val="0"/>
        <w:tabs>
          <w:tab w:val="left" w:pos="567"/>
        </w:tabs>
        <w:suppressAutoHyphens/>
        <w:spacing w:after="0" w:line="240" w:lineRule="auto"/>
        <w:ind w:left="567" w:hanging="567"/>
        <w:rPr>
          <w:rFonts w:ascii="Times New Roman" w:eastAsia="SimSun" w:hAnsi="Times New Roman" w:cs="Times New Roman"/>
          <w:b/>
          <w:color w:val="000000"/>
          <w:lang w:eastAsia="ar-SA"/>
        </w:rPr>
      </w:pPr>
      <w:r w:rsidRPr="00975CA4">
        <w:rPr>
          <w:rFonts w:ascii="Times New Roman" w:hAnsi="Times New Roman" w:cs="Times New Roman"/>
          <w:noProof/>
          <w:lang w:eastAsia="lt-LT"/>
        </w:rPr>
        <w:drawing>
          <wp:anchor distT="0" distB="0" distL="114300" distR="114300" simplePos="0" relativeHeight="251657216" behindDoc="1" locked="0" layoutInCell="1" allowOverlap="1" wp14:anchorId="12DA2F79" wp14:editId="575BE489">
            <wp:simplePos x="0" y="0"/>
            <wp:positionH relativeFrom="column">
              <wp:posOffset>-1905</wp:posOffset>
            </wp:positionH>
            <wp:positionV relativeFrom="paragraph">
              <wp:posOffset>232410</wp:posOffset>
            </wp:positionV>
            <wp:extent cx="6191250" cy="3685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0" cy="3685540"/>
                    </a:xfrm>
                    <a:prstGeom prst="rect">
                      <a:avLst/>
                    </a:prstGeom>
                  </pic:spPr>
                </pic:pic>
              </a:graphicData>
            </a:graphic>
            <wp14:sizeRelH relativeFrom="margin">
              <wp14:pctWidth>0</wp14:pctWidth>
            </wp14:sizeRelH>
            <wp14:sizeRelV relativeFrom="margin">
              <wp14:pctHeight>0</wp14:pctHeight>
            </wp14:sizeRelV>
          </wp:anchor>
        </w:drawing>
      </w:r>
      <w:r w:rsidR="007042ED" w:rsidRPr="00975CA4">
        <w:rPr>
          <w:rFonts w:ascii="Times New Roman" w:eastAsia="SimSun" w:hAnsi="Times New Roman" w:cs="Times New Roman"/>
          <w:b/>
          <w:color w:val="000000"/>
          <w:lang w:eastAsia="ar-SA"/>
        </w:rPr>
        <w:t xml:space="preserve">1 pav. </w:t>
      </w:r>
      <w:proofErr w:type="spellStart"/>
      <w:r w:rsidR="007042ED" w:rsidRPr="00975CA4">
        <w:rPr>
          <w:rFonts w:ascii="Times New Roman" w:eastAsia="SimSun" w:hAnsi="Times New Roman" w:cs="Times New Roman"/>
          <w:b/>
          <w:i/>
          <w:color w:val="000000"/>
          <w:lang w:eastAsia="ar-SA"/>
        </w:rPr>
        <w:t>Kaplan-Meier</w:t>
      </w:r>
      <w:proofErr w:type="spellEnd"/>
      <w:r w:rsidR="007042ED" w:rsidRPr="00975CA4">
        <w:rPr>
          <w:rFonts w:ascii="Times New Roman" w:eastAsia="SimSun" w:hAnsi="Times New Roman" w:cs="Times New Roman"/>
          <w:b/>
          <w:i/>
          <w:color w:val="000000"/>
          <w:lang w:eastAsia="ar-SA"/>
        </w:rPr>
        <w:t xml:space="preserve"> </w:t>
      </w:r>
      <w:r w:rsidR="007042ED" w:rsidRPr="00975CA4">
        <w:rPr>
          <w:rFonts w:ascii="Times New Roman" w:eastAsia="SimSun" w:hAnsi="Times New Roman" w:cs="Times New Roman"/>
          <w:b/>
          <w:color w:val="000000"/>
          <w:lang w:eastAsia="ar-SA"/>
        </w:rPr>
        <w:t>metodu apskaičiuotas laikas iki didžiojo molekulinio atsako (MMR) pasireiškimo</w:t>
      </w:r>
    </w:p>
    <w:p w14:paraId="2EBA908F" w14:textId="77777777" w:rsidR="00166F1B" w:rsidRPr="00975CA4" w:rsidRDefault="00166F1B" w:rsidP="007042ED">
      <w:pPr>
        <w:widowControl w:val="0"/>
        <w:tabs>
          <w:tab w:val="left" w:pos="567"/>
        </w:tabs>
        <w:suppressAutoHyphens/>
        <w:spacing w:after="0" w:line="240" w:lineRule="auto"/>
        <w:ind w:left="567" w:hanging="567"/>
        <w:rPr>
          <w:rFonts w:ascii="Times New Roman" w:eastAsia="Times New Roman" w:hAnsi="Times New Roman" w:cs="Times New Roman"/>
          <w:color w:val="000000"/>
          <w:lang w:eastAsia="ar-SA"/>
        </w:rPr>
      </w:pPr>
    </w:p>
    <w:tbl>
      <w:tblPr>
        <w:tblStyle w:val="TableGrid1"/>
        <w:tblW w:w="726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436"/>
        <w:gridCol w:w="1842"/>
      </w:tblGrid>
      <w:tr w:rsidR="00166F1B" w:rsidRPr="00975CA4" w14:paraId="584378C6" w14:textId="77777777" w:rsidTr="00166F1B">
        <w:tc>
          <w:tcPr>
            <w:tcW w:w="1985" w:type="dxa"/>
            <w:tcBorders>
              <w:top w:val="nil"/>
              <w:left w:val="nil"/>
              <w:bottom w:val="single" w:sz="4" w:space="0" w:color="auto"/>
              <w:right w:val="nil"/>
            </w:tcBorders>
            <w:hideMark/>
          </w:tcPr>
          <w:p w14:paraId="4648885A" w14:textId="77777777" w:rsidR="00166F1B" w:rsidRPr="00975CA4" w:rsidRDefault="00166F1B" w:rsidP="00166F1B">
            <w:pPr>
              <w:spacing w:after="60"/>
              <w:rPr>
                <w:rFonts w:eastAsia="Times New Roman"/>
                <w:b/>
                <w:sz w:val="22"/>
                <w:szCs w:val="22"/>
                <w:lang w:eastAsia="fr-FR"/>
              </w:rPr>
            </w:pPr>
            <w:r w:rsidRPr="00975CA4">
              <w:rPr>
                <w:rFonts w:eastAsia="Times New Roman"/>
                <w:b/>
                <w:sz w:val="22"/>
                <w:szCs w:val="22"/>
                <w:lang w:eastAsia="fr-FR"/>
              </w:rPr>
              <w:lastRenderedPageBreak/>
              <w:t>Grupė</w:t>
            </w:r>
          </w:p>
        </w:tc>
        <w:tc>
          <w:tcPr>
            <w:tcW w:w="3436" w:type="dxa"/>
            <w:tcBorders>
              <w:top w:val="nil"/>
              <w:left w:val="nil"/>
              <w:bottom w:val="single" w:sz="4" w:space="0" w:color="auto"/>
              <w:right w:val="nil"/>
            </w:tcBorders>
            <w:hideMark/>
          </w:tcPr>
          <w:p w14:paraId="67A3CCB2" w14:textId="77777777" w:rsidR="00166F1B" w:rsidRPr="00975CA4" w:rsidRDefault="00166F1B" w:rsidP="00166F1B">
            <w:pPr>
              <w:spacing w:after="60"/>
              <w:jc w:val="center"/>
              <w:rPr>
                <w:rFonts w:eastAsia="Times New Roman"/>
                <w:b/>
                <w:sz w:val="22"/>
                <w:szCs w:val="22"/>
                <w:lang w:eastAsia="fr-FR"/>
              </w:rPr>
            </w:pPr>
            <w:r w:rsidRPr="00975CA4">
              <w:rPr>
                <w:rFonts w:eastAsia="Times New Roman"/>
                <w:b/>
                <w:sz w:val="22"/>
                <w:szCs w:val="22"/>
                <w:lang w:eastAsia="fr-FR"/>
              </w:rPr>
              <w:t># Pasiekė atsaką / # Atrinkta atsitiktinės atrankos būdu</w:t>
            </w:r>
          </w:p>
        </w:tc>
        <w:tc>
          <w:tcPr>
            <w:tcW w:w="1842" w:type="dxa"/>
            <w:tcBorders>
              <w:top w:val="nil"/>
              <w:left w:val="nil"/>
              <w:bottom w:val="single" w:sz="4" w:space="0" w:color="auto"/>
              <w:right w:val="nil"/>
            </w:tcBorders>
            <w:hideMark/>
          </w:tcPr>
          <w:p w14:paraId="11F0A700" w14:textId="77777777" w:rsidR="00166F1B" w:rsidRPr="00975CA4" w:rsidRDefault="00166F1B" w:rsidP="00166F1B">
            <w:pPr>
              <w:spacing w:after="60"/>
              <w:jc w:val="center"/>
              <w:rPr>
                <w:rFonts w:eastAsia="Times New Roman"/>
                <w:b/>
                <w:sz w:val="22"/>
                <w:szCs w:val="22"/>
                <w:lang w:eastAsia="fr-FR"/>
              </w:rPr>
            </w:pPr>
            <w:r w:rsidRPr="00975CA4">
              <w:rPr>
                <w:rFonts w:eastAsia="Times New Roman"/>
                <w:b/>
                <w:sz w:val="22"/>
                <w:szCs w:val="22"/>
                <w:lang w:eastAsia="fr-FR"/>
              </w:rPr>
              <w:t>Rizikos santykis (95</w:t>
            </w:r>
            <w:r w:rsidR="00A06C0A" w:rsidRPr="00975CA4">
              <w:rPr>
                <w:rFonts w:eastAsia="Times New Roman"/>
                <w:b/>
                <w:sz w:val="22"/>
                <w:szCs w:val="22"/>
                <w:lang w:eastAsia="fr-FR"/>
              </w:rPr>
              <w:t> </w:t>
            </w:r>
            <w:r w:rsidRPr="00975CA4">
              <w:rPr>
                <w:rFonts w:eastAsia="Times New Roman"/>
                <w:b/>
                <w:sz w:val="22"/>
                <w:szCs w:val="22"/>
                <w:lang w:eastAsia="fr-FR"/>
              </w:rPr>
              <w:t>% PI)</w:t>
            </w:r>
          </w:p>
        </w:tc>
      </w:tr>
      <w:tr w:rsidR="00166F1B" w:rsidRPr="00975CA4" w14:paraId="5D1ED0E4" w14:textId="77777777" w:rsidTr="00166F1B">
        <w:tc>
          <w:tcPr>
            <w:tcW w:w="1985" w:type="dxa"/>
            <w:tcBorders>
              <w:top w:val="single" w:sz="4" w:space="0" w:color="auto"/>
              <w:left w:val="nil"/>
              <w:bottom w:val="nil"/>
              <w:right w:val="nil"/>
            </w:tcBorders>
            <w:hideMark/>
          </w:tcPr>
          <w:p w14:paraId="2F7D329A" w14:textId="77777777" w:rsidR="00166F1B" w:rsidRPr="00975CA4" w:rsidRDefault="00166F1B" w:rsidP="00166F1B">
            <w:pPr>
              <w:spacing w:after="60"/>
              <w:rPr>
                <w:rFonts w:eastAsia="Times New Roman"/>
                <w:sz w:val="22"/>
                <w:szCs w:val="22"/>
                <w:u w:val="single" w:color="000000"/>
                <w:lang w:eastAsia="fr-FR"/>
              </w:rPr>
            </w:pPr>
            <w:proofErr w:type="spellStart"/>
            <w:r w:rsidRPr="00975CA4">
              <w:rPr>
                <w:rFonts w:eastAsia="Times New Roman"/>
                <w:sz w:val="22"/>
                <w:szCs w:val="22"/>
                <w:lang w:eastAsia="fr-FR"/>
              </w:rPr>
              <w:t>Dazatinibo</w:t>
            </w:r>
            <w:proofErr w:type="spellEnd"/>
          </w:p>
        </w:tc>
        <w:tc>
          <w:tcPr>
            <w:tcW w:w="3436" w:type="dxa"/>
            <w:tcBorders>
              <w:top w:val="single" w:sz="4" w:space="0" w:color="auto"/>
              <w:left w:val="nil"/>
              <w:bottom w:val="nil"/>
              <w:right w:val="nil"/>
            </w:tcBorders>
            <w:hideMark/>
          </w:tcPr>
          <w:p w14:paraId="710AFC48" w14:textId="77777777" w:rsidR="00166F1B" w:rsidRPr="00975CA4" w:rsidRDefault="00166F1B" w:rsidP="00166F1B">
            <w:pPr>
              <w:spacing w:after="60"/>
              <w:jc w:val="center"/>
              <w:rPr>
                <w:rFonts w:eastAsia="Times New Roman"/>
                <w:sz w:val="22"/>
                <w:szCs w:val="22"/>
                <w:u w:val="single" w:color="000000"/>
                <w:lang w:eastAsia="fr-FR"/>
              </w:rPr>
            </w:pPr>
            <w:r w:rsidRPr="00975CA4">
              <w:rPr>
                <w:rFonts w:eastAsia="Times New Roman"/>
                <w:sz w:val="22"/>
                <w:szCs w:val="22"/>
                <w:lang w:eastAsia="fr-FR"/>
              </w:rPr>
              <w:t>198/259</w:t>
            </w:r>
          </w:p>
        </w:tc>
        <w:tc>
          <w:tcPr>
            <w:tcW w:w="1842" w:type="dxa"/>
            <w:tcBorders>
              <w:top w:val="single" w:sz="4" w:space="0" w:color="auto"/>
              <w:left w:val="nil"/>
              <w:bottom w:val="nil"/>
              <w:right w:val="nil"/>
            </w:tcBorders>
          </w:tcPr>
          <w:p w14:paraId="4D7D5B27" w14:textId="77777777" w:rsidR="00166F1B" w:rsidRPr="00975CA4" w:rsidRDefault="00166F1B" w:rsidP="00166F1B">
            <w:pPr>
              <w:spacing w:after="60"/>
              <w:jc w:val="center"/>
              <w:rPr>
                <w:rFonts w:eastAsia="Times New Roman"/>
                <w:sz w:val="22"/>
                <w:szCs w:val="22"/>
                <w:u w:val="single" w:color="000000"/>
                <w:lang w:eastAsia="fr-FR"/>
              </w:rPr>
            </w:pPr>
          </w:p>
        </w:tc>
      </w:tr>
      <w:tr w:rsidR="00166F1B" w:rsidRPr="00975CA4" w14:paraId="548A208D" w14:textId="77777777" w:rsidTr="00166F1B">
        <w:tc>
          <w:tcPr>
            <w:tcW w:w="1985" w:type="dxa"/>
            <w:hideMark/>
          </w:tcPr>
          <w:p w14:paraId="02409FFC" w14:textId="77777777" w:rsidR="00166F1B" w:rsidRPr="00975CA4" w:rsidRDefault="00166F1B" w:rsidP="00166F1B">
            <w:pPr>
              <w:spacing w:after="60"/>
              <w:rPr>
                <w:rFonts w:eastAsia="Times New Roman"/>
                <w:sz w:val="22"/>
                <w:szCs w:val="22"/>
                <w:u w:val="single" w:color="000000"/>
                <w:lang w:eastAsia="fr-FR"/>
              </w:rPr>
            </w:pPr>
            <w:proofErr w:type="spellStart"/>
            <w:r w:rsidRPr="00975CA4">
              <w:rPr>
                <w:rFonts w:eastAsia="Times New Roman"/>
                <w:sz w:val="22"/>
                <w:szCs w:val="22"/>
                <w:lang w:eastAsia="fr-FR"/>
              </w:rPr>
              <w:t>Imatinibo</w:t>
            </w:r>
            <w:proofErr w:type="spellEnd"/>
          </w:p>
        </w:tc>
        <w:tc>
          <w:tcPr>
            <w:tcW w:w="3436" w:type="dxa"/>
            <w:hideMark/>
          </w:tcPr>
          <w:p w14:paraId="04464245" w14:textId="77777777" w:rsidR="00166F1B" w:rsidRPr="00975CA4" w:rsidRDefault="00166F1B" w:rsidP="00166F1B">
            <w:pPr>
              <w:spacing w:after="60"/>
              <w:jc w:val="center"/>
              <w:rPr>
                <w:rFonts w:eastAsia="Times New Roman"/>
                <w:sz w:val="22"/>
                <w:szCs w:val="22"/>
                <w:u w:val="single" w:color="000000"/>
                <w:lang w:eastAsia="fr-FR"/>
              </w:rPr>
            </w:pPr>
            <w:r w:rsidRPr="00975CA4">
              <w:rPr>
                <w:rFonts w:eastAsia="Times New Roman"/>
                <w:sz w:val="22"/>
                <w:szCs w:val="22"/>
                <w:lang w:eastAsia="fr-FR"/>
              </w:rPr>
              <w:t>167/260</w:t>
            </w:r>
          </w:p>
        </w:tc>
        <w:tc>
          <w:tcPr>
            <w:tcW w:w="1842" w:type="dxa"/>
          </w:tcPr>
          <w:p w14:paraId="1668FBA2" w14:textId="77777777" w:rsidR="00166F1B" w:rsidRPr="00975CA4" w:rsidRDefault="00166F1B" w:rsidP="00166F1B">
            <w:pPr>
              <w:spacing w:after="60"/>
              <w:jc w:val="center"/>
              <w:rPr>
                <w:rFonts w:eastAsia="Times New Roman"/>
                <w:sz w:val="22"/>
                <w:szCs w:val="22"/>
                <w:u w:val="single" w:color="000000"/>
                <w:lang w:eastAsia="fr-FR"/>
              </w:rPr>
            </w:pPr>
          </w:p>
        </w:tc>
      </w:tr>
      <w:tr w:rsidR="00166F1B" w:rsidRPr="00975CA4" w14:paraId="2130A444" w14:textId="77777777" w:rsidTr="00166F1B">
        <w:tc>
          <w:tcPr>
            <w:tcW w:w="1985" w:type="dxa"/>
            <w:hideMark/>
          </w:tcPr>
          <w:p w14:paraId="520FA058" w14:textId="77777777" w:rsidR="00166F1B" w:rsidRPr="00975CA4" w:rsidRDefault="00166F1B" w:rsidP="00166F1B">
            <w:pPr>
              <w:spacing w:after="60"/>
              <w:rPr>
                <w:rFonts w:eastAsia="Times New Roman"/>
                <w:sz w:val="22"/>
                <w:szCs w:val="22"/>
                <w:u w:val="single" w:color="000000"/>
                <w:lang w:eastAsia="fr-FR"/>
              </w:rPr>
            </w:pPr>
            <w:proofErr w:type="spellStart"/>
            <w:r w:rsidRPr="00975CA4">
              <w:rPr>
                <w:rFonts w:eastAsia="Times New Roman"/>
                <w:sz w:val="22"/>
                <w:szCs w:val="22"/>
                <w:lang w:eastAsia="fr-FR"/>
              </w:rPr>
              <w:t>Dazatinibas</w:t>
            </w:r>
            <w:proofErr w:type="spellEnd"/>
            <w:r w:rsidRPr="00975CA4">
              <w:rPr>
                <w:rFonts w:eastAsia="Times New Roman"/>
                <w:sz w:val="22"/>
                <w:szCs w:val="22"/>
                <w:lang w:eastAsia="fr-FR"/>
              </w:rPr>
              <w:t xml:space="preserve"> palyginti su </w:t>
            </w:r>
            <w:proofErr w:type="spellStart"/>
            <w:r w:rsidRPr="00975CA4">
              <w:rPr>
                <w:rFonts w:eastAsia="Times New Roman"/>
                <w:sz w:val="22"/>
                <w:szCs w:val="22"/>
                <w:lang w:eastAsia="fr-FR"/>
              </w:rPr>
              <w:t>imatinibu</w:t>
            </w:r>
            <w:proofErr w:type="spellEnd"/>
          </w:p>
        </w:tc>
        <w:tc>
          <w:tcPr>
            <w:tcW w:w="3436" w:type="dxa"/>
          </w:tcPr>
          <w:p w14:paraId="3C872D54" w14:textId="77777777" w:rsidR="00166F1B" w:rsidRPr="00975CA4" w:rsidRDefault="00166F1B" w:rsidP="00166F1B">
            <w:pPr>
              <w:spacing w:after="60"/>
              <w:jc w:val="center"/>
              <w:rPr>
                <w:rFonts w:eastAsia="Times New Roman"/>
                <w:sz w:val="22"/>
                <w:szCs w:val="22"/>
                <w:u w:val="single" w:color="000000"/>
                <w:lang w:eastAsia="fr-FR"/>
              </w:rPr>
            </w:pPr>
          </w:p>
        </w:tc>
        <w:tc>
          <w:tcPr>
            <w:tcW w:w="1842" w:type="dxa"/>
            <w:hideMark/>
          </w:tcPr>
          <w:p w14:paraId="28E2D5CB" w14:textId="77777777" w:rsidR="00166F1B" w:rsidRPr="00975CA4" w:rsidRDefault="00166F1B" w:rsidP="00166F1B">
            <w:pPr>
              <w:spacing w:after="60"/>
              <w:jc w:val="center"/>
              <w:rPr>
                <w:rFonts w:eastAsia="Times New Roman"/>
                <w:sz w:val="22"/>
                <w:szCs w:val="22"/>
                <w:u w:val="single" w:color="000000"/>
                <w:lang w:eastAsia="fr-FR"/>
              </w:rPr>
            </w:pPr>
            <w:r w:rsidRPr="00975CA4">
              <w:rPr>
                <w:rFonts w:eastAsia="Times New Roman"/>
                <w:sz w:val="22"/>
                <w:szCs w:val="22"/>
                <w:lang w:eastAsia="fr-FR"/>
              </w:rPr>
              <w:t>1,54 (1,25 – 1,89)</w:t>
            </w:r>
          </w:p>
        </w:tc>
      </w:tr>
    </w:tbl>
    <w:p w14:paraId="621A7E2C" w14:textId="77777777" w:rsidR="005C28B1" w:rsidRPr="00975CA4" w:rsidRDefault="00166F1B" w:rsidP="003A0B67">
      <w:pPr>
        <w:rPr>
          <w:rFonts w:ascii="Times New Roman" w:hAnsi="Times New Roman" w:cs="Times New Roman"/>
        </w:rPr>
      </w:pPr>
      <w:r w:rsidRPr="00975CA4">
        <w:rPr>
          <w:rFonts w:ascii="Times New Roman" w:hAnsi="Times New Roman" w:cs="Times New Roman"/>
        </w:rPr>
        <w:t xml:space="preserve"> </w:t>
      </w:r>
    </w:p>
    <w:p w14:paraId="2D67440A" w14:textId="490819E8" w:rsidR="00166F1B" w:rsidRPr="00975CA4" w:rsidRDefault="00166F1B" w:rsidP="00166F1B">
      <w:pPr>
        <w:widowControl w:val="0"/>
        <w:tabs>
          <w:tab w:val="left" w:pos="567"/>
        </w:tabs>
        <w:suppressAutoHyphens/>
        <w:spacing w:after="0" w:line="240" w:lineRule="auto"/>
        <w:rPr>
          <w:rFonts w:ascii="Times New Roman" w:eastAsia="SimSun" w:hAnsi="Times New Roman" w:cs="Times New Roman"/>
          <w:color w:val="000000"/>
          <w:lang w:eastAsia="ar-SA"/>
        </w:rPr>
      </w:pP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grupių pacientams </w:t>
      </w:r>
      <w:proofErr w:type="spellStart"/>
      <w:r w:rsidRPr="00975CA4">
        <w:rPr>
          <w:rFonts w:ascii="Times New Roman" w:eastAsia="SimSun" w:hAnsi="Times New Roman" w:cs="Times New Roman"/>
          <w:color w:val="000000"/>
          <w:lang w:eastAsia="ar-SA"/>
        </w:rPr>
        <w:t>cCCyR</w:t>
      </w:r>
      <w:proofErr w:type="spellEnd"/>
      <w:r w:rsidRPr="00975CA4">
        <w:rPr>
          <w:rFonts w:ascii="Times New Roman" w:eastAsia="SimSun" w:hAnsi="Times New Roman" w:cs="Times New Roman"/>
          <w:color w:val="000000"/>
          <w:lang w:eastAsia="ar-SA"/>
        </w:rPr>
        <w:t xml:space="preserve"> pasireiškimo dažniai per 3 mėnesius (atitinkamai 54</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30</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6 mėnesius (70</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56</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9 mėnesius (75</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63</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24 mėnesius (80</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74</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36 mėnesius (83</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77</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48 mėnesius (83</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79</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per 60 mėnesių (83</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79</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derinosi su pagrindine vertinamąja baigtimi. MMR pasireiškimo dažniai </w:t>
      </w:r>
      <w:proofErr w:type="spellStart"/>
      <w:r w:rsidRPr="00975CA4">
        <w:rPr>
          <w:rFonts w:ascii="Times New Roman" w:eastAsia="SimSun" w:hAnsi="Times New Roman" w:cs="Times New Roman"/>
          <w:color w:val="000000"/>
          <w:lang w:eastAsia="ar-SA"/>
        </w:rPr>
        <w:t>dazatinibo</w:t>
      </w:r>
      <w:proofErr w:type="spellEnd"/>
      <w:r w:rsidRPr="00975CA4">
        <w:rPr>
          <w:rFonts w:ascii="Times New Roman" w:eastAsia="SimSun" w:hAnsi="Times New Roman" w:cs="Times New Roman"/>
          <w:color w:val="000000"/>
          <w:lang w:eastAsia="ar-SA"/>
        </w:rPr>
        <w:t xml:space="preserve"> ir </w:t>
      </w:r>
      <w:proofErr w:type="spellStart"/>
      <w:r w:rsidRPr="00975CA4">
        <w:rPr>
          <w:rFonts w:ascii="Times New Roman" w:eastAsia="SimSun" w:hAnsi="Times New Roman" w:cs="Times New Roman"/>
          <w:color w:val="000000"/>
          <w:lang w:eastAsia="ar-SA"/>
        </w:rPr>
        <w:t>imatinibo</w:t>
      </w:r>
      <w:proofErr w:type="spellEnd"/>
      <w:r w:rsidRPr="00975CA4">
        <w:rPr>
          <w:rFonts w:ascii="Times New Roman" w:eastAsia="SimSun" w:hAnsi="Times New Roman" w:cs="Times New Roman"/>
          <w:color w:val="000000"/>
          <w:lang w:eastAsia="ar-SA"/>
        </w:rPr>
        <w:t xml:space="preserve"> grupių pacientams per 3 mėnesius (atitinkamai 8</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0,4</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6 mėnesius (27</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8</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9 mėnesius (39</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18</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12 mėnesių (46</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28</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24 mėnesius (64</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46</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36 mėnesius (67</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55</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per 48 mėnesius (73</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60</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per 60 mėnesių (76</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ir 64</w:t>
      </w:r>
      <w:r w:rsidR="001773E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taip pat derinosi su pagrindine vertinamąja baigtimi.</w:t>
      </w:r>
    </w:p>
    <w:p w14:paraId="6DA9F63E" w14:textId="77777777" w:rsidR="0062175B" w:rsidRPr="00975CA4" w:rsidRDefault="0062175B" w:rsidP="00166F1B">
      <w:pPr>
        <w:widowControl w:val="0"/>
        <w:tabs>
          <w:tab w:val="left" w:pos="567"/>
        </w:tabs>
        <w:suppressAutoHyphens/>
        <w:spacing w:after="0" w:line="240" w:lineRule="auto"/>
        <w:rPr>
          <w:rFonts w:ascii="Times New Roman" w:eastAsia="SimSun" w:hAnsi="Times New Roman" w:cs="Times New Roman"/>
          <w:color w:val="000000"/>
          <w:lang w:eastAsia="ar-SA"/>
        </w:rPr>
      </w:pPr>
    </w:p>
    <w:p w14:paraId="2C5894B9" w14:textId="182F1757" w:rsidR="00166F1B" w:rsidRPr="00975CA4" w:rsidRDefault="00166F1B" w:rsidP="00166F1B">
      <w:pPr>
        <w:widowControl w:val="0"/>
        <w:tabs>
          <w:tab w:val="left" w:pos="567"/>
        </w:tabs>
        <w:suppressAutoHyphens/>
        <w:spacing w:after="0" w:line="240" w:lineRule="auto"/>
        <w:rPr>
          <w:rFonts w:ascii="Times New Roman" w:eastAsia="SimSun" w:hAnsi="Times New Roman" w:cs="Times New Roman"/>
          <w:i/>
          <w:iCs/>
          <w:color w:val="000000"/>
          <w:lang w:eastAsia="ar-SA"/>
        </w:rPr>
      </w:pPr>
      <w:r w:rsidRPr="00975CA4">
        <w:rPr>
          <w:rFonts w:ascii="Times New Roman" w:eastAsia="SimSun" w:hAnsi="Times New Roman" w:cs="Times New Roman"/>
          <w:color w:val="000000"/>
          <w:lang w:eastAsia="ar-SA"/>
        </w:rPr>
        <w:t>MMR dažniai numatytais</w:t>
      </w:r>
      <w:r w:rsidR="00BC60CD" w:rsidRPr="00975CA4">
        <w:rPr>
          <w:rFonts w:ascii="Times New Roman" w:eastAsia="SimSun" w:hAnsi="Times New Roman" w:cs="Times New Roman"/>
          <w:color w:val="000000"/>
          <w:lang w:eastAsia="ar-SA"/>
        </w:rPr>
        <w:t xml:space="preserve"> laiko</w:t>
      </w:r>
      <w:r w:rsidRPr="00975CA4">
        <w:rPr>
          <w:rFonts w:ascii="Times New Roman" w:eastAsia="SimSun" w:hAnsi="Times New Roman" w:cs="Times New Roman"/>
          <w:color w:val="000000"/>
          <w:lang w:eastAsia="ar-SA"/>
        </w:rPr>
        <w:t xml:space="preserve"> momentais grafiškai pavaizduoti</w:t>
      </w:r>
      <w:r w:rsidR="0062175B" w:rsidRPr="00975CA4">
        <w:rPr>
          <w:rFonts w:ascii="Times New Roman" w:eastAsia="SimSun" w:hAnsi="Times New Roman" w:cs="Times New Roman"/>
          <w:color w:val="000000"/>
          <w:lang w:eastAsia="ar-SA"/>
        </w:rPr>
        <w:t xml:space="preserve"> </w:t>
      </w:r>
      <w:r w:rsidRPr="00975CA4">
        <w:rPr>
          <w:rFonts w:ascii="Times New Roman" w:eastAsia="SimSun" w:hAnsi="Times New Roman" w:cs="Times New Roman"/>
          <w:color w:val="000000"/>
          <w:lang w:eastAsia="ar-SA"/>
        </w:rPr>
        <w:t>2 paveiksle</w:t>
      </w:r>
      <w:r w:rsidR="00BC60CD" w:rsidRPr="00975CA4">
        <w:rPr>
          <w:rFonts w:ascii="Times New Roman" w:eastAsia="SimSun" w:hAnsi="Times New Roman" w:cs="Times New Roman"/>
          <w:color w:val="000000"/>
          <w:lang w:eastAsia="ar-SA"/>
        </w:rPr>
        <w:t>.</w:t>
      </w:r>
      <w:r w:rsidRPr="00975CA4">
        <w:rPr>
          <w:rFonts w:ascii="Times New Roman" w:eastAsia="SimSun" w:hAnsi="Times New Roman" w:cs="Times New Roman"/>
          <w:color w:val="000000"/>
          <w:lang w:eastAsia="ar-SA"/>
        </w:rPr>
        <w:t xml:space="preserve"> MMR dažniai </w:t>
      </w:r>
      <w:proofErr w:type="spellStart"/>
      <w:r w:rsidRPr="00975CA4">
        <w:rPr>
          <w:rFonts w:ascii="Times New Roman" w:eastAsia="SimSun" w:hAnsi="Times New Roman" w:cs="Times New Roman"/>
          <w:color w:val="000000"/>
          <w:lang w:eastAsia="ar-SA"/>
        </w:rPr>
        <w:t>dazatinibu</w:t>
      </w:r>
      <w:proofErr w:type="spellEnd"/>
      <w:r w:rsidRPr="00975CA4">
        <w:rPr>
          <w:rFonts w:ascii="Times New Roman" w:eastAsia="SimSun" w:hAnsi="Times New Roman" w:cs="Times New Roman"/>
          <w:color w:val="000000"/>
          <w:lang w:eastAsia="ar-SA"/>
        </w:rPr>
        <w:t xml:space="preserve"> gydytiems pacientams buvo </w:t>
      </w:r>
      <w:r w:rsidR="00BC60CD" w:rsidRPr="00975CA4">
        <w:rPr>
          <w:rFonts w:ascii="Times New Roman" w:eastAsia="SimSun" w:hAnsi="Times New Roman" w:cs="Times New Roman"/>
          <w:color w:val="000000"/>
          <w:lang w:eastAsia="ar-SA"/>
        </w:rPr>
        <w:t xml:space="preserve">nuolat </w:t>
      </w:r>
      <w:r w:rsidRPr="00975CA4">
        <w:rPr>
          <w:rFonts w:ascii="Times New Roman" w:eastAsia="SimSun" w:hAnsi="Times New Roman" w:cs="Times New Roman"/>
          <w:color w:val="000000"/>
          <w:lang w:eastAsia="ar-SA"/>
        </w:rPr>
        <w:t xml:space="preserve">didesni, palyginti su </w:t>
      </w:r>
      <w:proofErr w:type="spellStart"/>
      <w:r w:rsidRPr="00975CA4">
        <w:rPr>
          <w:rFonts w:ascii="Times New Roman" w:eastAsia="SimSun" w:hAnsi="Times New Roman" w:cs="Times New Roman"/>
          <w:color w:val="000000"/>
          <w:lang w:eastAsia="ar-SA"/>
        </w:rPr>
        <w:t>imatinibu</w:t>
      </w:r>
      <w:proofErr w:type="spellEnd"/>
      <w:r w:rsidRPr="00975CA4">
        <w:rPr>
          <w:rFonts w:ascii="Times New Roman" w:eastAsia="SimSun" w:hAnsi="Times New Roman" w:cs="Times New Roman"/>
          <w:color w:val="000000"/>
          <w:lang w:eastAsia="ar-SA"/>
        </w:rPr>
        <w:t xml:space="preserve"> gydyt</w:t>
      </w:r>
      <w:r w:rsidR="00BC60CD" w:rsidRPr="00975CA4">
        <w:rPr>
          <w:rFonts w:ascii="Times New Roman" w:eastAsia="SimSun" w:hAnsi="Times New Roman" w:cs="Times New Roman"/>
          <w:color w:val="000000"/>
          <w:lang w:eastAsia="ar-SA"/>
        </w:rPr>
        <w:t>ais</w:t>
      </w:r>
      <w:r w:rsidRPr="00975CA4">
        <w:rPr>
          <w:rFonts w:ascii="Times New Roman" w:eastAsia="SimSun" w:hAnsi="Times New Roman" w:cs="Times New Roman"/>
          <w:color w:val="000000"/>
          <w:lang w:eastAsia="ar-SA"/>
        </w:rPr>
        <w:t xml:space="preserve"> pacienta</w:t>
      </w:r>
      <w:r w:rsidR="00BC60CD" w:rsidRPr="00975CA4">
        <w:rPr>
          <w:rFonts w:ascii="Times New Roman" w:eastAsia="SimSun" w:hAnsi="Times New Roman" w:cs="Times New Roman"/>
          <w:color w:val="000000"/>
          <w:lang w:eastAsia="ar-SA"/>
        </w:rPr>
        <w:t>i</w:t>
      </w:r>
      <w:r w:rsidRPr="00975CA4">
        <w:rPr>
          <w:rFonts w:ascii="Times New Roman" w:eastAsia="SimSun" w:hAnsi="Times New Roman" w:cs="Times New Roman"/>
          <w:color w:val="000000"/>
          <w:lang w:eastAsia="ar-SA"/>
        </w:rPr>
        <w:t>s.</w:t>
      </w:r>
    </w:p>
    <w:p w14:paraId="5D4E3BC5" w14:textId="77777777" w:rsidR="00166F1B" w:rsidRPr="00975CA4" w:rsidRDefault="00166F1B" w:rsidP="00166F1B">
      <w:pPr>
        <w:widowControl w:val="0"/>
        <w:tabs>
          <w:tab w:val="left" w:pos="567"/>
        </w:tabs>
        <w:suppressAutoHyphens/>
        <w:spacing w:after="0" w:line="240" w:lineRule="auto"/>
        <w:rPr>
          <w:rFonts w:ascii="Times New Roman" w:eastAsia="SimSun" w:hAnsi="Times New Roman" w:cs="Times New Roman"/>
          <w:i/>
          <w:iCs/>
          <w:color w:val="000000"/>
          <w:lang w:eastAsia="ar-SA"/>
        </w:rPr>
      </w:pPr>
    </w:p>
    <w:p w14:paraId="1D57E81C" w14:textId="77777777" w:rsidR="00166F1B" w:rsidRPr="00975CA4" w:rsidRDefault="00166F1B" w:rsidP="00166F1B">
      <w:pPr>
        <w:widowControl w:val="0"/>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975CA4">
        <w:rPr>
          <w:rFonts w:ascii="Times New Roman" w:eastAsia="SimSun" w:hAnsi="Times New Roman" w:cs="Times New Roman"/>
          <w:b/>
          <w:iCs/>
          <w:color w:val="000000"/>
          <w:lang w:eastAsia="ar-SA"/>
        </w:rPr>
        <w:t xml:space="preserve">2 pav. MMR dažniai laikui bėgant visų III fazės tyrimui </w:t>
      </w:r>
      <w:proofErr w:type="spellStart"/>
      <w:r w:rsidRPr="00975CA4">
        <w:rPr>
          <w:rFonts w:ascii="Times New Roman" w:eastAsia="SimSun" w:hAnsi="Times New Roman" w:cs="Times New Roman"/>
          <w:b/>
          <w:iCs/>
          <w:color w:val="000000"/>
          <w:lang w:eastAsia="ar-SA"/>
        </w:rPr>
        <w:t>randomizuotų</w:t>
      </w:r>
      <w:proofErr w:type="spellEnd"/>
      <w:r w:rsidRPr="00975CA4">
        <w:rPr>
          <w:rFonts w:ascii="Times New Roman" w:eastAsia="SimSun" w:hAnsi="Times New Roman" w:cs="Times New Roman"/>
          <w:b/>
          <w:iCs/>
          <w:color w:val="000000"/>
          <w:lang w:eastAsia="ar-SA"/>
        </w:rPr>
        <w:t xml:space="preserve"> pacientų, sirgusių naujai diagnozuota lėtinės fazės LML, duomenimis</w:t>
      </w:r>
    </w:p>
    <w:p w14:paraId="50703118" w14:textId="77777777" w:rsidR="00166F1B" w:rsidRPr="00975CA4" w:rsidRDefault="00166F1B" w:rsidP="003A0B67">
      <w:pPr>
        <w:rPr>
          <w:rFonts w:ascii="Times New Roman" w:eastAsia="Calibri" w:hAnsi="Times New Roman" w:cs="Times New Roman"/>
          <w:lang w:eastAsia="ar-SA"/>
        </w:rPr>
      </w:pPr>
    </w:p>
    <w:p w14:paraId="7B184506" w14:textId="77777777" w:rsidR="0062175B" w:rsidRPr="00975CA4"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hAnsi="Times New Roman" w:cs="Times New Roman"/>
          <w:noProof/>
          <w:lang w:eastAsia="lt-LT"/>
        </w:rPr>
        <w:drawing>
          <wp:anchor distT="0" distB="0" distL="114300" distR="114300" simplePos="0" relativeHeight="251658240" behindDoc="0" locked="0" layoutInCell="1" allowOverlap="1" wp14:anchorId="7B5B42B8" wp14:editId="771B7CB5">
            <wp:simplePos x="0" y="0"/>
            <wp:positionH relativeFrom="column">
              <wp:posOffset>-1905</wp:posOffset>
            </wp:positionH>
            <wp:positionV relativeFrom="paragraph">
              <wp:posOffset>108585</wp:posOffset>
            </wp:positionV>
            <wp:extent cx="5915025" cy="3656965"/>
            <wp:effectExtent l="0" t="0" r="9525"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15025" cy="3656965"/>
                    </a:xfrm>
                    <a:prstGeom prst="rect">
                      <a:avLst/>
                    </a:prstGeom>
                  </pic:spPr>
                </pic:pic>
              </a:graphicData>
            </a:graphic>
            <wp14:sizeRelH relativeFrom="margin">
              <wp14:pctWidth>0</wp14:pctWidth>
            </wp14:sizeRelH>
            <wp14:sizeRelV relativeFrom="margin">
              <wp14:pctHeight>0</wp14:pctHeight>
            </wp14:sizeRelV>
          </wp:anchor>
        </w:drawing>
      </w:r>
    </w:p>
    <w:p w14:paraId="6D1CF92E" w14:textId="6CD5498D" w:rsidR="0062175B" w:rsidRPr="00975CA4"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Bet kuriuo laiku BCR-ABL santykį ≤</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0,01</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(4</w:t>
      </w:r>
      <w:r w:rsidR="001773E9" w:rsidRPr="00975CA4">
        <w:rPr>
          <w:rFonts w:ascii="Times New Roman" w:eastAsia="SimSun" w:hAnsi="Times New Roman" w:cs="Times New Roman"/>
          <w:iCs/>
          <w:color w:val="000000"/>
          <w:lang w:eastAsia="ar-SA"/>
        </w:rPr>
        <w:t> </w:t>
      </w:r>
      <w:proofErr w:type="spellStart"/>
      <w:r w:rsidRPr="00975CA4">
        <w:rPr>
          <w:rFonts w:ascii="Times New Roman" w:eastAsia="SimSun" w:hAnsi="Times New Roman" w:cs="Times New Roman"/>
          <w:iCs/>
          <w:color w:val="000000"/>
          <w:lang w:eastAsia="ar-SA"/>
        </w:rPr>
        <w:t>log</w:t>
      </w:r>
      <w:proofErr w:type="spellEnd"/>
      <w:r w:rsidRPr="00975CA4">
        <w:rPr>
          <w:rFonts w:ascii="Times New Roman" w:eastAsia="SimSun" w:hAnsi="Times New Roman" w:cs="Times New Roman"/>
          <w:iCs/>
          <w:color w:val="000000"/>
          <w:lang w:eastAsia="ar-SA"/>
        </w:rPr>
        <w:t xml:space="preserve"> sumažėjimą) pasiekusių pacientų dalis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grupėje buvo didesnė, palyginti su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grupe (54,</w:t>
      </w:r>
      <w:r w:rsidR="00995BA4" w:rsidRPr="00975CA4">
        <w:rPr>
          <w:rFonts w:ascii="Times New Roman" w:eastAsia="SimSun" w:hAnsi="Times New Roman" w:cs="Times New Roman"/>
          <w:iCs/>
          <w:color w:val="000000"/>
          <w:lang w:eastAsia="ar-SA"/>
        </w:rPr>
        <w:t>1 </w:t>
      </w:r>
      <w:r w:rsidRPr="00975CA4">
        <w:rPr>
          <w:rFonts w:ascii="Times New Roman" w:eastAsia="SimSun" w:hAnsi="Times New Roman" w:cs="Times New Roman"/>
          <w:iCs/>
          <w:color w:val="000000"/>
          <w:lang w:eastAsia="ar-SA"/>
        </w:rPr>
        <w:t>% plg. su 45</w:t>
      </w:r>
      <w:r w:rsidR="00995BA4"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Bet kuriuo laiku BCR-ABL santykį ≤</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0,0032</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(4,5</w:t>
      </w:r>
      <w:r w:rsidR="001773E9" w:rsidRPr="00975CA4">
        <w:rPr>
          <w:rFonts w:ascii="Times New Roman" w:eastAsia="SimSun" w:hAnsi="Times New Roman" w:cs="Times New Roman"/>
          <w:iCs/>
          <w:color w:val="000000"/>
          <w:lang w:eastAsia="ar-SA"/>
        </w:rPr>
        <w:t> </w:t>
      </w:r>
      <w:proofErr w:type="spellStart"/>
      <w:r w:rsidRPr="00975CA4">
        <w:rPr>
          <w:rFonts w:ascii="Times New Roman" w:eastAsia="SimSun" w:hAnsi="Times New Roman" w:cs="Times New Roman"/>
          <w:iCs/>
          <w:color w:val="000000"/>
          <w:lang w:eastAsia="ar-SA"/>
        </w:rPr>
        <w:t>log</w:t>
      </w:r>
      <w:proofErr w:type="spellEnd"/>
      <w:r w:rsidRPr="00975CA4">
        <w:rPr>
          <w:rFonts w:ascii="Times New Roman" w:eastAsia="SimSun" w:hAnsi="Times New Roman" w:cs="Times New Roman"/>
          <w:iCs/>
          <w:color w:val="000000"/>
          <w:lang w:eastAsia="ar-SA"/>
        </w:rPr>
        <w:t xml:space="preserve"> sumažėjimą) pasiekusių pacientų dalis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grupėje buvo didesnė, </w:t>
      </w:r>
      <w:r w:rsidRPr="00975CA4">
        <w:rPr>
          <w:rFonts w:ascii="Times New Roman" w:eastAsia="SimSun" w:hAnsi="Times New Roman" w:cs="Times New Roman"/>
          <w:iCs/>
          <w:color w:val="000000"/>
          <w:lang w:eastAsia="ar-SA"/>
        </w:rPr>
        <w:lastRenderedPageBreak/>
        <w:t xml:space="preserve">palyginti su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grupe (44</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plg. su 34</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p>
    <w:p w14:paraId="0B90393F" w14:textId="77777777" w:rsidR="0062175B" w:rsidRPr="00975CA4"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6F0F024" w14:textId="4D7392CB" w:rsidR="0062175B" w:rsidRPr="00975CA4"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MR4,5 dažniai laikui bėgant grafiškai pavaizduoti 3 paveiksle. </w:t>
      </w:r>
      <w:proofErr w:type="spellStart"/>
      <w:r w:rsidRPr="00975CA4">
        <w:rPr>
          <w:rFonts w:ascii="Times New Roman" w:eastAsia="SimSun" w:hAnsi="Times New Roman" w:cs="Times New Roman"/>
          <w:iCs/>
          <w:color w:val="000000"/>
          <w:lang w:eastAsia="ar-SA"/>
        </w:rPr>
        <w:t>Dazatinibu</w:t>
      </w:r>
      <w:proofErr w:type="spellEnd"/>
      <w:r w:rsidRPr="00975CA4">
        <w:rPr>
          <w:rFonts w:ascii="Times New Roman" w:eastAsia="SimSun" w:hAnsi="Times New Roman" w:cs="Times New Roman"/>
          <w:iCs/>
          <w:color w:val="000000"/>
          <w:lang w:eastAsia="ar-SA"/>
        </w:rPr>
        <w:t xml:space="preserve"> gydytiems pacientams MR4,5 dažniai laikui bėgant buvo </w:t>
      </w:r>
      <w:r w:rsidR="00CA0C33" w:rsidRPr="00975CA4">
        <w:rPr>
          <w:rFonts w:ascii="Times New Roman" w:eastAsia="SimSun" w:hAnsi="Times New Roman" w:cs="Times New Roman"/>
          <w:iCs/>
          <w:color w:val="000000"/>
          <w:lang w:eastAsia="ar-SA"/>
        </w:rPr>
        <w:t xml:space="preserve">nuolat </w:t>
      </w:r>
      <w:r w:rsidRPr="00975CA4">
        <w:rPr>
          <w:rFonts w:ascii="Times New Roman" w:eastAsia="SimSun" w:hAnsi="Times New Roman" w:cs="Times New Roman"/>
          <w:iCs/>
          <w:color w:val="000000"/>
          <w:lang w:eastAsia="ar-SA"/>
        </w:rPr>
        <w:t xml:space="preserve">didesni, palyginti su </w:t>
      </w:r>
      <w:proofErr w:type="spellStart"/>
      <w:r w:rsidRPr="00975CA4">
        <w:rPr>
          <w:rFonts w:ascii="Times New Roman" w:eastAsia="SimSun" w:hAnsi="Times New Roman" w:cs="Times New Roman"/>
          <w:iCs/>
          <w:color w:val="000000"/>
          <w:lang w:eastAsia="ar-SA"/>
        </w:rPr>
        <w:t>imatinibu</w:t>
      </w:r>
      <w:proofErr w:type="spellEnd"/>
      <w:r w:rsidRPr="00975CA4">
        <w:rPr>
          <w:rFonts w:ascii="Times New Roman" w:eastAsia="SimSun" w:hAnsi="Times New Roman" w:cs="Times New Roman"/>
          <w:iCs/>
          <w:color w:val="000000"/>
          <w:lang w:eastAsia="ar-SA"/>
        </w:rPr>
        <w:t xml:space="preserve"> gydytais pacientais.</w:t>
      </w:r>
    </w:p>
    <w:p w14:paraId="54396F24" w14:textId="77777777" w:rsidR="0062175B" w:rsidRPr="00975CA4"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A699EA8" w14:textId="77777777" w:rsidR="0062175B" w:rsidRPr="00975CA4" w:rsidRDefault="0062175B" w:rsidP="00733FA1">
      <w:pPr>
        <w:widowControl w:val="0"/>
        <w:tabs>
          <w:tab w:val="left" w:pos="567"/>
        </w:tabs>
        <w:suppressAutoHyphens/>
        <w:spacing w:after="0" w:line="240" w:lineRule="auto"/>
        <w:ind w:left="567" w:hanging="567"/>
        <w:rPr>
          <w:rFonts w:ascii="Times New Roman" w:eastAsia="SimSun" w:hAnsi="Times New Roman" w:cs="Times New Roman"/>
          <w:iCs/>
          <w:color w:val="000000"/>
          <w:lang w:eastAsia="ar-SA"/>
        </w:rPr>
      </w:pPr>
      <w:r w:rsidRPr="00975CA4">
        <w:rPr>
          <w:rFonts w:ascii="Times New Roman" w:eastAsia="SimSun" w:hAnsi="Times New Roman" w:cs="Times New Roman"/>
          <w:b/>
          <w:iCs/>
          <w:color w:val="000000"/>
          <w:lang w:eastAsia="ar-SA"/>
        </w:rPr>
        <w:t xml:space="preserve">3 pav. MR4,5 dažniai laikui bėgant visų III fazės tyrimui </w:t>
      </w:r>
      <w:proofErr w:type="spellStart"/>
      <w:r w:rsidRPr="00975CA4">
        <w:rPr>
          <w:rFonts w:ascii="Times New Roman" w:eastAsia="SimSun" w:hAnsi="Times New Roman" w:cs="Times New Roman"/>
          <w:b/>
          <w:iCs/>
          <w:color w:val="000000"/>
          <w:lang w:eastAsia="ar-SA"/>
        </w:rPr>
        <w:t>randomizuotų</w:t>
      </w:r>
      <w:proofErr w:type="spellEnd"/>
      <w:r w:rsidRPr="00975CA4">
        <w:rPr>
          <w:rFonts w:ascii="Times New Roman" w:eastAsia="SimSun" w:hAnsi="Times New Roman" w:cs="Times New Roman"/>
          <w:b/>
          <w:iCs/>
          <w:color w:val="000000"/>
          <w:lang w:eastAsia="ar-SA"/>
        </w:rPr>
        <w:t xml:space="preserve"> pacientų, sirgusių naujai diagnozuota lėtinės fazės LML, duomenimis</w:t>
      </w:r>
    </w:p>
    <w:p w14:paraId="00F86010" w14:textId="77777777" w:rsidR="0062175B" w:rsidRPr="00975CA4" w:rsidRDefault="0062175B"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389EECC" w14:textId="77777777" w:rsidR="003C65E1" w:rsidRPr="00975CA4" w:rsidRDefault="003C65E1"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hAnsi="Times New Roman" w:cs="Times New Roman"/>
          <w:noProof/>
          <w:lang w:eastAsia="lt-LT"/>
        </w:rPr>
        <w:drawing>
          <wp:inline distT="0" distB="0" distL="0" distR="0" wp14:anchorId="748C334C" wp14:editId="4198DB14">
            <wp:extent cx="6067425" cy="37007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79085" cy="3707849"/>
                    </a:xfrm>
                    <a:prstGeom prst="rect">
                      <a:avLst/>
                    </a:prstGeom>
                  </pic:spPr>
                </pic:pic>
              </a:graphicData>
            </a:graphic>
          </wp:inline>
        </w:drawing>
      </w:r>
    </w:p>
    <w:p w14:paraId="6D9AEFA9" w14:textId="77777777" w:rsidR="003C65E1" w:rsidRPr="00975CA4" w:rsidRDefault="003C65E1" w:rsidP="0062175B">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BE90CBF" w14:textId="3C9E8DDA" w:rsidR="003C65E1" w:rsidRPr="00975CA4" w:rsidRDefault="003C65E1" w:rsidP="003C65E1">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Visų rizikos grupių MMR dažnis kiekvienoje rizikos grupėje, nustatytoje pagal </w:t>
      </w:r>
      <w:proofErr w:type="spellStart"/>
      <w:r w:rsidRPr="00975CA4">
        <w:rPr>
          <w:rFonts w:ascii="Times New Roman" w:eastAsia="SimSun" w:hAnsi="Times New Roman" w:cs="Times New Roman"/>
          <w:i/>
          <w:iCs/>
          <w:color w:val="000000"/>
          <w:lang w:eastAsia="ar-SA"/>
        </w:rPr>
        <w:t>Hasford</w:t>
      </w:r>
      <w:proofErr w:type="spellEnd"/>
      <w:r w:rsidRPr="00975CA4">
        <w:rPr>
          <w:rFonts w:ascii="Times New Roman" w:eastAsia="SimSun" w:hAnsi="Times New Roman" w:cs="Times New Roman"/>
          <w:iCs/>
          <w:color w:val="000000"/>
          <w:lang w:eastAsia="ar-SA"/>
        </w:rPr>
        <w:t xml:space="preserve"> skalės balus, bet kuriuo laiku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grupėje buvo didesnis, palyginti su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grupe (</w:t>
      </w:r>
      <w:r w:rsidR="003E3A23" w:rsidRPr="00975CA4">
        <w:rPr>
          <w:rFonts w:ascii="Times New Roman" w:eastAsia="SimSun" w:hAnsi="Times New Roman" w:cs="Times New Roman"/>
          <w:iCs/>
          <w:color w:val="000000"/>
          <w:lang w:eastAsia="ar-SA"/>
        </w:rPr>
        <w:t xml:space="preserve">atitinkamai </w:t>
      </w:r>
      <w:r w:rsidRPr="00975CA4">
        <w:rPr>
          <w:rFonts w:ascii="Times New Roman" w:eastAsia="SimSun" w:hAnsi="Times New Roman" w:cs="Times New Roman"/>
          <w:iCs/>
          <w:color w:val="000000"/>
          <w:lang w:eastAsia="ar-SA"/>
        </w:rPr>
        <w:t>mažos rizikos pacientų – 90</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ir 69</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vidutinės rizikos – 71</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ir 65</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didelės rizikos –</w:t>
      </w:r>
      <w:r w:rsidR="009D33C2" w:rsidRPr="00975CA4">
        <w:rPr>
          <w:rFonts w:ascii="Times New Roman" w:eastAsia="SimSun" w:hAnsi="Times New Roman" w:cs="Times New Roman"/>
          <w:iCs/>
          <w:color w:val="000000"/>
          <w:lang w:eastAsia="ar-SA"/>
        </w:rPr>
        <w:t xml:space="preserve"> </w:t>
      </w:r>
      <w:r w:rsidRPr="00975CA4">
        <w:rPr>
          <w:rFonts w:ascii="Times New Roman" w:eastAsia="SimSun" w:hAnsi="Times New Roman" w:cs="Times New Roman"/>
          <w:iCs/>
          <w:color w:val="000000"/>
          <w:lang w:eastAsia="ar-SA"/>
        </w:rPr>
        <w:t>67</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ir 54</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p>
    <w:p w14:paraId="669ADA05" w14:textId="77777777" w:rsidR="003C65E1" w:rsidRPr="00975CA4" w:rsidRDefault="003C65E1" w:rsidP="003C65E1">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DAADB8A" w14:textId="63E4E230" w:rsidR="003C65E1" w:rsidRPr="00975CA4" w:rsidRDefault="003C65E1" w:rsidP="003C65E1">
      <w:pPr>
        <w:widowControl w:val="0"/>
        <w:tabs>
          <w:tab w:val="left" w:pos="567"/>
        </w:tabs>
        <w:suppressAutoHyphens/>
        <w:spacing w:after="0" w:line="240" w:lineRule="auto"/>
        <w:rPr>
          <w:rFonts w:ascii="Times New Roman" w:eastAsia="SimSun" w:hAnsi="Times New Roman" w:cs="Times New Roman"/>
          <w:bCs/>
          <w:color w:val="000000"/>
          <w:lang w:eastAsia="ar-SA"/>
        </w:rPr>
      </w:pPr>
      <w:r w:rsidRPr="00975CA4">
        <w:rPr>
          <w:rFonts w:ascii="Times New Roman" w:eastAsia="SimSun" w:hAnsi="Times New Roman" w:cs="Times New Roman"/>
          <w:iCs/>
          <w:color w:val="000000"/>
          <w:lang w:eastAsia="ar-SA"/>
        </w:rPr>
        <w:t>Papildoma analizė parodė, kad ankstyvą molekulinį atsaką, apibūdinamą kaip BCR-ABL kiekis ≤</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10</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po 3</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mėn., pasiekė daugiau </w:t>
      </w:r>
      <w:proofErr w:type="spellStart"/>
      <w:r w:rsidRPr="00975CA4">
        <w:rPr>
          <w:rFonts w:ascii="Times New Roman" w:eastAsia="SimSun" w:hAnsi="Times New Roman" w:cs="Times New Roman"/>
          <w:iCs/>
          <w:color w:val="000000"/>
          <w:lang w:eastAsia="ar-SA"/>
        </w:rPr>
        <w:t>dazatinibu</w:t>
      </w:r>
      <w:proofErr w:type="spellEnd"/>
      <w:r w:rsidRPr="00975CA4">
        <w:rPr>
          <w:rFonts w:ascii="Times New Roman" w:eastAsia="SimSun" w:hAnsi="Times New Roman" w:cs="Times New Roman"/>
          <w:iCs/>
          <w:color w:val="000000"/>
          <w:lang w:eastAsia="ar-SA"/>
        </w:rPr>
        <w:t xml:space="preserve"> gydytų pacientų (84</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palyginti su </w:t>
      </w:r>
      <w:proofErr w:type="spellStart"/>
      <w:r w:rsidRPr="00975CA4">
        <w:rPr>
          <w:rFonts w:ascii="Times New Roman" w:eastAsia="SimSun" w:hAnsi="Times New Roman" w:cs="Times New Roman"/>
          <w:iCs/>
          <w:color w:val="000000"/>
          <w:lang w:eastAsia="ar-SA"/>
        </w:rPr>
        <w:t>imatinibu</w:t>
      </w:r>
      <w:proofErr w:type="spellEnd"/>
      <w:r w:rsidRPr="00975CA4">
        <w:rPr>
          <w:rFonts w:ascii="Times New Roman" w:eastAsia="SimSun" w:hAnsi="Times New Roman" w:cs="Times New Roman"/>
          <w:iCs/>
          <w:color w:val="000000"/>
          <w:lang w:eastAsia="ar-SA"/>
        </w:rPr>
        <w:t xml:space="preserve"> gydytais pacientais (64</w:t>
      </w:r>
      <w:r w:rsidR="001773E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Ankstyvą molekulinį atsaką pasiekusiems pacientams nustatyta mažesnė transformacijos rizika, didesnis išgyvenimo be ligos progresavimo rodiklis, didesnis bendro išgyvenimo (OS) rodiklis, kaip parodyta </w:t>
      </w:r>
      <w:r w:rsidRPr="00975CA4">
        <w:rPr>
          <w:rFonts w:ascii="Times New Roman" w:eastAsia="SimSun" w:hAnsi="Times New Roman" w:cs="Times New Roman"/>
          <w:bCs/>
          <w:color w:val="000000"/>
          <w:lang w:eastAsia="ar-SA"/>
        </w:rPr>
        <w:t>10 lentelėje.</w:t>
      </w:r>
    </w:p>
    <w:p w14:paraId="7EB52248" w14:textId="77777777" w:rsidR="003C65E1" w:rsidRPr="00975CA4" w:rsidRDefault="003C65E1" w:rsidP="003C65E1">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5F12C9B" w14:textId="31BC4BBD" w:rsidR="003C65E1" w:rsidRPr="00975CA4" w:rsidRDefault="003C65E1" w:rsidP="003C65E1">
      <w:pPr>
        <w:widowControl w:val="0"/>
        <w:tabs>
          <w:tab w:val="left" w:pos="567"/>
        </w:tabs>
        <w:suppressAutoHyphens/>
        <w:spacing w:after="0" w:line="240" w:lineRule="auto"/>
        <w:rPr>
          <w:rFonts w:ascii="Times New Roman" w:eastAsia="Calibri" w:hAnsi="Times New Roman" w:cs="Times New Roman"/>
          <w:b/>
          <w:bCs/>
          <w:color w:val="000000"/>
          <w:position w:val="-9"/>
          <w:lang w:eastAsia="ar-SA"/>
        </w:rPr>
      </w:pPr>
      <w:r w:rsidRPr="00975CA4">
        <w:rPr>
          <w:rFonts w:ascii="Times New Roman" w:eastAsia="SimSun" w:hAnsi="Times New Roman" w:cs="Times New Roman"/>
          <w:b/>
          <w:iCs/>
          <w:color w:val="000000"/>
          <w:lang w:eastAsia="ar-SA"/>
        </w:rPr>
        <w:t xml:space="preserve">10 lentelė. </w:t>
      </w:r>
      <w:proofErr w:type="spellStart"/>
      <w:r w:rsidRPr="00975CA4">
        <w:rPr>
          <w:rFonts w:ascii="Times New Roman" w:eastAsia="SimSun" w:hAnsi="Times New Roman" w:cs="Times New Roman"/>
          <w:b/>
          <w:iCs/>
          <w:color w:val="000000"/>
          <w:lang w:eastAsia="ar-SA"/>
        </w:rPr>
        <w:t>Dazatinibo</w:t>
      </w:r>
      <w:proofErr w:type="spellEnd"/>
      <w:r w:rsidRPr="00975CA4">
        <w:rPr>
          <w:rFonts w:ascii="Times New Roman" w:eastAsia="SimSun" w:hAnsi="Times New Roman" w:cs="Times New Roman"/>
          <w:b/>
          <w:iCs/>
          <w:color w:val="000000"/>
          <w:lang w:eastAsia="ar-SA"/>
        </w:rPr>
        <w:t xml:space="preserve"> vartoję pacientai, kurių BCR-ABL po 3</w:t>
      </w:r>
      <w:r w:rsidR="003E3A23" w:rsidRPr="00975CA4">
        <w:rPr>
          <w:rFonts w:ascii="Times New Roman" w:eastAsia="SimSun" w:hAnsi="Times New Roman" w:cs="Times New Roman"/>
          <w:b/>
          <w:iCs/>
          <w:color w:val="000000"/>
          <w:lang w:eastAsia="ar-SA"/>
        </w:rPr>
        <w:t> </w:t>
      </w:r>
      <w:r w:rsidRPr="00975CA4">
        <w:rPr>
          <w:rFonts w:ascii="Times New Roman" w:eastAsia="SimSun" w:hAnsi="Times New Roman" w:cs="Times New Roman"/>
          <w:b/>
          <w:iCs/>
          <w:color w:val="000000"/>
          <w:lang w:eastAsia="ar-SA"/>
        </w:rPr>
        <w:t>mėn. buvo ≤</w:t>
      </w:r>
      <w:r w:rsidR="003E3A23" w:rsidRPr="00975CA4">
        <w:rPr>
          <w:rFonts w:ascii="Times New Roman" w:eastAsia="SimSun" w:hAnsi="Times New Roman" w:cs="Times New Roman"/>
          <w:b/>
          <w:iCs/>
          <w:color w:val="000000"/>
          <w:lang w:eastAsia="ar-SA"/>
        </w:rPr>
        <w:t> </w:t>
      </w:r>
      <w:r w:rsidRPr="00975CA4">
        <w:rPr>
          <w:rFonts w:ascii="Times New Roman" w:eastAsia="SimSun" w:hAnsi="Times New Roman" w:cs="Times New Roman"/>
          <w:b/>
          <w:iCs/>
          <w:color w:val="000000"/>
          <w:lang w:eastAsia="ar-SA"/>
        </w:rPr>
        <w:t>10</w:t>
      </w:r>
      <w:r w:rsidR="003E3A23" w:rsidRPr="00975CA4">
        <w:rPr>
          <w:rFonts w:ascii="Times New Roman" w:eastAsia="SimSun" w:hAnsi="Times New Roman" w:cs="Times New Roman"/>
          <w:b/>
          <w:iCs/>
          <w:color w:val="000000"/>
          <w:lang w:eastAsia="ar-SA"/>
        </w:rPr>
        <w:t> </w:t>
      </w:r>
      <w:r w:rsidRPr="00975CA4">
        <w:rPr>
          <w:rFonts w:ascii="Times New Roman" w:eastAsia="SimSun" w:hAnsi="Times New Roman" w:cs="Times New Roman"/>
          <w:b/>
          <w:iCs/>
          <w:color w:val="000000"/>
          <w:lang w:eastAsia="ar-SA"/>
        </w:rPr>
        <w:t>% ir &gt;</w:t>
      </w:r>
      <w:r w:rsidR="003E3A23" w:rsidRPr="00975CA4">
        <w:rPr>
          <w:rFonts w:ascii="Times New Roman" w:eastAsia="SimSun" w:hAnsi="Times New Roman" w:cs="Times New Roman"/>
          <w:b/>
          <w:iCs/>
          <w:color w:val="000000"/>
          <w:lang w:eastAsia="ar-SA"/>
        </w:rPr>
        <w:t> </w:t>
      </w:r>
      <w:r w:rsidRPr="00975CA4">
        <w:rPr>
          <w:rFonts w:ascii="Times New Roman" w:eastAsia="SimSun" w:hAnsi="Times New Roman" w:cs="Times New Roman"/>
          <w:b/>
          <w:iCs/>
          <w:color w:val="000000"/>
          <w:lang w:eastAsia="ar-SA"/>
        </w:rPr>
        <w:t>10</w:t>
      </w:r>
      <w:r w:rsidR="003E3A23" w:rsidRPr="00975CA4">
        <w:rPr>
          <w:rFonts w:ascii="Times New Roman" w:eastAsia="SimSun" w:hAnsi="Times New Roman" w:cs="Times New Roman"/>
          <w:b/>
          <w:iCs/>
          <w:color w:val="000000"/>
          <w:lang w:eastAsia="ar-SA"/>
        </w:rPr>
        <w:t> </w:t>
      </w:r>
      <w:r w:rsidRPr="00975CA4">
        <w:rPr>
          <w:rFonts w:ascii="Times New Roman" w:eastAsia="SimSun" w:hAnsi="Times New Roman" w:cs="Times New Roman"/>
          <w:b/>
          <w:iCs/>
          <w:color w:val="000000"/>
          <w:lang w:eastAsia="ar-SA"/>
        </w:rPr>
        <w:t>%</w:t>
      </w:r>
    </w:p>
    <w:p w14:paraId="1048E0F2" w14:textId="77777777" w:rsidR="0062175B" w:rsidRPr="00975CA4" w:rsidRDefault="0062175B" w:rsidP="0062175B">
      <w:pPr>
        <w:rPr>
          <w:rFonts w:ascii="Times New Roman" w:eastAsia="Calibri" w:hAnsi="Times New Roman" w:cs="Times New Roman"/>
          <w:lang w:eastAsia="ar-SA"/>
        </w:rPr>
      </w:pPr>
    </w:p>
    <w:tbl>
      <w:tblPr>
        <w:tblStyle w:val="Lentelstinklelis"/>
        <w:tblW w:w="10070" w:type="dxa"/>
        <w:jc w:val="center"/>
        <w:tblLook w:val="04A0" w:firstRow="1" w:lastRow="0" w:firstColumn="1" w:lastColumn="0" w:noHBand="0" w:noVBand="1"/>
      </w:tblPr>
      <w:tblGrid>
        <w:gridCol w:w="4253"/>
        <w:gridCol w:w="2977"/>
        <w:gridCol w:w="2840"/>
      </w:tblGrid>
      <w:tr w:rsidR="003C65E1" w:rsidRPr="00975CA4" w14:paraId="0D0CE8DF" w14:textId="77777777" w:rsidTr="003C65E1">
        <w:trPr>
          <w:trHeight w:val="567"/>
          <w:jc w:val="center"/>
        </w:trPr>
        <w:tc>
          <w:tcPr>
            <w:tcW w:w="4253" w:type="dxa"/>
            <w:tcBorders>
              <w:top w:val="single" w:sz="4" w:space="0" w:color="000000"/>
              <w:left w:val="single" w:sz="4" w:space="0" w:color="000000"/>
              <w:bottom w:val="single" w:sz="4" w:space="0" w:color="000000"/>
              <w:right w:val="single" w:sz="4" w:space="0" w:color="000000"/>
            </w:tcBorders>
          </w:tcPr>
          <w:p w14:paraId="56EA64F3" w14:textId="77777777" w:rsidR="003C65E1" w:rsidRPr="00975CA4" w:rsidRDefault="003C65E1">
            <w:pPr>
              <w:rPr>
                <w:b/>
                <w:sz w:val="22"/>
                <w:szCs w:val="22"/>
              </w:rPr>
            </w:pPr>
          </w:p>
          <w:p w14:paraId="792FB197" w14:textId="16972FEE" w:rsidR="003C65E1" w:rsidRPr="00975CA4" w:rsidRDefault="003C65E1" w:rsidP="00995BA4">
            <w:pPr>
              <w:rPr>
                <w:sz w:val="22"/>
                <w:szCs w:val="22"/>
              </w:rPr>
            </w:pPr>
            <w:proofErr w:type="spellStart"/>
            <w:r w:rsidRPr="00975CA4">
              <w:rPr>
                <w:b/>
                <w:sz w:val="22"/>
                <w:szCs w:val="22"/>
              </w:rPr>
              <w:t>Dazatinibas</w:t>
            </w:r>
            <w:proofErr w:type="spellEnd"/>
            <w:r w:rsidRPr="00975CA4">
              <w:rPr>
                <w:b/>
                <w:sz w:val="22"/>
                <w:szCs w:val="22"/>
              </w:rPr>
              <w:t xml:space="preserve"> n</w:t>
            </w:r>
            <w:r w:rsidR="00995BA4" w:rsidRPr="00975CA4">
              <w:rPr>
                <w:b/>
                <w:sz w:val="22"/>
                <w:szCs w:val="22"/>
              </w:rPr>
              <w:t> </w:t>
            </w:r>
            <w:r w:rsidRPr="00975CA4">
              <w:rPr>
                <w:b/>
                <w:sz w:val="22"/>
                <w:szCs w:val="22"/>
              </w:rPr>
              <w:t>=</w:t>
            </w:r>
            <w:r w:rsidR="00995BA4" w:rsidRPr="00975CA4">
              <w:rPr>
                <w:b/>
                <w:sz w:val="22"/>
                <w:szCs w:val="22"/>
              </w:rPr>
              <w:t> </w:t>
            </w:r>
            <w:r w:rsidRPr="00975CA4">
              <w:rPr>
                <w:b/>
                <w:sz w:val="22"/>
                <w:szCs w:val="22"/>
              </w:rPr>
              <w:t>235</w:t>
            </w:r>
          </w:p>
        </w:tc>
        <w:tc>
          <w:tcPr>
            <w:tcW w:w="2977" w:type="dxa"/>
            <w:tcBorders>
              <w:top w:val="single" w:sz="4" w:space="0" w:color="000000"/>
              <w:left w:val="single" w:sz="4" w:space="0" w:color="000000"/>
              <w:bottom w:val="single" w:sz="4" w:space="0" w:color="000000"/>
              <w:right w:val="single" w:sz="4" w:space="0" w:color="000000"/>
            </w:tcBorders>
            <w:hideMark/>
          </w:tcPr>
          <w:p w14:paraId="35BCDC9A" w14:textId="17C338A9" w:rsidR="003C65E1" w:rsidRPr="00975CA4" w:rsidRDefault="003C65E1" w:rsidP="00995BA4">
            <w:pPr>
              <w:jc w:val="center"/>
              <w:rPr>
                <w:rFonts w:eastAsia="Times New Roman"/>
                <w:sz w:val="22"/>
                <w:szCs w:val="22"/>
              </w:rPr>
            </w:pPr>
            <w:r w:rsidRPr="00975CA4">
              <w:rPr>
                <w:rFonts w:eastAsia="Times New Roman"/>
                <w:b/>
                <w:bCs/>
                <w:sz w:val="22"/>
                <w:szCs w:val="22"/>
              </w:rPr>
              <w:t>Pacientai, kurių BCR-ABL po 3</w:t>
            </w:r>
            <w:r w:rsidR="00995BA4" w:rsidRPr="00975CA4">
              <w:rPr>
                <w:rFonts w:eastAsia="Times New Roman"/>
                <w:b/>
                <w:bCs/>
                <w:sz w:val="22"/>
                <w:szCs w:val="22"/>
              </w:rPr>
              <w:t> </w:t>
            </w:r>
            <w:r w:rsidRPr="00975CA4">
              <w:rPr>
                <w:rFonts w:eastAsia="Times New Roman"/>
                <w:b/>
                <w:bCs/>
                <w:sz w:val="22"/>
                <w:szCs w:val="22"/>
              </w:rPr>
              <w:t>mėn. buvo ≤</w:t>
            </w:r>
            <w:r w:rsidR="00995BA4" w:rsidRPr="00975CA4">
              <w:rPr>
                <w:rFonts w:eastAsia="Times New Roman"/>
                <w:b/>
                <w:bCs/>
                <w:sz w:val="22"/>
                <w:szCs w:val="22"/>
              </w:rPr>
              <w:t> </w:t>
            </w:r>
            <w:r w:rsidRPr="00975CA4">
              <w:rPr>
                <w:rFonts w:eastAsia="Times New Roman"/>
                <w:b/>
                <w:bCs/>
                <w:sz w:val="22"/>
                <w:szCs w:val="22"/>
              </w:rPr>
              <w:t>10</w:t>
            </w:r>
            <w:r w:rsidR="00995BA4" w:rsidRPr="00975CA4">
              <w:rPr>
                <w:rFonts w:eastAsia="Times New Roman"/>
                <w:b/>
                <w:bCs/>
                <w:sz w:val="22"/>
                <w:szCs w:val="22"/>
              </w:rPr>
              <w:t> </w:t>
            </w:r>
            <w:r w:rsidRPr="00975CA4">
              <w:rPr>
                <w:rFonts w:eastAsia="Times New Roman"/>
                <w:b/>
                <w:bCs/>
                <w:sz w:val="22"/>
                <w:szCs w:val="22"/>
              </w:rPr>
              <w:t>%</w:t>
            </w:r>
          </w:p>
        </w:tc>
        <w:tc>
          <w:tcPr>
            <w:tcW w:w="2840" w:type="dxa"/>
            <w:tcBorders>
              <w:top w:val="single" w:sz="4" w:space="0" w:color="000000"/>
              <w:left w:val="single" w:sz="4" w:space="0" w:color="000000"/>
              <w:bottom w:val="single" w:sz="4" w:space="0" w:color="000000"/>
              <w:right w:val="single" w:sz="4" w:space="0" w:color="000000"/>
            </w:tcBorders>
            <w:hideMark/>
          </w:tcPr>
          <w:p w14:paraId="2967C568" w14:textId="2EE2F2C7" w:rsidR="003C65E1" w:rsidRPr="00975CA4" w:rsidRDefault="003C65E1" w:rsidP="00995BA4">
            <w:pPr>
              <w:jc w:val="center"/>
              <w:rPr>
                <w:rFonts w:eastAsia="Times New Roman"/>
                <w:b/>
                <w:bCs/>
                <w:sz w:val="22"/>
                <w:szCs w:val="22"/>
              </w:rPr>
            </w:pPr>
            <w:r w:rsidRPr="00975CA4">
              <w:rPr>
                <w:rFonts w:eastAsia="Times New Roman"/>
                <w:b/>
                <w:bCs/>
                <w:sz w:val="22"/>
                <w:szCs w:val="22"/>
              </w:rPr>
              <w:t>Pacientai, kurių BCR-ABL po 3</w:t>
            </w:r>
            <w:r w:rsidR="00B544BB" w:rsidRPr="00975CA4">
              <w:rPr>
                <w:rFonts w:eastAsia="Times New Roman"/>
                <w:b/>
                <w:bCs/>
                <w:sz w:val="22"/>
                <w:szCs w:val="22"/>
              </w:rPr>
              <w:t> </w:t>
            </w:r>
            <w:r w:rsidRPr="00975CA4">
              <w:rPr>
                <w:rFonts w:eastAsia="Times New Roman"/>
                <w:b/>
                <w:bCs/>
                <w:sz w:val="22"/>
                <w:szCs w:val="22"/>
              </w:rPr>
              <w:t>mėn. buvo &gt;</w:t>
            </w:r>
            <w:r w:rsidR="00995BA4" w:rsidRPr="00975CA4">
              <w:rPr>
                <w:rFonts w:eastAsia="Times New Roman"/>
                <w:b/>
                <w:bCs/>
                <w:sz w:val="22"/>
                <w:szCs w:val="22"/>
              </w:rPr>
              <w:t> </w:t>
            </w:r>
            <w:r w:rsidRPr="00975CA4">
              <w:rPr>
                <w:rFonts w:eastAsia="Times New Roman"/>
                <w:b/>
                <w:bCs/>
                <w:sz w:val="22"/>
                <w:szCs w:val="22"/>
              </w:rPr>
              <w:t>10</w:t>
            </w:r>
            <w:r w:rsidR="00995BA4" w:rsidRPr="00975CA4">
              <w:rPr>
                <w:rFonts w:eastAsia="Times New Roman"/>
                <w:b/>
                <w:bCs/>
                <w:sz w:val="22"/>
                <w:szCs w:val="22"/>
              </w:rPr>
              <w:t> </w:t>
            </w:r>
            <w:r w:rsidRPr="00975CA4">
              <w:rPr>
                <w:rFonts w:eastAsia="Times New Roman"/>
                <w:b/>
                <w:bCs/>
                <w:sz w:val="22"/>
                <w:szCs w:val="22"/>
              </w:rPr>
              <w:t>%</w:t>
            </w:r>
          </w:p>
        </w:tc>
      </w:tr>
      <w:tr w:rsidR="003C65E1" w:rsidRPr="00975CA4" w14:paraId="1967198A" w14:textId="77777777" w:rsidTr="003C65E1">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434E6E6E" w14:textId="77777777" w:rsidR="003C65E1" w:rsidRPr="00975CA4" w:rsidRDefault="003C65E1">
            <w:pPr>
              <w:rPr>
                <w:sz w:val="22"/>
                <w:szCs w:val="22"/>
              </w:rPr>
            </w:pPr>
            <w:r w:rsidRPr="00975CA4">
              <w:rPr>
                <w:rFonts w:eastAsia="Times New Roman"/>
                <w:sz w:val="22"/>
                <w:szCs w:val="22"/>
              </w:rPr>
              <w:t>Pacientų skaičius (%)</w:t>
            </w:r>
          </w:p>
        </w:tc>
        <w:tc>
          <w:tcPr>
            <w:tcW w:w="2977" w:type="dxa"/>
            <w:tcBorders>
              <w:top w:val="single" w:sz="4" w:space="0" w:color="000000"/>
              <w:left w:val="single" w:sz="4" w:space="0" w:color="000000"/>
              <w:bottom w:val="single" w:sz="4" w:space="0" w:color="000000"/>
              <w:right w:val="single" w:sz="4" w:space="0" w:color="000000"/>
            </w:tcBorders>
            <w:hideMark/>
          </w:tcPr>
          <w:p w14:paraId="32EF4D60" w14:textId="77777777" w:rsidR="003C65E1" w:rsidRPr="00975CA4" w:rsidRDefault="003C65E1">
            <w:pPr>
              <w:jc w:val="center"/>
              <w:rPr>
                <w:sz w:val="22"/>
                <w:szCs w:val="22"/>
              </w:rPr>
            </w:pPr>
            <w:r w:rsidRPr="00975CA4">
              <w:rPr>
                <w:rFonts w:eastAsia="Times New Roman"/>
                <w:sz w:val="22"/>
                <w:szCs w:val="22"/>
              </w:rPr>
              <w:t>198 (84,3)</w:t>
            </w:r>
          </w:p>
        </w:tc>
        <w:tc>
          <w:tcPr>
            <w:tcW w:w="2840" w:type="dxa"/>
            <w:tcBorders>
              <w:top w:val="single" w:sz="4" w:space="0" w:color="000000"/>
              <w:left w:val="single" w:sz="4" w:space="0" w:color="000000"/>
              <w:bottom w:val="single" w:sz="4" w:space="0" w:color="000000"/>
              <w:right w:val="single" w:sz="4" w:space="0" w:color="000000"/>
            </w:tcBorders>
            <w:hideMark/>
          </w:tcPr>
          <w:p w14:paraId="2178266E" w14:textId="77777777" w:rsidR="003C65E1" w:rsidRPr="00975CA4" w:rsidRDefault="003C65E1">
            <w:pPr>
              <w:jc w:val="center"/>
              <w:rPr>
                <w:sz w:val="22"/>
                <w:szCs w:val="22"/>
              </w:rPr>
            </w:pPr>
            <w:r w:rsidRPr="00975CA4">
              <w:rPr>
                <w:rFonts w:eastAsia="Times New Roman"/>
                <w:sz w:val="22"/>
                <w:szCs w:val="22"/>
              </w:rPr>
              <w:t>37 (15,7)</w:t>
            </w:r>
          </w:p>
        </w:tc>
      </w:tr>
      <w:tr w:rsidR="003C65E1" w:rsidRPr="00975CA4" w14:paraId="68FCC282" w14:textId="77777777" w:rsidTr="003C65E1">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234B72DD" w14:textId="53888D84" w:rsidR="003C65E1" w:rsidRPr="00975CA4" w:rsidRDefault="003C65E1">
            <w:pPr>
              <w:ind w:right="-65"/>
              <w:rPr>
                <w:rFonts w:eastAsia="Times New Roman"/>
                <w:sz w:val="22"/>
                <w:szCs w:val="22"/>
              </w:rPr>
            </w:pPr>
            <w:r w:rsidRPr="00975CA4">
              <w:rPr>
                <w:rFonts w:eastAsia="Times New Roman"/>
                <w:sz w:val="22"/>
                <w:szCs w:val="22"/>
              </w:rPr>
              <w:t>Transformacijų skaičius po 60</w:t>
            </w:r>
            <w:r w:rsidR="00995BA4" w:rsidRPr="00975CA4">
              <w:rPr>
                <w:rFonts w:eastAsia="Times New Roman"/>
                <w:sz w:val="22"/>
                <w:szCs w:val="22"/>
              </w:rPr>
              <w:t> </w:t>
            </w:r>
            <w:r w:rsidRPr="00975CA4">
              <w:rPr>
                <w:rFonts w:eastAsia="Times New Roman"/>
                <w:sz w:val="22"/>
                <w:szCs w:val="22"/>
              </w:rPr>
              <w:t>mėn., n/N (%)</w:t>
            </w:r>
          </w:p>
        </w:tc>
        <w:tc>
          <w:tcPr>
            <w:tcW w:w="2977" w:type="dxa"/>
            <w:tcBorders>
              <w:top w:val="single" w:sz="4" w:space="0" w:color="000000"/>
              <w:left w:val="single" w:sz="4" w:space="0" w:color="000000"/>
              <w:bottom w:val="single" w:sz="4" w:space="0" w:color="000000"/>
              <w:right w:val="single" w:sz="4" w:space="0" w:color="000000"/>
            </w:tcBorders>
            <w:hideMark/>
          </w:tcPr>
          <w:p w14:paraId="208256D0" w14:textId="77777777" w:rsidR="003C65E1" w:rsidRPr="00975CA4" w:rsidRDefault="003C65E1">
            <w:pPr>
              <w:jc w:val="center"/>
              <w:rPr>
                <w:sz w:val="22"/>
                <w:szCs w:val="22"/>
              </w:rPr>
            </w:pPr>
            <w:r w:rsidRPr="00975CA4">
              <w:rPr>
                <w:rFonts w:eastAsia="Times New Roman"/>
                <w:sz w:val="22"/>
                <w:szCs w:val="22"/>
              </w:rPr>
              <w:t>6/198 (3,0)</w:t>
            </w:r>
          </w:p>
        </w:tc>
        <w:tc>
          <w:tcPr>
            <w:tcW w:w="2840" w:type="dxa"/>
            <w:tcBorders>
              <w:top w:val="single" w:sz="4" w:space="0" w:color="000000"/>
              <w:left w:val="single" w:sz="4" w:space="0" w:color="000000"/>
              <w:bottom w:val="single" w:sz="4" w:space="0" w:color="000000"/>
              <w:right w:val="single" w:sz="4" w:space="0" w:color="000000"/>
            </w:tcBorders>
            <w:hideMark/>
          </w:tcPr>
          <w:p w14:paraId="43492AD3" w14:textId="77777777" w:rsidR="003C65E1" w:rsidRPr="00975CA4" w:rsidRDefault="003C65E1">
            <w:pPr>
              <w:jc w:val="center"/>
              <w:rPr>
                <w:sz w:val="22"/>
                <w:szCs w:val="22"/>
              </w:rPr>
            </w:pPr>
            <w:r w:rsidRPr="00975CA4">
              <w:rPr>
                <w:rFonts w:eastAsia="Times New Roman"/>
                <w:sz w:val="22"/>
                <w:szCs w:val="22"/>
              </w:rPr>
              <w:t>5/37 (13,5)</w:t>
            </w:r>
          </w:p>
        </w:tc>
      </w:tr>
      <w:tr w:rsidR="003C65E1" w:rsidRPr="00975CA4" w14:paraId="29AB460D" w14:textId="77777777" w:rsidTr="003C65E1">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43BED79C" w14:textId="66A5F624" w:rsidR="003C65E1" w:rsidRPr="00975CA4" w:rsidRDefault="003C65E1">
            <w:pPr>
              <w:rPr>
                <w:rFonts w:eastAsia="Times New Roman"/>
                <w:sz w:val="22"/>
                <w:szCs w:val="22"/>
              </w:rPr>
            </w:pPr>
            <w:r w:rsidRPr="00975CA4">
              <w:rPr>
                <w:rFonts w:eastAsia="Times New Roman"/>
                <w:sz w:val="22"/>
                <w:szCs w:val="22"/>
              </w:rPr>
              <w:t>PFS rodiklis (95</w:t>
            </w:r>
            <w:r w:rsidR="006E28EE" w:rsidRPr="00975CA4">
              <w:rPr>
                <w:rFonts w:eastAsia="Times New Roman"/>
                <w:sz w:val="22"/>
                <w:szCs w:val="22"/>
              </w:rPr>
              <w:t> </w:t>
            </w:r>
            <w:r w:rsidRPr="00975CA4">
              <w:rPr>
                <w:rFonts w:eastAsia="Times New Roman"/>
                <w:sz w:val="22"/>
                <w:szCs w:val="22"/>
              </w:rPr>
              <w:t xml:space="preserve">% </w:t>
            </w:r>
            <w:r w:rsidR="00B544BB" w:rsidRPr="00975CA4">
              <w:rPr>
                <w:rFonts w:eastAsia="Times New Roman"/>
                <w:sz w:val="22"/>
                <w:szCs w:val="22"/>
              </w:rPr>
              <w:t>P</w:t>
            </w:r>
            <w:r w:rsidRPr="00975CA4">
              <w:rPr>
                <w:rFonts w:eastAsia="Times New Roman"/>
                <w:sz w:val="22"/>
                <w:szCs w:val="22"/>
              </w:rPr>
              <w:t>I) po 60</w:t>
            </w:r>
            <w:r w:rsidR="006E28EE" w:rsidRPr="00975CA4">
              <w:rPr>
                <w:rFonts w:eastAsia="Times New Roman"/>
                <w:sz w:val="22"/>
                <w:szCs w:val="22"/>
              </w:rPr>
              <w:t> </w:t>
            </w:r>
            <w:r w:rsidRPr="00975CA4">
              <w:rPr>
                <w:rFonts w:eastAsia="Times New Roman"/>
                <w:sz w:val="22"/>
                <w:szCs w:val="22"/>
              </w:rPr>
              <w:t>mėn.</w:t>
            </w:r>
          </w:p>
        </w:tc>
        <w:tc>
          <w:tcPr>
            <w:tcW w:w="2977" w:type="dxa"/>
            <w:tcBorders>
              <w:top w:val="single" w:sz="4" w:space="0" w:color="000000"/>
              <w:left w:val="single" w:sz="4" w:space="0" w:color="000000"/>
              <w:bottom w:val="single" w:sz="4" w:space="0" w:color="000000"/>
              <w:right w:val="single" w:sz="4" w:space="0" w:color="000000"/>
            </w:tcBorders>
            <w:hideMark/>
          </w:tcPr>
          <w:p w14:paraId="0B62421C" w14:textId="77777777" w:rsidR="003C65E1" w:rsidRPr="00975CA4" w:rsidRDefault="003C65E1">
            <w:pPr>
              <w:jc w:val="center"/>
              <w:rPr>
                <w:sz w:val="22"/>
                <w:szCs w:val="22"/>
              </w:rPr>
            </w:pPr>
            <w:r w:rsidRPr="00975CA4">
              <w:rPr>
                <w:rFonts w:eastAsia="Times New Roman"/>
                <w:sz w:val="22"/>
                <w:szCs w:val="22"/>
              </w:rPr>
              <w:t>92,0</w:t>
            </w:r>
            <w:r w:rsidR="00B544BB" w:rsidRPr="00975CA4">
              <w:rPr>
                <w:rFonts w:eastAsia="Times New Roman"/>
                <w:sz w:val="22"/>
                <w:szCs w:val="22"/>
              </w:rPr>
              <w:t> </w:t>
            </w:r>
            <w:r w:rsidRPr="00975CA4">
              <w:rPr>
                <w:rFonts w:eastAsia="Times New Roman"/>
                <w:sz w:val="22"/>
                <w:szCs w:val="22"/>
              </w:rPr>
              <w:t>% (89,6 ‒ 95,2)</w:t>
            </w:r>
          </w:p>
        </w:tc>
        <w:tc>
          <w:tcPr>
            <w:tcW w:w="2840" w:type="dxa"/>
            <w:tcBorders>
              <w:top w:val="single" w:sz="4" w:space="0" w:color="000000"/>
              <w:left w:val="single" w:sz="4" w:space="0" w:color="000000"/>
              <w:bottom w:val="single" w:sz="4" w:space="0" w:color="000000"/>
              <w:right w:val="single" w:sz="4" w:space="0" w:color="000000"/>
            </w:tcBorders>
            <w:hideMark/>
          </w:tcPr>
          <w:p w14:paraId="538ED5C2" w14:textId="77777777" w:rsidR="003C65E1" w:rsidRPr="00975CA4" w:rsidRDefault="003C65E1">
            <w:pPr>
              <w:jc w:val="center"/>
              <w:rPr>
                <w:sz w:val="22"/>
                <w:szCs w:val="22"/>
              </w:rPr>
            </w:pPr>
            <w:r w:rsidRPr="00975CA4">
              <w:rPr>
                <w:rFonts w:eastAsia="Times New Roman"/>
                <w:sz w:val="22"/>
                <w:szCs w:val="22"/>
              </w:rPr>
              <w:t>73,8</w:t>
            </w:r>
            <w:r w:rsidR="00995BA4" w:rsidRPr="00975CA4">
              <w:rPr>
                <w:rFonts w:eastAsia="Times New Roman"/>
                <w:sz w:val="22"/>
                <w:szCs w:val="22"/>
              </w:rPr>
              <w:t> </w:t>
            </w:r>
            <w:r w:rsidRPr="00975CA4">
              <w:rPr>
                <w:rFonts w:eastAsia="Times New Roman"/>
                <w:sz w:val="22"/>
                <w:szCs w:val="22"/>
              </w:rPr>
              <w:t>% (52,0 ‒ 86,8)</w:t>
            </w:r>
          </w:p>
        </w:tc>
      </w:tr>
      <w:tr w:rsidR="003C65E1" w:rsidRPr="00975CA4" w14:paraId="78F86A08" w14:textId="77777777" w:rsidTr="003C65E1">
        <w:trPr>
          <w:trHeight w:val="283"/>
          <w:jc w:val="center"/>
        </w:trPr>
        <w:tc>
          <w:tcPr>
            <w:tcW w:w="4253" w:type="dxa"/>
            <w:tcBorders>
              <w:top w:val="single" w:sz="4" w:space="0" w:color="000000"/>
              <w:left w:val="single" w:sz="4" w:space="0" w:color="000000"/>
              <w:bottom w:val="single" w:sz="4" w:space="0" w:color="000000"/>
              <w:right w:val="single" w:sz="4" w:space="0" w:color="000000"/>
            </w:tcBorders>
            <w:hideMark/>
          </w:tcPr>
          <w:p w14:paraId="2AAB1AA5" w14:textId="523DCF05" w:rsidR="003C65E1" w:rsidRPr="00975CA4" w:rsidRDefault="003C65E1" w:rsidP="006E28EE">
            <w:pPr>
              <w:rPr>
                <w:rFonts w:eastAsia="Times New Roman"/>
                <w:sz w:val="22"/>
                <w:szCs w:val="22"/>
              </w:rPr>
            </w:pPr>
            <w:r w:rsidRPr="00975CA4">
              <w:rPr>
                <w:rFonts w:eastAsia="Times New Roman"/>
                <w:sz w:val="22"/>
                <w:szCs w:val="22"/>
              </w:rPr>
              <w:t>OS rodiklis (95</w:t>
            </w:r>
            <w:r w:rsidR="006E28EE" w:rsidRPr="00975CA4">
              <w:rPr>
                <w:rFonts w:eastAsia="Times New Roman"/>
                <w:sz w:val="22"/>
                <w:szCs w:val="22"/>
              </w:rPr>
              <w:t> </w:t>
            </w:r>
            <w:r w:rsidRPr="00975CA4">
              <w:rPr>
                <w:rFonts w:eastAsia="Times New Roman"/>
                <w:sz w:val="22"/>
                <w:szCs w:val="22"/>
              </w:rPr>
              <w:t xml:space="preserve">% </w:t>
            </w:r>
            <w:r w:rsidR="00B544BB" w:rsidRPr="00975CA4">
              <w:rPr>
                <w:rFonts w:eastAsia="Times New Roman"/>
                <w:sz w:val="22"/>
                <w:szCs w:val="22"/>
              </w:rPr>
              <w:t>P</w:t>
            </w:r>
            <w:r w:rsidRPr="00975CA4">
              <w:rPr>
                <w:rFonts w:eastAsia="Times New Roman"/>
                <w:sz w:val="22"/>
                <w:szCs w:val="22"/>
              </w:rPr>
              <w:t>I) po 60</w:t>
            </w:r>
            <w:r w:rsidR="006E28EE" w:rsidRPr="00975CA4">
              <w:rPr>
                <w:rFonts w:eastAsia="Times New Roman"/>
                <w:sz w:val="22"/>
                <w:szCs w:val="22"/>
              </w:rPr>
              <w:t> </w:t>
            </w:r>
            <w:r w:rsidRPr="00975CA4">
              <w:rPr>
                <w:rFonts w:eastAsia="Times New Roman"/>
                <w:sz w:val="22"/>
                <w:szCs w:val="22"/>
              </w:rPr>
              <w:t>mėn.</w:t>
            </w:r>
          </w:p>
        </w:tc>
        <w:tc>
          <w:tcPr>
            <w:tcW w:w="2977" w:type="dxa"/>
            <w:tcBorders>
              <w:top w:val="single" w:sz="4" w:space="0" w:color="000000"/>
              <w:left w:val="single" w:sz="4" w:space="0" w:color="000000"/>
              <w:bottom w:val="single" w:sz="4" w:space="0" w:color="000000"/>
              <w:right w:val="single" w:sz="4" w:space="0" w:color="000000"/>
            </w:tcBorders>
            <w:hideMark/>
          </w:tcPr>
          <w:p w14:paraId="0129EF15" w14:textId="77777777" w:rsidR="003C65E1" w:rsidRPr="00975CA4" w:rsidRDefault="003C65E1">
            <w:pPr>
              <w:jc w:val="center"/>
              <w:rPr>
                <w:sz w:val="22"/>
                <w:szCs w:val="22"/>
              </w:rPr>
            </w:pPr>
            <w:r w:rsidRPr="00975CA4">
              <w:rPr>
                <w:sz w:val="22"/>
                <w:szCs w:val="22"/>
              </w:rPr>
              <w:t>93,8</w:t>
            </w:r>
            <w:r w:rsidR="00B544BB" w:rsidRPr="00975CA4">
              <w:rPr>
                <w:sz w:val="22"/>
                <w:szCs w:val="22"/>
              </w:rPr>
              <w:t> </w:t>
            </w:r>
            <w:r w:rsidRPr="00975CA4">
              <w:rPr>
                <w:sz w:val="22"/>
                <w:szCs w:val="22"/>
              </w:rPr>
              <w:t xml:space="preserve">% (89,3 </w:t>
            </w:r>
            <w:r w:rsidRPr="00975CA4">
              <w:rPr>
                <w:rFonts w:eastAsia="Times New Roman"/>
                <w:sz w:val="22"/>
                <w:szCs w:val="22"/>
              </w:rPr>
              <w:t>‒</w:t>
            </w:r>
            <w:r w:rsidRPr="00975CA4">
              <w:rPr>
                <w:sz w:val="22"/>
                <w:szCs w:val="22"/>
              </w:rPr>
              <w:t xml:space="preserve"> 96,4)</w:t>
            </w:r>
          </w:p>
        </w:tc>
        <w:tc>
          <w:tcPr>
            <w:tcW w:w="2840" w:type="dxa"/>
            <w:tcBorders>
              <w:top w:val="single" w:sz="4" w:space="0" w:color="000000"/>
              <w:left w:val="single" w:sz="4" w:space="0" w:color="000000"/>
              <w:bottom w:val="single" w:sz="4" w:space="0" w:color="000000"/>
              <w:right w:val="single" w:sz="4" w:space="0" w:color="000000"/>
            </w:tcBorders>
            <w:hideMark/>
          </w:tcPr>
          <w:p w14:paraId="40C5A284" w14:textId="77777777" w:rsidR="003C65E1" w:rsidRPr="00975CA4" w:rsidRDefault="003C65E1">
            <w:pPr>
              <w:jc w:val="center"/>
              <w:rPr>
                <w:sz w:val="22"/>
                <w:szCs w:val="22"/>
              </w:rPr>
            </w:pPr>
            <w:r w:rsidRPr="00975CA4">
              <w:rPr>
                <w:sz w:val="22"/>
                <w:szCs w:val="22"/>
              </w:rPr>
              <w:t>80,6</w:t>
            </w:r>
            <w:r w:rsidR="00995BA4" w:rsidRPr="00975CA4">
              <w:rPr>
                <w:sz w:val="22"/>
                <w:szCs w:val="22"/>
              </w:rPr>
              <w:t> </w:t>
            </w:r>
            <w:r w:rsidRPr="00975CA4">
              <w:rPr>
                <w:sz w:val="22"/>
                <w:szCs w:val="22"/>
              </w:rPr>
              <w:t xml:space="preserve">% (63,5 </w:t>
            </w:r>
            <w:r w:rsidRPr="00975CA4">
              <w:rPr>
                <w:rFonts w:eastAsia="Times New Roman"/>
                <w:sz w:val="22"/>
                <w:szCs w:val="22"/>
              </w:rPr>
              <w:t>‒</w:t>
            </w:r>
            <w:r w:rsidRPr="00975CA4">
              <w:rPr>
                <w:sz w:val="22"/>
                <w:szCs w:val="22"/>
              </w:rPr>
              <w:t xml:space="preserve"> 90,2)</w:t>
            </w:r>
          </w:p>
        </w:tc>
      </w:tr>
    </w:tbl>
    <w:p w14:paraId="6D08B688" w14:textId="77777777" w:rsidR="003C65E1" w:rsidRPr="00975CA4" w:rsidRDefault="003C65E1" w:rsidP="0062175B">
      <w:pPr>
        <w:rPr>
          <w:rFonts w:ascii="Times New Roman" w:eastAsia="Calibri" w:hAnsi="Times New Roman" w:cs="Times New Roman"/>
          <w:lang w:eastAsia="ar-SA"/>
        </w:rPr>
      </w:pPr>
    </w:p>
    <w:p w14:paraId="024F628A" w14:textId="6416A4C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color w:val="000000"/>
          <w:lang w:eastAsia="ar-SA"/>
        </w:rPr>
        <w:lastRenderedPageBreak/>
        <w:t>4 paveiksle grafiškai pavaizduot</w:t>
      </w:r>
      <w:r w:rsidR="00A174B9" w:rsidRPr="00975CA4">
        <w:rPr>
          <w:rFonts w:ascii="Times New Roman" w:eastAsia="SimSun" w:hAnsi="Times New Roman" w:cs="Times New Roman"/>
          <w:color w:val="000000"/>
          <w:lang w:eastAsia="ar-SA"/>
        </w:rPr>
        <w:t>as</w:t>
      </w:r>
      <w:r w:rsidRPr="00975CA4">
        <w:rPr>
          <w:rFonts w:ascii="Times New Roman" w:eastAsia="SimSun" w:hAnsi="Times New Roman" w:cs="Times New Roman"/>
          <w:color w:val="000000"/>
          <w:lang w:eastAsia="ar-SA"/>
        </w:rPr>
        <w:t xml:space="preserve"> OS rodiklis </w:t>
      </w:r>
      <w:r w:rsidR="00BD2E4D" w:rsidRPr="00975CA4">
        <w:rPr>
          <w:rFonts w:ascii="Times New Roman" w:eastAsia="SimSun" w:hAnsi="Times New Roman" w:cs="Times New Roman"/>
          <w:color w:val="000000"/>
          <w:lang w:eastAsia="ar-SA"/>
        </w:rPr>
        <w:t>numatytu</w:t>
      </w:r>
      <w:r w:rsidRPr="00975CA4">
        <w:rPr>
          <w:rFonts w:ascii="Times New Roman" w:eastAsia="SimSun" w:hAnsi="Times New Roman" w:cs="Times New Roman"/>
          <w:color w:val="000000"/>
          <w:lang w:eastAsia="ar-SA"/>
        </w:rPr>
        <w:t xml:space="preserve"> laiko momentu. OS rodiklis </w:t>
      </w:r>
      <w:proofErr w:type="spellStart"/>
      <w:r w:rsidRPr="00975CA4">
        <w:rPr>
          <w:rFonts w:ascii="Times New Roman" w:eastAsia="SimSun" w:hAnsi="Times New Roman" w:cs="Times New Roman"/>
          <w:color w:val="000000"/>
          <w:lang w:eastAsia="ar-SA"/>
        </w:rPr>
        <w:t>d</w:t>
      </w:r>
      <w:r w:rsidRPr="00975CA4">
        <w:rPr>
          <w:rFonts w:ascii="Times New Roman" w:eastAsia="SimSun" w:hAnsi="Times New Roman" w:cs="Times New Roman"/>
          <w:iCs/>
          <w:color w:val="000000"/>
          <w:lang w:eastAsia="ar-SA"/>
        </w:rPr>
        <w:t>azatinibu</w:t>
      </w:r>
      <w:proofErr w:type="spellEnd"/>
      <w:r w:rsidRPr="00975CA4">
        <w:rPr>
          <w:rFonts w:ascii="Times New Roman" w:eastAsia="SimSun" w:hAnsi="Times New Roman" w:cs="Times New Roman"/>
          <w:iCs/>
          <w:color w:val="000000"/>
          <w:lang w:eastAsia="ar-SA"/>
        </w:rPr>
        <w:t xml:space="preserve"> gydytiems pacientams, kurie po 3</w:t>
      </w:r>
      <w:r w:rsidR="00260691"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pasiekė BCR-ABL ≤</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10</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buvo </w:t>
      </w:r>
      <w:r w:rsidR="00260691" w:rsidRPr="00975CA4">
        <w:rPr>
          <w:rFonts w:ascii="Times New Roman" w:eastAsia="SimSun" w:hAnsi="Times New Roman" w:cs="Times New Roman"/>
          <w:iCs/>
          <w:color w:val="000000"/>
          <w:lang w:eastAsia="ar-SA"/>
        </w:rPr>
        <w:t xml:space="preserve">nuolat </w:t>
      </w:r>
      <w:r w:rsidRPr="00975CA4">
        <w:rPr>
          <w:rFonts w:ascii="Times New Roman" w:eastAsia="SimSun" w:hAnsi="Times New Roman" w:cs="Times New Roman"/>
          <w:iCs/>
          <w:color w:val="000000"/>
          <w:lang w:eastAsia="ar-SA"/>
        </w:rPr>
        <w:t>didesnis, negu tiems, kurie minėto lygio ribos nepasiekė.</w:t>
      </w:r>
    </w:p>
    <w:p w14:paraId="3A840799"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6244CA7" w14:textId="3461315E" w:rsidR="006C568D" w:rsidRPr="00975CA4" w:rsidRDefault="006C568D" w:rsidP="00733FA1">
      <w:pPr>
        <w:widowControl w:val="0"/>
        <w:tabs>
          <w:tab w:val="left" w:pos="567"/>
        </w:tabs>
        <w:suppressAutoHyphens/>
        <w:spacing w:after="0" w:line="240" w:lineRule="auto"/>
        <w:ind w:left="567" w:right="-142" w:hanging="567"/>
        <w:rPr>
          <w:rFonts w:ascii="Times New Roman" w:eastAsia="SimSun" w:hAnsi="Times New Roman" w:cs="Times New Roman"/>
          <w:iCs/>
          <w:color w:val="000000"/>
          <w:lang w:eastAsia="ar-SA"/>
        </w:rPr>
      </w:pPr>
      <w:r w:rsidRPr="00975CA4">
        <w:rPr>
          <w:rFonts w:ascii="Times New Roman" w:eastAsia="SimSun" w:hAnsi="Times New Roman" w:cs="Times New Roman"/>
          <w:b/>
          <w:iCs/>
          <w:color w:val="000000"/>
          <w:lang w:eastAsia="ar-SA"/>
        </w:rPr>
        <w:t xml:space="preserve">4 pav. Bendro išgyvenimo vartojant </w:t>
      </w:r>
      <w:proofErr w:type="spellStart"/>
      <w:r w:rsidRPr="00975CA4">
        <w:rPr>
          <w:rFonts w:ascii="Times New Roman" w:eastAsia="SimSun" w:hAnsi="Times New Roman" w:cs="Times New Roman"/>
          <w:b/>
          <w:iCs/>
          <w:color w:val="000000"/>
          <w:lang w:eastAsia="ar-SA"/>
        </w:rPr>
        <w:t>dazatinibo</w:t>
      </w:r>
      <w:proofErr w:type="spellEnd"/>
      <w:r w:rsidRPr="00975CA4">
        <w:rPr>
          <w:rFonts w:ascii="Times New Roman" w:eastAsia="SimSun" w:hAnsi="Times New Roman" w:cs="Times New Roman"/>
          <w:b/>
          <w:iCs/>
          <w:color w:val="000000"/>
          <w:lang w:eastAsia="ar-SA"/>
        </w:rPr>
        <w:t xml:space="preserve"> kreivės priklausomai nuo BCR-ABL lygio (≤</w:t>
      </w:r>
      <w:r w:rsidR="006E28EE" w:rsidRPr="00975CA4">
        <w:rPr>
          <w:rFonts w:ascii="Times New Roman" w:eastAsia="SimSun" w:hAnsi="Times New Roman" w:cs="Times New Roman"/>
          <w:b/>
          <w:iCs/>
          <w:color w:val="000000"/>
          <w:lang w:eastAsia="ar-SA"/>
        </w:rPr>
        <w:t> </w:t>
      </w:r>
      <w:r w:rsidRPr="00975CA4">
        <w:rPr>
          <w:rFonts w:ascii="Times New Roman" w:eastAsia="SimSun" w:hAnsi="Times New Roman" w:cs="Times New Roman"/>
          <w:b/>
          <w:iCs/>
          <w:color w:val="000000"/>
          <w:lang w:eastAsia="ar-SA"/>
        </w:rPr>
        <w:t>10</w:t>
      </w:r>
      <w:r w:rsidR="006E28EE" w:rsidRPr="00975CA4">
        <w:rPr>
          <w:rFonts w:ascii="Times New Roman" w:eastAsia="SimSun" w:hAnsi="Times New Roman" w:cs="Times New Roman"/>
          <w:b/>
          <w:iCs/>
          <w:color w:val="000000"/>
          <w:lang w:eastAsia="ar-SA"/>
        </w:rPr>
        <w:t> </w:t>
      </w:r>
      <w:r w:rsidRPr="00975CA4">
        <w:rPr>
          <w:rFonts w:ascii="Times New Roman" w:eastAsia="SimSun" w:hAnsi="Times New Roman" w:cs="Times New Roman"/>
          <w:b/>
          <w:iCs/>
          <w:color w:val="000000"/>
          <w:lang w:eastAsia="ar-SA"/>
        </w:rPr>
        <w:t>% ar &gt;</w:t>
      </w:r>
      <w:r w:rsidR="006E28EE" w:rsidRPr="00975CA4">
        <w:rPr>
          <w:rFonts w:ascii="Times New Roman" w:eastAsia="SimSun" w:hAnsi="Times New Roman" w:cs="Times New Roman"/>
          <w:b/>
          <w:iCs/>
          <w:color w:val="000000"/>
          <w:lang w:eastAsia="ar-SA"/>
        </w:rPr>
        <w:t> </w:t>
      </w:r>
      <w:r w:rsidRPr="00975CA4">
        <w:rPr>
          <w:rFonts w:ascii="Times New Roman" w:eastAsia="SimSun" w:hAnsi="Times New Roman" w:cs="Times New Roman"/>
          <w:b/>
          <w:iCs/>
          <w:color w:val="000000"/>
          <w:lang w:eastAsia="ar-SA"/>
        </w:rPr>
        <w:t>10%) po 3</w:t>
      </w:r>
      <w:r w:rsidR="006E28EE" w:rsidRPr="00975CA4">
        <w:rPr>
          <w:rFonts w:ascii="Times New Roman" w:eastAsia="SimSun" w:hAnsi="Times New Roman" w:cs="Times New Roman"/>
          <w:b/>
          <w:iCs/>
          <w:color w:val="000000"/>
          <w:lang w:eastAsia="ar-SA"/>
        </w:rPr>
        <w:t> </w:t>
      </w:r>
      <w:r w:rsidRPr="00975CA4">
        <w:rPr>
          <w:rFonts w:ascii="Times New Roman" w:eastAsia="SimSun" w:hAnsi="Times New Roman" w:cs="Times New Roman"/>
          <w:b/>
          <w:iCs/>
          <w:color w:val="000000"/>
          <w:lang w:eastAsia="ar-SA"/>
        </w:rPr>
        <w:t>mėn. naujai diagnozuotos lėtinės fazės LML III fazės tyrimo metu</w:t>
      </w:r>
    </w:p>
    <w:p w14:paraId="699D8BDD" w14:textId="77777777" w:rsidR="006C568D" w:rsidRPr="00975CA4" w:rsidRDefault="006C568D" w:rsidP="0062175B">
      <w:pPr>
        <w:rPr>
          <w:rFonts w:ascii="Times New Roman" w:eastAsia="Calibri" w:hAnsi="Times New Roman" w:cs="Times New Roman"/>
          <w:lang w:eastAsia="ar-SA"/>
        </w:rPr>
      </w:pPr>
      <w:r w:rsidRPr="00975CA4">
        <w:rPr>
          <w:rFonts w:ascii="Times New Roman" w:hAnsi="Times New Roman" w:cs="Times New Roman"/>
          <w:noProof/>
          <w:lang w:eastAsia="lt-LT"/>
        </w:rPr>
        <w:drawing>
          <wp:inline distT="0" distB="0" distL="0" distR="0" wp14:anchorId="20195A78" wp14:editId="07B07D06">
            <wp:extent cx="6480810" cy="32943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810" cy="3294380"/>
                    </a:xfrm>
                    <a:prstGeom prst="rect">
                      <a:avLst/>
                    </a:prstGeom>
                  </pic:spPr>
                </pic:pic>
              </a:graphicData>
            </a:graphic>
          </wp:inline>
        </w:drawing>
      </w:r>
    </w:p>
    <w:tbl>
      <w:tblPr>
        <w:tblStyle w:val="Lentelstinklelis"/>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827"/>
        <w:gridCol w:w="2126"/>
        <w:gridCol w:w="2694"/>
      </w:tblGrid>
      <w:tr w:rsidR="006C568D" w:rsidRPr="00975CA4" w14:paraId="67D7452D" w14:textId="77777777" w:rsidTr="006C568D">
        <w:tc>
          <w:tcPr>
            <w:tcW w:w="1276" w:type="dxa"/>
            <w:tcBorders>
              <w:top w:val="nil"/>
              <w:left w:val="nil"/>
              <w:bottom w:val="single" w:sz="4" w:space="0" w:color="auto"/>
              <w:right w:val="nil"/>
            </w:tcBorders>
            <w:hideMark/>
          </w:tcPr>
          <w:p w14:paraId="5C0B9E63" w14:textId="77777777" w:rsidR="006C568D" w:rsidRPr="00975CA4" w:rsidRDefault="006C568D">
            <w:pPr>
              <w:rPr>
                <w:rFonts w:eastAsia="Times New Roman"/>
                <w:b/>
                <w:sz w:val="22"/>
                <w:szCs w:val="22"/>
              </w:rPr>
            </w:pPr>
            <w:r w:rsidRPr="00975CA4">
              <w:rPr>
                <w:rFonts w:eastAsia="Times New Roman"/>
                <w:b/>
                <w:sz w:val="22"/>
                <w:szCs w:val="22"/>
              </w:rPr>
              <w:t>Grupė</w:t>
            </w:r>
          </w:p>
        </w:tc>
        <w:tc>
          <w:tcPr>
            <w:tcW w:w="3827" w:type="dxa"/>
            <w:tcBorders>
              <w:top w:val="nil"/>
              <w:left w:val="nil"/>
              <w:bottom w:val="single" w:sz="4" w:space="0" w:color="auto"/>
              <w:right w:val="nil"/>
            </w:tcBorders>
            <w:hideMark/>
          </w:tcPr>
          <w:p w14:paraId="44C81488" w14:textId="77777777" w:rsidR="006C568D" w:rsidRPr="00975CA4" w:rsidRDefault="006C568D">
            <w:pPr>
              <w:rPr>
                <w:rFonts w:eastAsia="Times New Roman"/>
                <w:b/>
                <w:sz w:val="22"/>
                <w:szCs w:val="22"/>
              </w:rPr>
            </w:pPr>
            <w:r w:rsidRPr="00975CA4">
              <w:rPr>
                <w:rFonts w:eastAsia="Times New Roman"/>
                <w:b/>
                <w:sz w:val="22"/>
                <w:szCs w:val="22"/>
              </w:rPr>
              <w:t># Mirčių skaičius / # Pacientų skaičius</w:t>
            </w:r>
          </w:p>
        </w:tc>
        <w:tc>
          <w:tcPr>
            <w:tcW w:w="2126" w:type="dxa"/>
            <w:tcBorders>
              <w:top w:val="nil"/>
              <w:left w:val="nil"/>
              <w:bottom w:val="single" w:sz="4" w:space="0" w:color="auto"/>
              <w:right w:val="nil"/>
            </w:tcBorders>
            <w:hideMark/>
          </w:tcPr>
          <w:p w14:paraId="4AC873B5" w14:textId="77777777" w:rsidR="006C568D" w:rsidRPr="00975CA4" w:rsidRDefault="006C568D">
            <w:pPr>
              <w:jc w:val="center"/>
              <w:rPr>
                <w:rFonts w:eastAsia="Times New Roman"/>
                <w:b/>
                <w:sz w:val="22"/>
                <w:szCs w:val="22"/>
              </w:rPr>
            </w:pPr>
            <w:r w:rsidRPr="00975CA4">
              <w:rPr>
                <w:rFonts w:eastAsia="Times New Roman"/>
                <w:b/>
                <w:sz w:val="22"/>
                <w:szCs w:val="22"/>
              </w:rPr>
              <w:t>Mediana (95</w:t>
            </w:r>
            <w:r w:rsidR="006E28EE" w:rsidRPr="00975CA4">
              <w:rPr>
                <w:rFonts w:eastAsia="Times New Roman"/>
                <w:b/>
                <w:sz w:val="22"/>
                <w:szCs w:val="22"/>
              </w:rPr>
              <w:t> </w:t>
            </w:r>
            <w:r w:rsidRPr="00975CA4">
              <w:rPr>
                <w:rFonts w:eastAsia="Times New Roman"/>
                <w:b/>
                <w:sz w:val="22"/>
                <w:szCs w:val="22"/>
              </w:rPr>
              <w:t>% PI)</w:t>
            </w:r>
          </w:p>
        </w:tc>
        <w:tc>
          <w:tcPr>
            <w:tcW w:w="2694" w:type="dxa"/>
            <w:tcBorders>
              <w:top w:val="nil"/>
              <w:left w:val="nil"/>
              <w:bottom w:val="single" w:sz="4" w:space="0" w:color="auto"/>
              <w:right w:val="nil"/>
            </w:tcBorders>
            <w:hideMark/>
          </w:tcPr>
          <w:p w14:paraId="070BB97B" w14:textId="77777777" w:rsidR="006C568D" w:rsidRPr="00975CA4" w:rsidRDefault="006C568D">
            <w:pPr>
              <w:jc w:val="center"/>
              <w:rPr>
                <w:rFonts w:eastAsia="Times New Roman"/>
                <w:b/>
                <w:sz w:val="22"/>
                <w:szCs w:val="22"/>
              </w:rPr>
            </w:pPr>
            <w:r w:rsidRPr="00975CA4">
              <w:rPr>
                <w:rFonts w:eastAsia="Times New Roman"/>
                <w:b/>
                <w:sz w:val="22"/>
                <w:szCs w:val="22"/>
              </w:rPr>
              <w:t>Rizikos santykis (95</w:t>
            </w:r>
            <w:r w:rsidR="006E28EE" w:rsidRPr="00975CA4">
              <w:rPr>
                <w:rFonts w:eastAsia="Times New Roman"/>
                <w:b/>
                <w:sz w:val="22"/>
                <w:szCs w:val="22"/>
              </w:rPr>
              <w:t> </w:t>
            </w:r>
            <w:r w:rsidRPr="00975CA4">
              <w:rPr>
                <w:rFonts w:eastAsia="Times New Roman"/>
                <w:b/>
                <w:sz w:val="22"/>
                <w:szCs w:val="22"/>
              </w:rPr>
              <w:t>% PI)</w:t>
            </w:r>
          </w:p>
        </w:tc>
      </w:tr>
      <w:tr w:rsidR="006C568D" w:rsidRPr="00975CA4" w14:paraId="6AB9086A" w14:textId="77777777" w:rsidTr="006C568D">
        <w:tc>
          <w:tcPr>
            <w:tcW w:w="1276" w:type="dxa"/>
            <w:tcBorders>
              <w:top w:val="single" w:sz="4" w:space="0" w:color="auto"/>
              <w:left w:val="nil"/>
              <w:bottom w:val="nil"/>
              <w:right w:val="nil"/>
            </w:tcBorders>
            <w:hideMark/>
          </w:tcPr>
          <w:p w14:paraId="4885B09B" w14:textId="77777777" w:rsidR="006C568D" w:rsidRPr="00975CA4" w:rsidRDefault="006C568D">
            <w:pPr>
              <w:rPr>
                <w:rFonts w:eastAsia="Times New Roman"/>
                <w:sz w:val="22"/>
                <w:szCs w:val="22"/>
                <w:u w:val="single" w:color="000000"/>
              </w:rPr>
            </w:pPr>
            <w:r w:rsidRPr="00975CA4">
              <w:rPr>
                <w:rFonts w:eastAsia="Times New Roman"/>
                <w:sz w:val="22"/>
                <w:szCs w:val="22"/>
              </w:rPr>
              <w:t>≤ 10</w:t>
            </w:r>
            <w:r w:rsidR="006E28EE" w:rsidRPr="00975CA4">
              <w:rPr>
                <w:rFonts w:eastAsia="Times New Roman"/>
                <w:sz w:val="22"/>
                <w:szCs w:val="22"/>
              </w:rPr>
              <w:t> </w:t>
            </w:r>
            <w:r w:rsidRPr="00975CA4">
              <w:rPr>
                <w:rFonts w:eastAsia="Times New Roman"/>
                <w:sz w:val="22"/>
                <w:szCs w:val="22"/>
              </w:rPr>
              <w:t>%</w:t>
            </w:r>
          </w:p>
        </w:tc>
        <w:tc>
          <w:tcPr>
            <w:tcW w:w="3827" w:type="dxa"/>
            <w:tcBorders>
              <w:top w:val="single" w:sz="4" w:space="0" w:color="auto"/>
              <w:left w:val="nil"/>
              <w:bottom w:val="nil"/>
              <w:right w:val="nil"/>
            </w:tcBorders>
            <w:hideMark/>
          </w:tcPr>
          <w:p w14:paraId="4BD4FB4E" w14:textId="77777777" w:rsidR="006C568D" w:rsidRPr="00975CA4" w:rsidRDefault="006C568D">
            <w:pPr>
              <w:jc w:val="center"/>
              <w:rPr>
                <w:rFonts w:eastAsia="Times New Roman"/>
                <w:sz w:val="22"/>
                <w:szCs w:val="22"/>
                <w:u w:val="single" w:color="000000"/>
              </w:rPr>
            </w:pPr>
            <w:r w:rsidRPr="00975CA4">
              <w:rPr>
                <w:rFonts w:eastAsia="Times New Roman"/>
                <w:sz w:val="22"/>
                <w:szCs w:val="22"/>
              </w:rPr>
              <w:t>14/198</w:t>
            </w:r>
          </w:p>
        </w:tc>
        <w:tc>
          <w:tcPr>
            <w:tcW w:w="2126" w:type="dxa"/>
            <w:tcBorders>
              <w:top w:val="single" w:sz="4" w:space="0" w:color="auto"/>
              <w:left w:val="nil"/>
              <w:bottom w:val="nil"/>
              <w:right w:val="nil"/>
            </w:tcBorders>
            <w:hideMark/>
          </w:tcPr>
          <w:p w14:paraId="44B9C6BD" w14:textId="77777777" w:rsidR="006C568D" w:rsidRPr="00975CA4" w:rsidRDefault="006C568D">
            <w:pPr>
              <w:jc w:val="center"/>
              <w:rPr>
                <w:rFonts w:eastAsia="Times New Roman"/>
                <w:sz w:val="22"/>
                <w:szCs w:val="22"/>
              </w:rPr>
            </w:pPr>
            <w:r w:rsidRPr="00975CA4">
              <w:rPr>
                <w:rFonts w:eastAsia="Times New Roman"/>
                <w:sz w:val="22"/>
                <w:szCs w:val="22"/>
              </w:rPr>
              <w:t>. (.‒.)</w:t>
            </w:r>
          </w:p>
        </w:tc>
        <w:tc>
          <w:tcPr>
            <w:tcW w:w="2694" w:type="dxa"/>
            <w:tcBorders>
              <w:top w:val="single" w:sz="4" w:space="0" w:color="auto"/>
              <w:left w:val="nil"/>
              <w:bottom w:val="nil"/>
              <w:right w:val="nil"/>
            </w:tcBorders>
          </w:tcPr>
          <w:p w14:paraId="260A0D9D" w14:textId="77777777" w:rsidR="006C568D" w:rsidRPr="00975CA4" w:rsidRDefault="006C568D">
            <w:pPr>
              <w:jc w:val="center"/>
              <w:rPr>
                <w:rFonts w:eastAsia="Times New Roman"/>
                <w:sz w:val="22"/>
                <w:szCs w:val="22"/>
                <w:u w:val="single" w:color="000000"/>
              </w:rPr>
            </w:pPr>
          </w:p>
        </w:tc>
      </w:tr>
      <w:tr w:rsidR="006C568D" w:rsidRPr="00975CA4" w14:paraId="2AE6842E" w14:textId="77777777" w:rsidTr="006C568D">
        <w:tc>
          <w:tcPr>
            <w:tcW w:w="1276" w:type="dxa"/>
            <w:hideMark/>
          </w:tcPr>
          <w:p w14:paraId="5784B62E" w14:textId="77777777" w:rsidR="006C568D" w:rsidRPr="00975CA4" w:rsidRDefault="006C568D">
            <w:pPr>
              <w:rPr>
                <w:rFonts w:eastAsia="Times New Roman"/>
                <w:sz w:val="22"/>
                <w:szCs w:val="22"/>
                <w:u w:val="single" w:color="000000"/>
              </w:rPr>
            </w:pPr>
            <w:r w:rsidRPr="00975CA4">
              <w:rPr>
                <w:rFonts w:eastAsia="Times New Roman"/>
                <w:sz w:val="22"/>
                <w:szCs w:val="22"/>
              </w:rPr>
              <w:t>&gt; 10</w:t>
            </w:r>
            <w:r w:rsidR="006E28EE" w:rsidRPr="00975CA4">
              <w:rPr>
                <w:rFonts w:eastAsia="Times New Roman"/>
                <w:sz w:val="22"/>
                <w:szCs w:val="22"/>
              </w:rPr>
              <w:t> </w:t>
            </w:r>
            <w:r w:rsidRPr="00975CA4">
              <w:rPr>
                <w:rFonts w:eastAsia="Times New Roman"/>
                <w:sz w:val="22"/>
                <w:szCs w:val="22"/>
              </w:rPr>
              <w:t>%</w:t>
            </w:r>
          </w:p>
        </w:tc>
        <w:tc>
          <w:tcPr>
            <w:tcW w:w="3827" w:type="dxa"/>
            <w:hideMark/>
          </w:tcPr>
          <w:p w14:paraId="194DDD3A" w14:textId="77777777" w:rsidR="006C568D" w:rsidRPr="00975CA4" w:rsidRDefault="006C568D">
            <w:pPr>
              <w:jc w:val="center"/>
              <w:rPr>
                <w:rFonts w:eastAsia="Times New Roman"/>
                <w:sz w:val="22"/>
                <w:szCs w:val="22"/>
                <w:u w:val="single" w:color="000000"/>
              </w:rPr>
            </w:pPr>
            <w:r w:rsidRPr="00975CA4">
              <w:rPr>
                <w:rFonts w:eastAsia="Times New Roman"/>
                <w:sz w:val="22"/>
                <w:szCs w:val="22"/>
              </w:rPr>
              <w:t>8/37</w:t>
            </w:r>
          </w:p>
        </w:tc>
        <w:tc>
          <w:tcPr>
            <w:tcW w:w="2126" w:type="dxa"/>
            <w:hideMark/>
          </w:tcPr>
          <w:p w14:paraId="5B2CBDBB" w14:textId="77777777" w:rsidR="006C568D" w:rsidRPr="00975CA4" w:rsidRDefault="006C568D">
            <w:pPr>
              <w:jc w:val="center"/>
              <w:rPr>
                <w:rFonts w:eastAsia="Times New Roman"/>
                <w:sz w:val="22"/>
                <w:szCs w:val="22"/>
                <w:u w:val="single" w:color="000000"/>
              </w:rPr>
            </w:pPr>
            <w:r w:rsidRPr="00975CA4">
              <w:rPr>
                <w:rFonts w:eastAsia="Times New Roman"/>
                <w:sz w:val="22"/>
                <w:szCs w:val="22"/>
              </w:rPr>
              <w:t>. (.‒.)</w:t>
            </w:r>
          </w:p>
        </w:tc>
        <w:tc>
          <w:tcPr>
            <w:tcW w:w="2694" w:type="dxa"/>
          </w:tcPr>
          <w:p w14:paraId="5E778998" w14:textId="77777777" w:rsidR="006C568D" w:rsidRPr="00975CA4" w:rsidRDefault="006C568D">
            <w:pPr>
              <w:jc w:val="center"/>
              <w:rPr>
                <w:rFonts w:eastAsia="Times New Roman"/>
                <w:sz w:val="22"/>
                <w:szCs w:val="22"/>
                <w:u w:val="single" w:color="000000"/>
              </w:rPr>
            </w:pPr>
          </w:p>
        </w:tc>
      </w:tr>
      <w:tr w:rsidR="006C568D" w:rsidRPr="00975CA4" w14:paraId="25628548" w14:textId="77777777" w:rsidTr="006C568D">
        <w:tc>
          <w:tcPr>
            <w:tcW w:w="1276" w:type="dxa"/>
          </w:tcPr>
          <w:p w14:paraId="6869AB21" w14:textId="77777777" w:rsidR="006C568D" w:rsidRPr="00975CA4" w:rsidRDefault="006C568D">
            <w:pPr>
              <w:rPr>
                <w:rFonts w:eastAsia="Times New Roman"/>
                <w:sz w:val="22"/>
                <w:szCs w:val="22"/>
              </w:rPr>
            </w:pPr>
          </w:p>
        </w:tc>
        <w:tc>
          <w:tcPr>
            <w:tcW w:w="3827" w:type="dxa"/>
          </w:tcPr>
          <w:p w14:paraId="38D709B3" w14:textId="77777777" w:rsidR="006C568D" w:rsidRPr="00975CA4" w:rsidRDefault="006C568D">
            <w:pPr>
              <w:rPr>
                <w:rFonts w:eastAsia="Times New Roman"/>
                <w:sz w:val="22"/>
                <w:szCs w:val="22"/>
              </w:rPr>
            </w:pPr>
          </w:p>
        </w:tc>
        <w:tc>
          <w:tcPr>
            <w:tcW w:w="2126" w:type="dxa"/>
          </w:tcPr>
          <w:p w14:paraId="2C9BE368" w14:textId="77777777" w:rsidR="006C568D" w:rsidRPr="00975CA4" w:rsidRDefault="006C568D">
            <w:pPr>
              <w:jc w:val="center"/>
              <w:rPr>
                <w:rFonts w:eastAsia="Times New Roman"/>
                <w:sz w:val="22"/>
                <w:szCs w:val="22"/>
              </w:rPr>
            </w:pPr>
          </w:p>
        </w:tc>
        <w:tc>
          <w:tcPr>
            <w:tcW w:w="2694" w:type="dxa"/>
            <w:hideMark/>
          </w:tcPr>
          <w:p w14:paraId="736FDC47" w14:textId="77777777" w:rsidR="006C568D" w:rsidRPr="00975CA4" w:rsidRDefault="006C568D">
            <w:pPr>
              <w:jc w:val="center"/>
              <w:rPr>
                <w:rFonts w:eastAsia="Times New Roman"/>
                <w:sz w:val="22"/>
                <w:szCs w:val="22"/>
              </w:rPr>
            </w:pPr>
            <w:r w:rsidRPr="00975CA4">
              <w:rPr>
                <w:rFonts w:eastAsia="Times New Roman"/>
                <w:sz w:val="22"/>
                <w:szCs w:val="22"/>
              </w:rPr>
              <w:t>0,29 (0,12 ‒ 0,69)</w:t>
            </w:r>
          </w:p>
        </w:tc>
      </w:tr>
    </w:tbl>
    <w:p w14:paraId="4F9FEDCD" w14:textId="77777777" w:rsidR="006C568D" w:rsidRPr="00975CA4" w:rsidRDefault="006C568D" w:rsidP="0062175B">
      <w:pPr>
        <w:rPr>
          <w:rFonts w:ascii="Times New Roman" w:eastAsia="Calibri" w:hAnsi="Times New Roman" w:cs="Times New Roman"/>
          <w:lang w:eastAsia="ar-SA"/>
        </w:rPr>
      </w:pPr>
    </w:p>
    <w:p w14:paraId="4572B8B9" w14:textId="737BC05D"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Ligos progresavimas apibrėžtas kaip nepaisant tinkamo gydymo padidėjęs leukocitų skaičius, CHR dalinio </w:t>
      </w:r>
      <w:proofErr w:type="spellStart"/>
      <w:r w:rsidRPr="00975CA4">
        <w:rPr>
          <w:rFonts w:ascii="Times New Roman" w:eastAsia="SimSun" w:hAnsi="Times New Roman" w:cs="Times New Roman"/>
          <w:iCs/>
          <w:color w:val="000000"/>
          <w:lang w:eastAsia="ar-SA"/>
        </w:rPr>
        <w:t>CyR</w:t>
      </w:r>
      <w:proofErr w:type="spellEnd"/>
      <w:r w:rsidRPr="00975CA4">
        <w:rPr>
          <w:rFonts w:ascii="Times New Roman" w:eastAsia="SimSun" w:hAnsi="Times New Roman" w:cs="Times New Roman"/>
          <w:iCs/>
          <w:color w:val="000000"/>
          <w:lang w:eastAsia="ar-SA"/>
        </w:rPr>
        <w:t xml:space="preserve"> arba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xml:space="preserve"> išnykimas, progresavimas į </w:t>
      </w:r>
      <w:proofErr w:type="spellStart"/>
      <w:r w:rsidRPr="00975CA4">
        <w:rPr>
          <w:rFonts w:ascii="Times New Roman" w:eastAsia="SimSun" w:hAnsi="Times New Roman" w:cs="Times New Roman"/>
          <w:iCs/>
          <w:color w:val="000000"/>
          <w:lang w:eastAsia="ar-SA"/>
        </w:rPr>
        <w:t>akceleruotą</w:t>
      </w:r>
      <w:proofErr w:type="spellEnd"/>
      <w:r w:rsidRPr="00975CA4">
        <w:rPr>
          <w:rFonts w:ascii="Times New Roman" w:eastAsia="SimSun" w:hAnsi="Times New Roman" w:cs="Times New Roman"/>
          <w:iCs/>
          <w:color w:val="000000"/>
          <w:lang w:eastAsia="ar-SA"/>
        </w:rPr>
        <w:t xml:space="preserve"> ar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fazę arba mirtis. Apskaičiuotas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ir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grupių pacientų 60</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mėn. PFS </w:t>
      </w:r>
      <w:r w:rsidR="00E97B92" w:rsidRPr="00975CA4">
        <w:rPr>
          <w:rFonts w:ascii="Times New Roman" w:eastAsia="SimSun" w:hAnsi="Times New Roman" w:cs="Times New Roman"/>
          <w:iCs/>
          <w:color w:val="000000"/>
          <w:lang w:eastAsia="ar-SA"/>
        </w:rPr>
        <w:t xml:space="preserve">rodiklis </w:t>
      </w:r>
      <w:r w:rsidRPr="00975CA4">
        <w:rPr>
          <w:rFonts w:ascii="Times New Roman" w:eastAsia="SimSun" w:hAnsi="Times New Roman" w:cs="Times New Roman"/>
          <w:iCs/>
          <w:color w:val="000000"/>
          <w:lang w:eastAsia="ar-SA"/>
        </w:rPr>
        <w:t>buvo vienodas - 88,9</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(PI: 84 - 92,4</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Transformaciją į </w:t>
      </w:r>
      <w:proofErr w:type="spellStart"/>
      <w:r w:rsidRPr="00975CA4">
        <w:rPr>
          <w:rFonts w:ascii="Times New Roman" w:eastAsia="SimSun" w:hAnsi="Times New Roman" w:cs="Times New Roman"/>
          <w:iCs/>
          <w:color w:val="000000"/>
          <w:lang w:eastAsia="ar-SA"/>
        </w:rPr>
        <w:t>akceleruotą</w:t>
      </w:r>
      <w:proofErr w:type="spellEnd"/>
      <w:r w:rsidRPr="00975CA4">
        <w:rPr>
          <w:rFonts w:ascii="Times New Roman" w:eastAsia="SimSun" w:hAnsi="Times New Roman" w:cs="Times New Roman"/>
          <w:iCs/>
          <w:color w:val="000000"/>
          <w:lang w:eastAsia="ar-SA"/>
        </w:rPr>
        <w:t xml:space="preserve"> ar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fazę per 60</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mėn. patyrė mažiau </w:t>
      </w:r>
      <w:proofErr w:type="spellStart"/>
      <w:r w:rsidRPr="00975CA4">
        <w:rPr>
          <w:rFonts w:ascii="Times New Roman" w:eastAsia="SimSun" w:hAnsi="Times New Roman" w:cs="Times New Roman"/>
          <w:iCs/>
          <w:color w:val="000000"/>
          <w:lang w:eastAsia="ar-SA"/>
        </w:rPr>
        <w:t>dazatinibu</w:t>
      </w:r>
      <w:proofErr w:type="spellEnd"/>
      <w:r w:rsidRPr="00975CA4">
        <w:rPr>
          <w:rFonts w:ascii="Times New Roman" w:eastAsia="SimSun" w:hAnsi="Times New Roman" w:cs="Times New Roman"/>
          <w:iCs/>
          <w:color w:val="000000"/>
          <w:lang w:eastAsia="ar-SA"/>
        </w:rPr>
        <w:t xml:space="preserve"> (n</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8, </w:t>
      </w:r>
      <w:proofErr w:type="spellStart"/>
      <w:r w:rsidRPr="00975CA4">
        <w:rPr>
          <w:rFonts w:ascii="Times New Roman" w:eastAsia="SimSun" w:hAnsi="Times New Roman" w:cs="Times New Roman"/>
          <w:iCs/>
          <w:color w:val="000000"/>
          <w:lang w:eastAsia="ar-SA"/>
        </w:rPr>
        <w:t>t.y</w:t>
      </w:r>
      <w:proofErr w:type="spellEnd"/>
      <w:r w:rsidRPr="00975CA4">
        <w:rPr>
          <w:rFonts w:ascii="Times New Roman" w:eastAsia="SimSun" w:hAnsi="Times New Roman" w:cs="Times New Roman"/>
          <w:iCs/>
          <w:color w:val="000000"/>
          <w:lang w:eastAsia="ar-SA"/>
        </w:rPr>
        <w:t>. 3</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negu </w:t>
      </w:r>
      <w:proofErr w:type="spellStart"/>
      <w:r w:rsidRPr="00975CA4">
        <w:rPr>
          <w:rFonts w:ascii="Times New Roman" w:eastAsia="SimSun" w:hAnsi="Times New Roman" w:cs="Times New Roman"/>
          <w:iCs/>
          <w:color w:val="000000"/>
          <w:lang w:eastAsia="ar-SA"/>
        </w:rPr>
        <w:t>imatinibu</w:t>
      </w:r>
      <w:proofErr w:type="spellEnd"/>
      <w:r w:rsidRPr="00975CA4">
        <w:rPr>
          <w:rFonts w:ascii="Times New Roman" w:eastAsia="SimSun" w:hAnsi="Times New Roman" w:cs="Times New Roman"/>
          <w:iCs/>
          <w:color w:val="000000"/>
          <w:lang w:eastAsia="ar-SA"/>
        </w:rPr>
        <w:t xml:space="preserve"> (n</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15, </w:t>
      </w:r>
      <w:proofErr w:type="spellStart"/>
      <w:r w:rsidRPr="00975CA4">
        <w:rPr>
          <w:rFonts w:ascii="Times New Roman" w:eastAsia="SimSun" w:hAnsi="Times New Roman" w:cs="Times New Roman"/>
          <w:iCs/>
          <w:color w:val="000000"/>
          <w:lang w:eastAsia="ar-SA"/>
        </w:rPr>
        <w:t>t.y</w:t>
      </w:r>
      <w:proofErr w:type="spellEnd"/>
      <w:r w:rsidRPr="00975CA4">
        <w:rPr>
          <w:rFonts w:ascii="Times New Roman" w:eastAsia="SimSun" w:hAnsi="Times New Roman" w:cs="Times New Roman"/>
          <w:iCs/>
          <w:color w:val="000000"/>
          <w:lang w:eastAsia="ar-SA"/>
        </w:rPr>
        <w:t>. 5,8</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gydytų pacientų. Apskaičiuota 60</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mėn. išgyvenusių </w:t>
      </w:r>
      <w:proofErr w:type="spellStart"/>
      <w:r w:rsidRPr="00975CA4">
        <w:rPr>
          <w:rFonts w:ascii="Times New Roman" w:eastAsia="SimSun" w:hAnsi="Times New Roman" w:cs="Times New Roman"/>
          <w:iCs/>
          <w:color w:val="000000"/>
          <w:lang w:eastAsia="ar-SA"/>
        </w:rPr>
        <w:t>dazatinibu</w:t>
      </w:r>
      <w:proofErr w:type="spellEnd"/>
      <w:r w:rsidRPr="00975CA4">
        <w:rPr>
          <w:rFonts w:ascii="Times New Roman" w:eastAsia="SimSun" w:hAnsi="Times New Roman" w:cs="Times New Roman"/>
          <w:iCs/>
          <w:color w:val="000000"/>
          <w:lang w:eastAsia="ar-SA"/>
        </w:rPr>
        <w:t xml:space="preserve"> gydytų pacientų dalis buvo 90,9 % (PI: 86,6-93,8</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imatinibu</w:t>
      </w:r>
      <w:proofErr w:type="spellEnd"/>
      <w:r w:rsidRPr="00975CA4">
        <w:rPr>
          <w:rFonts w:ascii="Times New Roman" w:eastAsia="SimSun" w:hAnsi="Times New Roman" w:cs="Times New Roman"/>
          <w:iCs/>
          <w:color w:val="000000"/>
          <w:lang w:eastAsia="ar-SA"/>
        </w:rPr>
        <w:t xml:space="preserve"> gydytų - 89,6</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(PI</w:t>
      </w:r>
      <w:r w:rsidR="00A174B9"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85,2-92,8</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ir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vartojusių pacientų OS (RS 1,01, 95</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PI: 0,58 - 1,73, p</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0,9800) ir PFS (RS 1,00, 95</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PI: 0,58 -1 ,72, p</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0,9998) nesiskyrė.</w:t>
      </w:r>
    </w:p>
    <w:p w14:paraId="5D257695"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143291F"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Pacientams, kuriems nustatytas ligos progresavimas, arba kurie nutraukė gydymą </w:t>
      </w:r>
      <w:proofErr w:type="spellStart"/>
      <w:r w:rsidRPr="00975CA4">
        <w:rPr>
          <w:rFonts w:ascii="Times New Roman" w:eastAsia="SimSun" w:hAnsi="Times New Roman" w:cs="Times New Roman"/>
          <w:iCs/>
          <w:color w:val="000000"/>
          <w:lang w:eastAsia="ar-SA"/>
        </w:rPr>
        <w:t>dazatinibu</w:t>
      </w:r>
      <w:proofErr w:type="spellEnd"/>
      <w:r w:rsidRPr="00975CA4">
        <w:rPr>
          <w:rFonts w:ascii="Times New Roman" w:eastAsia="SimSun" w:hAnsi="Times New Roman" w:cs="Times New Roman"/>
          <w:iCs/>
          <w:color w:val="000000"/>
          <w:lang w:eastAsia="ar-SA"/>
        </w:rPr>
        <w:t xml:space="preserve"> ar </w:t>
      </w:r>
      <w:proofErr w:type="spellStart"/>
      <w:r w:rsidRPr="00975CA4">
        <w:rPr>
          <w:rFonts w:ascii="Times New Roman" w:eastAsia="SimSun" w:hAnsi="Times New Roman" w:cs="Times New Roman"/>
          <w:iCs/>
          <w:color w:val="000000"/>
          <w:lang w:eastAsia="ar-SA"/>
        </w:rPr>
        <w:t>imatinibu</w:t>
      </w:r>
      <w:proofErr w:type="spellEnd"/>
      <w:r w:rsidRPr="00975CA4">
        <w:rPr>
          <w:rFonts w:ascii="Times New Roman" w:eastAsia="SimSun" w:hAnsi="Times New Roman" w:cs="Times New Roman"/>
          <w:iCs/>
          <w:color w:val="000000"/>
          <w:lang w:eastAsia="ar-SA"/>
        </w:rPr>
        <w:t xml:space="preserve">, ir kurių kraujo mėginiai buvo turimi, atliktas šių mėginių tyrimas BCR-ABL sekai nustatyti. Abiejų grupių pacientams mutacijų rasta panašiu dažnumu.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vartojusiems pacientams aptikta T315I, F317I/L ir V299L mutacijų. Kitokio spektro mutacijų aptikta </w:t>
      </w:r>
      <w:proofErr w:type="spellStart"/>
      <w:r w:rsidRPr="00975CA4">
        <w:rPr>
          <w:rFonts w:ascii="Times New Roman" w:eastAsia="SimSun" w:hAnsi="Times New Roman" w:cs="Times New Roman"/>
          <w:iCs/>
          <w:color w:val="000000"/>
          <w:lang w:eastAsia="ar-SA"/>
        </w:rPr>
        <w:t>imatinibu</w:t>
      </w:r>
      <w:proofErr w:type="spellEnd"/>
      <w:r w:rsidRPr="00975CA4">
        <w:rPr>
          <w:rFonts w:ascii="Times New Roman" w:eastAsia="SimSun" w:hAnsi="Times New Roman" w:cs="Times New Roman"/>
          <w:iCs/>
          <w:color w:val="000000"/>
          <w:lang w:eastAsia="ar-SA"/>
        </w:rPr>
        <w:t xml:space="preserve"> gydytiems pacientams. Remiantis </w:t>
      </w:r>
      <w:proofErr w:type="spellStart"/>
      <w:r w:rsidRPr="00975CA4">
        <w:rPr>
          <w:rFonts w:ascii="Times New Roman" w:eastAsia="SimSun" w:hAnsi="Times New Roman" w:cs="Times New Roman"/>
          <w:i/>
          <w:iCs/>
          <w:color w:val="000000"/>
          <w:lang w:eastAsia="ar-SA"/>
        </w:rPr>
        <w:t>in</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vitro</w:t>
      </w:r>
      <w:proofErr w:type="spellEnd"/>
      <w:r w:rsidRPr="00975CA4">
        <w:rPr>
          <w:rFonts w:ascii="Times New Roman" w:eastAsia="SimSun" w:hAnsi="Times New Roman" w:cs="Times New Roman"/>
          <w:iCs/>
          <w:color w:val="000000"/>
          <w:lang w:eastAsia="ar-SA"/>
        </w:rPr>
        <w:t xml:space="preserve"> duomenimis, dėl T3151 mutacijos </w:t>
      </w:r>
      <w:proofErr w:type="spellStart"/>
      <w:r w:rsidRPr="00975CA4">
        <w:rPr>
          <w:rFonts w:ascii="Times New Roman" w:eastAsia="SimSun" w:hAnsi="Times New Roman" w:cs="Times New Roman"/>
          <w:iCs/>
          <w:color w:val="000000"/>
          <w:lang w:eastAsia="ar-SA"/>
        </w:rPr>
        <w:t>dazatinibas</w:t>
      </w:r>
      <w:proofErr w:type="spellEnd"/>
      <w:r w:rsidRPr="00975CA4">
        <w:rPr>
          <w:rFonts w:ascii="Times New Roman" w:eastAsia="SimSun" w:hAnsi="Times New Roman" w:cs="Times New Roman"/>
          <w:iCs/>
          <w:color w:val="000000"/>
          <w:lang w:eastAsia="ar-SA"/>
        </w:rPr>
        <w:t xml:space="preserve"> turėtų būti neveiksmingas. </w:t>
      </w:r>
    </w:p>
    <w:p w14:paraId="088D2876"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A55F210"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
          <w:iCs/>
          <w:color w:val="000000"/>
          <w:u w:val="single"/>
          <w:lang w:eastAsia="ar-SA"/>
        </w:rPr>
        <w:t xml:space="preserve">LML lėtinė fazė (atsparumas ankstesniam gydymui </w:t>
      </w:r>
      <w:proofErr w:type="spellStart"/>
      <w:r w:rsidRPr="00975CA4">
        <w:rPr>
          <w:rFonts w:ascii="Times New Roman" w:eastAsia="SimSun" w:hAnsi="Times New Roman" w:cs="Times New Roman"/>
          <w:i/>
          <w:iCs/>
          <w:color w:val="000000"/>
          <w:u w:val="single"/>
          <w:lang w:eastAsia="ar-SA"/>
        </w:rPr>
        <w:t>imatinibu</w:t>
      </w:r>
      <w:proofErr w:type="spellEnd"/>
      <w:r w:rsidR="00E97B92" w:rsidRPr="00975CA4">
        <w:rPr>
          <w:rFonts w:ascii="Times New Roman" w:eastAsia="SimSun" w:hAnsi="Times New Roman" w:cs="Times New Roman"/>
          <w:i/>
          <w:iCs/>
          <w:color w:val="000000"/>
          <w:lang w:eastAsia="ar-SA"/>
        </w:rPr>
        <w:t xml:space="preserve"> ar</w:t>
      </w:r>
      <w:r w:rsidRPr="00975CA4">
        <w:rPr>
          <w:rFonts w:ascii="Times New Roman" w:eastAsia="SimSun" w:hAnsi="Times New Roman" w:cs="Times New Roman"/>
          <w:i/>
          <w:iCs/>
          <w:color w:val="000000"/>
          <w:lang w:eastAsia="ar-SA"/>
        </w:rPr>
        <w:t xml:space="preserve"> jo netoleravimas)</w:t>
      </w:r>
    </w:p>
    <w:p w14:paraId="3E3421D2" w14:textId="6D8F9443"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Su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atspariais arba jo netoleruojančiais pacientais atlikti 2 klinikiniai tyrimai, kurių metu gydymo veiksmingumo pagrindinė vertinamoji baigtis buvo didysis citogenetinis atsakas (angl. </w:t>
      </w:r>
      <w:proofErr w:type="spellStart"/>
      <w:r w:rsidRPr="00975CA4">
        <w:rPr>
          <w:rFonts w:ascii="Times New Roman" w:eastAsia="SimSun" w:hAnsi="Times New Roman" w:cs="Times New Roman"/>
          <w:i/>
          <w:iCs/>
          <w:color w:val="000000"/>
          <w:lang w:eastAsia="ar-SA"/>
        </w:rPr>
        <w:t>Major</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Cytogenetic</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Response</w:t>
      </w:r>
      <w:proofErr w:type="spellEnd"/>
      <w:r w:rsidR="00E97B92" w:rsidRPr="00975CA4">
        <w:rPr>
          <w:rFonts w:ascii="Times New Roman" w:eastAsia="SimSun" w:hAnsi="Times New Roman" w:cs="Times New Roman"/>
          <w:i/>
          <w:iCs/>
          <w:color w:val="000000"/>
          <w:lang w:eastAsia="ar-SA"/>
        </w:rPr>
        <w:t xml:space="preserve">, </w:t>
      </w:r>
      <w:proofErr w:type="spellStart"/>
      <w:r w:rsidR="00E97B92"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w:t>
      </w:r>
    </w:p>
    <w:p w14:paraId="71025ADA"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2645263" w14:textId="77777777" w:rsidR="006C568D" w:rsidRPr="00975CA4" w:rsidRDefault="006C568D" w:rsidP="002D3411">
      <w:pPr>
        <w:keepNext/>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
          <w:iCs/>
          <w:color w:val="000000"/>
          <w:lang w:eastAsia="ar-SA"/>
        </w:rPr>
        <w:t>1-asis tyrimas</w:t>
      </w:r>
    </w:p>
    <w:p w14:paraId="5DB956BC" w14:textId="75AD3AD0"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Atviras, atsitiktinės atrankos, nepalyginamasis </w:t>
      </w:r>
      <w:proofErr w:type="spellStart"/>
      <w:r w:rsidRPr="00975CA4">
        <w:rPr>
          <w:rFonts w:ascii="Times New Roman" w:eastAsia="SimSun" w:hAnsi="Times New Roman" w:cs="Times New Roman"/>
          <w:iCs/>
          <w:color w:val="000000"/>
          <w:lang w:eastAsia="ar-SA"/>
        </w:rPr>
        <w:t>daugiacentris</w:t>
      </w:r>
      <w:proofErr w:type="spellEnd"/>
      <w:r w:rsidRPr="00975CA4">
        <w:rPr>
          <w:rFonts w:ascii="Times New Roman" w:eastAsia="SimSun" w:hAnsi="Times New Roman" w:cs="Times New Roman"/>
          <w:iCs/>
          <w:color w:val="000000"/>
          <w:lang w:eastAsia="ar-SA"/>
        </w:rPr>
        <w:t xml:space="preserve"> tyrimas atliktas su pacientais, kuriems pradinis gydymas 400</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 arba 600</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doze buvo neveiksmingas. Jie buvo atsitiktinės atrankos būdu priskirti (2:1) vartoti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(po 70</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2 kartus per parą) arba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(po 400</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2 kartus per parą). Perėjimas į kitą gydymo grupę buvo leidžiamas nustačius ligos progresavimą arba vaistinio preparato netoleravimą, kurio nebuvo galima sureguliuoti modifikuojant dozę. Pagrindinė gydymo veiksmingumo vertinamoji baigtis buvo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po 12 savaičių. Turimi 150 pacientų stebėjimo duomenys: 101 pacientas buvo atsitiktinai parinktas vartoti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49 -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buvo atspari visų pacientų liga). Laikotarpio nuo diagnozės nustatyto iki įtraukimo atsitiktinės atrankos būdu į vieną iš grupių mediana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grupės pacientams buvo 64 mėnesiai,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 52 mėnesiai. </w:t>
      </w:r>
    </w:p>
    <w:p w14:paraId="2A416209"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95AC7CA" w14:textId="76BC2682" w:rsidR="003121EE" w:rsidRPr="00975CA4" w:rsidRDefault="006C568D" w:rsidP="003121EE">
      <w:pPr>
        <w:widowControl w:val="0"/>
        <w:tabs>
          <w:tab w:val="left" w:pos="567"/>
        </w:tabs>
        <w:suppressAutoHyphens/>
        <w:spacing w:after="0" w:line="240" w:lineRule="auto"/>
        <w:rPr>
          <w:rFonts w:ascii="Times New Roman" w:eastAsia="SimSun" w:hAnsi="Times New Roman" w:cs="Times New Roman"/>
          <w:iCs/>
          <w:lang w:eastAsia="ar-SA"/>
        </w:rPr>
      </w:pPr>
      <w:r w:rsidRPr="00975CA4">
        <w:rPr>
          <w:rFonts w:ascii="Times New Roman" w:eastAsia="SimSun" w:hAnsi="Times New Roman" w:cs="Times New Roman"/>
          <w:iCs/>
          <w:lang w:eastAsia="ar-SA"/>
        </w:rPr>
        <w:t>Visi pacientai iki tol buvo ek</w:t>
      </w:r>
      <w:r w:rsidRPr="00975CA4">
        <w:rPr>
          <w:rFonts w:ascii="Times New Roman" w:eastAsia="SimSun" w:hAnsi="Times New Roman" w:cs="Times New Roman"/>
          <w:iCs/>
          <w:color w:val="000000"/>
          <w:lang w:eastAsia="ar-SA"/>
        </w:rPr>
        <w:t>stensyviai</w:t>
      </w:r>
      <w:r w:rsidRPr="00975CA4">
        <w:rPr>
          <w:rFonts w:ascii="Times New Roman" w:eastAsia="SimSun" w:hAnsi="Times New Roman" w:cs="Times New Roman"/>
          <w:iCs/>
          <w:lang w:eastAsia="ar-SA"/>
        </w:rPr>
        <w:t xml:space="preserve"> gydyti. Visiškas hematologinis atsakas </w:t>
      </w:r>
      <w:r w:rsidRPr="00975CA4">
        <w:rPr>
          <w:rFonts w:ascii="Times New Roman" w:eastAsia="SimSun" w:hAnsi="Times New Roman" w:cs="Times New Roman"/>
          <w:iCs/>
          <w:color w:val="000000"/>
          <w:lang w:eastAsia="ar-SA"/>
        </w:rPr>
        <w:t xml:space="preserve">(angl. </w:t>
      </w:r>
      <w:proofErr w:type="spellStart"/>
      <w:r w:rsidRPr="00975CA4">
        <w:rPr>
          <w:rFonts w:ascii="Times New Roman" w:eastAsia="SimSun" w:hAnsi="Times New Roman" w:cs="Times New Roman"/>
          <w:i/>
          <w:iCs/>
          <w:color w:val="000000"/>
          <w:lang w:eastAsia="ar-SA"/>
        </w:rPr>
        <w:t>complete</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haematologic</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response</w:t>
      </w:r>
      <w:proofErr w:type="spellEnd"/>
      <w:r w:rsidR="00C20DD5" w:rsidRPr="00975CA4">
        <w:rPr>
          <w:rFonts w:ascii="Times New Roman" w:eastAsia="SimSun" w:hAnsi="Times New Roman" w:cs="Times New Roman"/>
          <w:i/>
          <w:iCs/>
          <w:color w:val="000000"/>
          <w:lang w:eastAsia="ar-SA"/>
        </w:rPr>
        <w:t xml:space="preserve">, </w:t>
      </w:r>
      <w:r w:rsidR="00C20DD5" w:rsidRPr="00975CA4">
        <w:rPr>
          <w:rFonts w:ascii="Times New Roman" w:eastAsia="SimSun" w:hAnsi="Times New Roman" w:cs="Times New Roman"/>
          <w:iCs/>
          <w:color w:val="000000"/>
          <w:lang w:eastAsia="ar-SA"/>
        </w:rPr>
        <w:t>CHR</w:t>
      </w:r>
      <w:r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lang w:eastAsia="ar-SA"/>
        </w:rPr>
        <w:t xml:space="preserve"> </w:t>
      </w:r>
      <w:proofErr w:type="spellStart"/>
      <w:r w:rsidRPr="00975CA4">
        <w:rPr>
          <w:rFonts w:ascii="Times New Roman" w:eastAsia="SimSun" w:hAnsi="Times New Roman" w:cs="Times New Roman"/>
          <w:iCs/>
          <w:lang w:eastAsia="ar-SA"/>
        </w:rPr>
        <w:t>imatinibui</w:t>
      </w:r>
      <w:proofErr w:type="spellEnd"/>
      <w:r w:rsidRPr="00975CA4">
        <w:rPr>
          <w:rFonts w:ascii="Times New Roman" w:eastAsia="SimSun" w:hAnsi="Times New Roman" w:cs="Times New Roman"/>
          <w:iCs/>
          <w:lang w:eastAsia="ar-SA"/>
        </w:rPr>
        <w:t xml:space="preserve"> anksčiau buvo pasiektas 93</w:t>
      </w:r>
      <w:r w:rsidR="00C20DD5" w:rsidRPr="00975CA4">
        <w:t> </w:t>
      </w:r>
      <w:r w:rsidRPr="00975CA4">
        <w:rPr>
          <w:rFonts w:ascii="Times New Roman" w:eastAsia="SimSun" w:hAnsi="Times New Roman" w:cs="Times New Roman"/>
          <w:iCs/>
          <w:lang w:eastAsia="ar-SA"/>
        </w:rPr>
        <w:t xml:space="preserve">% visos pacientų populiacijos. </w:t>
      </w:r>
      <w:proofErr w:type="spellStart"/>
      <w:r w:rsidRPr="00975CA4">
        <w:rPr>
          <w:rFonts w:ascii="Times New Roman" w:eastAsia="SimSun" w:hAnsi="Times New Roman" w:cs="Times New Roman"/>
          <w:iCs/>
          <w:lang w:eastAsia="ar-SA"/>
        </w:rPr>
        <w:t>MCyR</w:t>
      </w:r>
      <w:proofErr w:type="spellEnd"/>
      <w:r w:rsidRPr="00975CA4">
        <w:rPr>
          <w:rFonts w:ascii="Times New Roman" w:eastAsia="SimSun" w:hAnsi="Times New Roman" w:cs="Times New Roman"/>
          <w:iCs/>
          <w:lang w:eastAsia="ar-SA"/>
        </w:rPr>
        <w:t xml:space="preserve"> </w:t>
      </w:r>
      <w:proofErr w:type="spellStart"/>
      <w:r w:rsidR="003121EE" w:rsidRPr="00975CA4">
        <w:rPr>
          <w:rFonts w:ascii="Times New Roman" w:eastAsia="SimSun" w:hAnsi="Times New Roman" w:cs="Times New Roman"/>
          <w:iCs/>
          <w:lang w:eastAsia="ar-SA"/>
        </w:rPr>
        <w:t>imatinibui</w:t>
      </w:r>
      <w:proofErr w:type="spellEnd"/>
      <w:r w:rsidR="003121EE" w:rsidRPr="00975CA4">
        <w:rPr>
          <w:rFonts w:ascii="Times New Roman" w:eastAsia="SimSun" w:hAnsi="Times New Roman" w:cs="Times New Roman"/>
          <w:iCs/>
          <w:lang w:eastAsia="ar-SA"/>
        </w:rPr>
        <w:t xml:space="preserve"> </w:t>
      </w:r>
      <w:r w:rsidRPr="00975CA4">
        <w:rPr>
          <w:rFonts w:ascii="Times New Roman" w:eastAsia="SimSun" w:hAnsi="Times New Roman" w:cs="Times New Roman"/>
          <w:iCs/>
          <w:lang w:eastAsia="ar-SA"/>
        </w:rPr>
        <w:t>anksčiau buvo pasiektas 28</w:t>
      </w:r>
      <w:r w:rsidR="006E28EE" w:rsidRPr="00975CA4">
        <w:rPr>
          <w:rFonts w:ascii="Times New Roman" w:eastAsia="SimSun" w:hAnsi="Times New Roman" w:cs="Times New Roman"/>
          <w:iCs/>
          <w:lang w:eastAsia="ar-SA"/>
        </w:rPr>
        <w:t> </w:t>
      </w:r>
      <w:r w:rsidRPr="00975CA4">
        <w:rPr>
          <w:rFonts w:ascii="Times New Roman" w:eastAsia="SimSun" w:hAnsi="Times New Roman" w:cs="Times New Roman"/>
          <w:iCs/>
          <w:lang w:eastAsia="ar-SA"/>
        </w:rPr>
        <w:t xml:space="preserve">% į </w:t>
      </w:r>
      <w:proofErr w:type="spellStart"/>
      <w:r w:rsidRPr="00975CA4">
        <w:rPr>
          <w:rFonts w:ascii="Times New Roman" w:eastAsia="SimSun" w:hAnsi="Times New Roman" w:cs="Times New Roman"/>
          <w:iCs/>
          <w:lang w:eastAsia="ar-SA"/>
        </w:rPr>
        <w:t>imatinibo</w:t>
      </w:r>
      <w:proofErr w:type="spellEnd"/>
      <w:r w:rsidRPr="00975CA4">
        <w:rPr>
          <w:rFonts w:ascii="Times New Roman" w:eastAsia="SimSun" w:hAnsi="Times New Roman" w:cs="Times New Roman"/>
          <w:iCs/>
          <w:lang w:eastAsia="ar-SA"/>
        </w:rPr>
        <w:t xml:space="preserve"> grupę ir 29</w:t>
      </w:r>
      <w:r w:rsidR="006E28EE" w:rsidRPr="00975CA4">
        <w:rPr>
          <w:rFonts w:ascii="Times New Roman" w:eastAsia="SimSun" w:hAnsi="Times New Roman" w:cs="Times New Roman"/>
          <w:iCs/>
          <w:lang w:eastAsia="ar-SA"/>
        </w:rPr>
        <w:t> </w:t>
      </w:r>
      <w:r w:rsidRPr="00975CA4">
        <w:rPr>
          <w:rFonts w:ascii="Times New Roman" w:eastAsia="SimSun" w:hAnsi="Times New Roman" w:cs="Times New Roman"/>
          <w:iCs/>
          <w:lang w:eastAsia="ar-SA"/>
        </w:rPr>
        <w:t xml:space="preserve">% į </w:t>
      </w:r>
      <w:proofErr w:type="spellStart"/>
      <w:r w:rsidRPr="00975CA4">
        <w:rPr>
          <w:rFonts w:ascii="Times New Roman" w:eastAsia="SimSun" w:hAnsi="Times New Roman" w:cs="Times New Roman"/>
          <w:iCs/>
          <w:lang w:eastAsia="ar-SA"/>
        </w:rPr>
        <w:t>dazatinibo</w:t>
      </w:r>
      <w:proofErr w:type="spellEnd"/>
      <w:r w:rsidRPr="00975CA4">
        <w:rPr>
          <w:rFonts w:ascii="Times New Roman" w:eastAsia="SimSun" w:hAnsi="Times New Roman" w:cs="Times New Roman"/>
          <w:iCs/>
          <w:lang w:eastAsia="ar-SA"/>
        </w:rPr>
        <w:t xml:space="preserve"> grupę įtrauktų pacientų.</w:t>
      </w:r>
    </w:p>
    <w:p w14:paraId="1AAF6607"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5E9E59F" w14:textId="6B3589B2"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Gydymo </w:t>
      </w:r>
      <w:proofErr w:type="spellStart"/>
      <w:r w:rsidRPr="00975CA4">
        <w:rPr>
          <w:rFonts w:ascii="Times New Roman" w:eastAsia="SimSun" w:hAnsi="Times New Roman" w:cs="Times New Roman"/>
          <w:iCs/>
          <w:color w:val="000000"/>
          <w:lang w:eastAsia="ar-SA"/>
        </w:rPr>
        <w:t>dazatinibu</w:t>
      </w:r>
      <w:proofErr w:type="spellEnd"/>
      <w:r w:rsidRPr="00975CA4">
        <w:rPr>
          <w:rFonts w:ascii="Times New Roman" w:eastAsia="SimSun" w:hAnsi="Times New Roman" w:cs="Times New Roman"/>
          <w:iCs/>
          <w:color w:val="000000"/>
          <w:lang w:eastAsia="ar-SA"/>
        </w:rPr>
        <w:t xml:space="preserve"> trukmės mediana buvo 23 mėnesiai (iki įvertinimo datos 44</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pacientų vartojo vaistinio preparato ilgiau kaip 24 mėnesius),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 3 mėnesiai (iki įvertinimo datos 10</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pacientų vartojo vaistinio preparato ilgiau kaip 24 mėnesius). Iki vaistinio preparato kryžminio keitimo visiškas hematologinis atsakas pasireiškė 93</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grupės ir 82</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grupės pacientų.</w:t>
      </w:r>
    </w:p>
    <w:p w14:paraId="091ADEC1"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6E04B5B" w14:textId="11BF881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Po 3 mėnesių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dažniau nustatytas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grupės pacientams (36</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negu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(29</w:t>
      </w:r>
      <w:r w:rsidR="006E28EE" w:rsidRPr="00975CA4">
        <w:t> </w:t>
      </w:r>
      <w:r w:rsidRPr="00975CA4">
        <w:rPr>
          <w:rFonts w:ascii="Times New Roman" w:eastAsia="SimSun" w:hAnsi="Times New Roman" w:cs="Times New Roman"/>
          <w:iCs/>
          <w:color w:val="000000"/>
          <w:lang w:eastAsia="ar-SA"/>
        </w:rPr>
        <w:t>%). Visiškas citogenetinis atsakas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pasireiškė 22</w:t>
      </w:r>
      <w:r w:rsidR="006E28E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grupės ir tik 8</w:t>
      </w:r>
      <w:r w:rsidR="0067403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grupės pacientų. Po ilgesnio gydymo ir stebėjimo laikotarpio (jo mediana – 24</w:t>
      </w:r>
      <w:r w:rsidR="0067403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mėn.)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pasireiškė 53</w:t>
      </w:r>
      <w:r w:rsidR="0067403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xml:space="preserve"> – 44</w:t>
      </w:r>
      <w:r w:rsidR="0067403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ir 33</w:t>
      </w:r>
      <w:r w:rsidR="0067403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vartojusių pacientų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xml:space="preserve"> – 18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iki vaistinio preparato kryžminio keitimo. Skaičiuojant tik tuos pacientus, kurie iki įtraukimo į šį tyrimą vartojo 400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dozę,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pasireiškė 61</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grupės ir 50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grupės pacientų.</w:t>
      </w:r>
    </w:p>
    <w:p w14:paraId="45B7D992"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9228504" w14:textId="09AC9F5C"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Apskaičiavus </w:t>
      </w:r>
      <w:proofErr w:type="spellStart"/>
      <w:r w:rsidRPr="00975CA4">
        <w:rPr>
          <w:rFonts w:ascii="Times New Roman" w:eastAsia="SimSun" w:hAnsi="Times New Roman" w:cs="Times New Roman"/>
          <w:i/>
          <w:iCs/>
          <w:color w:val="000000"/>
          <w:lang w:eastAsia="ar-SA"/>
        </w:rPr>
        <w:t>Kaplan-Meier</w:t>
      </w:r>
      <w:proofErr w:type="spellEnd"/>
      <w:r w:rsidRPr="00975CA4">
        <w:rPr>
          <w:rFonts w:ascii="Times New Roman" w:eastAsia="SimSun" w:hAnsi="Times New Roman" w:cs="Times New Roman"/>
          <w:iCs/>
          <w:color w:val="000000"/>
          <w:lang w:eastAsia="ar-SA"/>
        </w:rPr>
        <w:t xml:space="preserve"> metodu, pacientų, kuriems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išliko 1 metus, dalis tarp vartojusių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buvo 92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3657D" w:rsidRPr="00975CA4">
        <w:rPr>
          <w:rFonts w:ascii="Times New Roman" w:eastAsia="SimSun" w:hAnsi="Times New Roman" w:cs="Times New Roman"/>
          <w:iCs/>
          <w:color w:val="000000"/>
          <w:lang w:eastAsia="ar-SA"/>
        </w:rPr>
        <w:t>PI</w:t>
      </w:r>
      <w:r w:rsidR="00436397"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85-100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xml:space="preserve"> 97</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3657D" w:rsidRPr="00975CA4">
        <w:rPr>
          <w:rFonts w:ascii="Times New Roman" w:eastAsia="SimSun" w:hAnsi="Times New Roman" w:cs="Times New Roman"/>
          <w:iCs/>
          <w:color w:val="000000"/>
          <w:lang w:eastAsia="ar-SA"/>
        </w:rPr>
        <w:t>PI</w:t>
      </w:r>
      <w:r w:rsidR="00436397"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92-100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tarp vartojusių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 74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3657D" w:rsidRPr="00975CA4">
        <w:rPr>
          <w:rFonts w:ascii="Times New Roman" w:eastAsia="SimSun" w:hAnsi="Times New Roman" w:cs="Times New Roman"/>
          <w:iCs/>
          <w:color w:val="000000"/>
          <w:lang w:eastAsia="ar-SA"/>
        </w:rPr>
        <w:t>PI</w:t>
      </w:r>
      <w:r w:rsidR="00436397"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49-100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xml:space="preserve"> 100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Pacientų, kuriems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išliko 18 mėnesių, dalis tarp vartojusių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buvo 90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3657D" w:rsidRPr="00975CA4">
        <w:rPr>
          <w:rFonts w:ascii="Times New Roman" w:eastAsia="SimSun" w:hAnsi="Times New Roman" w:cs="Times New Roman"/>
          <w:iCs/>
          <w:color w:val="000000"/>
          <w:lang w:eastAsia="ar-SA"/>
        </w:rPr>
        <w:t>PI</w:t>
      </w:r>
      <w:r w:rsidR="00436397"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82-98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xml:space="preserve"> 94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3657D" w:rsidRPr="00975CA4">
        <w:rPr>
          <w:rFonts w:ascii="Times New Roman" w:eastAsia="SimSun" w:hAnsi="Times New Roman" w:cs="Times New Roman"/>
          <w:iCs/>
          <w:color w:val="000000"/>
          <w:lang w:eastAsia="ar-SA"/>
        </w:rPr>
        <w:t>PI</w:t>
      </w:r>
      <w:r w:rsidR="00436397"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87-100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tarp vartojusių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 74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3657D" w:rsidRPr="00975CA4">
        <w:rPr>
          <w:rFonts w:ascii="Times New Roman" w:eastAsia="SimSun" w:hAnsi="Times New Roman" w:cs="Times New Roman"/>
          <w:iCs/>
          <w:color w:val="000000"/>
          <w:lang w:eastAsia="ar-SA"/>
        </w:rPr>
        <w:t>PI</w:t>
      </w:r>
      <w:r w:rsidR="00436397"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49-100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xml:space="preserve"> – 100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p>
    <w:p w14:paraId="7C55AF29"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E2DA762" w14:textId="6968B941"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Apskaičiavus </w:t>
      </w:r>
      <w:proofErr w:type="spellStart"/>
      <w:r w:rsidRPr="00975CA4">
        <w:rPr>
          <w:rFonts w:ascii="Times New Roman" w:eastAsia="SimSun" w:hAnsi="Times New Roman" w:cs="Times New Roman"/>
          <w:i/>
          <w:iCs/>
          <w:color w:val="000000"/>
          <w:lang w:eastAsia="ar-SA"/>
        </w:rPr>
        <w:t>Kaplan-Meier</w:t>
      </w:r>
      <w:proofErr w:type="spellEnd"/>
      <w:r w:rsidRPr="00975CA4">
        <w:rPr>
          <w:rFonts w:ascii="Times New Roman" w:eastAsia="SimSun" w:hAnsi="Times New Roman" w:cs="Times New Roman"/>
          <w:iCs/>
          <w:color w:val="000000"/>
          <w:lang w:eastAsia="ar-SA"/>
        </w:rPr>
        <w:t xml:space="preserve"> metodu, pacientų, kurie ligai neprogresuojant išgyveno bent 1 metus, dalis tarp vartojusių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buvo 91</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3657D" w:rsidRPr="00975CA4">
        <w:rPr>
          <w:rFonts w:ascii="Times New Roman" w:eastAsia="SimSun" w:hAnsi="Times New Roman" w:cs="Times New Roman"/>
          <w:iCs/>
          <w:color w:val="000000"/>
          <w:lang w:eastAsia="ar-SA"/>
        </w:rPr>
        <w:t>PI</w:t>
      </w:r>
      <w:r w:rsidR="00436397"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85-97</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tarp vartojusių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 73</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3657D" w:rsidRPr="00975CA4">
        <w:rPr>
          <w:rFonts w:ascii="Times New Roman" w:eastAsia="SimSun" w:hAnsi="Times New Roman" w:cs="Times New Roman"/>
          <w:iCs/>
          <w:color w:val="000000"/>
          <w:lang w:eastAsia="ar-SA"/>
        </w:rPr>
        <w:t>PI</w:t>
      </w:r>
      <w:r w:rsidR="00436397"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54-91</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Pacientų, kurie ligai neprogresuojant išgyveno bent 2 metus, dalis tarp vartojusių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buvo 86 %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3657D" w:rsidRPr="00975CA4">
        <w:rPr>
          <w:rFonts w:ascii="Times New Roman" w:eastAsia="SimSun" w:hAnsi="Times New Roman" w:cs="Times New Roman"/>
          <w:iCs/>
          <w:color w:val="000000"/>
          <w:lang w:eastAsia="ar-SA"/>
        </w:rPr>
        <w:t>PI</w:t>
      </w:r>
      <w:r w:rsidR="00436397"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78-93</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tarp vartojusių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 65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3657D" w:rsidRPr="00975CA4">
        <w:rPr>
          <w:rFonts w:ascii="Times New Roman" w:eastAsia="SimSun" w:hAnsi="Times New Roman" w:cs="Times New Roman"/>
          <w:iCs/>
          <w:color w:val="000000"/>
          <w:lang w:eastAsia="ar-SA"/>
        </w:rPr>
        <w:t>PI</w:t>
      </w:r>
      <w:r w:rsidR="00436397"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43-87</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p>
    <w:p w14:paraId="387B6598"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0F54FF5" w14:textId="6CA1753A"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Iš viso 43</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grupės ir 82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grupės pacientų </w:t>
      </w:r>
      <w:r w:rsidR="00197F05" w:rsidRPr="00975CA4">
        <w:rPr>
          <w:rFonts w:ascii="Times New Roman" w:eastAsia="SimSun" w:hAnsi="Times New Roman" w:cs="Times New Roman"/>
          <w:iCs/>
          <w:color w:val="000000"/>
          <w:lang w:eastAsia="ar-SA"/>
        </w:rPr>
        <w:t xml:space="preserve">stebėtas </w:t>
      </w:r>
      <w:r w:rsidRPr="00975CA4">
        <w:rPr>
          <w:rFonts w:ascii="Times New Roman" w:eastAsia="SimSun" w:hAnsi="Times New Roman" w:cs="Times New Roman"/>
          <w:iCs/>
          <w:color w:val="000000"/>
          <w:lang w:eastAsia="ar-SA"/>
        </w:rPr>
        <w:t>gydymo nepakankamumas, apibūdinamas kaip ligos progresavimas arba paciento perkėlimas į tyrimo kryžminę grupę (dėl atsako nebuvimo, tiriamojo vaistinio preparato netoleravimo ir kt. priežasčių).</w:t>
      </w:r>
    </w:p>
    <w:p w14:paraId="0E095EBF"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88478DD" w14:textId="79D43F00"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Didžiojo molekulinio atsako dažnis (angl. </w:t>
      </w:r>
      <w:proofErr w:type="spellStart"/>
      <w:r w:rsidRPr="00975CA4">
        <w:rPr>
          <w:rFonts w:ascii="Times New Roman" w:eastAsia="SimSun" w:hAnsi="Times New Roman" w:cs="Times New Roman"/>
          <w:i/>
          <w:iCs/>
          <w:color w:val="000000"/>
          <w:lang w:eastAsia="ar-SA"/>
        </w:rPr>
        <w:t>major</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molecular</w:t>
      </w:r>
      <w:proofErr w:type="spellEnd"/>
      <w:r w:rsidRPr="00975CA4">
        <w:rPr>
          <w:rFonts w:ascii="Times New Roman" w:eastAsia="SimSun" w:hAnsi="Times New Roman" w:cs="Times New Roman"/>
          <w:i/>
          <w:iCs/>
          <w:color w:val="000000"/>
          <w:lang w:eastAsia="ar-SA"/>
        </w:rPr>
        <w:t xml:space="preserve"> </w:t>
      </w:r>
      <w:proofErr w:type="spellStart"/>
      <w:r w:rsidRPr="00975CA4">
        <w:rPr>
          <w:rFonts w:ascii="Times New Roman" w:eastAsia="SimSun" w:hAnsi="Times New Roman" w:cs="Times New Roman"/>
          <w:i/>
          <w:iCs/>
          <w:color w:val="000000"/>
          <w:lang w:eastAsia="ar-SA"/>
        </w:rPr>
        <w:t>response</w:t>
      </w:r>
      <w:r w:rsidR="00D3657D" w:rsidRPr="00975CA4">
        <w:rPr>
          <w:rFonts w:ascii="Times New Roman" w:eastAsia="SimSun" w:hAnsi="Times New Roman" w:cs="Times New Roman"/>
          <w:i/>
          <w:iCs/>
          <w:color w:val="000000"/>
          <w:lang w:eastAsia="ar-SA"/>
        </w:rPr>
        <w:t>,</w:t>
      </w:r>
      <w:r w:rsidR="00D3657D" w:rsidRPr="00975CA4">
        <w:rPr>
          <w:rFonts w:ascii="Times New Roman" w:eastAsia="SimSun" w:hAnsi="Times New Roman" w:cs="Times New Roman"/>
          <w:iCs/>
          <w:color w:val="000000"/>
          <w:lang w:eastAsia="ar-SA"/>
        </w:rPr>
        <w:t>MMR</w:t>
      </w:r>
      <w:proofErr w:type="spellEnd"/>
      <w:r w:rsidRPr="00975CA4">
        <w:rPr>
          <w:rFonts w:ascii="Times New Roman" w:eastAsia="SimSun" w:hAnsi="Times New Roman" w:cs="Times New Roman"/>
          <w:iCs/>
          <w:color w:val="000000"/>
          <w:lang w:eastAsia="ar-SA"/>
        </w:rPr>
        <w:t>) (apibūdinamas kaip BCR-ABL ir kontrolinių kopijų santykis</w:t>
      </w:r>
      <w:r w:rsidR="00197F05" w:rsidRPr="00975CA4">
        <w:rPr>
          <w:rFonts w:ascii="Times New Roman" w:eastAsia="SimSun" w:hAnsi="Times New Roman" w:cs="Times New Roman"/>
          <w:iCs/>
          <w:color w:val="000000"/>
          <w:lang w:eastAsia="ar-SA"/>
        </w:rPr>
        <w:t xml:space="preserve"> ≤ 0,1 %</w:t>
      </w:r>
      <w:r w:rsidRPr="00975CA4">
        <w:rPr>
          <w:rFonts w:ascii="Times New Roman" w:eastAsia="SimSun" w:hAnsi="Times New Roman" w:cs="Times New Roman"/>
          <w:iCs/>
          <w:color w:val="000000"/>
          <w:lang w:eastAsia="ar-SA"/>
        </w:rPr>
        <w:t xml:space="preserve"> periferinio kraujo mėginiuose RQ-PCR metodu) iki kryžminio vaistinio preparato keitimo buvo 29</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vartojant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ir 12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vartojant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w:t>
      </w:r>
    </w:p>
    <w:p w14:paraId="2D1D87F5"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0F59B64"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
          <w:iCs/>
          <w:color w:val="000000"/>
          <w:lang w:eastAsia="ar-SA"/>
        </w:rPr>
        <w:t>2–</w:t>
      </w:r>
      <w:proofErr w:type="spellStart"/>
      <w:r w:rsidRPr="00975CA4">
        <w:rPr>
          <w:rFonts w:ascii="Times New Roman" w:eastAsia="SimSun" w:hAnsi="Times New Roman" w:cs="Times New Roman"/>
          <w:i/>
          <w:iCs/>
          <w:color w:val="000000"/>
          <w:lang w:eastAsia="ar-SA"/>
        </w:rPr>
        <w:t>asis</w:t>
      </w:r>
      <w:proofErr w:type="spellEnd"/>
      <w:r w:rsidRPr="00975CA4">
        <w:rPr>
          <w:rFonts w:ascii="Times New Roman" w:eastAsia="SimSun" w:hAnsi="Times New Roman" w:cs="Times New Roman"/>
          <w:i/>
          <w:iCs/>
          <w:color w:val="000000"/>
          <w:lang w:eastAsia="ar-SA"/>
        </w:rPr>
        <w:t xml:space="preserve"> tyrimas</w:t>
      </w:r>
    </w:p>
    <w:p w14:paraId="49573FEB" w14:textId="2631A208"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Atviras vienos grupės </w:t>
      </w:r>
      <w:proofErr w:type="spellStart"/>
      <w:r w:rsidRPr="00975CA4">
        <w:rPr>
          <w:rFonts w:ascii="Times New Roman" w:eastAsia="SimSun" w:hAnsi="Times New Roman" w:cs="Times New Roman"/>
          <w:iCs/>
          <w:color w:val="000000"/>
          <w:lang w:eastAsia="ar-SA"/>
        </w:rPr>
        <w:t>daugiacentris</w:t>
      </w:r>
      <w:proofErr w:type="spellEnd"/>
      <w:r w:rsidRPr="00975CA4">
        <w:rPr>
          <w:rFonts w:ascii="Times New Roman" w:eastAsia="SimSun" w:hAnsi="Times New Roman" w:cs="Times New Roman"/>
          <w:iCs/>
          <w:color w:val="000000"/>
          <w:lang w:eastAsia="ar-SA"/>
        </w:rPr>
        <w:t xml:space="preserve"> tyrimas, kuriame dalyvavę pacientai sirgo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atsparia liga arba jo netoleravo (</w:t>
      </w:r>
      <w:proofErr w:type="spellStart"/>
      <w:r w:rsidRPr="00975CA4">
        <w:rPr>
          <w:rFonts w:ascii="Times New Roman" w:eastAsia="SimSun" w:hAnsi="Times New Roman" w:cs="Times New Roman"/>
          <w:iCs/>
          <w:color w:val="000000"/>
          <w:lang w:eastAsia="ar-SA"/>
        </w:rPr>
        <w:t>t.y</w:t>
      </w:r>
      <w:proofErr w:type="spellEnd"/>
      <w:r w:rsidRPr="00975CA4">
        <w:rPr>
          <w:rFonts w:ascii="Times New Roman" w:eastAsia="SimSun" w:hAnsi="Times New Roman" w:cs="Times New Roman"/>
          <w:iCs/>
          <w:color w:val="000000"/>
          <w:lang w:eastAsia="ar-SA"/>
        </w:rPr>
        <w:t xml:space="preserve">. pacientai, kuriems </w:t>
      </w:r>
      <w:r w:rsidR="00F30828" w:rsidRPr="00975CA4">
        <w:rPr>
          <w:rFonts w:ascii="Times New Roman" w:eastAsia="SimSun" w:hAnsi="Times New Roman" w:cs="Times New Roman"/>
          <w:iCs/>
          <w:color w:val="000000"/>
          <w:lang w:eastAsia="ar-SA"/>
        </w:rPr>
        <w:t xml:space="preserve">pasireiškęs </w:t>
      </w:r>
      <w:r w:rsidRPr="00975CA4">
        <w:rPr>
          <w:rFonts w:ascii="Times New Roman" w:eastAsia="SimSun" w:hAnsi="Times New Roman" w:cs="Times New Roman"/>
          <w:iCs/>
          <w:color w:val="000000"/>
          <w:lang w:eastAsia="ar-SA"/>
        </w:rPr>
        <w:t xml:space="preserve">reikšmingas toksiškumas gydymo </w:t>
      </w:r>
      <w:proofErr w:type="spellStart"/>
      <w:r w:rsidRPr="00975CA4">
        <w:rPr>
          <w:rFonts w:ascii="Times New Roman" w:eastAsia="SimSun" w:hAnsi="Times New Roman" w:cs="Times New Roman"/>
          <w:iCs/>
          <w:color w:val="000000"/>
          <w:lang w:eastAsia="ar-SA"/>
        </w:rPr>
        <w:t>imatinibu</w:t>
      </w:r>
      <w:proofErr w:type="spellEnd"/>
      <w:r w:rsidRPr="00975CA4">
        <w:rPr>
          <w:rFonts w:ascii="Times New Roman" w:eastAsia="SimSun" w:hAnsi="Times New Roman" w:cs="Times New Roman"/>
          <w:iCs/>
          <w:color w:val="000000"/>
          <w:lang w:eastAsia="ar-SA"/>
        </w:rPr>
        <w:t xml:space="preserve"> metu sukliudė tęsti šį gydymą).</w:t>
      </w:r>
    </w:p>
    <w:p w14:paraId="333BE620" w14:textId="77777777" w:rsidR="00733FA1" w:rsidRPr="00975CA4" w:rsidRDefault="00733FA1"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BF8259B" w14:textId="5EE1AD8F"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Iš viso 387 pacientai vartojo po 70</w:t>
      </w:r>
      <w:r w:rsidR="00197F05"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2 kartus per parą (288 pacientų liga buvo atspari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99 pacientai šio vaistinio preparato netoleravo). Laiko nuo diagnozės nustatymo iki gydymo pradžios mediana buvo 61 mėnesiai. Dauguma (53</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pacientų iki tol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vartojo ilgiau kaip 3 metus. Dauguma pacientų, kuriems pasireiškė atsparumas (72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vartojo &gt;</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600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Anksčiau </w:t>
      </w:r>
      <w:r w:rsidR="00733FA1" w:rsidRPr="00975CA4">
        <w:rPr>
          <w:rFonts w:ascii="Times New Roman" w:eastAsia="SimSun" w:hAnsi="Times New Roman" w:cs="Times New Roman"/>
          <w:iCs/>
          <w:color w:val="000000"/>
          <w:lang w:eastAsia="ar-SA"/>
        </w:rPr>
        <w:t>derinyje</w:t>
      </w:r>
      <w:r w:rsidRPr="00975CA4">
        <w:rPr>
          <w:rFonts w:ascii="Times New Roman" w:eastAsia="SimSun" w:hAnsi="Times New Roman" w:cs="Times New Roman"/>
          <w:iCs/>
          <w:color w:val="000000"/>
          <w:lang w:eastAsia="ar-SA"/>
        </w:rPr>
        <w:t xml:space="preserve"> su </w:t>
      </w:r>
      <w:proofErr w:type="spellStart"/>
      <w:r w:rsidRPr="00975CA4">
        <w:rPr>
          <w:rFonts w:ascii="Times New Roman" w:eastAsia="SimSun" w:hAnsi="Times New Roman" w:cs="Times New Roman"/>
          <w:iCs/>
          <w:color w:val="000000"/>
          <w:lang w:eastAsia="ar-SA"/>
        </w:rPr>
        <w:t>imatinibu</w:t>
      </w:r>
      <w:proofErr w:type="spellEnd"/>
      <w:r w:rsidRPr="00975CA4">
        <w:rPr>
          <w:rFonts w:ascii="Times New Roman" w:eastAsia="SimSun" w:hAnsi="Times New Roman" w:cs="Times New Roman"/>
          <w:iCs/>
          <w:color w:val="000000"/>
          <w:lang w:eastAsia="ar-SA"/>
        </w:rPr>
        <w:t xml:space="preserve"> 35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pacientų taikyta </w:t>
      </w:r>
      <w:proofErr w:type="spellStart"/>
      <w:r w:rsidRPr="00975CA4">
        <w:rPr>
          <w:rFonts w:ascii="Times New Roman" w:eastAsia="SimSun" w:hAnsi="Times New Roman" w:cs="Times New Roman"/>
          <w:iCs/>
          <w:color w:val="000000"/>
          <w:lang w:eastAsia="ar-SA"/>
        </w:rPr>
        <w:t>citotoksinė</w:t>
      </w:r>
      <w:proofErr w:type="spellEnd"/>
      <w:r w:rsidRPr="00975CA4">
        <w:rPr>
          <w:rFonts w:ascii="Times New Roman" w:eastAsia="SimSun" w:hAnsi="Times New Roman" w:cs="Times New Roman"/>
          <w:iCs/>
          <w:color w:val="000000"/>
          <w:lang w:eastAsia="ar-SA"/>
        </w:rPr>
        <w:t xml:space="preserve"> chemoterapija, 65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vartojo interferoną, 10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buvo persodinta kamieninių ląstelių. 38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pacientų iki gydymo buvo nustatyta atsparumą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lemiančių mutacijų.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vartojimo trukmės mediana buvo 24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51</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pacientų iki įvertinimo datos gydyti ilgiau kaip 24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mėn. Veiksmingumo duomenys pateikti </w:t>
      </w:r>
      <w:r w:rsidR="001F5876" w:rsidRPr="00975CA4">
        <w:rPr>
          <w:rFonts w:ascii="Times New Roman" w:eastAsia="SimSun" w:hAnsi="Times New Roman" w:cs="Times New Roman"/>
          <w:iCs/>
          <w:color w:val="000000"/>
          <w:lang w:eastAsia="ar-SA"/>
        </w:rPr>
        <w:t>11</w:t>
      </w:r>
      <w:r w:rsidRPr="00975CA4">
        <w:rPr>
          <w:rFonts w:ascii="Times New Roman" w:eastAsia="SimSun" w:hAnsi="Times New Roman" w:cs="Times New Roman"/>
          <w:iCs/>
          <w:color w:val="000000"/>
          <w:lang w:eastAsia="ar-SA"/>
        </w:rPr>
        <w:t xml:space="preserve"> lentelėje.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pasireiškė 55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pacientų, sirgusių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atsparia ligos forma, ir 82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netoleravusių pacientų. Per vėlesnį bent 24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mėn. trukmės stebėjimo laikotarpį liga progresavo ir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trukmės medianos nebuvo pasiekta 21 iš 240 pacientų, kuriems pasireiškė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w:t>
      </w:r>
    </w:p>
    <w:p w14:paraId="19C765D5"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19A4A8A" w14:textId="0E1C67E1"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Apskaičiavus </w:t>
      </w:r>
      <w:proofErr w:type="spellStart"/>
      <w:r w:rsidRPr="00975CA4">
        <w:rPr>
          <w:rFonts w:ascii="Times New Roman" w:eastAsia="SimSun" w:hAnsi="Times New Roman" w:cs="Times New Roman"/>
          <w:i/>
          <w:iCs/>
          <w:color w:val="000000"/>
          <w:lang w:eastAsia="ar-SA"/>
        </w:rPr>
        <w:t>Kaplan-Meier</w:t>
      </w:r>
      <w:proofErr w:type="spellEnd"/>
      <w:r w:rsidRPr="00975CA4">
        <w:rPr>
          <w:rFonts w:ascii="Times New Roman" w:eastAsia="SimSun" w:hAnsi="Times New Roman" w:cs="Times New Roman"/>
          <w:iCs/>
          <w:color w:val="000000"/>
          <w:lang w:eastAsia="ar-SA"/>
        </w:rPr>
        <w:t xml:space="preserve"> metodu,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A5395B" w:rsidRPr="00975CA4">
        <w:rPr>
          <w:rFonts w:ascii="Times New Roman" w:eastAsia="SimSun" w:hAnsi="Times New Roman" w:cs="Times New Roman"/>
          <w:iCs/>
          <w:color w:val="000000"/>
          <w:lang w:eastAsia="ar-SA"/>
        </w:rPr>
        <w:t>PI</w:t>
      </w:r>
      <w:r w:rsidR="00921D1A"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92-98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pacientų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išliko bent 1 metus, 88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A5395B" w:rsidRPr="00975CA4">
        <w:rPr>
          <w:rFonts w:ascii="Times New Roman" w:eastAsia="SimSun" w:hAnsi="Times New Roman" w:cs="Times New Roman"/>
          <w:iCs/>
          <w:color w:val="000000"/>
          <w:lang w:eastAsia="ar-SA"/>
        </w:rPr>
        <w:t>PI</w:t>
      </w:r>
      <w:r w:rsidR="00921D1A"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83-93</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 bent 2 metus. Pacientų, kuriems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xml:space="preserve"> išliko bent 1 metus, dalis buvo 97</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A5395B" w:rsidRPr="00975CA4">
        <w:rPr>
          <w:rFonts w:ascii="Times New Roman" w:eastAsia="SimSun" w:hAnsi="Times New Roman" w:cs="Times New Roman"/>
          <w:iCs/>
          <w:color w:val="000000"/>
          <w:lang w:eastAsia="ar-SA"/>
        </w:rPr>
        <w:t>PI</w:t>
      </w:r>
      <w:r w:rsidR="00921D1A"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94-99</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bent 2 metus – 90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A5395B" w:rsidRPr="00975CA4">
        <w:rPr>
          <w:rFonts w:ascii="Times New Roman" w:eastAsia="SimSun" w:hAnsi="Times New Roman" w:cs="Times New Roman"/>
          <w:iCs/>
          <w:color w:val="000000"/>
          <w:lang w:eastAsia="ar-SA"/>
        </w:rPr>
        <w:t>PI</w:t>
      </w:r>
      <w:r w:rsidR="00921D1A" w:rsidRPr="00975CA4">
        <w:rPr>
          <w:rFonts w:ascii="Times New Roman" w:eastAsia="SimSun" w:hAnsi="Times New Roman" w:cs="Times New Roman"/>
          <w:iCs/>
          <w:color w:val="000000"/>
          <w:lang w:eastAsia="ar-SA"/>
        </w:rPr>
        <w:t>:</w:t>
      </w:r>
      <w:r w:rsidR="00A5395B" w:rsidRPr="00975CA4">
        <w:rPr>
          <w:rFonts w:ascii="Times New Roman" w:eastAsia="SimSun" w:hAnsi="Times New Roman" w:cs="Times New Roman"/>
          <w:iCs/>
          <w:color w:val="000000"/>
          <w:lang w:eastAsia="ar-SA"/>
        </w:rPr>
        <w:t xml:space="preserve"> </w:t>
      </w:r>
      <w:r w:rsidR="00666328" w:rsidRPr="00975CA4">
        <w:rPr>
          <w:rFonts w:ascii="Times New Roman" w:eastAsia="SimSun" w:hAnsi="Times New Roman" w:cs="Times New Roman"/>
          <w:iCs/>
          <w:color w:val="000000"/>
          <w:lang w:eastAsia="ar-SA"/>
        </w:rPr>
        <w:t>86-</w:t>
      </w:r>
      <w:r w:rsidR="00840414" w:rsidRPr="00975CA4">
        <w:rPr>
          <w:rFonts w:ascii="Times New Roman" w:eastAsia="SimSun" w:hAnsi="Times New Roman" w:cs="Times New Roman"/>
          <w:iCs/>
          <w:color w:val="000000"/>
          <w:lang w:eastAsia="ar-SA"/>
        </w:rPr>
        <w:t>95 %)</w:t>
      </w:r>
      <w:r w:rsidR="004D0125" w:rsidRPr="00975CA4">
        <w:rPr>
          <w:rFonts w:ascii="Times New Roman" w:eastAsia="SimSun" w:hAnsi="Times New Roman" w:cs="Times New Roman"/>
          <w:iCs/>
          <w:color w:val="000000"/>
          <w:lang w:eastAsia="ar-SA"/>
        </w:rPr>
        <w:t>.</w:t>
      </w:r>
      <w:r w:rsidR="00840414" w:rsidRPr="00975CA4">
        <w:rPr>
          <w:rFonts w:ascii="Times New Roman" w:eastAsia="SimSun" w:hAnsi="Times New Roman" w:cs="Times New Roman"/>
          <w:iCs/>
          <w:color w:val="000000"/>
          <w:lang w:eastAsia="ar-SA"/>
        </w:rPr>
        <w:t xml:space="preserve"> 42 % pacientų, sirgusių </w:t>
      </w:r>
      <w:proofErr w:type="spellStart"/>
      <w:r w:rsidR="00840414" w:rsidRPr="00975CA4">
        <w:rPr>
          <w:rFonts w:ascii="Times New Roman" w:eastAsia="SimSun" w:hAnsi="Times New Roman" w:cs="Times New Roman"/>
          <w:iCs/>
          <w:color w:val="000000"/>
          <w:lang w:eastAsia="ar-SA"/>
        </w:rPr>
        <w:t>imatinibui</w:t>
      </w:r>
      <w:proofErr w:type="spellEnd"/>
      <w:r w:rsidR="00840414" w:rsidRPr="00975CA4">
        <w:rPr>
          <w:rFonts w:ascii="Times New Roman" w:eastAsia="SimSun" w:hAnsi="Times New Roman" w:cs="Times New Roman"/>
          <w:iCs/>
          <w:color w:val="000000"/>
          <w:lang w:eastAsia="ar-SA"/>
        </w:rPr>
        <w:t xml:space="preserve"> </w:t>
      </w:r>
      <w:r w:rsidRPr="00975CA4">
        <w:rPr>
          <w:rFonts w:ascii="Times New Roman" w:eastAsia="SimSun" w:hAnsi="Times New Roman" w:cs="Times New Roman"/>
          <w:iCs/>
          <w:color w:val="000000"/>
          <w:lang w:eastAsia="ar-SA"/>
        </w:rPr>
        <w:t xml:space="preserve">atsparia ligos forma (jiems anksčiau vartojus </w:t>
      </w:r>
      <w:proofErr w:type="spellStart"/>
      <w:r w:rsidRPr="00975CA4">
        <w:rPr>
          <w:rFonts w:ascii="Times New Roman" w:eastAsia="SimSun" w:hAnsi="Times New Roman" w:cs="Times New Roman"/>
          <w:iCs/>
          <w:color w:val="000000"/>
          <w:lang w:eastAsia="ar-SA"/>
        </w:rPr>
        <w:t>imatinibą</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nepasireiškė, n</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188), vartojant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pasireiškė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w:t>
      </w:r>
    </w:p>
    <w:p w14:paraId="672A3F69" w14:textId="77777777" w:rsidR="00733FA1" w:rsidRPr="00975CA4" w:rsidRDefault="00733FA1"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ACF9096" w14:textId="3D319FBA"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38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į šį tyrimą įtrauktų pacientų buvo nustatytos 45 įvairios BCR-ABL mutacijos. Visiškas hematologinis atsakas ar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pasireiškė pacientams, kuriems nustatyta įvairių BCR-ABL mutacijų, susijusių su atsparumu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išskyrus T315I. Pacientams, kuriems iki gydymo buvo aptikta BCR</w:t>
      </w:r>
      <w:r w:rsidR="00185F80"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ABL mutacijų, P-kilpos mutacijų ir kuriems mutacijų nerasta,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dažnis po 2 metų buvo panašus (atitinkamai 63</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61</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ir 62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p>
    <w:p w14:paraId="67EAA47B"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FB4E24B" w14:textId="3C0FBF99"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atsparia ligos forma sirgusių pacientų, kurie ligai neprogresuojant išgyveno bent 1 metus, apskaičiuotoji dalis buvo 88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8045A" w:rsidRPr="00975CA4">
        <w:rPr>
          <w:rFonts w:ascii="Times New Roman" w:eastAsia="SimSun" w:hAnsi="Times New Roman" w:cs="Times New Roman"/>
          <w:iCs/>
          <w:color w:val="000000"/>
          <w:lang w:eastAsia="ar-SA"/>
        </w:rPr>
        <w:t>PI</w:t>
      </w:r>
      <w:r w:rsidR="00921D1A"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84-92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bent 2 metus – 75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8045A" w:rsidRPr="00975CA4">
        <w:rPr>
          <w:rFonts w:ascii="Times New Roman" w:eastAsia="SimSun" w:hAnsi="Times New Roman" w:cs="Times New Roman"/>
          <w:iCs/>
          <w:color w:val="000000"/>
          <w:lang w:eastAsia="ar-SA"/>
        </w:rPr>
        <w:t>PI</w:t>
      </w:r>
      <w:r w:rsidR="00921D1A"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69-81</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netoleravusių pacientų, kurie ligai neprogresuojant išgyveno bent 1 metus, apskaičiuotoji dalis buvo 98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8045A" w:rsidRPr="00975CA4">
        <w:rPr>
          <w:rFonts w:ascii="Times New Roman" w:eastAsia="SimSun" w:hAnsi="Times New Roman" w:cs="Times New Roman"/>
          <w:iCs/>
          <w:color w:val="000000"/>
          <w:lang w:eastAsia="ar-SA"/>
        </w:rPr>
        <w:t>PI</w:t>
      </w:r>
      <w:r w:rsidR="00921D1A"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95-100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bent 2 metus – 94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D8045A" w:rsidRPr="00975CA4">
        <w:rPr>
          <w:rFonts w:ascii="Times New Roman" w:eastAsia="SimSun" w:hAnsi="Times New Roman" w:cs="Times New Roman"/>
          <w:iCs/>
          <w:color w:val="000000"/>
          <w:lang w:eastAsia="ar-SA"/>
        </w:rPr>
        <w:t>PI</w:t>
      </w:r>
      <w:r w:rsidR="00921D1A"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88-99</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p>
    <w:p w14:paraId="495A2865"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2CC79AB" w14:textId="556504CC"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Didžiojo molekulinio atsako dažnis po 24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buvo 45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atsparia ligos forma sergantiems pacientams – 35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netoleruojantiems – 74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p>
    <w:p w14:paraId="196459D5"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9D70982"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
          <w:iCs/>
          <w:color w:val="000000"/>
          <w:u w:val="single"/>
          <w:lang w:eastAsia="ar-SA"/>
        </w:rPr>
        <w:t>LML akceleracijos fazė</w:t>
      </w:r>
    </w:p>
    <w:p w14:paraId="0994A4DC" w14:textId="2494235B"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Atliktas atviras vienos grupės </w:t>
      </w:r>
      <w:proofErr w:type="spellStart"/>
      <w:r w:rsidRPr="00975CA4">
        <w:rPr>
          <w:rFonts w:ascii="Times New Roman" w:eastAsia="SimSun" w:hAnsi="Times New Roman" w:cs="Times New Roman"/>
          <w:iCs/>
          <w:color w:val="000000"/>
          <w:lang w:eastAsia="ar-SA"/>
        </w:rPr>
        <w:t>daugiacentrinis</w:t>
      </w:r>
      <w:proofErr w:type="spellEnd"/>
      <w:r w:rsidRPr="00975CA4">
        <w:rPr>
          <w:rFonts w:ascii="Times New Roman" w:eastAsia="SimSun" w:hAnsi="Times New Roman" w:cs="Times New Roman"/>
          <w:iCs/>
          <w:color w:val="000000"/>
          <w:lang w:eastAsia="ar-SA"/>
        </w:rPr>
        <w:t xml:space="preserve"> tyrimas, kuriame dalyvavę pacientai netoler</w:t>
      </w:r>
      <w:r w:rsidR="0094126D" w:rsidRPr="00975CA4">
        <w:rPr>
          <w:rFonts w:ascii="Times New Roman" w:eastAsia="SimSun" w:hAnsi="Times New Roman" w:cs="Times New Roman"/>
          <w:iCs/>
          <w:color w:val="000000"/>
          <w:lang w:eastAsia="ar-SA"/>
        </w:rPr>
        <w:t>avo</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arba s</w:t>
      </w:r>
      <w:r w:rsidR="0094126D" w:rsidRPr="00975CA4">
        <w:rPr>
          <w:rFonts w:ascii="Times New Roman" w:eastAsia="SimSun" w:hAnsi="Times New Roman" w:cs="Times New Roman"/>
          <w:iCs/>
          <w:color w:val="000000"/>
          <w:lang w:eastAsia="ar-SA"/>
        </w:rPr>
        <w:t>irgo</w:t>
      </w:r>
      <w:r w:rsidRPr="00975CA4">
        <w:rPr>
          <w:rFonts w:ascii="Times New Roman" w:eastAsia="SimSun" w:hAnsi="Times New Roman" w:cs="Times New Roman"/>
          <w:iCs/>
          <w:color w:val="000000"/>
          <w:lang w:eastAsia="ar-SA"/>
        </w:rPr>
        <w:t xml:space="preserve"> jam atsparia liga. Iš viso 174 pacientai vartojo po 70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2 kartus per parą (161 liga buvo atspari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13 šio vaistinio preparato netoleravo). Laiko nuo diagnozės nustatymo iki gydymo pradžios mediana buvo 82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mėn.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vartojimo trukmės mediana buvo 14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31</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pacientų iki įvertinimo datos gydyti ilgiau kaip 24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Didžiojo molekulinio atsako dažnis po 24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buvo 46</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(nustatytas 41 pacientui, kuriam pasireiškė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xml:space="preserve">). Kiti veiksmingumo duomenys pateikti </w:t>
      </w:r>
      <w:r w:rsidR="00733FA1" w:rsidRPr="00975CA4">
        <w:rPr>
          <w:rFonts w:ascii="Times New Roman" w:eastAsia="SimSun" w:hAnsi="Times New Roman" w:cs="Times New Roman"/>
          <w:iCs/>
          <w:color w:val="000000"/>
          <w:lang w:eastAsia="ar-SA"/>
        </w:rPr>
        <w:t>11</w:t>
      </w:r>
      <w:r w:rsidRPr="00975CA4">
        <w:rPr>
          <w:rFonts w:ascii="Times New Roman" w:eastAsia="SimSun" w:hAnsi="Times New Roman" w:cs="Times New Roman"/>
          <w:iCs/>
          <w:color w:val="000000"/>
          <w:lang w:eastAsia="ar-SA"/>
        </w:rPr>
        <w:t xml:space="preserve"> lentelėje.</w:t>
      </w:r>
    </w:p>
    <w:p w14:paraId="26853D3A"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08AA17A"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
          <w:iCs/>
          <w:color w:val="000000"/>
          <w:u w:val="single"/>
          <w:lang w:eastAsia="ar-SA"/>
        </w:rPr>
        <w:t xml:space="preserve">LML </w:t>
      </w:r>
      <w:proofErr w:type="spellStart"/>
      <w:r w:rsidRPr="00975CA4">
        <w:rPr>
          <w:rFonts w:ascii="Times New Roman" w:eastAsia="SimSun" w:hAnsi="Times New Roman" w:cs="Times New Roman"/>
          <w:i/>
          <w:iCs/>
          <w:color w:val="000000"/>
          <w:u w:val="single"/>
          <w:lang w:eastAsia="ar-SA"/>
        </w:rPr>
        <w:t>mieloidinių</w:t>
      </w:r>
      <w:proofErr w:type="spellEnd"/>
      <w:r w:rsidRPr="00975CA4">
        <w:rPr>
          <w:rFonts w:ascii="Times New Roman" w:eastAsia="SimSun" w:hAnsi="Times New Roman" w:cs="Times New Roman"/>
          <w:i/>
          <w:iCs/>
          <w:color w:val="000000"/>
          <w:u w:val="single"/>
          <w:lang w:eastAsia="ar-SA"/>
        </w:rPr>
        <w:t xml:space="preserve"> </w:t>
      </w:r>
      <w:proofErr w:type="spellStart"/>
      <w:r w:rsidRPr="00975CA4">
        <w:rPr>
          <w:rFonts w:ascii="Times New Roman" w:eastAsia="SimSun" w:hAnsi="Times New Roman" w:cs="Times New Roman"/>
          <w:i/>
          <w:iCs/>
          <w:color w:val="000000"/>
          <w:u w:val="single"/>
          <w:lang w:eastAsia="ar-SA"/>
        </w:rPr>
        <w:t>blastų</w:t>
      </w:r>
      <w:proofErr w:type="spellEnd"/>
      <w:r w:rsidRPr="00975CA4">
        <w:rPr>
          <w:rFonts w:ascii="Times New Roman" w:eastAsia="SimSun" w:hAnsi="Times New Roman" w:cs="Times New Roman"/>
          <w:i/>
          <w:iCs/>
          <w:color w:val="000000"/>
          <w:u w:val="single"/>
          <w:lang w:eastAsia="ar-SA"/>
        </w:rPr>
        <w:t xml:space="preserve"> fazė</w:t>
      </w:r>
    </w:p>
    <w:p w14:paraId="4161A321" w14:textId="3EF2CFE3"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
          <w:iCs/>
          <w:color w:val="000000"/>
          <w:u w:val="single"/>
          <w:lang w:eastAsia="ar-SA"/>
        </w:rPr>
      </w:pPr>
      <w:r w:rsidRPr="00975CA4">
        <w:rPr>
          <w:rFonts w:ascii="Times New Roman" w:eastAsia="SimSun" w:hAnsi="Times New Roman" w:cs="Times New Roman"/>
          <w:iCs/>
          <w:color w:val="000000"/>
          <w:lang w:eastAsia="ar-SA"/>
        </w:rPr>
        <w:t xml:space="preserve">Atliktas atviras vienos grupės </w:t>
      </w:r>
      <w:proofErr w:type="spellStart"/>
      <w:r w:rsidRPr="00975CA4">
        <w:rPr>
          <w:rFonts w:ascii="Times New Roman" w:eastAsia="SimSun" w:hAnsi="Times New Roman" w:cs="Times New Roman"/>
          <w:iCs/>
          <w:color w:val="000000"/>
          <w:lang w:eastAsia="ar-SA"/>
        </w:rPr>
        <w:t>daugiacentrinis</w:t>
      </w:r>
      <w:proofErr w:type="spellEnd"/>
      <w:r w:rsidRPr="00975CA4">
        <w:rPr>
          <w:rFonts w:ascii="Times New Roman" w:eastAsia="SimSun" w:hAnsi="Times New Roman" w:cs="Times New Roman"/>
          <w:iCs/>
          <w:color w:val="000000"/>
          <w:lang w:eastAsia="ar-SA"/>
        </w:rPr>
        <w:t xml:space="preserve"> tyrimas, kuriame dalyvavę pacientai netoler</w:t>
      </w:r>
      <w:r w:rsidR="0094126D" w:rsidRPr="00975CA4">
        <w:rPr>
          <w:rFonts w:ascii="Times New Roman" w:eastAsia="SimSun" w:hAnsi="Times New Roman" w:cs="Times New Roman"/>
          <w:iCs/>
          <w:color w:val="000000"/>
          <w:lang w:eastAsia="ar-SA"/>
        </w:rPr>
        <w:t>avo</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arba s</w:t>
      </w:r>
      <w:r w:rsidR="0094126D" w:rsidRPr="00975CA4">
        <w:rPr>
          <w:rFonts w:ascii="Times New Roman" w:eastAsia="SimSun" w:hAnsi="Times New Roman" w:cs="Times New Roman"/>
          <w:iCs/>
          <w:color w:val="000000"/>
          <w:lang w:eastAsia="ar-SA"/>
        </w:rPr>
        <w:t>irgo</w:t>
      </w:r>
      <w:r w:rsidRPr="00975CA4">
        <w:rPr>
          <w:rFonts w:ascii="Times New Roman" w:eastAsia="SimSun" w:hAnsi="Times New Roman" w:cs="Times New Roman"/>
          <w:iCs/>
          <w:color w:val="000000"/>
          <w:lang w:eastAsia="ar-SA"/>
        </w:rPr>
        <w:t xml:space="preserve"> jam atsparia liga. Iš viso 109 pacientai vartojo po 70</w:t>
      </w:r>
      <w:r w:rsidR="0094126D"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2 kartus per parą (99 liga buvo atspari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10 šio vaistinio preparato netoleravo). Laiko nuo diagnozės nustatymo iki gydymo pradžios mediana buvo 48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mėn.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vartojimo trukmės mediana buvo 3,5</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12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pacientų iki įvertinimo datos gydyti ilgiau kaip 24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Didžiojo molekulinio atsako dažnis po 24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buvo 68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(nustatytas 19 pacientų, kuriems pasireiškė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Kiti veiksmingumo duomenys pateikti 11 lentelėje.</w:t>
      </w:r>
    </w:p>
    <w:p w14:paraId="59BC12B6"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
          <w:iCs/>
          <w:color w:val="000000"/>
          <w:u w:val="single"/>
          <w:lang w:eastAsia="ar-SA"/>
        </w:rPr>
      </w:pPr>
    </w:p>
    <w:p w14:paraId="1F26B546"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roofErr w:type="spellStart"/>
      <w:r w:rsidRPr="00975CA4">
        <w:rPr>
          <w:rFonts w:ascii="Times New Roman" w:eastAsia="SimSun" w:hAnsi="Times New Roman" w:cs="Times New Roman"/>
          <w:i/>
          <w:iCs/>
          <w:color w:val="000000"/>
          <w:u w:val="single"/>
          <w:lang w:eastAsia="ar-SA"/>
        </w:rPr>
        <w:t>Limfoidinių</w:t>
      </w:r>
      <w:proofErr w:type="spellEnd"/>
      <w:r w:rsidRPr="00975CA4">
        <w:rPr>
          <w:rFonts w:ascii="Times New Roman" w:eastAsia="SimSun" w:hAnsi="Times New Roman" w:cs="Times New Roman"/>
          <w:i/>
          <w:iCs/>
          <w:color w:val="000000"/>
          <w:u w:val="single"/>
          <w:lang w:eastAsia="ar-SA"/>
        </w:rPr>
        <w:t xml:space="preserve"> </w:t>
      </w:r>
      <w:proofErr w:type="spellStart"/>
      <w:r w:rsidRPr="00975CA4">
        <w:rPr>
          <w:rFonts w:ascii="Times New Roman" w:eastAsia="SimSun" w:hAnsi="Times New Roman" w:cs="Times New Roman"/>
          <w:i/>
          <w:iCs/>
          <w:color w:val="000000"/>
          <w:u w:val="single"/>
          <w:lang w:eastAsia="ar-SA"/>
        </w:rPr>
        <w:t>blastų</w:t>
      </w:r>
      <w:proofErr w:type="spellEnd"/>
      <w:r w:rsidRPr="00975CA4">
        <w:rPr>
          <w:rFonts w:ascii="Times New Roman" w:eastAsia="SimSun" w:hAnsi="Times New Roman" w:cs="Times New Roman"/>
          <w:i/>
          <w:iCs/>
          <w:color w:val="000000"/>
          <w:u w:val="single"/>
          <w:lang w:eastAsia="ar-SA"/>
        </w:rPr>
        <w:t xml:space="preserve"> fazės LML ir </w:t>
      </w:r>
      <w:proofErr w:type="spellStart"/>
      <w:r w:rsidRPr="00975CA4">
        <w:rPr>
          <w:rFonts w:ascii="Times New Roman" w:eastAsia="SimSun" w:hAnsi="Times New Roman" w:cs="Times New Roman"/>
          <w:i/>
          <w:iCs/>
          <w:color w:val="000000"/>
          <w:u w:val="single"/>
          <w:lang w:eastAsia="ar-SA"/>
        </w:rPr>
        <w:t>Ph</w:t>
      </w:r>
      <w:proofErr w:type="spellEnd"/>
      <w:r w:rsidRPr="00975CA4">
        <w:rPr>
          <w:rFonts w:ascii="Times New Roman" w:eastAsia="SimSun" w:hAnsi="Times New Roman" w:cs="Times New Roman"/>
          <w:i/>
          <w:iCs/>
          <w:color w:val="000000"/>
          <w:u w:val="single"/>
          <w:lang w:eastAsia="ar-SA"/>
        </w:rPr>
        <w:t>+ ŪLL</w:t>
      </w:r>
    </w:p>
    <w:p w14:paraId="2B04FA26" w14:textId="6747D092"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Atliktas atviras vienos grupės </w:t>
      </w:r>
      <w:proofErr w:type="spellStart"/>
      <w:r w:rsidRPr="00975CA4">
        <w:rPr>
          <w:rFonts w:ascii="Times New Roman" w:eastAsia="SimSun" w:hAnsi="Times New Roman" w:cs="Times New Roman"/>
          <w:iCs/>
          <w:color w:val="000000"/>
          <w:lang w:eastAsia="ar-SA"/>
        </w:rPr>
        <w:t>daugiacentrinis</w:t>
      </w:r>
      <w:proofErr w:type="spellEnd"/>
      <w:r w:rsidRPr="00975CA4">
        <w:rPr>
          <w:rFonts w:ascii="Times New Roman" w:eastAsia="SimSun" w:hAnsi="Times New Roman" w:cs="Times New Roman"/>
          <w:iCs/>
          <w:color w:val="000000"/>
          <w:lang w:eastAsia="ar-SA"/>
        </w:rPr>
        <w:t xml:space="preserve"> tyrimas su LML </w:t>
      </w:r>
      <w:proofErr w:type="spellStart"/>
      <w:r w:rsidRPr="00975CA4">
        <w:rPr>
          <w:rFonts w:ascii="Times New Roman" w:eastAsia="SimSun" w:hAnsi="Times New Roman" w:cs="Times New Roman"/>
          <w:iCs/>
          <w:color w:val="000000"/>
          <w:lang w:eastAsia="ar-SA"/>
        </w:rPr>
        <w:t>limfoidinių</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faze ir </w:t>
      </w:r>
      <w:proofErr w:type="spellStart"/>
      <w:r w:rsidRPr="00975CA4">
        <w:rPr>
          <w:rFonts w:ascii="Times New Roman" w:eastAsia="SimSun" w:hAnsi="Times New Roman" w:cs="Times New Roman"/>
          <w:iCs/>
          <w:color w:val="000000"/>
          <w:lang w:eastAsia="ar-SA"/>
        </w:rPr>
        <w:t>Ph</w:t>
      </w:r>
      <w:proofErr w:type="spellEnd"/>
      <w:r w:rsidRPr="00975CA4">
        <w:rPr>
          <w:rFonts w:ascii="Times New Roman" w:eastAsia="SimSun" w:hAnsi="Times New Roman" w:cs="Times New Roman"/>
          <w:iCs/>
          <w:color w:val="000000"/>
          <w:lang w:eastAsia="ar-SA"/>
        </w:rPr>
        <w:t xml:space="preserve">+ ŪLL </w:t>
      </w:r>
      <w:r w:rsidRPr="00975CA4">
        <w:rPr>
          <w:rFonts w:ascii="Times New Roman" w:eastAsia="SimSun" w:hAnsi="Times New Roman" w:cs="Times New Roman"/>
          <w:iCs/>
          <w:color w:val="000000"/>
          <w:lang w:eastAsia="ar-SA"/>
        </w:rPr>
        <w:lastRenderedPageBreak/>
        <w:t xml:space="preserve">sergančiais pacientais, kurie anksčiau netoleravo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arba sirgo jam atsparia liga. Iš viso 48 pacientai, sergantys LML </w:t>
      </w:r>
      <w:proofErr w:type="spellStart"/>
      <w:r w:rsidRPr="00975CA4">
        <w:rPr>
          <w:rFonts w:ascii="Times New Roman" w:eastAsia="SimSun" w:hAnsi="Times New Roman" w:cs="Times New Roman"/>
          <w:iCs/>
          <w:color w:val="000000"/>
          <w:lang w:eastAsia="ar-SA"/>
        </w:rPr>
        <w:t>limfoidinių</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faze, vartojo po 70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2 kartus per parą (42 liga buvo atspari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6 šio vaistinio preparato netoleravo). Laiko nuo diagnozės nustatymo iki gydymo pradžios mediana buvo 28</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mėn.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vartojimo trukmės mediana buvo 3 mėnesiai, 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pacientų iki įvertinimo datos gydyti ilgiau kaip 24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Didžiojo molekulinio atsako dažnis po 24</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buvo 50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(nustatytas visiems 22 gydytiems pacientams, kuriems pasireiškė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Be to, po 70</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2 kartus per parą vartojo 46 </w:t>
      </w:r>
      <w:proofErr w:type="spellStart"/>
      <w:r w:rsidRPr="00975CA4">
        <w:rPr>
          <w:rFonts w:ascii="Times New Roman" w:eastAsia="SimSun" w:hAnsi="Times New Roman" w:cs="Times New Roman"/>
          <w:iCs/>
          <w:color w:val="000000"/>
          <w:lang w:eastAsia="ar-SA"/>
        </w:rPr>
        <w:t>Ph</w:t>
      </w:r>
      <w:proofErr w:type="spellEnd"/>
      <w:r w:rsidRPr="00975CA4">
        <w:rPr>
          <w:rFonts w:ascii="Times New Roman" w:eastAsia="SimSun" w:hAnsi="Times New Roman" w:cs="Times New Roman"/>
          <w:iCs/>
          <w:color w:val="000000"/>
          <w:lang w:eastAsia="ar-SA"/>
        </w:rPr>
        <w:t xml:space="preserve">+ ŪLL sirgę pacientai (44 liga buvo atspari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2 šio vaistinio preparato netoleravo). Laiko nuo diagnozės nustatymo iki gydymo pradžios mediana buvo 18 mėnesių.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vartojimo trukmės mediana buvo 3 mėnesiai</w:t>
      </w:r>
      <w:r w:rsidR="0094126D"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7</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pacientų iki įvertinimo datos gydyti ilgiau kaip 24 mėnesius. Didžiojo molekulinio atsako dažnis po 24 mėnesių buvo 52</w:t>
      </w:r>
      <w:r w:rsidR="005E0CEB"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(nustatytas visiems 25 gydytiems pacientams, kuriems pasireiškė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Kiti veiksmingumo duomenys pateikti 11 lentelėje. Pastebėtina, kad didysis hematologinis atsakas (</w:t>
      </w:r>
      <w:proofErr w:type="spellStart"/>
      <w:r w:rsidRPr="00975CA4">
        <w:rPr>
          <w:rFonts w:ascii="Times New Roman" w:eastAsia="SimSun" w:hAnsi="Times New Roman" w:cs="Times New Roman"/>
          <w:iCs/>
          <w:color w:val="000000"/>
          <w:lang w:eastAsia="ar-SA"/>
        </w:rPr>
        <w:t>MaHR</w:t>
      </w:r>
      <w:proofErr w:type="spellEnd"/>
      <w:r w:rsidRPr="00975CA4">
        <w:rPr>
          <w:rFonts w:ascii="Times New Roman" w:eastAsia="SimSun" w:hAnsi="Times New Roman" w:cs="Times New Roman"/>
          <w:iCs/>
          <w:color w:val="000000"/>
          <w:lang w:eastAsia="ar-SA"/>
        </w:rPr>
        <w:t xml:space="preserve">) pasireikšdavo greitai (LML </w:t>
      </w:r>
      <w:proofErr w:type="spellStart"/>
      <w:r w:rsidRPr="00975CA4">
        <w:rPr>
          <w:rFonts w:ascii="Times New Roman" w:eastAsia="SimSun" w:hAnsi="Times New Roman" w:cs="Times New Roman"/>
          <w:iCs/>
          <w:color w:val="000000"/>
          <w:lang w:eastAsia="ar-SA"/>
        </w:rPr>
        <w:t>limfoidinių</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faze sergantiems pacientams dažniausiai per 35 dienas, sergantiems </w:t>
      </w:r>
      <w:proofErr w:type="spellStart"/>
      <w:r w:rsidRPr="00975CA4">
        <w:rPr>
          <w:rFonts w:ascii="Times New Roman" w:eastAsia="SimSun" w:hAnsi="Times New Roman" w:cs="Times New Roman"/>
          <w:iCs/>
          <w:color w:val="000000"/>
          <w:lang w:eastAsia="ar-SA"/>
        </w:rPr>
        <w:t>Ph</w:t>
      </w:r>
      <w:proofErr w:type="spellEnd"/>
      <w:r w:rsidRPr="00975CA4">
        <w:rPr>
          <w:rFonts w:ascii="Times New Roman" w:eastAsia="SimSun" w:hAnsi="Times New Roman" w:cs="Times New Roman"/>
          <w:iCs/>
          <w:color w:val="000000"/>
          <w:lang w:eastAsia="ar-SA"/>
        </w:rPr>
        <w:t xml:space="preserve">+ ŪLL – per 55 dienas po pirmojo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pavartojimo). </w:t>
      </w:r>
    </w:p>
    <w:p w14:paraId="78FD54B9" w14:textId="77777777" w:rsidR="006C568D" w:rsidRPr="00975CA4" w:rsidRDefault="006C568D" w:rsidP="006C568D">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9A84401" w14:textId="77777777" w:rsidR="006C568D" w:rsidRPr="00975CA4" w:rsidRDefault="006C568D" w:rsidP="00733FA1">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b/>
          <w:iCs/>
          <w:color w:val="000000"/>
          <w:lang w:eastAsia="ar-SA"/>
        </w:rPr>
        <w:t xml:space="preserve">11 lentelė. </w:t>
      </w:r>
      <w:proofErr w:type="spellStart"/>
      <w:r w:rsidRPr="00975CA4">
        <w:rPr>
          <w:rFonts w:ascii="Times New Roman" w:eastAsia="SimSun" w:hAnsi="Times New Roman" w:cs="Times New Roman"/>
          <w:b/>
          <w:iCs/>
          <w:color w:val="000000"/>
          <w:lang w:eastAsia="ar-SA"/>
        </w:rPr>
        <w:t>Dazatinibo</w:t>
      </w:r>
      <w:proofErr w:type="spellEnd"/>
      <w:r w:rsidRPr="00975CA4">
        <w:rPr>
          <w:rFonts w:ascii="Times New Roman" w:eastAsia="SimSun" w:hAnsi="Times New Roman" w:cs="Times New Roman"/>
          <w:b/>
          <w:iCs/>
          <w:color w:val="000000"/>
          <w:lang w:eastAsia="ar-SA"/>
        </w:rPr>
        <w:t xml:space="preserve"> veiksmingumas II fazės vienos grupės klinikinių tyrimų </w:t>
      </w:r>
      <w:proofErr w:type="spellStart"/>
      <w:r w:rsidRPr="00975CA4">
        <w:rPr>
          <w:rFonts w:ascii="Times New Roman" w:eastAsia="SimSun" w:hAnsi="Times New Roman" w:cs="Times New Roman"/>
          <w:b/>
          <w:iCs/>
          <w:color w:val="000000"/>
          <w:lang w:eastAsia="ar-SA"/>
        </w:rPr>
        <w:t>metu</w:t>
      </w:r>
      <w:r w:rsidRPr="00975CA4">
        <w:rPr>
          <w:rFonts w:ascii="Times New Roman" w:eastAsia="SimSun" w:hAnsi="Times New Roman" w:cs="Times New Roman"/>
          <w:b/>
          <w:iCs/>
          <w:color w:val="000000"/>
          <w:vertAlign w:val="superscript"/>
          <w:lang w:eastAsia="ar-SA"/>
        </w:rPr>
        <w:t>a</w:t>
      </w:r>
      <w:proofErr w:type="spellEnd"/>
    </w:p>
    <w:p w14:paraId="3745AB83" w14:textId="77777777" w:rsidR="006C568D" w:rsidRPr="00975CA4" w:rsidRDefault="006C568D" w:rsidP="00733FA1">
      <w:pPr>
        <w:spacing w:after="0" w:line="240" w:lineRule="auto"/>
        <w:rPr>
          <w:rFonts w:ascii="Times New Roman" w:eastAsia="Calibri" w:hAnsi="Times New Roman" w:cs="Times New Roman"/>
          <w:lang w:eastAsia="ar-SA"/>
        </w:rPr>
      </w:pPr>
    </w:p>
    <w:tbl>
      <w:tblPr>
        <w:tblStyle w:val="Lentelstinklelis"/>
        <w:tblW w:w="10182" w:type="dxa"/>
        <w:jc w:val="center"/>
        <w:tblLook w:val="04A0" w:firstRow="1" w:lastRow="0" w:firstColumn="1" w:lastColumn="0" w:noHBand="0" w:noVBand="1"/>
      </w:tblPr>
      <w:tblGrid>
        <w:gridCol w:w="1898"/>
        <w:gridCol w:w="1390"/>
        <w:gridCol w:w="1625"/>
        <w:gridCol w:w="1745"/>
        <w:gridCol w:w="1842"/>
        <w:gridCol w:w="1667"/>
        <w:gridCol w:w="15"/>
      </w:tblGrid>
      <w:tr w:rsidR="00733FA1" w:rsidRPr="00975CA4" w14:paraId="0B922040" w14:textId="77777777" w:rsidTr="005A4CE0">
        <w:trPr>
          <w:gridAfter w:val="1"/>
          <w:wAfter w:w="15" w:type="dxa"/>
          <w:trHeight w:val="567"/>
          <w:jc w:val="center"/>
        </w:trPr>
        <w:tc>
          <w:tcPr>
            <w:tcW w:w="1898" w:type="dxa"/>
            <w:tcBorders>
              <w:top w:val="single" w:sz="4" w:space="0" w:color="000000"/>
              <w:left w:val="single" w:sz="4" w:space="0" w:color="000000"/>
              <w:bottom w:val="single" w:sz="4" w:space="0" w:color="000000"/>
              <w:right w:val="single" w:sz="4" w:space="0" w:color="000000"/>
            </w:tcBorders>
          </w:tcPr>
          <w:p w14:paraId="06D18F91" w14:textId="77777777" w:rsidR="00733FA1" w:rsidRPr="00975CA4" w:rsidRDefault="00733FA1" w:rsidP="00733FA1">
            <w:pPr>
              <w:rPr>
                <w:sz w:val="22"/>
                <w:szCs w:val="22"/>
              </w:rPr>
            </w:pPr>
          </w:p>
        </w:tc>
        <w:tc>
          <w:tcPr>
            <w:tcW w:w="1390" w:type="dxa"/>
            <w:tcBorders>
              <w:top w:val="single" w:sz="4" w:space="0" w:color="000000"/>
              <w:left w:val="single" w:sz="4" w:space="0" w:color="000000"/>
              <w:bottom w:val="single" w:sz="4" w:space="0" w:color="000000"/>
              <w:right w:val="single" w:sz="4" w:space="0" w:color="000000"/>
            </w:tcBorders>
            <w:hideMark/>
          </w:tcPr>
          <w:p w14:paraId="307D7263" w14:textId="77777777" w:rsidR="00733FA1" w:rsidRPr="00975CA4" w:rsidRDefault="00733FA1" w:rsidP="00733FA1">
            <w:pPr>
              <w:ind w:left="-172" w:right="-153"/>
              <w:jc w:val="center"/>
              <w:rPr>
                <w:rFonts w:eastAsia="Times New Roman"/>
                <w:b/>
                <w:bCs/>
                <w:sz w:val="22"/>
                <w:szCs w:val="22"/>
              </w:rPr>
            </w:pPr>
            <w:r w:rsidRPr="00975CA4">
              <w:rPr>
                <w:rFonts w:eastAsia="Times New Roman"/>
                <w:b/>
                <w:bCs/>
                <w:sz w:val="22"/>
                <w:szCs w:val="22"/>
              </w:rPr>
              <w:t>Lėtinė</w:t>
            </w:r>
          </w:p>
          <w:p w14:paraId="579A0918" w14:textId="6E17A058" w:rsidR="00733FA1" w:rsidRPr="00975CA4" w:rsidRDefault="00733FA1" w:rsidP="005E0CEB">
            <w:pPr>
              <w:ind w:left="-172" w:right="-153"/>
              <w:jc w:val="center"/>
              <w:rPr>
                <w:sz w:val="22"/>
                <w:szCs w:val="22"/>
              </w:rPr>
            </w:pPr>
            <w:r w:rsidRPr="00975CA4">
              <w:rPr>
                <w:rFonts w:eastAsia="Times New Roman"/>
                <w:b/>
                <w:bCs/>
                <w:sz w:val="22"/>
                <w:szCs w:val="22"/>
              </w:rPr>
              <w:t>(n</w:t>
            </w:r>
            <w:r w:rsidR="005E0CEB" w:rsidRPr="00975CA4">
              <w:rPr>
                <w:rFonts w:eastAsia="Times New Roman"/>
                <w:b/>
                <w:bCs/>
                <w:sz w:val="22"/>
                <w:szCs w:val="22"/>
              </w:rPr>
              <w:t> </w:t>
            </w:r>
            <w:r w:rsidRPr="00975CA4">
              <w:rPr>
                <w:rFonts w:eastAsia="Times New Roman"/>
                <w:b/>
                <w:bCs/>
                <w:sz w:val="22"/>
                <w:szCs w:val="22"/>
              </w:rPr>
              <w:t>=</w:t>
            </w:r>
            <w:r w:rsidR="005E0CEB" w:rsidRPr="00975CA4">
              <w:rPr>
                <w:rFonts w:eastAsia="Times New Roman"/>
                <w:b/>
                <w:bCs/>
                <w:sz w:val="22"/>
                <w:szCs w:val="22"/>
              </w:rPr>
              <w:t> </w:t>
            </w:r>
            <w:r w:rsidRPr="00975CA4">
              <w:rPr>
                <w:rFonts w:eastAsia="Times New Roman"/>
                <w:b/>
                <w:bCs/>
                <w:sz w:val="22"/>
                <w:szCs w:val="22"/>
              </w:rPr>
              <w:t>387)</w:t>
            </w:r>
          </w:p>
        </w:tc>
        <w:tc>
          <w:tcPr>
            <w:tcW w:w="1625" w:type="dxa"/>
            <w:tcBorders>
              <w:top w:val="single" w:sz="4" w:space="0" w:color="000000"/>
              <w:left w:val="single" w:sz="4" w:space="0" w:color="000000"/>
              <w:bottom w:val="single" w:sz="4" w:space="0" w:color="000000"/>
              <w:right w:val="single" w:sz="4" w:space="0" w:color="000000"/>
            </w:tcBorders>
            <w:hideMark/>
          </w:tcPr>
          <w:p w14:paraId="4B5BC259" w14:textId="77777777" w:rsidR="00733FA1" w:rsidRPr="00975CA4" w:rsidRDefault="00733FA1" w:rsidP="00733FA1">
            <w:pPr>
              <w:ind w:left="-172" w:right="-155"/>
              <w:jc w:val="center"/>
              <w:rPr>
                <w:rFonts w:eastAsia="Times New Roman"/>
                <w:sz w:val="22"/>
                <w:szCs w:val="22"/>
              </w:rPr>
            </w:pPr>
            <w:r w:rsidRPr="00975CA4">
              <w:rPr>
                <w:rFonts w:eastAsia="Times New Roman"/>
                <w:b/>
                <w:bCs/>
                <w:sz w:val="22"/>
                <w:szCs w:val="22"/>
              </w:rPr>
              <w:t>Ak</w:t>
            </w:r>
            <w:r w:rsidR="005A4CE0" w:rsidRPr="00975CA4">
              <w:rPr>
                <w:rFonts w:eastAsia="Times New Roman"/>
                <w:b/>
                <w:bCs/>
                <w:sz w:val="22"/>
                <w:szCs w:val="22"/>
              </w:rPr>
              <w:t>c</w:t>
            </w:r>
            <w:r w:rsidRPr="00975CA4">
              <w:rPr>
                <w:rFonts w:eastAsia="Times New Roman"/>
                <w:b/>
                <w:bCs/>
                <w:sz w:val="22"/>
                <w:szCs w:val="22"/>
              </w:rPr>
              <w:t>eleracijos</w:t>
            </w:r>
          </w:p>
          <w:p w14:paraId="1A3BA800" w14:textId="13E2CDAB" w:rsidR="00733FA1" w:rsidRPr="00975CA4" w:rsidRDefault="00733FA1" w:rsidP="00733FA1">
            <w:pPr>
              <w:ind w:left="-172" w:right="-155"/>
              <w:jc w:val="center"/>
              <w:rPr>
                <w:sz w:val="22"/>
                <w:szCs w:val="22"/>
              </w:rPr>
            </w:pPr>
            <w:r w:rsidRPr="00975CA4">
              <w:rPr>
                <w:rFonts w:eastAsia="Times New Roman"/>
                <w:b/>
                <w:bCs/>
                <w:sz w:val="22"/>
                <w:szCs w:val="22"/>
              </w:rPr>
              <w:t>(n</w:t>
            </w:r>
            <w:r w:rsidR="005E0CEB" w:rsidRPr="00975CA4">
              <w:rPr>
                <w:rFonts w:eastAsia="Times New Roman"/>
                <w:b/>
                <w:bCs/>
                <w:sz w:val="22"/>
                <w:szCs w:val="22"/>
              </w:rPr>
              <w:t> </w:t>
            </w:r>
            <w:r w:rsidRPr="00975CA4">
              <w:rPr>
                <w:rFonts w:eastAsia="Times New Roman"/>
                <w:b/>
                <w:bCs/>
                <w:sz w:val="22"/>
                <w:szCs w:val="22"/>
              </w:rPr>
              <w:t>=</w:t>
            </w:r>
            <w:r w:rsidR="005E0CEB" w:rsidRPr="00975CA4">
              <w:rPr>
                <w:rFonts w:eastAsia="Times New Roman"/>
                <w:b/>
                <w:bCs/>
                <w:sz w:val="22"/>
                <w:szCs w:val="22"/>
              </w:rPr>
              <w:t> </w:t>
            </w:r>
            <w:r w:rsidRPr="00975CA4">
              <w:rPr>
                <w:rFonts w:eastAsia="Times New Roman"/>
                <w:b/>
                <w:bCs/>
                <w:sz w:val="22"/>
                <w:szCs w:val="22"/>
              </w:rPr>
              <w:t>174)</w:t>
            </w:r>
          </w:p>
        </w:tc>
        <w:tc>
          <w:tcPr>
            <w:tcW w:w="1745" w:type="dxa"/>
            <w:tcBorders>
              <w:top w:val="single" w:sz="4" w:space="0" w:color="000000"/>
              <w:left w:val="single" w:sz="4" w:space="0" w:color="000000"/>
              <w:bottom w:val="single" w:sz="4" w:space="0" w:color="000000"/>
              <w:right w:val="single" w:sz="4" w:space="0" w:color="000000"/>
            </w:tcBorders>
            <w:hideMark/>
          </w:tcPr>
          <w:p w14:paraId="7DA8CF67" w14:textId="77777777" w:rsidR="00733FA1" w:rsidRPr="00975CA4" w:rsidRDefault="005A4CE0" w:rsidP="00733FA1">
            <w:pPr>
              <w:ind w:left="-172" w:right="-155"/>
              <w:jc w:val="center"/>
              <w:rPr>
                <w:rFonts w:eastAsia="Times New Roman"/>
                <w:sz w:val="22"/>
                <w:szCs w:val="22"/>
              </w:rPr>
            </w:pPr>
            <w:proofErr w:type="spellStart"/>
            <w:r w:rsidRPr="00975CA4">
              <w:rPr>
                <w:rFonts w:eastAsia="Times New Roman"/>
                <w:b/>
                <w:bCs/>
                <w:sz w:val="22"/>
                <w:szCs w:val="22"/>
              </w:rPr>
              <w:t>Mieloidinių</w:t>
            </w:r>
            <w:proofErr w:type="spellEnd"/>
            <w:r w:rsidRPr="00975CA4">
              <w:rPr>
                <w:rFonts w:eastAsia="Times New Roman"/>
                <w:b/>
                <w:bCs/>
                <w:sz w:val="22"/>
                <w:szCs w:val="22"/>
              </w:rPr>
              <w:t xml:space="preserve"> </w:t>
            </w:r>
            <w:proofErr w:type="spellStart"/>
            <w:r w:rsidRPr="00975CA4">
              <w:rPr>
                <w:rFonts w:eastAsia="Times New Roman"/>
                <w:b/>
                <w:bCs/>
                <w:sz w:val="22"/>
                <w:szCs w:val="22"/>
              </w:rPr>
              <w:t>blastų</w:t>
            </w:r>
            <w:proofErr w:type="spellEnd"/>
          </w:p>
          <w:p w14:paraId="5029A697" w14:textId="2C435EEF" w:rsidR="00733FA1" w:rsidRPr="00975CA4" w:rsidRDefault="00733FA1" w:rsidP="005E0CEB">
            <w:pPr>
              <w:ind w:left="-172" w:right="-155"/>
              <w:jc w:val="center"/>
              <w:rPr>
                <w:sz w:val="22"/>
                <w:szCs w:val="22"/>
              </w:rPr>
            </w:pPr>
            <w:r w:rsidRPr="00975CA4">
              <w:rPr>
                <w:rFonts w:eastAsia="Times New Roman"/>
                <w:b/>
                <w:bCs/>
                <w:sz w:val="22"/>
                <w:szCs w:val="22"/>
              </w:rPr>
              <w:t>(n</w:t>
            </w:r>
            <w:r w:rsidR="005E0CEB" w:rsidRPr="00975CA4">
              <w:rPr>
                <w:rFonts w:eastAsia="Times New Roman"/>
                <w:b/>
                <w:bCs/>
                <w:sz w:val="22"/>
                <w:szCs w:val="22"/>
              </w:rPr>
              <w:t> </w:t>
            </w:r>
            <w:r w:rsidRPr="00975CA4">
              <w:rPr>
                <w:rFonts w:eastAsia="Times New Roman"/>
                <w:b/>
                <w:bCs/>
                <w:sz w:val="22"/>
                <w:szCs w:val="22"/>
              </w:rPr>
              <w:t>=</w:t>
            </w:r>
            <w:r w:rsidR="005E0CEB" w:rsidRPr="00975CA4">
              <w:rPr>
                <w:rFonts w:eastAsia="Times New Roman"/>
                <w:b/>
                <w:bCs/>
                <w:sz w:val="22"/>
                <w:szCs w:val="22"/>
              </w:rPr>
              <w:t> </w:t>
            </w:r>
            <w:r w:rsidRPr="00975CA4">
              <w:rPr>
                <w:rFonts w:eastAsia="Times New Roman"/>
                <w:b/>
                <w:bCs/>
                <w:sz w:val="22"/>
                <w:szCs w:val="22"/>
              </w:rPr>
              <w:t>109)</w:t>
            </w:r>
          </w:p>
        </w:tc>
        <w:tc>
          <w:tcPr>
            <w:tcW w:w="1842" w:type="dxa"/>
            <w:tcBorders>
              <w:top w:val="single" w:sz="4" w:space="0" w:color="000000"/>
              <w:left w:val="single" w:sz="4" w:space="0" w:color="000000"/>
              <w:bottom w:val="single" w:sz="4" w:space="0" w:color="000000"/>
              <w:right w:val="single" w:sz="4" w:space="0" w:color="000000"/>
            </w:tcBorders>
            <w:hideMark/>
          </w:tcPr>
          <w:p w14:paraId="68E8D894" w14:textId="77777777" w:rsidR="00733FA1" w:rsidRPr="00975CA4" w:rsidRDefault="00733FA1" w:rsidP="00733FA1">
            <w:pPr>
              <w:ind w:left="-172" w:right="-155"/>
              <w:jc w:val="center"/>
              <w:rPr>
                <w:rFonts w:eastAsia="Times New Roman"/>
                <w:sz w:val="22"/>
                <w:szCs w:val="22"/>
              </w:rPr>
            </w:pPr>
            <w:proofErr w:type="spellStart"/>
            <w:r w:rsidRPr="00975CA4">
              <w:rPr>
                <w:rFonts w:eastAsia="Times New Roman"/>
                <w:b/>
                <w:bCs/>
                <w:sz w:val="22"/>
                <w:szCs w:val="22"/>
              </w:rPr>
              <w:t>L</w:t>
            </w:r>
            <w:r w:rsidR="005A4CE0" w:rsidRPr="00975CA4">
              <w:rPr>
                <w:rFonts w:eastAsia="Times New Roman"/>
                <w:b/>
                <w:bCs/>
                <w:sz w:val="22"/>
                <w:szCs w:val="22"/>
              </w:rPr>
              <w:t>imfoidinių</w:t>
            </w:r>
            <w:proofErr w:type="spellEnd"/>
            <w:r w:rsidRPr="00975CA4">
              <w:rPr>
                <w:rFonts w:eastAsia="Times New Roman"/>
                <w:b/>
                <w:bCs/>
                <w:sz w:val="22"/>
                <w:szCs w:val="22"/>
              </w:rPr>
              <w:t xml:space="preserve"> </w:t>
            </w:r>
            <w:proofErr w:type="spellStart"/>
            <w:r w:rsidRPr="00975CA4">
              <w:rPr>
                <w:rFonts w:eastAsia="Times New Roman"/>
                <w:b/>
                <w:bCs/>
                <w:sz w:val="22"/>
                <w:szCs w:val="22"/>
              </w:rPr>
              <w:t>blast</w:t>
            </w:r>
            <w:r w:rsidR="005A4CE0" w:rsidRPr="00975CA4">
              <w:rPr>
                <w:rFonts w:eastAsia="Times New Roman"/>
                <w:b/>
                <w:bCs/>
                <w:sz w:val="22"/>
                <w:szCs w:val="22"/>
              </w:rPr>
              <w:t>ų</w:t>
            </w:r>
            <w:proofErr w:type="spellEnd"/>
          </w:p>
          <w:p w14:paraId="47C98AEB" w14:textId="51473EDD" w:rsidR="00733FA1" w:rsidRPr="00975CA4" w:rsidRDefault="00733FA1" w:rsidP="00733FA1">
            <w:pPr>
              <w:ind w:left="-172" w:right="-155"/>
              <w:jc w:val="center"/>
              <w:rPr>
                <w:sz w:val="22"/>
                <w:szCs w:val="22"/>
              </w:rPr>
            </w:pPr>
            <w:r w:rsidRPr="00975CA4">
              <w:rPr>
                <w:rFonts w:eastAsia="Times New Roman"/>
                <w:b/>
                <w:bCs/>
                <w:sz w:val="22"/>
                <w:szCs w:val="22"/>
              </w:rPr>
              <w:t>(n</w:t>
            </w:r>
            <w:r w:rsidR="005E0CEB" w:rsidRPr="00975CA4">
              <w:rPr>
                <w:rFonts w:eastAsia="Times New Roman"/>
                <w:b/>
                <w:bCs/>
                <w:sz w:val="22"/>
                <w:szCs w:val="22"/>
              </w:rPr>
              <w:t> </w:t>
            </w:r>
            <w:r w:rsidRPr="00975CA4">
              <w:rPr>
                <w:rFonts w:eastAsia="Times New Roman"/>
                <w:b/>
                <w:bCs/>
                <w:sz w:val="22"/>
                <w:szCs w:val="22"/>
              </w:rPr>
              <w:t>=</w:t>
            </w:r>
            <w:r w:rsidR="005E0CEB" w:rsidRPr="00975CA4">
              <w:rPr>
                <w:rFonts w:eastAsia="Times New Roman"/>
                <w:b/>
                <w:bCs/>
                <w:sz w:val="22"/>
                <w:szCs w:val="22"/>
              </w:rPr>
              <w:t> </w:t>
            </w:r>
            <w:r w:rsidRPr="00975CA4">
              <w:rPr>
                <w:rFonts w:eastAsia="Times New Roman"/>
                <w:b/>
                <w:bCs/>
                <w:sz w:val="22"/>
                <w:szCs w:val="22"/>
              </w:rPr>
              <w:t>48)</w:t>
            </w:r>
          </w:p>
        </w:tc>
        <w:tc>
          <w:tcPr>
            <w:tcW w:w="1667" w:type="dxa"/>
            <w:tcBorders>
              <w:top w:val="single" w:sz="4" w:space="0" w:color="000000"/>
              <w:left w:val="single" w:sz="4" w:space="0" w:color="000000"/>
              <w:bottom w:val="single" w:sz="4" w:space="0" w:color="000000"/>
              <w:right w:val="single" w:sz="4" w:space="0" w:color="000000"/>
            </w:tcBorders>
            <w:hideMark/>
          </w:tcPr>
          <w:p w14:paraId="19E33B74" w14:textId="77777777" w:rsidR="00733FA1" w:rsidRPr="00975CA4" w:rsidRDefault="00733FA1" w:rsidP="00733FA1">
            <w:pPr>
              <w:ind w:left="-172" w:right="-155"/>
              <w:jc w:val="center"/>
              <w:rPr>
                <w:rFonts w:eastAsia="Times New Roman"/>
                <w:b/>
                <w:bCs/>
                <w:sz w:val="22"/>
                <w:szCs w:val="22"/>
              </w:rPr>
            </w:pPr>
            <w:proofErr w:type="spellStart"/>
            <w:r w:rsidRPr="00975CA4">
              <w:rPr>
                <w:rFonts w:eastAsia="Times New Roman"/>
                <w:b/>
                <w:bCs/>
                <w:sz w:val="22"/>
                <w:szCs w:val="22"/>
              </w:rPr>
              <w:t>Ph</w:t>
            </w:r>
            <w:proofErr w:type="spellEnd"/>
            <w:r w:rsidRPr="00975CA4">
              <w:rPr>
                <w:rFonts w:eastAsia="Times New Roman"/>
                <w:b/>
                <w:bCs/>
                <w:sz w:val="22"/>
                <w:szCs w:val="22"/>
              </w:rPr>
              <w:t xml:space="preserve">+ </w:t>
            </w:r>
            <w:r w:rsidR="005A4CE0" w:rsidRPr="00975CA4">
              <w:rPr>
                <w:rFonts w:eastAsia="Times New Roman"/>
                <w:b/>
                <w:bCs/>
                <w:sz w:val="22"/>
                <w:szCs w:val="22"/>
              </w:rPr>
              <w:t>Ū</w:t>
            </w:r>
            <w:r w:rsidRPr="00975CA4">
              <w:rPr>
                <w:rFonts w:eastAsia="Times New Roman"/>
                <w:b/>
                <w:bCs/>
                <w:sz w:val="22"/>
                <w:szCs w:val="22"/>
              </w:rPr>
              <w:t>LL</w:t>
            </w:r>
          </w:p>
          <w:p w14:paraId="3D6CA210" w14:textId="7BB7475C" w:rsidR="00733FA1" w:rsidRPr="00975CA4" w:rsidRDefault="00733FA1" w:rsidP="00733FA1">
            <w:pPr>
              <w:ind w:left="-172" w:right="-155"/>
              <w:jc w:val="center"/>
              <w:rPr>
                <w:sz w:val="22"/>
                <w:szCs w:val="22"/>
              </w:rPr>
            </w:pPr>
            <w:r w:rsidRPr="00975CA4">
              <w:rPr>
                <w:rFonts w:eastAsia="Times New Roman"/>
                <w:b/>
                <w:bCs/>
                <w:sz w:val="22"/>
                <w:szCs w:val="22"/>
              </w:rPr>
              <w:t>(n</w:t>
            </w:r>
            <w:r w:rsidR="005E0CEB" w:rsidRPr="00975CA4">
              <w:rPr>
                <w:rFonts w:eastAsia="Times New Roman"/>
                <w:b/>
                <w:bCs/>
                <w:sz w:val="22"/>
                <w:szCs w:val="22"/>
              </w:rPr>
              <w:t> </w:t>
            </w:r>
            <w:r w:rsidRPr="00975CA4">
              <w:rPr>
                <w:rFonts w:eastAsia="Times New Roman"/>
                <w:b/>
                <w:bCs/>
                <w:sz w:val="22"/>
                <w:szCs w:val="22"/>
              </w:rPr>
              <w:t>=</w:t>
            </w:r>
            <w:r w:rsidR="005E0CEB" w:rsidRPr="00975CA4">
              <w:rPr>
                <w:rFonts w:eastAsia="Times New Roman"/>
                <w:b/>
                <w:bCs/>
                <w:sz w:val="22"/>
                <w:szCs w:val="22"/>
              </w:rPr>
              <w:t> </w:t>
            </w:r>
            <w:r w:rsidRPr="00975CA4">
              <w:rPr>
                <w:rFonts w:eastAsia="Times New Roman"/>
                <w:b/>
                <w:bCs/>
                <w:sz w:val="22"/>
                <w:szCs w:val="22"/>
              </w:rPr>
              <w:t>46)</w:t>
            </w:r>
          </w:p>
        </w:tc>
      </w:tr>
      <w:tr w:rsidR="00733FA1" w:rsidRPr="00975CA4" w14:paraId="17486260" w14:textId="77777777" w:rsidTr="005A4CE0">
        <w:trPr>
          <w:trHeight w:val="283"/>
          <w:jc w:val="center"/>
        </w:trPr>
        <w:tc>
          <w:tcPr>
            <w:tcW w:w="10182" w:type="dxa"/>
            <w:gridSpan w:val="7"/>
            <w:tcBorders>
              <w:top w:val="single" w:sz="4" w:space="0" w:color="000000"/>
              <w:left w:val="single" w:sz="4" w:space="0" w:color="000000"/>
              <w:bottom w:val="single" w:sz="4" w:space="0" w:color="000000"/>
              <w:right w:val="single" w:sz="4" w:space="0" w:color="000000"/>
            </w:tcBorders>
            <w:hideMark/>
          </w:tcPr>
          <w:p w14:paraId="7FEBE1F5" w14:textId="77777777" w:rsidR="00733FA1" w:rsidRPr="00975CA4" w:rsidRDefault="00733FA1">
            <w:pPr>
              <w:ind w:left="-30" w:right="-155"/>
              <w:rPr>
                <w:sz w:val="22"/>
                <w:szCs w:val="22"/>
              </w:rPr>
            </w:pPr>
            <w:r w:rsidRPr="00975CA4">
              <w:rPr>
                <w:rFonts w:eastAsia="Times New Roman"/>
                <w:b/>
                <w:bCs/>
                <w:sz w:val="22"/>
                <w:szCs w:val="22"/>
              </w:rPr>
              <w:t>Hematologi</w:t>
            </w:r>
            <w:r w:rsidR="005A4CE0" w:rsidRPr="00975CA4">
              <w:rPr>
                <w:rFonts w:eastAsia="Times New Roman"/>
                <w:b/>
                <w:bCs/>
                <w:sz w:val="22"/>
                <w:szCs w:val="22"/>
              </w:rPr>
              <w:t>nio</w:t>
            </w:r>
            <w:r w:rsidRPr="00975CA4">
              <w:rPr>
                <w:rFonts w:eastAsia="Times New Roman"/>
                <w:b/>
                <w:bCs/>
                <w:sz w:val="22"/>
                <w:szCs w:val="22"/>
              </w:rPr>
              <w:t xml:space="preserve"> </w:t>
            </w:r>
            <w:r w:rsidR="005A4CE0" w:rsidRPr="00975CA4">
              <w:rPr>
                <w:rFonts w:eastAsia="Times New Roman"/>
                <w:b/>
                <w:bCs/>
                <w:sz w:val="22"/>
                <w:szCs w:val="22"/>
              </w:rPr>
              <w:t xml:space="preserve">atsako </w:t>
            </w:r>
            <w:proofErr w:type="spellStart"/>
            <w:r w:rsidR="005A4CE0" w:rsidRPr="00975CA4">
              <w:rPr>
                <w:rFonts w:eastAsia="Times New Roman"/>
                <w:b/>
                <w:bCs/>
                <w:sz w:val="22"/>
                <w:szCs w:val="22"/>
              </w:rPr>
              <w:t>dažnis</w:t>
            </w:r>
            <w:r w:rsidRPr="00975CA4">
              <w:rPr>
                <w:rFonts w:eastAsia="Times New Roman"/>
                <w:b/>
                <w:bCs/>
                <w:sz w:val="22"/>
                <w:szCs w:val="22"/>
                <w:vertAlign w:val="superscript"/>
              </w:rPr>
              <w:t>b</w:t>
            </w:r>
            <w:proofErr w:type="spellEnd"/>
            <w:r w:rsidRPr="00975CA4">
              <w:rPr>
                <w:rFonts w:eastAsia="Times New Roman"/>
                <w:b/>
                <w:bCs/>
                <w:sz w:val="22"/>
                <w:szCs w:val="22"/>
              </w:rPr>
              <w:t xml:space="preserve"> (%)</w:t>
            </w:r>
          </w:p>
        </w:tc>
      </w:tr>
      <w:tr w:rsidR="00733FA1" w:rsidRPr="00975CA4" w14:paraId="68C00D35"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4EF2C5C8" w14:textId="77777777" w:rsidR="00733FA1" w:rsidRPr="00975CA4" w:rsidRDefault="00733FA1">
            <w:pPr>
              <w:ind w:right="-147"/>
              <w:rPr>
                <w:sz w:val="22"/>
                <w:szCs w:val="22"/>
              </w:rPr>
            </w:pPr>
            <w:proofErr w:type="spellStart"/>
            <w:r w:rsidRPr="00975CA4">
              <w:rPr>
                <w:rFonts w:eastAsia="Times New Roman"/>
                <w:sz w:val="22"/>
                <w:szCs w:val="22"/>
              </w:rPr>
              <w:t>MaHR</w:t>
            </w:r>
            <w:proofErr w:type="spellEnd"/>
            <w:r w:rsidRPr="00975CA4">
              <w:rPr>
                <w:rFonts w:eastAsia="Times New Roman"/>
                <w:sz w:val="22"/>
                <w:szCs w:val="22"/>
              </w:rPr>
              <w:t xml:space="preserve"> (95</w:t>
            </w:r>
            <w:r w:rsidR="005E0CEB" w:rsidRPr="00975CA4">
              <w:rPr>
                <w:rFonts w:eastAsia="Times New Roman"/>
                <w:sz w:val="22"/>
                <w:szCs w:val="22"/>
              </w:rPr>
              <w:t> </w:t>
            </w:r>
            <w:r w:rsidRPr="00975CA4">
              <w:rPr>
                <w:rFonts w:eastAsia="Times New Roman"/>
                <w:sz w:val="22"/>
                <w:szCs w:val="22"/>
              </w:rPr>
              <w:t xml:space="preserve">% </w:t>
            </w:r>
            <w:r w:rsidR="005A4CE0" w:rsidRPr="00975CA4">
              <w:rPr>
                <w:rFonts w:eastAsia="Times New Roman"/>
                <w:sz w:val="22"/>
                <w:szCs w:val="22"/>
              </w:rPr>
              <w:t>P</w:t>
            </w:r>
            <w:r w:rsidRPr="00975CA4">
              <w:rPr>
                <w:rFonts w:eastAsia="Times New Roman"/>
                <w:sz w:val="22"/>
                <w:szCs w:val="22"/>
              </w:rPr>
              <w:t>I)</w:t>
            </w:r>
          </w:p>
        </w:tc>
        <w:tc>
          <w:tcPr>
            <w:tcW w:w="1390" w:type="dxa"/>
            <w:tcBorders>
              <w:top w:val="single" w:sz="4" w:space="0" w:color="000000"/>
              <w:left w:val="single" w:sz="4" w:space="0" w:color="000000"/>
              <w:bottom w:val="single" w:sz="4" w:space="0" w:color="000000"/>
              <w:right w:val="single" w:sz="4" w:space="0" w:color="000000"/>
            </w:tcBorders>
            <w:hideMark/>
          </w:tcPr>
          <w:p w14:paraId="529A5961" w14:textId="77777777" w:rsidR="00733FA1" w:rsidRPr="00975CA4" w:rsidRDefault="00733FA1" w:rsidP="005A4CE0">
            <w:pPr>
              <w:ind w:left="-172" w:right="-153"/>
              <w:jc w:val="center"/>
              <w:rPr>
                <w:rFonts w:eastAsia="Times New Roman"/>
                <w:bCs/>
                <w:sz w:val="22"/>
                <w:szCs w:val="22"/>
              </w:rPr>
            </w:pPr>
            <w:r w:rsidRPr="00975CA4">
              <w:rPr>
                <w:rFonts w:eastAsia="Times New Roman"/>
                <w:sz w:val="22"/>
                <w:szCs w:val="22"/>
              </w:rPr>
              <w:t>n/a</w:t>
            </w:r>
          </w:p>
        </w:tc>
        <w:tc>
          <w:tcPr>
            <w:tcW w:w="1625" w:type="dxa"/>
            <w:tcBorders>
              <w:top w:val="single" w:sz="4" w:space="0" w:color="000000"/>
              <w:left w:val="single" w:sz="4" w:space="0" w:color="000000"/>
              <w:bottom w:val="single" w:sz="4" w:space="0" w:color="000000"/>
              <w:right w:val="single" w:sz="4" w:space="0" w:color="000000"/>
            </w:tcBorders>
            <w:hideMark/>
          </w:tcPr>
          <w:p w14:paraId="0663C245" w14:textId="77777777" w:rsidR="00733FA1" w:rsidRPr="00975CA4" w:rsidRDefault="00733FA1" w:rsidP="005A4CE0">
            <w:pPr>
              <w:ind w:left="-172" w:right="-155"/>
              <w:jc w:val="center"/>
              <w:rPr>
                <w:rFonts w:eastAsia="Times New Roman"/>
                <w:bCs/>
                <w:sz w:val="22"/>
                <w:szCs w:val="22"/>
              </w:rPr>
            </w:pPr>
            <w:r w:rsidRPr="00975CA4">
              <w:rPr>
                <w:rFonts w:eastAsia="Times New Roman"/>
                <w:bCs/>
                <w:sz w:val="22"/>
                <w:szCs w:val="22"/>
              </w:rPr>
              <w:t>64</w:t>
            </w:r>
            <w:r w:rsidR="005E0CEB" w:rsidRPr="00975CA4">
              <w:rPr>
                <w:rFonts w:eastAsia="Times New Roman"/>
                <w:bCs/>
                <w:sz w:val="22"/>
                <w:szCs w:val="22"/>
              </w:rPr>
              <w:t> </w:t>
            </w:r>
            <w:r w:rsidRPr="00975CA4">
              <w:rPr>
                <w:rFonts w:eastAsia="Times New Roman"/>
                <w:bCs/>
                <w:sz w:val="22"/>
                <w:szCs w:val="22"/>
              </w:rPr>
              <w:t>% (57 ‒ 72)</w:t>
            </w:r>
          </w:p>
        </w:tc>
        <w:tc>
          <w:tcPr>
            <w:tcW w:w="1745" w:type="dxa"/>
            <w:tcBorders>
              <w:top w:val="single" w:sz="4" w:space="0" w:color="000000"/>
              <w:left w:val="single" w:sz="4" w:space="0" w:color="000000"/>
              <w:bottom w:val="single" w:sz="4" w:space="0" w:color="000000"/>
              <w:right w:val="single" w:sz="4" w:space="0" w:color="000000"/>
            </w:tcBorders>
            <w:hideMark/>
          </w:tcPr>
          <w:p w14:paraId="3C20975A" w14:textId="77777777" w:rsidR="00733FA1" w:rsidRPr="00975CA4" w:rsidRDefault="00733FA1" w:rsidP="005A4CE0">
            <w:pPr>
              <w:ind w:right="-73"/>
              <w:jc w:val="center"/>
              <w:rPr>
                <w:sz w:val="22"/>
                <w:szCs w:val="22"/>
              </w:rPr>
            </w:pPr>
            <w:r w:rsidRPr="00975CA4">
              <w:rPr>
                <w:sz w:val="22"/>
                <w:szCs w:val="22"/>
              </w:rPr>
              <w:t>33</w:t>
            </w:r>
            <w:r w:rsidR="00E54F9C" w:rsidRPr="00975CA4">
              <w:rPr>
                <w:sz w:val="22"/>
                <w:szCs w:val="22"/>
              </w:rPr>
              <w:t> </w:t>
            </w:r>
            <w:r w:rsidRPr="00975CA4">
              <w:rPr>
                <w:sz w:val="22"/>
                <w:szCs w:val="22"/>
              </w:rPr>
              <w:t>% (24</w:t>
            </w:r>
            <w:r w:rsidRPr="00975CA4">
              <w:rPr>
                <w:rFonts w:eastAsia="Times New Roman"/>
                <w:bCs/>
                <w:sz w:val="22"/>
                <w:szCs w:val="22"/>
              </w:rPr>
              <w:t xml:space="preserve"> ‒ </w:t>
            </w:r>
            <w:r w:rsidRPr="00975CA4">
              <w:rPr>
                <w:sz w:val="22"/>
                <w:szCs w:val="22"/>
              </w:rPr>
              <w:t>43)</w:t>
            </w:r>
          </w:p>
        </w:tc>
        <w:tc>
          <w:tcPr>
            <w:tcW w:w="1842" w:type="dxa"/>
            <w:tcBorders>
              <w:top w:val="single" w:sz="4" w:space="0" w:color="000000"/>
              <w:left w:val="single" w:sz="4" w:space="0" w:color="000000"/>
              <w:bottom w:val="single" w:sz="4" w:space="0" w:color="000000"/>
              <w:right w:val="single" w:sz="4" w:space="0" w:color="000000"/>
            </w:tcBorders>
            <w:hideMark/>
          </w:tcPr>
          <w:p w14:paraId="495B19B5" w14:textId="77777777" w:rsidR="00733FA1" w:rsidRPr="00975CA4" w:rsidRDefault="00733FA1" w:rsidP="005A4CE0">
            <w:pPr>
              <w:ind w:right="-42"/>
              <w:jc w:val="center"/>
              <w:rPr>
                <w:sz w:val="22"/>
                <w:szCs w:val="22"/>
              </w:rPr>
            </w:pPr>
            <w:r w:rsidRPr="00975CA4">
              <w:rPr>
                <w:sz w:val="22"/>
                <w:szCs w:val="22"/>
              </w:rPr>
              <w:t>35</w:t>
            </w:r>
            <w:r w:rsidR="00E54F9C" w:rsidRPr="00975CA4">
              <w:rPr>
                <w:sz w:val="22"/>
                <w:szCs w:val="22"/>
              </w:rPr>
              <w:t> </w:t>
            </w:r>
            <w:r w:rsidRPr="00975CA4">
              <w:rPr>
                <w:sz w:val="22"/>
                <w:szCs w:val="22"/>
              </w:rPr>
              <w:t>% (22</w:t>
            </w:r>
            <w:r w:rsidRPr="00975CA4">
              <w:rPr>
                <w:rFonts w:eastAsia="Times New Roman"/>
                <w:bCs/>
                <w:sz w:val="22"/>
                <w:szCs w:val="22"/>
              </w:rPr>
              <w:t xml:space="preserve"> ‒ </w:t>
            </w:r>
            <w:r w:rsidRPr="00975CA4">
              <w:rPr>
                <w:sz w:val="22"/>
                <w:szCs w:val="22"/>
              </w:rPr>
              <w:t>51)</w:t>
            </w:r>
          </w:p>
        </w:tc>
        <w:tc>
          <w:tcPr>
            <w:tcW w:w="1667" w:type="dxa"/>
            <w:tcBorders>
              <w:top w:val="single" w:sz="4" w:space="0" w:color="000000"/>
              <w:left w:val="single" w:sz="4" w:space="0" w:color="000000"/>
              <w:bottom w:val="single" w:sz="4" w:space="0" w:color="000000"/>
              <w:right w:val="single" w:sz="4" w:space="0" w:color="000000"/>
            </w:tcBorders>
            <w:hideMark/>
          </w:tcPr>
          <w:p w14:paraId="46F60F91" w14:textId="77777777" w:rsidR="00733FA1" w:rsidRPr="00975CA4" w:rsidRDefault="00733FA1" w:rsidP="005A4CE0">
            <w:pPr>
              <w:ind w:left="-172" w:right="-42"/>
              <w:jc w:val="center"/>
              <w:rPr>
                <w:rFonts w:eastAsia="Times New Roman"/>
                <w:bCs/>
                <w:sz w:val="22"/>
                <w:szCs w:val="22"/>
              </w:rPr>
            </w:pPr>
            <w:r w:rsidRPr="00975CA4">
              <w:rPr>
                <w:rFonts w:eastAsia="Times New Roman"/>
                <w:bCs/>
                <w:sz w:val="22"/>
                <w:szCs w:val="22"/>
              </w:rPr>
              <w:t>41</w:t>
            </w:r>
            <w:r w:rsidR="00E54F9C" w:rsidRPr="00975CA4">
              <w:rPr>
                <w:rFonts w:eastAsia="Times New Roman"/>
                <w:bCs/>
                <w:sz w:val="22"/>
                <w:szCs w:val="22"/>
              </w:rPr>
              <w:t> </w:t>
            </w:r>
            <w:r w:rsidRPr="00975CA4">
              <w:rPr>
                <w:rFonts w:eastAsia="Times New Roman"/>
                <w:bCs/>
                <w:sz w:val="22"/>
                <w:szCs w:val="22"/>
              </w:rPr>
              <w:t>% (27 ‒ 57)</w:t>
            </w:r>
          </w:p>
        </w:tc>
      </w:tr>
      <w:tr w:rsidR="00733FA1" w:rsidRPr="00975CA4" w14:paraId="62AF9D34"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2AC79ACC" w14:textId="77777777" w:rsidR="00733FA1" w:rsidRPr="00975CA4" w:rsidRDefault="00733FA1">
            <w:pPr>
              <w:ind w:left="142" w:right="-147"/>
              <w:rPr>
                <w:sz w:val="22"/>
                <w:szCs w:val="22"/>
              </w:rPr>
            </w:pPr>
            <w:r w:rsidRPr="00975CA4">
              <w:rPr>
                <w:rFonts w:eastAsia="Times New Roman"/>
                <w:sz w:val="22"/>
                <w:szCs w:val="22"/>
              </w:rPr>
              <w:t>CHR (95</w:t>
            </w:r>
            <w:r w:rsidR="005E0CEB" w:rsidRPr="00975CA4">
              <w:rPr>
                <w:rFonts w:eastAsia="Times New Roman"/>
                <w:sz w:val="22"/>
                <w:szCs w:val="22"/>
              </w:rPr>
              <w:t> </w:t>
            </w:r>
            <w:r w:rsidRPr="00975CA4">
              <w:rPr>
                <w:rFonts w:eastAsia="Times New Roman"/>
                <w:sz w:val="22"/>
                <w:szCs w:val="22"/>
              </w:rPr>
              <w:t xml:space="preserve">% </w:t>
            </w:r>
            <w:r w:rsidR="005A4CE0" w:rsidRPr="00975CA4">
              <w:rPr>
                <w:rFonts w:eastAsia="Times New Roman"/>
                <w:sz w:val="22"/>
                <w:szCs w:val="22"/>
              </w:rPr>
              <w:t>P</w:t>
            </w:r>
            <w:r w:rsidRPr="00975CA4">
              <w:rPr>
                <w:rFonts w:eastAsia="Times New Roman"/>
                <w:sz w:val="22"/>
                <w:szCs w:val="22"/>
              </w:rPr>
              <w:t>I)</w:t>
            </w:r>
          </w:p>
        </w:tc>
        <w:tc>
          <w:tcPr>
            <w:tcW w:w="1390" w:type="dxa"/>
            <w:tcBorders>
              <w:top w:val="single" w:sz="4" w:space="0" w:color="000000"/>
              <w:left w:val="single" w:sz="4" w:space="0" w:color="000000"/>
              <w:bottom w:val="single" w:sz="4" w:space="0" w:color="000000"/>
              <w:right w:val="single" w:sz="4" w:space="0" w:color="000000"/>
            </w:tcBorders>
            <w:hideMark/>
          </w:tcPr>
          <w:p w14:paraId="468A5734" w14:textId="77777777" w:rsidR="00733FA1" w:rsidRPr="00975CA4" w:rsidRDefault="00733FA1" w:rsidP="005A4CE0">
            <w:pPr>
              <w:ind w:left="-172" w:right="-153"/>
              <w:jc w:val="center"/>
              <w:rPr>
                <w:rFonts w:eastAsia="Times New Roman"/>
                <w:bCs/>
                <w:sz w:val="22"/>
                <w:szCs w:val="22"/>
              </w:rPr>
            </w:pPr>
            <w:r w:rsidRPr="00975CA4">
              <w:rPr>
                <w:rFonts w:eastAsia="Times New Roman"/>
                <w:bCs/>
                <w:sz w:val="22"/>
                <w:szCs w:val="22"/>
              </w:rPr>
              <w:t>91</w:t>
            </w:r>
            <w:r w:rsidR="005E0CEB" w:rsidRPr="00975CA4">
              <w:rPr>
                <w:rFonts w:eastAsia="Times New Roman"/>
                <w:bCs/>
                <w:sz w:val="22"/>
                <w:szCs w:val="22"/>
              </w:rPr>
              <w:t> </w:t>
            </w:r>
            <w:r w:rsidRPr="00975CA4">
              <w:rPr>
                <w:rFonts w:eastAsia="Times New Roman"/>
                <w:bCs/>
                <w:sz w:val="22"/>
                <w:szCs w:val="22"/>
              </w:rPr>
              <w:t>% (88 ‒ 94)</w:t>
            </w:r>
          </w:p>
        </w:tc>
        <w:tc>
          <w:tcPr>
            <w:tcW w:w="1625" w:type="dxa"/>
            <w:tcBorders>
              <w:top w:val="single" w:sz="4" w:space="0" w:color="000000"/>
              <w:left w:val="single" w:sz="4" w:space="0" w:color="000000"/>
              <w:bottom w:val="single" w:sz="4" w:space="0" w:color="000000"/>
              <w:right w:val="single" w:sz="4" w:space="0" w:color="000000"/>
            </w:tcBorders>
            <w:hideMark/>
          </w:tcPr>
          <w:p w14:paraId="44405097" w14:textId="77777777" w:rsidR="00733FA1" w:rsidRPr="00975CA4" w:rsidRDefault="00733FA1" w:rsidP="005A4CE0">
            <w:pPr>
              <w:jc w:val="center"/>
              <w:rPr>
                <w:rFonts w:eastAsia="Times New Roman"/>
                <w:sz w:val="22"/>
                <w:szCs w:val="22"/>
              </w:rPr>
            </w:pPr>
            <w:r w:rsidRPr="00975CA4">
              <w:rPr>
                <w:rFonts w:eastAsia="Times New Roman"/>
                <w:sz w:val="22"/>
                <w:szCs w:val="22"/>
              </w:rPr>
              <w:t>50</w:t>
            </w:r>
            <w:r w:rsidR="005E0CEB" w:rsidRPr="00975CA4">
              <w:rPr>
                <w:rFonts w:eastAsia="Times New Roman"/>
                <w:sz w:val="22"/>
                <w:szCs w:val="22"/>
              </w:rPr>
              <w:t> </w:t>
            </w:r>
            <w:r w:rsidRPr="00975CA4">
              <w:rPr>
                <w:rFonts w:eastAsia="Times New Roman"/>
                <w:sz w:val="22"/>
                <w:szCs w:val="22"/>
              </w:rPr>
              <w:t>% (42</w:t>
            </w:r>
            <w:r w:rsidRPr="00975CA4">
              <w:rPr>
                <w:rFonts w:eastAsia="Times New Roman"/>
                <w:bCs/>
                <w:sz w:val="22"/>
                <w:szCs w:val="22"/>
              </w:rPr>
              <w:t xml:space="preserve"> ‒ </w:t>
            </w:r>
            <w:r w:rsidRPr="00975CA4">
              <w:rPr>
                <w:rFonts w:eastAsia="Times New Roman"/>
                <w:sz w:val="22"/>
                <w:szCs w:val="22"/>
              </w:rPr>
              <w:t>58)</w:t>
            </w:r>
          </w:p>
        </w:tc>
        <w:tc>
          <w:tcPr>
            <w:tcW w:w="1745" w:type="dxa"/>
            <w:tcBorders>
              <w:top w:val="single" w:sz="4" w:space="0" w:color="000000"/>
              <w:left w:val="single" w:sz="4" w:space="0" w:color="000000"/>
              <w:bottom w:val="single" w:sz="4" w:space="0" w:color="000000"/>
              <w:right w:val="single" w:sz="4" w:space="0" w:color="000000"/>
            </w:tcBorders>
            <w:hideMark/>
          </w:tcPr>
          <w:p w14:paraId="72607D81" w14:textId="77777777" w:rsidR="00733FA1" w:rsidRPr="00975CA4" w:rsidRDefault="00733FA1" w:rsidP="005A4CE0">
            <w:pPr>
              <w:ind w:right="-73"/>
              <w:jc w:val="center"/>
              <w:rPr>
                <w:rFonts w:eastAsia="Times New Roman"/>
                <w:sz w:val="22"/>
                <w:szCs w:val="22"/>
              </w:rPr>
            </w:pPr>
            <w:r w:rsidRPr="00975CA4">
              <w:rPr>
                <w:rFonts w:eastAsia="Times New Roman"/>
                <w:sz w:val="22"/>
                <w:szCs w:val="22"/>
              </w:rPr>
              <w:t>26</w:t>
            </w:r>
            <w:r w:rsidR="00E54F9C" w:rsidRPr="00975CA4">
              <w:rPr>
                <w:rFonts w:eastAsia="Times New Roman"/>
                <w:sz w:val="22"/>
                <w:szCs w:val="22"/>
              </w:rPr>
              <w:t> </w:t>
            </w:r>
            <w:r w:rsidRPr="00975CA4">
              <w:rPr>
                <w:rFonts w:eastAsia="Times New Roman"/>
                <w:sz w:val="22"/>
                <w:szCs w:val="22"/>
              </w:rPr>
              <w:t>% (18</w:t>
            </w:r>
            <w:r w:rsidRPr="00975CA4">
              <w:rPr>
                <w:rFonts w:eastAsia="Times New Roman"/>
                <w:bCs/>
                <w:sz w:val="22"/>
                <w:szCs w:val="22"/>
              </w:rPr>
              <w:t xml:space="preserve"> ‒ </w:t>
            </w:r>
            <w:r w:rsidRPr="00975CA4">
              <w:rPr>
                <w:rFonts w:eastAsia="Times New Roman"/>
                <w:sz w:val="22"/>
                <w:szCs w:val="22"/>
              </w:rPr>
              <w:t>35)</w:t>
            </w:r>
          </w:p>
        </w:tc>
        <w:tc>
          <w:tcPr>
            <w:tcW w:w="1842" w:type="dxa"/>
            <w:tcBorders>
              <w:top w:val="single" w:sz="4" w:space="0" w:color="000000"/>
              <w:left w:val="single" w:sz="4" w:space="0" w:color="000000"/>
              <w:bottom w:val="single" w:sz="4" w:space="0" w:color="000000"/>
              <w:right w:val="single" w:sz="4" w:space="0" w:color="000000"/>
            </w:tcBorders>
            <w:hideMark/>
          </w:tcPr>
          <w:p w14:paraId="7ABBB718" w14:textId="77777777" w:rsidR="00733FA1" w:rsidRPr="00975CA4" w:rsidRDefault="00733FA1" w:rsidP="005A4CE0">
            <w:pPr>
              <w:ind w:right="-42"/>
              <w:jc w:val="center"/>
              <w:rPr>
                <w:rFonts w:eastAsia="Times New Roman"/>
                <w:sz w:val="22"/>
                <w:szCs w:val="22"/>
              </w:rPr>
            </w:pPr>
            <w:r w:rsidRPr="00975CA4">
              <w:rPr>
                <w:rFonts w:eastAsia="Times New Roman"/>
                <w:sz w:val="22"/>
                <w:szCs w:val="22"/>
              </w:rPr>
              <w:t>29</w:t>
            </w:r>
            <w:r w:rsidR="00E54F9C" w:rsidRPr="00975CA4">
              <w:rPr>
                <w:rFonts w:eastAsia="Times New Roman"/>
                <w:sz w:val="22"/>
                <w:szCs w:val="22"/>
              </w:rPr>
              <w:t> </w:t>
            </w:r>
            <w:r w:rsidRPr="00975CA4">
              <w:rPr>
                <w:rFonts w:eastAsia="Times New Roman"/>
                <w:sz w:val="22"/>
                <w:szCs w:val="22"/>
              </w:rPr>
              <w:t>% (17</w:t>
            </w:r>
            <w:r w:rsidRPr="00975CA4">
              <w:rPr>
                <w:rFonts w:eastAsia="Times New Roman"/>
                <w:bCs/>
                <w:sz w:val="22"/>
                <w:szCs w:val="22"/>
              </w:rPr>
              <w:t xml:space="preserve"> ‒ </w:t>
            </w:r>
            <w:r w:rsidRPr="00975CA4">
              <w:rPr>
                <w:rFonts w:eastAsia="Times New Roman"/>
                <w:sz w:val="22"/>
                <w:szCs w:val="22"/>
              </w:rPr>
              <w:t>44)</w:t>
            </w:r>
          </w:p>
        </w:tc>
        <w:tc>
          <w:tcPr>
            <w:tcW w:w="1667" w:type="dxa"/>
            <w:tcBorders>
              <w:top w:val="single" w:sz="4" w:space="0" w:color="000000"/>
              <w:left w:val="single" w:sz="4" w:space="0" w:color="000000"/>
              <w:bottom w:val="single" w:sz="4" w:space="0" w:color="000000"/>
              <w:right w:val="single" w:sz="4" w:space="0" w:color="000000"/>
            </w:tcBorders>
            <w:hideMark/>
          </w:tcPr>
          <w:p w14:paraId="0E6C1007" w14:textId="77777777" w:rsidR="00733FA1" w:rsidRPr="00975CA4" w:rsidRDefault="00733FA1" w:rsidP="005A4CE0">
            <w:pPr>
              <w:ind w:right="-42"/>
              <w:jc w:val="center"/>
              <w:rPr>
                <w:rFonts w:eastAsia="Times New Roman"/>
                <w:sz w:val="22"/>
                <w:szCs w:val="22"/>
              </w:rPr>
            </w:pPr>
            <w:r w:rsidRPr="00975CA4">
              <w:rPr>
                <w:rFonts w:eastAsia="Times New Roman"/>
                <w:sz w:val="22"/>
                <w:szCs w:val="22"/>
              </w:rPr>
              <w:t>35</w:t>
            </w:r>
            <w:r w:rsidR="00E54F9C" w:rsidRPr="00975CA4">
              <w:rPr>
                <w:rFonts w:eastAsia="Times New Roman"/>
                <w:sz w:val="22"/>
                <w:szCs w:val="22"/>
              </w:rPr>
              <w:t> </w:t>
            </w:r>
            <w:r w:rsidRPr="00975CA4">
              <w:rPr>
                <w:rFonts w:eastAsia="Times New Roman"/>
                <w:sz w:val="22"/>
                <w:szCs w:val="22"/>
              </w:rPr>
              <w:t>% (21</w:t>
            </w:r>
            <w:r w:rsidRPr="00975CA4">
              <w:rPr>
                <w:rFonts w:eastAsia="Times New Roman"/>
                <w:bCs/>
                <w:sz w:val="22"/>
                <w:szCs w:val="22"/>
              </w:rPr>
              <w:t xml:space="preserve"> ‒ </w:t>
            </w:r>
            <w:r w:rsidRPr="00975CA4">
              <w:rPr>
                <w:rFonts w:eastAsia="Times New Roman"/>
                <w:sz w:val="22"/>
                <w:szCs w:val="22"/>
              </w:rPr>
              <w:t>50)</w:t>
            </w:r>
          </w:p>
        </w:tc>
      </w:tr>
      <w:tr w:rsidR="00733FA1" w:rsidRPr="00975CA4" w14:paraId="0A0F6B49"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062ECABB" w14:textId="77777777" w:rsidR="00733FA1" w:rsidRPr="00975CA4" w:rsidRDefault="00733FA1">
            <w:pPr>
              <w:ind w:left="142"/>
              <w:rPr>
                <w:sz w:val="22"/>
                <w:szCs w:val="22"/>
              </w:rPr>
            </w:pPr>
            <w:r w:rsidRPr="00975CA4">
              <w:rPr>
                <w:rFonts w:eastAsia="Times New Roman"/>
                <w:sz w:val="22"/>
                <w:szCs w:val="22"/>
              </w:rPr>
              <w:t>NEL (95</w:t>
            </w:r>
            <w:r w:rsidR="005E0CEB" w:rsidRPr="00975CA4">
              <w:rPr>
                <w:rFonts w:eastAsia="Times New Roman"/>
                <w:sz w:val="22"/>
                <w:szCs w:val="22"/>
              </w:rPr>
              <w:t> </w:t>
            </w:r>
            <w:r w:rsidRPr="00975CA4">
              <w:rPr>
                <w:rFonts w:eastAsia="Times New Roman"/>
                <w:sz w:val="22"/>
                <w:szCs w:val="22"/>
              </w:rPr>
              <w:t xml:space="preserve">% </w:t>
            </w:r>
            <w:r w:rsidR="005A4CE0" w:rsidRPr="00975CA4">
              <w:rPr>
                <w:rFonts w:eastAsia="Times New Roman"/>
                <w:sz w:val="22"/>
                <w:szCs w:val="22"/>
              </w:rPr>
              <w:t>P</w:t>
            </w:r>
            <w:r w:rsidRPr="00975CA4">
              <w:rPr>
                <w:rFonts w:eastAsia="Times New Roman"/>
                <w:sz w:val="22"/>
                <w:szCs w:val="22"/>
              </w:rPr>
              <w:t>I)</w:t>
            </w:r>
          </w:p>
        </w:tc>
        <w:tc>
          <w:tcPr>
            <w:tcW w:w="1390" w:type="dxa"/>
            <w:tcBorders>
              <w:top w:val="single" w:sz="4" w:space="0" w:color="000000"/>
              <w:left w:val="single" w:sz="4" w:space="0" w:color="000000"/>
              <w:bottom w:val="single" w:sz="4" w:space="0" w:color="000000"/>
              <w:right w:val="single" w:sz="4" w:space="0" w:color="000000"/>
            </w:tcBorders>
            <w:hideMark/>
          </w:tcPr>
          <w:p w14:paraId="4C241E8E" w14:textId="77777777" w:rsidR="00733FA1" w:rsidRPr="00975CA4" w:rsidRDefault="00733FA1" w:rsidP="005A4CE0">
            <w:pPr>
              <w:ind w:left="-172" w:right="-153"/>
              <w:jc w:val="center"/>
              <w:rPr>
                <w:rFonts w:eastAsia="Times New Roman"/>
                <w:bCs/>
                <w:sz w:val="22"/>
                <w:szCs w:val="22"/>
              </w:rPr>
            </w:pPr>
            <w:r w:rsidRPr="00975CA4">
              <w:rPr>
                <w:rFonts w:eastAsia="Times New Roman"/>
                <w:sz w:val="22"/>
                <w:szCs w:val="22"/>
              </w:rPr>
              <w:t>n/a</w:t>
            </w:r>
          </w:p>
        </w:tc>
        <w:tc>
          <w:tcPr>
            <w:tcW w:w="1625" w:type="dxa"/>
            <w:tcBorders>
              <w:top w:val="single" w:sz="4" w:space="0" w:color="000000"/>
              <w:left w:val="single" w:sz="4" w:space="0" w:color="000000"/>
              <w:bottom w:val="single" w:sz="4" w:space="0" w:color="000000"/>
              <w:right w:val="single" w:sz="4" w:space="0" w:color="000000"/>
            </w:tcBorders>
            <w:hideMark/>
          </w:tcPr>
          <w:p w14:paraId="20B51763" w14:textId="77777777" w:rsidR="00733FA1" w:rsidRPr="00975CA4" w:rsidRDefault="00733FA1" w:rsidP="005A4CE0">
            <w:pPr>
              <w:jc w:val="center"/>
              <w:rPr>
                <w:rFonts w:eastAsia="Times New Roman"/>
                <w:sz w:val="22"/>
                <w:szCs w:val="22"/>
              </w:rPr>
            </w:pPr>
            <w:r w:rsidRPr="00975CA4">
              <w:rPr>
                <w:rFonts w:eastAsia="Times New Roman"/>
                <w:sz w:val="22"/>
                <w:szCs w:val="22"/>
              </w:rPr>
              <w:t>14</w:t>
            </w:r>
            <w:r w:rsidR="005E0CEB" w:rsidRPr="00975CA4">
              <w:rPr>
                <w:rFonts w:eastAsia="Times New Roman"/>
                <w:sz w:val="22"/>
                <w:szCs w:val="22"/>
              </w:rPr>
              <w:t> </w:t>
            </w:r>
            <w:r w:rsidRPr="00975CA4">
              <w:rPr>
                <w:rFonts w:eastAsia="Times New Roman"/>
                <w:sz w:val="22"/>
                <w:szCs w:val="22"/>
              </w:rPr>
              <w:t>% (10</w:t>
            </w:r>
            <w:r w:rsidRPr="00975CA4">
              <w:rPr>
                <w:rFonts w:eastAsia="Times New Roman"/>
                <w:bCs/>
                <w:sz w:val="22"/>
                <w:szCs w:val="22"/>
              </w:rPr>
              <w:t xml:space="preserve"> ‒ </w:t>
            </w:r>
            <w:r w:rsidRPr="00975CA4">
              <w:rPr>
                <w:rFonts w:eastAsia="Times New Roman"/>
                <w:sz w:val="22"/>
                <w:szCs w:val="22"/>
              </w:rPr>
              <w:t>21)</w:t>
            </w:r>
          </w:p>
        </w:tc>
        <w:tc>
          <w:tcPr>
            <w:tcW w:w="1745" w:type="dxa"/>
            <w:tcBorders>
              <w:top w:val="single" w:sz="4" w:space="0" w:color="000000"/>
              <w:left w:val="single" w:sz="4" w:space="0" w:color="000000"/>
              <w:bottom w:val="single" w:sz="4" w:space="0" w:color="000000"/>
              <w:right w:val="single" w:sz="4" w:space="0" w:color="000000"/>
            </w:tcBorders>
            <w:hideMark/>
          </w:tcPr>
          <w:p w14:paraId="5E4EF6B9" w14:textId="77777777" w:rsidR="00733FA1" w:rsidRPr="00975CA4" w:rsidRDefault="00733FA1" w:rsidP="005A4CE0">
            <w:pPr>
              <w:jc w:val="center"/>
              <w:rPr>
                <w:rFonts w:eastAsia="Times New Roman"/>
                <w:sz w:val="22"/>
                <w:szCs w:val="22"/>
              </w:rPr>
            </w:pPr>
            <w:r w:rsidRPr="00975CA4">
              <w:rPr>
                <w:rFonts w:eastAsia="Times New Roman"/>
                <w:sz w:val="22"/>
                <w:szCs w:val="22"/>
              </w:rPr>
              <w:t>7</w:t>
            </w:r>
            <w:r w:rsidR="00E54F9C" w:rsidRPr="00975CA4">
              <w:rPr>
                <w:rFonts w:eastAsia="Times New Roman"/>
                <w:sz w:val="22"/>
                <w:szCs w:val="22"/>
              </w:rPr>
              <w:t> </w:t>
            </w:r>
            <w:r w:rsidRPr="00975CA4">
              <w:rPr>
                <w:rFonts w:eastAsia="Times New Roman"/>
                <w:sz w:val="22"/>
                <w:szCs w:val="22"/>
              </w:rPr>
              <w:t>% (3</w:t>
            </w:r>
            <w:r w:rsidRPr="00975CA4">
              <w:rPr>
                <w:rFonts w:eastAsia="Times New Roman"/>
                <w:bCs/>
                <w:sz w:val="22"/>
                <w:szCs w:val="22"/>
              </w:rPr>
              <w:t xml:space="preserve"> ‒ </w:t>
            </w:r>
            <w:r w:rsidRPr="00975CA4">
              <w:rPr>
                <w:rFonts w:eastAsia="Times New Roman"/>
                <w:sz w:val="22"/>
                <w:szCs w:val="22"/>
              </w:rPr>
              <w:t>14)</w:t>
            </w:r>
          </w:p>
        </w:tc>
        <w:tc>
          <w:tcPr>
            <w:tcW w:w="1842" w:type="dxa"/>
            <w:tcBorders>
              <w:top w:val="single" w:sz="4" w:space="0" w:color="000000"/>
              <w:left w:val="single" w:sz="4" w:space="0" w:color="000000"/>
              <w:bottom w:val="single" w:sz="4" w:space="0" w:color="000000"/>
              <w:right w:val="single" w:sz="4" w:space="0" w:color="000000"/>
            </w:tcBorders>
            <w:hideMark/>
          </w:tcPr>
          <w:p w14:paraId="165BF52C" w14:textId="77777777" w:rsidR="00733FA1" w:rsidRPr="00975CA4" w:rsidRDefault="00733FA1" w:rsidP="005A4CE0">
            <w:pPr>
              <w:jc w:val="center"/>
              <w:rPr>
                <w:rFonts w:eastAsia="Times New Roman"/>
                <w:sz w:val="22"/>
                <w:szCs w:val="22"/>
              </w:rPr>
            </w:pPr>
            <w:r w:rsidRPr="00975CA4">
              <w:rPr>
                <w:rFonts w:eastAsia="Times New Roman"/>
                <w:sz w:val="22"/>
                <w:szCs w:val="22"/>
              </w:rPr>
              <w:t>6</w:t>
            </w:r>
            <w:r w:rsidR="00E54F9C" w:rsidRPr="00975CA4">
              <w:rPr>
                <w:rFonts w:eastAsia="Times New Roman"/>
                <w:sz w:val="22"/>
                <w:szCs w:val="22"/>
              </w:rPr>
              <w:t> </w:t>
            </w:r>
            <w:r w:rsidRPr="00975CA4">
              <w:rPr>
                <w:rFonts w:eastAsia="Times New Roman"/>
                <w:sz w:val="22"/>
                <w:szCs w:val="22"/>
              </w:rPr>
              <w:t>% (1</w:t>
            </w:r>
            <w:r w:rsidRPr="00975CA4">
              <w:rPr>
                <w:rFonts w:eastAsia="Times New Roman"/>
                <w:bCs/>
                <w:sz w:val="22"/>
                <w:szCs w:val="22"/>
              </w:rPr>
              <w:t xml:space="preserve"> ‒ </w:t>
            </w:r>
            <w:r w:rsidRPr="00975CA4">
              <w:rPr>
                <w:rFonts w:eastAsia="Times New Roman"/>
                <w:sz w:val="22"/>
                <w:szCs w:val="22"/>
              </w:rPr>
              <w:t>17)</w:t>
            </w:r>
          </w:p>
        </w:tc>
        <w:tc>
          <w:tcPr>
            <w:tcW w:w="1667" w:type="dxa"/>
            <w:tcBorders>
              <w:top w:val="single" w:sz="4" w:space="0" w:color="000000"/>
              <w:left w:val="single" w:sz="4" w:space="0" w:color="000000"/>
              <w:bottom w:val="single" w:sz="4" w:space="0" w:color="000000"/>
              <w:right w:val="single" w:sz="4" w:space="0" w:color="000000"/>
            </w:tcBorders>
            <w:hideMark/>
          </w:tcPr>
          <w:p w14:paraId="60D943EB" w14:textId="77777777" w:rsidR="00733FA1" w:rsidRPr="00975CA4" w:rsidRDefault="00733FA1" w:rsidP="005A4CE0">
            <w:pPr>
              <w:jc w:val="center"/>
              <w:rPr>
                <w:rFonts w:eastAsia="Times New Roman"/>
                <w:sz w:val="22"/>
                <w:szCs w:val="22"/>
              </w:rPr>
            </w:pPr>
            <w:r w:rsidRPr="00975CA4">
              <w:rPr>
                <w:rFonts w:eastAsia="Times New Roman"/>
                <w:sz w:val="22"/>
                <w:szCs w:val="22"/>
              </w:rPr>
              <w:t>7</w:t>
            </w:r>
            <w:r w:rsidR="00E54F9C" w:rsidRPr="00975CA4">
              <w:rPr>
                <w:rFonts w:eastAsia="Times New Roman"/>
                <w:sz w:val="22"/>
                <w:szCs w:val="22"/>
              </w:rPr>
              <w:t> </w:t>
            </w:r>
            <w:r w:rsidRPr="00975CA4">
              <w:rPr>
                <w:rFonts w:eastAsia="Times New Roman"/>
                <w:sz w:val="22"/>
                <w:szCs w:val="22"/>
              </w:rPr>
              <w:t>% (1</w:t>
            </w:r>
            <w:r w:rsidRPr="00975CA4">
              <w:rPr>
                <w:rFonts w:eastAsia="Times New Roman"/>
                <w:bCs/>
                <w:sz w:val="22"/>
                <w:szCs w:val="22"/>
              </w:rPr>
              <w:t xml:space="preserve"> ‒ </w:t>
            </w:r>
            <w:r w:rsidRPr="00975CA4">
              <w:rPr>
                <w:rFonts w:eastAsia="Times New Roman"/>
                <w:sz w:val="22"/>
                <w:szCs w:val="22"/>
              </w:rPr>
              <w:t>18)</w:t>
            </w:r>
          </w:p>
        </w:tc>
      </w:tr>
      <w:tr w:rsidR="00733FA1" w:rsidRPr="00975CA4" w14:paraId="136E32CB" w14:textId="77777777" w:rsidTr="005A4CE0">
        <w:trPr>
          <w:trHeight w:val="283"/>
          <w:jc w:val="center"/>
        </w:trPr>
        <w:tc>
          <w:tcPr>
            <w:tcW w:w="10182" w:type="dxa"/>
            <w:gridSpan w:val="7"/>
            <w:tcBorders>
              <w:top w:val="single" w:sz="4" w:space="0" w:color="000000"/>
              <w:left w:val="single" w:sz="4" w:space="0" w:color="000000"/>
              <w:bottom w:val="single" w:sz="4" w:space="0" w:color="000000"/>
              <w:right w:val="single" w:sz="4" w:space="0" w:color="000000"/>
            </w:tcBorders>
            <w:hideMark/>
          </w:tcPr>
          <w:p w14:paraId="0C938BFD" w14:textId="77777777" w:rsidR="00733FA1" w:rsidRPr="00975CA4" w:rsidRDefault="00733FA1" w:rsidP="005A4CE0">
            <w:pPr>
              <w:ind w:right="-42"/>
              <w:rPr>
                <w:rFonts w:eastAsia="Times New Roman"/>
                <w:b/>
                <w:bCs/>
                <w:sz w:val="22"/>
                <w:szCs w:val="22"/>
              </w:rPr>
            </w:pPr>
            <w:proofErr w:type="spellStart"/>
            <w:r w:rsidRPr="00975CA4">
              <w:rPr>
                <w:b/>
                <w:bCs/>
                <w:sz w:val="22"/>
                <w:szCs w:val="22"/>
              </w:rPr>
              <w:t>MaHR</w:t>
            </w:r>
            <w:proofErr w:type="spellEnd"/>
            <w:r w:rsidR="005A4CE0" w:rsidRPr="00975CA4">
              <w:rPr>
                <w:b/>
                <w:bCs/>
                <w:sz w:val="22"/>
                <w:szCs w:val="22"/>
              </w:rPr>
              <w:t xml:space="preserve"> trukmė</w:t>
            </w:r>
            <w:r w:rsidRPr="00975CA4">
              <w:rPr>
                <w:b/>
                <w:bCs/>
                <w:sz w:val="22"/>
                <w:szCs w:val="22"/>
              </w:rPr>
              <w:t xml:space="preserve"> (%; </w:t>
            </w:r>
            <w:r w:rsidR="005A4CE0" w:rsidRPr="00975CA4">
              <w:rPr>
                <w:b/>
                <w:bCs/>
                <w:sz w:val="22"/>
                <w:szCs w:val="22"/>
              </w:rPr>
              <w:t xml:space="preserve">įvertinta </w:t>
            </w:r>
            <w:proofErr w:type="spellStart"/>
            <w:r w:rsidRPr="00975CA4">
              <w:rPr>
                <w:b/>
                <w:bCs/>
                <w:i/>
                <w:iCs/>
                <w:sz w:val="22"/>
                <w:szCs w:val="22"/>
              </w:rPr>
              <w:t>Kaplan-Meier</w:t>
            </w:r>
            <w:proofErr w:type="spellEnd"/>
            <w:r w:rsidRPr="00975CA4">
              <w:rPr>
                <w:b/>
                <w:bCs/>
                <w:sz w:val="22"/>
                <w:szCs w:val="22"/>
              </w:rPr>
              <w:t>)</w:t>
            </w:r>
          </w:p>
        </w:tc>
      </w:tr>
      <w:tr w:rsidR="00733FA1" w:rsidRPr="00975CA4" w14:paraId="248A0689"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059F4CF9" w14:textId="77777777" w:rsidR="00733FA1" w:rsidRPr="00975CA4" w:rsidRDefault="00733FA1">
            <w:pPr>
              <w:ind w:left="176"/>
              <w:rPr>
                <w:rFonts w:eastAsia="Times New Roman"/>
                <w:sz w:val="22"/>
                <w:szCs w:val="22"/>
              </w:rPr>
            </w:pPr>
            <w:r w:rsidRPr="00975CA4">
              <w:rPr>
                <w:rFonts w:eastAsia="Times New Roman"/>
                <w:sz w:val="22"/>
                <w:szCs w:val="22"/>
              </w:rPr>
              <w:t xml:space="preserve">1 </w:t>
            </w:r>
            <w:r w:rsidR="005A4CE0" w:rsidRPr="00975CA4">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4B589AEA" w14:textId="77777777" w:rsidR="00733FA1" w:rsidRPr="00975CA4" w:rsidRDefault="00733FA1" w:rsidP="005A4CE0">
            <w:pPr>
              <w:jc w:val="center"/>
              <w:rPr>
                <w:sz w:val="22"/>
                <w:szCs w:val="22"/>
              </w:rPr>
            </w:pPr>
            <w:r w:rsidRPr="00975CA4">
              <w:rPr>
                <w:rFonts w:eastAsia="Times New Roman"/>
                <w:sz w:val="22"/>
                <w:szCs w:val="22"/>
              </w:rPr>
              <w:t>n/a</w:t>
            </w:r>
          </w:p>
        </w:tc>
        <w:tc>
          <w:tcPr>
            <w:tcW w:w="1625" w:type="dxa"/>
            <w:tcBorders>
              <w:top w:val="single" w:sz="4" w:space="0" w:color="000000"/>
              <w:left w:val="single" w:sz="4" w:space="0" w:color="000000"/>
              <w:bottom w:val="single" w:sz="4" w:space="0" w:color="000000"/>
              <w:right w:val="single" w:sz="4" w:space="0" w:color="000000"/>
            </w:tcBorders>
            <w:hideMark/>
          </w:tcPr>
          <w:p w14:paraId="213BCE2A" w14:textId="77777777" w:rsidR="00733FA1" w:rsidRPr="00975CA4" w:rsidRDefault="00733FA1" w:rsidP="005A4CE0">
            <w:pPr>
              <w:jc w:val="center"/>
              <w:rPr>
                <w:rFonts w:eastAsia="Times New Roman"/>
                <w:sz w:val="22"/>
                <w:szCs w:val="22"/>
              </w:rPr>
            </w:pPr>
            <w:r w:rsidRPr="00975CA4">
              <w:rPr>
                <w:rFonts w:eastAsia="Times New Roman"/>
                <w:sz w:val="22"/>
                <w:szCs w:val="22"/>
              </w:rPr>
              <w:t>79</w:t>
            </w:r>
            <w:r w:rsidR="005E0CEB" w:rsidRPr="00975CA4">
              <w:rPr>
                <w:rFonts w:eastAsia="Times New Roman"/>
                <w:sz w:val="22"/>
                <w:szCs w:val="22"/>
              </w:rPr>
              <w:t> </w:t>
            </w:r>
            <w:r w:rsidRPr="00975CA4">
              <w:rPr>
                <w:rFonts w:eastAsia="Times New Roman"/>
                <w:sz w:val="22"/>
                <w:szCs w:val="22"/>
              </w:rPr>
              <w:t>% (71</w:t>
            </w:r>
            <w:r w:rsidRPr="00975CA4">
              <w:rPr>
                <w:rFonts w:eastAsia="Times New Roman"/>
                <w:bCs/>
                <w:sz w:val="22"/>
                <w:szCs w:val="22"/>
              </w:rPr>
              <w:t xml:space="preserve"> ‒ </w:t>
            </w:r>
            <w:r w:rsidRPr="00975CA4">
              <w:rPr>
                <w:rFonts w:eastAsia="Times New Roman"/>
                <w:sz w:val="22"/>
                <w:szCs w:val="22"/>
              </w:rPr>
              <w:t>87)</w:t>
            </w:r>
          </w:p>
        </w:tc>
        <w:tc>
          <w:tcPr>
            <w:tcW w:w="1745" w:type="dxa"/>
            <w:tcBorders>
              <w:top w:val="single" w:sz="4" w:space="0" w:color="000000"/>
              <w:left w:val="single" w:sz="4" w:space="0" w:color="000000"/>
              <w:bottom w:val="single" w:sz="4" w:space="0" w:color="000000"/>
              <w:right w:val="single" w:sz="4" w:space="0" w:color="000000"/>
            </w:tcBorders>
            <w:hideMark/>
          </w:tcPr>
          <w:p w14:paraId="0E60DBDB" w14:textId="77777777" w:rsidR="00733FA1" w:rsidRPr="00975CA4" w:rsidRDefault="00733FA1" w:rsidP="005A4CE0">
            <w:pPr>
              <w:ind w:right="-73"/>
              <w:jc w:val="center"/>
              <w:rPr>
                <w:rFonts w:eastAsia="Times New Roman"/>
                <w:sz w:val="22"/>
                <w:szCs w:val="22"/>
              </w:rPr>
            </w:pPr>
            <w:r w:rsidRPr="00975CA4">
              <w:rPr>
                <w:rFonts w:eastAsia="Times New Roman"/>
                <w:sz w:val="22"/>
                <w:szCs w:val="22"/>
              </w:rPr>
              <w:t>71</w:t>
            </w:r>
            <w:r w:rsidR="00E54F9C" w:rsidRPr="00975CA4">
              <w:rPr>
                <w:rFonts w:eastAsia="Times New Roman"/>
                <w:sz w:val="22"/>
                <w:szCs w:val="22"/>
              </w:rPr>
              <w:t> </w:t>
            </w:r>
            <w:r w:rsidRPr="00975CA4">
              <w:rPr>
                <w:rFonts w:eastAsia="Times New Roman"/>
                <w:sz w:val="22"/>
                <w:szCs w:val="22"/>
              </w:rPr>
              <w:t>% (55</w:t>
            </w:r>
            <w:r w:rsidRPr="00975CA4">
              <w:rPr>
                <w:rFonts w:eastAsia="Times New Roman"/>
                <w:bCs/>
                <w:sz w:val="22"/>
                <w:szCs w:val="22"/>
              </w:rPr>
              <w:t xml:space="preserve"> ‒ </w:t>
            </w:r>
            <w:r w:rsidRPr="00975CA4">
              <w:rPr>
                <w:rFonts w:eastAsia="Times New Roman"/>
                <w:sz w:val="22"/>
                <w:szCs w:val="22"/>
              </w:rPr>
              <w:t>87)</w:t>
            </w:r>
          </w:p>
        </w:tc>
        <w:tc>
          <w:tcPr>
            <w:tcW w:w="1842" w:type="dxa"/>
            <w:tcBorders>
              <w:top w:val="single" w:sz="4" w:space="0" w:color="000000"/>
              <w:left w:val="single" w:sz="4" w:space="0" w:color="000000"/>
              <w:bottom w:val="single" w:sz="4" w:space="0" w:color="000000"/>
              <w:right w:val="single" w:sz="4" w:space="0" w:color="000000"/>
            </w:tcBorders>
            <w:hideMark/>
          </w:tcPr>
          <w:p w14:paraId="34DF15AF" w14:textId="77777777" w:rsidR="00733FA1" w:rsidRPr="00975CA4" w:rsidRDefault="00733FA1" w:rsidP="005A4CE0">
            <w:pPr>
              <w:jc w:val="center"/>
              <w:rPr>
                <w:rFonts w:eastAsia="Times New Roman"/>
                <w:sz w:val="22"/>
                <w:szCs w:val="22"/>
              </w:rPr>
            </w:pPr>
            <w:r w:rsidRPr="00975CA4">
              <w:rPr>
                <w:rFonts w:eastAsia="Times New Roman"/>
                <w:sz w:val="22"/>
                <w:szCs w:val="22"/>
              </w:rPr>
              <w:t>29</w:t>
            </w:r>
            <w:r w:rsidR="00E54F9C" w:rsidRPr="00975CA4">
              <w:rPr>
                <w:rFonts w:eastAsia="Times New Roman"/>
                <w:sz w:val="22"/>
                <w:szCs w:val="22"/>
              </w:rPr>
              <w:t> </w:t>
            </w:r>
            <w:r w:rsidRPr="00975CA4">
              <w:rPr>
                <w:rFonts w:eastAsia="Times New Roman"/>
                <w:sz w:val="22"/>
                <w:szCs w:val="22"/>
              </w:rPr>
              <w:t>% (3</w:t>
            </w:r>
            <w:r w:rsidRPr="00975CA4">
              <w:rPr>
                <w:rFonts w:eastAsia="Times New Roman"/>
                <w:bCs/>
                <w:sz w:val="22"/>
                <w:szCs w:val="22"/>
              </w:rPr>
              <w:t xml:space="preserve"> ‒ </w:t>
            </w:r>
            <w:r w:rsidRPr="00975CA4">
              <w:rPr>
                <w:rFonts w:eastAsia="Times New Roman"/>
                <w:sz w:val="22"/>
                <w:szCs w:val="22"/>
              </w:rPr>
              <w:t>56)</w:t>
            </w:r>
          </w:p>
        </w:tc>
        <w:tc>
          <w:tcPr>
            <w:tcW w:w="1667" w:type="dxa"/>
            <w:tcBorders>
              <w:top w:val="single" w:sz="4" w:space="0" w:color="000000"/>
              <w:left w:val="single" w:sz="4" w:space="0" w:color="000000"/>
              <w:bottom w:val="single" w:sz="4" w:space="0" w:color="000000"/>
              <w:right w:val="single" w:sz="4" w:space="0" w:color="000000"/>
            </w:tcBorders>
            <w:hideMark/>
          </w:tcPr>
          <w:p w14:paraId="6D4FAC18" w14:textId="77777777" w:rsidR="00733FA1" w:rsidRPr="00975CA4" w:rsidRDefault="00733FA1" w:rsidP="005A4CE0">
            <w:pPr>
              <w:jc w:val="center"/>
              <w:rPr>
                <w:rFonts w:eastAsia="Times New Roman"/>
                <w:sz w:val="22"/>
                <w:szCs w:val="22"/>
              </w:rPr>
            </w:pPr>
            <w:r w:rsidRPr="00975CA4">
              <w:rPr>
                <w:rFonts w:eastAsia="Times New Roman"/>
                <w:sz w:val="22"/>
                <w:szCs w:val="22"/>
              </w:rPr>
              <w:t>32</w:t>
            </w:r>
            <w:r w:rsidR="00E54F9C" w:rsidRPr="00975CA4">
              <w:rPr>
                <w:rFonts w:eastAsia="Times New Roman"/>
                <w:sz w:val="22"/>
                <w:szCs w:val="22"/>
              </w:rPr>
              <w:t> </w:t>
            </w:r>
            <w:r w:rsidRPr="00975CA4">
              <w:rPr>
                <w:rFonts w:eastAsia="Times New Roman"/>
                <w:sz w:val="22"/>
                <w:szCs w:val="22"/>
              </w:rPr>
              <w:t>% (8</w:t>
            </w:r>
            <w:r w:rsidRPr="00975CA4">
              <w:rPr>
                <w:rFonts w:eastAsia="Times New Roman"/>
                <w:bCs/>
                <w:sz w:val="22"/>
                <w:szCs w:val="22"/>
              </w:rPr>
              <w:t xml:space="preserve"> ‒ </w:t>
            </w:r>
            <w:r w:rsidRPr="00975CA4">
              <w:rPr>
                <w:rFonts w:eastAsia="Times New Roman"/>
                <w:sz w:val="22"/>
                <w:szCs w:val="22"/>
              </w:rPr>
              <w:t>56)</w:t>
            </w:r>
          </w:p>
        </w:tc>
      </w:tr>
      <w:tr w:rsidR="00733FA1" w:rsidRPr="00975CA4" w14:paraId="6A5817F6"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5E298C4F" w14:textId="77777777" w:rsidR="00733FA1" w:rsidRPr="00975CA4" w:rsidRDefault="00733FA1">
            <w:pPr>
              <w:ind w:left="176"/>
              <w:rPr>
                <w:rFonts w:eastAsia="Times New Roman"/>
                <w:sz w:val="22"/>
                <w:szCs w:val="22"/>
              </w:rPr>
            </w:pPr>
            <w:r w:rsidRPr="00975CA4">
              <w:rPr>
                <w:rFonts w:eastAsia="Times New Roman"/>
                <w:sz w:val="22"/>
                <w:szCs w:val="22"/>
              </w:rPr>
              <w:t xml:space="preserve">2 </w:t>
            </w:r>
            <w:r w:rsidR="005A4CE0" w:rsidRPr="00975CA4">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7AF8AB08" w14:textId="77777777" w:rsidR="00733FA1" w:rsidRPr="00975CA4" w:rsidRDefault="00733FA1" w:rsidP="005A4CE0">
            <w:pPr>
              <w:jc w:val="center"/>
              <w:rPr>
                <w:sz w:val="22"/>
                <w:szCs w:val="22"/>
              </w:rPr>
            </w:pPr>
            <w:r w:rsidRPr="00975CA4">
              <w:rPr>
                <w:rFonts w:eastAsia="Times New Roman"/>
                <w:sz w:val="22"/>
                <w:szCs w:val="22"/>
              </w:rPr>
              <w:t>n/a</w:t>
            </w:r>
          </w:p>
        </w:tc>
        <w:tc>
          <w:tcPr>
            <w:tcW w:w="1625" w:type="dxa"/>
            <w:tcBorders>
              <w:top w:val="single" w:sz="4" w:space="0" w:color="000000"/>
              <w:left w:val="single" w:sz="4" w:space="0" w:color="000000"/>
              <w:bottom w:val="single" w:sz="4" w:space="0" w:color="000000"/>
              <w:right w:val="single" w:sz="4" w:space="0" w:color="000000"/>
            </w:tcBorders>
            <w:hideMark/>
          </w:tcPr>
          <w:p w14:paraId="30C6472C" w14:textId="77777777" w:rsidR="00733FA1" w:rsidRPr="00975CA4" w:rsidRDefault="00733FA1" w:rsidP="005A4CE0">
            <w:pPr>
              <w:jc w:val="center"/>
              <w:rPr>
                <w:rFonts w:eastAsia="Times New Roman"/>
                <w:sz w:val="22"/>
                <w:szCs w:val="22"/>
              </w:rPr>
            </w:pPr>
            <w:r w:rsidRPr="00975CA4">
              <w:rPr>
                <w:rFonts w:eastAsia="Times New Roman"/>
                <w:sz w:val="22"/>
                <w:szCs w:val="22"/>
              </w:rPr>
              <w:t>60</w:t>
            </w:r>
            <w:r w:rsidR="005E0CEB" w:rsidRPr="00975CA4">
              <w:rPr>
                <w:rFonts w:eastAsia="Times New Roman"/>
                <w:sz w:val="22"/>
                <w:szCs w:val="22"/>
              </w:rPr>
              <w:t> </w:t>
            </w:r>
            <w:r w:rsidRPr="00975CA4">
              <w:rPr>
                <w:rFonts w:eastAsia="Times New Roman"/>
                <w:sz w:val="22"/>
                <w:szCs w:val="22"/>
              </w:rPr>
              <w:t>% (50</w:t>
            </w:r>
            <w:r w:rsidRPr="00975CA4">
              <w:rPr>
                <w:rFonts w:eastAsia="Times New Roman"/>
                <w:bCs/>
                <w:sz w:val="22"/>
                <w:szCs w:val="22"/>
              </w:rPr>
              <w:t xml:space="preserve"> ‒ </w:t>
            </w:r>
            <w:r w:rsidRPr="00975CA4">
              <w:rPr>
                <w:rFonts w:eastAsia="Times New Roman"/>
                <w:sz w:val="22"/>
                <w:szCs w:val="22"/>
              </w:rPr>
              <w:t>70)</w:t>
            </w:r>
          </w:p>
        </w:tc>
        <w:tc>
          <w:tcPr>
            <w:tcW w:w="1745" w:type="dxa"/>
            <w:tcBorders>
              <w:top w:val="single" w:sz="4" w:space="0" w:color="000000"/>
              <w:left w:val="single" w:sz="4" w:space="0" w:color="000000"/>
              <w:bottom w:val="single" w:sz="4" w:space="0" w:color="000000"/>
              <w:right w:val="single" w:sz="4" w:space="0" w:color="000000"/>
            </w:tcBorders>
            <w:hideMark/>
          </w:tcPr>
          <w:p w14:paraId="41A520CD" w14:textId="77777777" w:rsidR="00733FA1" w:rsidRPr="00975CA4" w:rsidRDefault="00733FA1" w:rsidP="005A4CE0">
            <w:pPr>
              <w:ind w:right="-73"/>
              <w:jc w:val="center"/>
              <w:rPr>
                <w:rFonts w:eastAsia="Times New Roman"/>
                <w:sz w:val="22"/>
                <w:szCs w:val="22"/>
              </w:rPr>
            </w:pPr>
            <w:r w:rsidRPr="00975CA4">
              <w:rPr>
                <w:rFonts w:eastAsia="Times New Roman"/>
                <w:sz w:val="22"/>
                <w:szCs w:val="22"/>
              </w:rPr>
              <w:t>41</w:t>
            </w:r>
            <w:r w:rsidR="00E54F9C" w:rsidRPr="00975CA4">
              <w:rPr>
                <w:rFonts w:eastAsia="Times New Roman"/>
                <w:sz w:val="22"/>
                <w:szCs w:val="22"/>
              </w:rPr>
              <w:t> </w:t>
            </w:r>
            <w:r w:rsidRPr="00975CA4">
              <w:rPr>
                <w:rFonts w:eastAsia="Times New Roman"/>
                <w:sz w:val="22"/>
                <w:szCs w:val="22"/>
              </w:rPr>
              <w:t>% (21</w:t>
            </w:r>
            <w:r w:rsidRPr="00975CA4">
              <w:rPr>
                <w:rFonts w:eastAsia="Times New Roman"/>
                <w:bCs/>
                <w:sz w:val="22"/>
                <w:szCs w:val="22"/>
              </w:rPr>
              <w:t xml:space="preserve"> ‒ </w:t>
            </w:r>
            <w:r w:rsidRPr="00975CA4">
              <w:rPr>
                <w:rFonts w:eastAsia="Times New Roman"/>
                <w:sz w:val="22"/>
                <w:szCs w:val="22"/>
              </w:rPr>
              <w:t>60)</w:t>
            </w:r>
          </w:p>
        </w:tc>
        <w:tc>
          <w:tcPr>
            <w:tcW w:w="1842" w:type="dxa"/>
            <w:tcBorders>
              <w:top w:val="single" w:sz="4" w:space="0" w:color="000000"/>
              <w:left w:val="single" w:sz="4" w:space="0" w:color="000000"/>
              <w:bottom w:val="single" w:sz="4" w:space="0" w:color="000000"/>
              <w:right w:val="single" w:sz="4" w:space="0" w:color="000000"/>
            </w:tcBorders>
            <w:hideMark/>
          </w:tcPr>
          <w:p w14:paraId="76E82CB0" w14:textId="77777777" w:rsidR="00733FA1" w:rsidRPr="00975CA4" w:rsidRDefault="00733FA1" w:rsidP="005A4CE0">
            <w:pPr>
              <w:jc w:val="center"/>
              <w:rPr>
                <w:rFonts w:eastAsia="Times New Roman"/>
                <w:sz w:val="22"/>
                <w:szCs w:val="22"/>
              </w:rPr>
            </w:pPr>
            <w:r w:rsidRPr="00975CA4">
              <w:rPr>
                <w:rFonts w:eastAsia="Times New Roman"/>
                <w:sz w:val="22"/>
                <w:szCs w:val="22"/>
              </w:rPr>
              <w:t>10</w:t>
            </w:r>
            <w:r w:rsidR="00E54F9C" w:rsidRPr="00975CA4">
              <w:rPr>
                <w:rFonts w:eastAsia="Times New Roman"/>
                <w:sz w:val="22"/>
                <w:szCs w:val="22"/>
              </w:rPr>
              <w:t> </w:t>
            </w:r>
            <w:r w:rsidRPr="00975CA4">
              <w:rPr>
                <w:rFonts w:eastAsia="Times New Roman"/>
                <w:sz w:val="22"/>
                <w:szCs w:val="22"/>
              </w:rPr>
              <w:t>% (0</w:t>
            </w:r>
            <w:r w:rsidRPr="00975CA4">
              <w:rPr>
                <w:rFonts w:eastAsia="Times New Roman"/>
                <w:bCs/>
                <w:sz w:val="22"/>
                <w:szCs w:val="22"/>
              </w:rPr>
              <w:t xml:space="preserve"> ‒ </w:t>
            </w:r>
            <w:r w:rsidRPr="00975CA4">
              <w:rPr>
                <w:rFonts w:eastAsia="Times New Roman"/>
                <w:sz w:val="22"/>
                <w:szCs w:val="22"/>
              </w:rPr>
              <w:t>28)</w:t>
            </w:r>
          </w:p>
        </w:tc>
        <w:tc>
          <w:tcPr>
            <w:tcW w:w="1667" w:type="dxa"/>
            <w:tcBorders>
              <w:top w:val="single" w:sz="4" w:space="0" w:color="000000"/>
              <w:left w:val="single" w:sz="4" w:space="0" w:color="000000"/>
              <w:bottom w:val="single" w:sz="4" w:space="0" w:color="000000"/>
              <w:right w:val="single" w:sz="4" w:space="0" w:color="000000"/>
            </w:tcBorders>
            <w:hideMark/>
          </w:tcPr>
          <w:p w14:paraId="4407626F" w14:textId="77777777" w:rsidR="00733FA1" w:rsidRPr="00975CA4" w:rsidRDefault="00733FA1" w:rsidP="005A4CE0">
            <w:pPr>
              <w:jc w:val="center"/>
              <w:rPr>
                <w:rFonts w:eastAsia="Times New Roman"/>
                <w:sz w:val="22"/>
                <w:szCs w:val="22"/>
              </w:rPr>
            </w:pPr>
            <w:r w:rsidRPr="00975CA4">
              <w:rPr>
                <w:rFonts w:eastAsia="Times New Roman"/>
                <w:sz w:val="22"/>
                <w:szCs w:val="22"/>
              </w:rPr>
              <w:t>24</w:t>
            </w:r>
            <w:r w:rsidR="00E54F9C" w:rsidRPr="00975CA4">
              <w:rPr>
                <w:rFonts w:eastAsia="Times New Roman"/>
                <w:sz w:val="22"/>
                <w:szCs w:val="22"/>
              </w:rPr>
              <w:t> </w:t>
            </w:r>
            <w:r w:rsidRPr="00975CA4">
              <w:rPr>
                <w:rFonts w:eastAsia="Times New Roman"/>
                <w:sz w:val="22"/>
                <w:szCs w:val="22"/>
              </w:rPr>
              <w:t>% (2</w:t>
            </w:r>
            <w:r w:rsidRPr="00975CA4">
              <w:rPr>
                <w:rFonts w:eastAsia="Times New Roman"/>
                <w:bCs/>
                <w:sz w:val="22"/>
                <w:szCs w:val="22"/>
              </w:rPr>
              <w:t xml:space="preserve"> ‒ </w:t>
            </w:r>
            <w:r w:rsidRPr="00975CA4">
              <w:rPr>
                <w:rFonts w:eastAsia="Times New Roman"/>
                <w:sz w:val="22"/>
                <w:szCs w:val="22"/>
              </w:rPr>
              <w:t>47)</w:t>
            </w:r>
          </w:p>
        </w:tc>
      </w:tr>
      <w:tr w:rsidR="00733FA1" w:rsidRPr="00975CA4" w14:paraId="0F4AE33B" w14:textId="77777777" w:rsidTr="005A4CE0">
        <w:trPr>
          <w:trHeight w:val="283"/>
          <w:jc w:val="center"/>
        </w:trPr>
        <w:tc>
          <w:tcPr>
            <w:tcW w:w="10182" w:type="dxa"/>
            <w:gridSpan w:val="7"/>
            <w:tcBorders>
              <w:top w:val="single" w:sz="4" w:space="0" w:color="000000"/>
              <w:left w:val="single" w:sz="4" w:space="0" w:color="000000"/>
              <w:bottom w:val="single" w:sz="4" w:space="0" w:color="000000"/>
              <w:right w:val="single" w:sz="4" w:space="0" w:color="000000"/>
            </w:tcBorders>
            <w:hideMark/>
          </w:tcPr>
          <w:p w14:paraId="509C17D3" w14:textId="77777777" w:rsidR="00733FA1" w:rsidRPr="00975CA4" w:rsidRDefault="00733FA1" w:rsidP="005A4CE0">
            <w:pPr>
              <w:ind w:left="-30" w:right="-155"/>
              <w:rPr>
                <w:rFonts w:eastAsia="Times New Roman"/>
                <w:bCs/>
                <w:sz w:val="22"/>
                <w:szCs w:val="22"/>
              </w:rPr>
            </w:pPr>
            <w:proofErr w:type="spellStart"/>
            <w:r w:rsidRPr="00975CA4">
              <w:rPr>
                <w:rFonts w:eastAsia="Times New Roman"/>
                <w:b/>
                <w:bCs/>
                <w:sz w:val="22"/>
                <w:szCs w:val="22"/>
              </w:rPr>
              <w:t>C</w:t>
            </w:r>
            <w:r w:rsidR="005A4CE0" w:rsidRPr="00975CA4">
              <w:rPr>
                <w:rFonts w:eastAsia="Times New Roman"/>
                <w:b/>
                <w:bCs/>
                <w:sz w:val="22"/>
                <w:szCs w:val="22"/>
              </w:rPr>
              <w:t>itogeninis</w:t>
            </w:r>
            <w:proofErr w:type="spellEnd"/>
            <w:r w:rsidR="005A4CE0" w:rsidRPr="00975CA4">
              <w:rPr>
                <w:rFonts w:eastAsia="Times New Roman"/>
                <w:b/>
                <w:bCs/>
                <w:sz w:val="22"/>
                <w:szCs w:val="22"/>
              </w:rPr>
              <w:t xml:space="preserve"> </w:t>
            </w:r>
            <w:proofErr w:type="spellStart"/>
            <w:r w:rsidR="005A4CE0" w:rsidRPr="00975CA4">
              <w:rPr>
                <w:rFonts w:eastAsia="Times New Roman"/>
                <w:b/>
                <w:bCs/>
                <w:sz w:val="22"/>
                <w:szCs w:val="22"/>
              </w:rPr>
              <w:t>atsakas</w:t>
            </w:r>
            <w:r w:rsidRPr="00975CA4">
              <w:rPr>
                <w:rFonts w:eastAsia="Times New Roman"/>
                <w:b/>
                <w:bCs/>
                <w:sz w:val="22"/>
                <w:szCs w:val="22"/>
                <w:vertAlign w:val="superscript"/>
              </w:rPr>
              <w:t>c</w:t>
            </w:r>
            <w:proofErr w:type="spellEnd"/>
            <w:r w:rsidRPr="00975CA4">
              <w:rPr>
                <w:rFonts w:eastAsia="Times New Roman"/>
                <w:b/>
                <w:bCs/>
                <w:sz w:val="22"/>
                <w:szCs w:val="22"/>
              </w:rPr>
              <w:t xml:space="preserve"> (%)</w:t>
            </w:r>
          </w:p>
        </w:tc>
      </w:tr>
      <w:tr w:rsidR="00733FA1" w:rsidRPr="00975CA4" w14:paraId="32334298"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46FBFF49" w14:textId="77777777" w:rsidR="00733FA1" w:rsidRPr="00975CA4" w:rsidRDefault="00733FA1">
            <w:pPr>
              <w:ind w:right="-147"/>
              <w:rPr>
                <w:sz w:val="22"/>
                <w:szCs w:val="22"/>
              </w:rPr>
            </w:pPr>
            <w:proofErr w:type="spellStart"/>
            <w:r w:rsidRPr="00975CA4">
              <w:rPr>
                <w:rFonts w:eastAsia="Times New Roman"/>
                <w:sz w:val="22"/>
                <w:szCs w:val="22"/>
              </w:rPr>
              <w:t>MCyR</w:t>
            </w:r>
            <w:proofErr w:type="spellEnd"/>
            <w:r w:rsidRPr="00975CA4">
              <w:rPr>
                <w:rFonts w:eastAsia="Times New Roman"/>
                <w:sz w:val="22"/>
                <w:szCs w:val="22"/>
              </w:rPr>
              <w:t xml:space="preserve"> (95</w:t>
            </w:r>
            <w:r w:rsidR="005E0CEB" w:rsidRPr="00975CA4">
              <w:rPr>
                <w:rFonts w:eastAsia="Times New Roman"/>
                <w:sz w:val="22"/>
                <w:szCs w:val="22"/>
              </w:rPr>
              <w:t> </w:t>
            </w:r>
            <w:r w:rsidRPr="00975CA4">
              <w:rPr>
                <w:rFonts w:eastAsia="Times New Roman"/>
                <w:sz w:val="22"/>
                <w:szCs w:val="22"/>
              </w:rPr>
              <w:t xml:space="preserve">% </w:t>
            </w:r>
            <w:r w:rsidR="005A4CE0" w:rsidRPr="00975CA4">
              <w:rPr>
                <w:rFonts w:eastAsia="Times New Roman"/>
                <w:sz w:val="22"/>
                <w:szCs w:val="22"/>
              </w:rPr>
              <w:t>P</w:t>
            </w:r>
            <w:r w:rsidRPr="00975CA4">
              <w:rPr>
                <w:rFonts w:eastAsia="Times New Roman"/>
                <w:sz w:val="22"/>
                <w:szCs w:val="22"/>
              </w:rPr>
              <w:t>I)</w:t>
            </w:r>
          </w:p>
        </w:tc>
        <w:tc>
          <w:tcPr>
            <w:tcW w:w="1390" w:type="dxa"/>
            <w:tcBorders>
              <w:top w:val="single" w:sz="4" w:space="0" w:color="000000"/>
              <w:left w:val="single" w:sz="4" w:space="0" w:color="000000"/>
              <w:bottom w:val="single" w:sz="4" w:space="0" w:color="000000"/>
              <w:right w:val="single" w:sz="4" w:space="0" w:color="000000"/>
            </w:tcBorders>
            <w:hideMark/>
          </w:tcPr>
          <w:p w14:paraId="4C7D7DD8"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62</w:t>
            </w:r>
            <w:r w:rsidR="005E0CEB" w:rsidRPr="00975CA4">
              <w:rPr>
                <w:rFonts w:eastAsia="Times New Roman"/>
                <w:sz w:val="22"/>
                <w:szCs w:val="22"/>
              </w:rPr>
              <w:t> </w:t>
            </w:r>
            <w:r w:rsidRPr="00975CA4">
              <w:rPr>
                <w:rFonts w:eastAsia="Times New Roman"/>
                <w:sz w:val="22"/>
                <w:szCs w:val="22"/>
              </w:rPr>
              <w:t>% (57</w:t>
            </w:r>
            <w:r w:rsidRPr="00975CA4">
              <w:rPr>
                <w:rFonts w:eastAsia="Times New Roman"/>
                <w:bCs/>
                <w:sz w:val="22"/>
                <w:szCs w:val="22"/>
              </w:rPr>
              <w:t xml:space="preserve"> ‒ </w:t>
            </w:r>
            <w:r w:rsidRPr="00975CA4">
              <w:rPr>
                <w:rFonts w:eastAsia="Times New Roman"/>
                <w:sz w:val="22"/>
                <w:szCs w:val="22"/>
              </w:rPr>
              <w:t>67)</w:t>
            </w:r>
          </w:p>
        </w:tc>
        <w:tc>
          <w:tcPr>
            <w:tcW w:w="1625" w:type="dxa"/>
            <w:tcBorders>
              <w:top w:val="single" w:sz="4" w:space="0" w:color="000000"/>
              <w:left w:val="single" w:sz="4" w:space="0" w:color="000000"/>
              <w:bottom w:val="single" w:sz="4" w:space="0" w:color="000000"/>
              <w:right w:val="single" w:sz="4" w:space="0" w:color="000000"/>
            </w:tcBorders>
            <w:hideMark/>
          </w:tcPr>
          <w:p w14:paraId="055197A5"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40</w:t>
            </w:r>
            <w:r w:rsidR="005E0CEB" w:rsidRPr="00975CA4">
              <w:rPr>
                <w:rFonts w:eastAsia="Times New Roman"/>
                <w:sz w:val="22"/>
                <w:szCs w:val="22"/>
              </w:rPr>
              <w:t> </w:t>
            </w:r>
            <w:r w:rsidRPr="00975CA4">
              <w:rPr>
                <w:rFonts w:eastAsia="Times New Roman"/>
                <w:sz w:val="22"/>
                <w:szCs w:val="22"/>
              </w:rPr>
              <w:t>% (33</w:t>
            </w:r>
            <w:r w:rsidRPr="00975CA4">
              <w:rPr>
                <w:rFonts w:eastAsia="Times New Roman"/>
                <w:bCs/>
                <w:sz w:val="22"/>
                <w:szCs w:val="22"/>
              </w:rPr>
              <w:t xml:space="preserve"> ‒ </w:t>
            </w:r>
            <w:r w:rsidRPr="00975CA4">
              <w:rPr>
                <w:rFonts w:eastAsia="Times New Roman"/>
                <w:sz w:val="22"/>
                <w:szCs w:val="22"/>
              </w:rPr>
              <w:t>48)</w:t>
            </w:r>
          </w:p>
        </w:tc>
        <w:tc>
          <w:tcPr>
            <w:tcW w:w="1745" w:type="dxa"/>
            <w:tcBorders>
              <w:top w:val="single" w:sz="4" w:space="0" w:color="000000"/>
              <w:left w:val="single" w:sz="4" w:space="0" w:color="000000"/>
              <w:bottom w:val="single" w:sz="4" w:space="0" w:color="000000"/>
              <w:right w:val="single" w:sz="4" w:space="0" w:color="000000"/>
            </w:tcBorders>
            <w:hideMark/>
          </w:tcPr>
          <w:p w14:paraId="2633560E"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34</w:t>
            </w:r>
            <w:r w:rsidR="00E54F9C" w:rsidRPr="00975CA4">
              <w:rPr>
                <w:rFonts w:eastAsia="Times New Roman"/>
                <w:sz w:val="22"/>
                <w:szCs w:val="22"/>
              </w:rPr>
              <w:t> </w:t>
            </w:r>
            <w:r w:rsidRPr="00975CA4">
              <w:rPr>
                <w:rFonts w:eastAsia="Times New Roman"/>
                <w:sz w:val="22"/>
                <w:szCs w:val="22"/>
              </w:rPr>
              <w:t>% (25</w:t>
            </w:r>
            <w:r w:rsidRPr="00975CA4">
              <w:rPr>
                <w:rFonts w:eastAsia="Times New Roman"/>
                <w:bCs/>
                <w:sz w:val="22"/>
                <w:szCs w:val="22"/>
              </w:rPr>
              <w:t xml:space="preserve"> ‒ </w:t>
            </w:r>
            <w:r w:rsidRPr="00975CA4">
              <w:rPr>
                <w:rFonts w:eastAsia="Times New Roman"/>
                <w:sz w:val="22"/>
                <w:szCs w:val="22"/>
              </w:rPr>
              <w:t>44)</w:t>
            </w:r>
          </w:p>
        </w:tc>
        <w:tc>
          <w:tcPr>
            <w:tcW w:w="1842" w:type="dxa"/>
            <w:tcBorders>
              <w:top w:val="single" w:sz="4" w:space="0" w:color="000000"/>
              <w:left w:val="single" w:sz="4" w:space="0" w:color="000000"/>
              <w:bottom w:val="single" w:sz="4" w:space="0" w:color="000000"/>
              <w:right w:val="single" w:sz="4" w:space="0" w:color="000000"/>
            </w:tcBorders>
            <w:hideMark/>
          </w:tcPr>
          <w:p w14:paraId="1A792B02"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52</w:t>
            </w:r>
            <w:r w:rsidR="00E54F9C" w:rsidRPr="00975CA4">
              <w:rPr>
                <w:rFonts w:eastAsia="Times New Roman"/>
                <w:sz w:val="22"/>
                <w:szCs w:val="22"/>
              </w:rPr>
              <w:t> </w:t>
            </w:r>
            <w:r w:rsidRPr="00975CA4">
              <w:rPr>
                <w:rFonts w:eastAsia="Times New Roman"/>
                <w:sz w:val="22"/>
                <w:szCs w:val="22"/>
              </w:rPr>
              <w:t>% (37</w:t>
            </w:r>
            <w:r w:rsidRPr="00975CA4">
              <w:rPr>
                <w:rFonts w:eastAsia="Times New Roman"/>
                <w:bCs/>
                <w:sz w:val="22"/>
                <w:szCs w:val="22"/>
              </w:rPr>
              <w:t xml:space="preserve"> ‒ </w:t>
            </w:r>
            <w:r w:rsidRPr="00975CA4">
              <w:rPr>
                <w:rFonts w:eastAsia="Times New Roman"/>
                <w:sz w:val="22"/>
                <w:szCs w:val="22"/>
              </w:rPr>
              <w:t>67)</w:t>
            </w:r>
          </w:p>
        </w:tc>
        <w:tc>
          <w:tcPr>
            <w:tcW w:w="1667" w:type="dxa"/>
            <w:tcBorders>
              <w:top w:val="single" w:sz="4" w:space="0" w:color="000000"/>
              <w:left w:val="single" w:sz="4" w:space="0" w:color="000000"/>
              <w:bottom w:val="single" w:sz="4" w:space="0" w:color="000000"/>
              <w:right w:val="single" w:sz="4" w:space="0" w:color="000000"/>
            </w:tcBorders>
            <w:hideMark/>
          </w:tcPr>
          <w:p w14:paraId="3573AFFD"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57</w:t>
            </w:r>
            <w:r w:rsidR="00E54F9C" w:rsidRPr="00975CA4">
              <w:rPr>
                <w:rFonts w:eastAsia="Times New Roman"/>
                <w:sz w:val="22"/>
                <w:szCs w:val="22"/>
              </w:rPr>
              <w:t> </w:t>
            </w:r>
            <w:r w:rsidRPr="00975CA4">
              <w:rPr>
                <w:rFonts w:eastAsia="Times New Roman"/>
                <w:sz w:val="22"/>
                <w:szCs w:val="22"/>
              </w:rPr>
              <w:t>% (41</w:t>
            </w:r>
            <w:r w:rsidRPr="00975CA4">
              <w:rPr>
                <w:rFonts w:eastAsia="Times New Roman"/>
                <w:bCs/>
                <w:sz w:val="22"/>
                <w:szCs w:val="22"/>
              </w:rPr>
              <w:t xml:space="preserve"> ‒ </w:t>
            </w:r>
            <w:r w:rsidRPr="00975CA4">
              <w:rPr>
                <w:rFonts w:eastAsia="Times New Roman"/>
                <w:sz w:val="22"/>
                <w:szCs w:val="22"/>
              </w:rPr>
              <w:t>71)</w:t>
            </w:r>
          </w:p>
        </w:tc>
      </w:tr>
      <w:tr w:rsidR="00733FA1" w:rsidRPr="00975CA4" w14:paraId="6CFFAA9F"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738E9835" w14:textId="77777777" w:rsidR="00733FA1" w:rsidRPr="00975CA4" w:rsidRDefault="00733FA1">
            <w:pPr>
              <w:ind w:left="142" w:right="-147"/>
              <w:rPr>
                <w:rFonts w:eastAsia="Times New Roman"/>
                <w:sz w:val="22"/>
                <w:szCs w:val="22"/>
              </w:rPr>
            </w:pPr>
            <w:proofErr w:type="spellStart"/>
            <w:r w:rsidRPr="00975CA4">
              <w:rPr>
                <w:rFonts w:eastAsia="Times New Roman"/>
                <w:sz w:val="22"/>
                <w:szCs w:val="22"/>
              </w:rPr>
              <w:t>CCyR</w:t>
            </w:r>
            <w:proofErr w:type="spellEnd"/>
            <w:r w:rsidRPr="00975CA4">
              <w:rPr>
                <w:rFonts w:eastAsia="Times New Roman"/>
                <w:sz w:val="22"/>
                <w:szCs w:val="22"/>
              </w:rPr>
              <w:t xml:space="preserve"> (95</w:t>
            </w:r>
            <w:r w:rsidR="005E0CEB" w:rsidRPr="00975CA4">
              <w:rPr>
                <w:rFonts w:eastAsia="Times New Roman"/>
                <w:sz w:val="22"/>
                <w:szCs w:val="22"/>
              </w:rPr>
              <w:t> </w:t>
            </w:r>
            <w:r w:rsidRPr="00975CA4">
              <w:rPr>
                <w:rFonts w:eastAsia="Times New Roman"/>
                <w:sz w:val="22"/>
                <w:szCs w:val="22"/>
              </w:rPr>
              <w:t xml:space="preserve">% </w:t>
            </w:r>
            <w:r w:rsidR="005A4CE0" w:rsidRPr="00975CA4">
              <w:rPr>
                <w:rFonts w:eastAsia="Times New Roman"/>
                <w:sz w:val="22"/>
                <w:szCs w:val="22"/>
              </w:rPr>
              <w:t>P</w:t>
            </w:r>
            <w:r w:rsidRPr="00975CA4">
              <w:rPr>
                <w:rFonts w:eastAsia="Times New Roman"/>
                <w:sz w:val="22"/>
                <w:szCs w:val="22"/>
              </w:rPr>
              <w:t>I)</w:t>
            </w:r>
          </w:p>
        </w:tc>
        <w:tc>
          <w:tcPr>
            <w:tcW w:w="1390" w:type="dxa"/>
            <w:tcBorders>
              <w:top w:val="single" w:sz="4" w:space="0" w:color="000000"/>
              <w:left w:val="single" w:sz="4" w:space="0" w:color="000000"/>
              <w:bottom w:val="single" w:sz="4" w:space="0" w:color="000000"/>
              <w:right w:val="single" w:sz="4" w:space="0" w:color="000000"/>
            </w:tcBorders>
            <w:hideMark/>
          </w:tcPr>
          <w:p w14:paraId="40722509"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54</w:t>
            </w:r>
            <w:r w:rsidR="005E0CEB" w:rsidRPr="00975CA4">
              <w:rPr>
                <w:rFonts w:eastAsia="Times New Roman"/>
                <w:sz w:val="22"/>
                <w:szCs w:val="22"/>
              </w:rPr>
              <w:t> </w:t>
            </w:r>
            <w:r w:rsidRPr="00975CA4">
              <w:rPr>
                <w:rFonts w:eastAsia="Times New Roman"/>
                <w:sz w:val="22"/>
                <w:szCs w:val="22"/>
              </w:rPr>
              <w:t>% (48</w:t>
            </w:r>
            <w:r w:rsidRPr="00975CA4">
              <w:rPr>
                <w:rFonts w:eastAsia="Times New Roman"/>
                <w:bCs/>
                <w:sz w:val="22"/>
                <w:szCs w:val="22"/>
              </w:rPr>
              <w:t xml:space="preserve"> ‒ </w:t>
            </w:r>
            <w:r w:rsidRPr="00975CA4">
              <w:rPr>
                <w:rFonts w:eastAsia="Times New Roman"/>
                <w:sz w:val="22"/>
                <w:szCs w:val="22"/>
              </w:rPr>
              <w:t>59)</w:t>
            </w:r>
          </w:p>
        </w:tc>
        <w:tc>
          <w:tcPr>
            <w:tcW w:w="1625" w:type="dxa"/>
            <w:tcBorders>
              <w:top w:val="single" w:sz="4" w:space="0" w:color="000000"/>
              <w:left w:val="single" w:sz="4" w:space="0" w:color="000000"/>
              <w:bottom w:val="single" w:sz="4" w:space="0" w:color="000000"/>
              <w:right w:val="single" w:sz="4" w:space="0" w:color="000000"/>
            </w:tcBorders>
            <w:hideMark/>
          </w:tcPr>
          <w:p w14:paraId="7603A6CE"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33</w:t>
            </w:r>
            <w:r w:rsidR="005E0CEB" w:rsidRPr="00975CA4">
              <w:rPr>
                <w:rFonts w:eastAsia="Times New Roman"/>
                <w:sz w:val="22"/>
                <w:szCs w:val="22"/>
              </w:rPr>
              <w:t> </w:t>
            </w:r>
            <w:r w:rsidRPr="00975CA4">
              <w:rPr>
                <w:rFonts w:eastAsia="Times New Roman"/>
                <w:sz w:val="22"/>
                <w:szCs w:val="22"/>
              </w:rPr>
              <w:t>% (26</w:t>
            </w:r>
            <w:r w:rsidRPr="00975CA4">
              <w:rPr>
                <w:rFonts w:eastAsia="Times New Roman"/>
                <w:bCs/>
                <w:sz w:val="22"/>
                <w:szCs w:val="22"/>
              </w:rPr>
              <w:t xml:space="preserve"> ‒ </w:t>
            </w:r>
            <w:r w:rsidRPr="00975CA4">
              <w:rPr>
                <w:rFonts w:eastAsia="Times New Roman"/>
                <w:sz w:val="22"/>
                <w:szCs w:val="22"/>
              </w:rPr>
              <w:t>41)</w:t>
            </w:r>
          </w:p>
        </w:tc>
        <w:tc>
          <w:tcPr>
            <w:tcW w:w="1745" w:type="dxa"/>
            <w:tcBorders>
              <w:top w:val="single" w:sz="4" w:space="0" w:color="000000"/>
              <w:left w:val="single" w:sz="4" w:space="0" w:color="000000"/>
              <w:bottom w:val="single" w:sz="4" w:space="0" w:color="000000"/>
              <w:right w:val="single" w:sz="4" w:space="0" w:color="000000"/>
            </w:tcBorders>
            <w:hideMark/>
          </w:tcPr>
          <w:p w14:paraId="05231331"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27</w:t>
            </w:r>
            <w:r w:rsidR="00E54F9C" w:rsidRPr="00975CA4">
              <w:rPr>
                <w:rFonts w:eastAsia="Times New Roman"/>
                <w:sz w:val="22"/>
                <w:szCs w:val="22"/>
              </w:rPr>
              <w:t> </w:t>
            </w:r>
            <w:r w:rsidRPr="00975CA4">
              <w:rPr>
                <w:rFonts w:eastAsia="Times New Roman"/>
                <w:sz w:val="22"/>
                <w:szCs w:val="22"/>
              </w:rPr>
              <w:t xml:space="preserve">% (19 </w:t>
            </w:r>
            <w:r w:rsidRPr="00975CA4">
              <w:rPr>
                <w:rFonts w:eastAsia="Times New Roman"/>
                <w:bCs/>
                <w:sz w:val="22"/>
                <w:szCs w:val="22"/>
              </w:rPr>
              <w:t xml:space="preserve">‒ </w:t>
            </w:r>
            <w:r w:rsidRPr="00975CA4">
              <w:rPr>
                <w:rFonts w:eastAsia="Times New Roman"/>
                <w:sz w:val="22"/>
                <w:szCs w:val="22"/>
              </w:rPr>
              <w:t>36)</w:t>
            </w:r>
          </w:p>
        </w:tc>
        <w:tc>
          <w:tcPr>
            <w:tcW w:w="1842" w:type="dxa"/>
            <w:tcBorders>
              <w:top w:val="single" w:sz="4" w:space="0" w:color="000000"/>
              <w:left w:val="single" w:sz="4" w:space="0" w:color="000000"/>
              <w:bottom w:val="single" w:sz="4" w:space="0" w:color="000000"/>
              <w:right w:val="single" w:sz="4" w:space="0" w:color="000000"/>
            </w:tcBorders>
            <w:hideMark/>
          </w:tcPr>
          <w:p w14:paraId="2DA3F713"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46</w:t>
            </w:r>
            <w:r w:rsidR="00E54F9C" w:rsidRPr="00975CA4">
              <w:rPr>
                <w:rFonts w:eastAsia="Times New Roman"/>
                <w:sz w:val="22"/>
                <w:szCs w:val="22"/>
              </w:rPr>
              <w:t> </w:t>
            </w:r>
            <w:r w:rsidRPr="00975CA4">
              <w:rPr>
                <w:rFonts w:eastAsia="Times New Roman"/>
                <w:sz w:val="22"/>
                <w:szCs w:val="22"/>
              </w:rPr>
              <w:t xml:space="preserve">% (31 </w:t>
            </w:r>
            <w:r w:rsidRPr="00975CA4">
              <w:rPr>
                <w:rFonts w:eastAsia="Times New Roman"/>
                <w:bCs/>
                <w:sz w:val="22"/>
                <w:szCs w:val="22"/>
              </w:rPr>
              <w:t xml:space="preserve">‒ </w:t>
            </w:r>
            <w:r w:rsidRPr="00975CA4">
              <w:rPr>
                <w:rFonts w:eastAsia="Times New Roman"/>
                <w:sz w:val="22"/>
                <w:szCs w:val="22"/>
              </w:rPr>
              <w:t>61)</w:t>
            </w:r>
          </w:p>
        </w:tc>
        <w:tc>
          <w:tcPr>
            <w:tcW w:w="1667" w:type="dxa"/>
            <w:tcBorders>
              <w:top w:val="single" w:sz="4" w:space="0" w:color="000000"/>
              <w:left w:val="single" w:sz="4" w:space="0" w:color="000000"/>
              <w:bottom w:val="single" w:sz="4" w:space="0" w:color="000000"/>
              <w:right w:val="single" w:sz="4" w:space="0" w:color="000000"/>
            </w:tcBorders>
            <w:hideMark/>
          </w:tcPr>
          <w:p w14:paraId="064A5731"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54</w:t>
            </w:r>
            <w:r w:rsidR="00E54F9C" w:rsidRPr="00975CA4">
              <w:rPr>
                <w:rFonts w:eastAsia="Times New Roman"/>
                <w:sz w:val="22"/>
                <w:szCs w:val="22"/>
              </w:rPr>
              <w:t> </w:t>
            </w:r>
            <w:r w:rsidRPr="00975CA4">
              <w:rPr>
                <w:rFonts w:eastAsia="Times New Roman"/>
                <w:sz w:val="22"/>
                <w:szCs w:val="22"/>
              </w:rPr>
              <w:t xml:space="preserve">% (39 </w:t>
            </w:r>
            <w:r w:rsidRPr="00975CA4">
              <w:rPr>
                <w:rFonts w:eastAsia="Times New Roman"/>
                <w:bCs/>
                <w:sz w:val="22"/>
                <w:szCs w:val="22"/>
              </w:rPr>
              <w:t xml:space="preserve">‒ </w:t>
            </w:r>
            <w:r w:rsidRPr="00975CA4">
              <w:rPr>
                <w:rFonts w:eastAsia="Times New Roman"/>
                <w:sz w:val="22"/>
                <w:szCs w:val="22"/>
              </w:rPr>
              <w:t>69)</w:t>
            </w:r>
          </w:p>
        </w:tc>
      </w:tr>
      <w:tr w:rsidR="00733FA1" w:rsidRPr="00975CA4" w14:paraId="163D8348" w14:textId="77777777" w:rsidTr="005A4CE0">
        <w:trPr>
          <w:trHeight w:val="283"/>
          <w:jc w:val="center"/>
        </w:trPr>
        <w:tc>
          <w:tcPr>
            <w:tcW w:w="10182" w:type="dxa"/>
            <w:gridSpan w:val="7"/>
            <w:tcBorders>
              <w:top w:val="single" w:sz="4" w:space="0" w:color="000000"/>
              <w:left w:val="single" w:sz="4" w:space="0" w:color="000000"/>
              <w:bottom w:val="single" w:sz="4" w:space="0" w:color="000000"/>
              <w:right w:val="single" w:sz="4" w:space="0" w:color="000000"/>
            </w:tcBorders>
            <w:hideMark/>
          </w:tcPr>
          <w:p w14:paraId="27417BF7" w14:textId="77777777" w:rsidR="00733FA1" w:rsidRPr="00975CA4" w:rsidRDefault="005A4CE0" w:rsidP="005A4CE0">
            <w:pPr>
              <w:ind w:left="-30" w:right="-155"/>
              <w:rPr>
                <w:rFonts w:eastAsia="Times New Roman"/>
                <w:sz w:val="22"/>
                <w:szCs w:val="22"/>
              </w:rPr>
            </w:pPr>
            <w:r w:rsidRPr="00975CA4">
              <w:rPr>
                <w:rFonts w:eastAsia="Times New Roman"/>
                <w:b/>
                <w:bCs/>
                <w:sz w:val="22"/>
                <w:szCs w:val="22"/>
              </w:rPr>
              <w:t>Išgyvenimas</w:t>
            </w:r>
            <w:r w:rsidR="00733FA1" w:rsidRPr="00975CA4">
              <w:rPr>
                <w:rFonts w:eastAsia="Times New Roman"/>
                <w:b/>
                <w:bCs/>
                <w:sz w:val="22"/>
                <w:szCs w:val="22"/>
              </w:rPr>
              <w:t xml:space="preserve"> (%; </w:t>
            </w:r>
            <w:r w:rsidRPr="00975CA4">
              <w:rPr>
                <w:rFonts w:eastAsia="Times New Roman"/>
                <w:b/>
                <w:bCs/>
                <w:sz w:val="22"/>
                <w:szCs w:val="22"/>
              </w:rPr>
              <w:t xml:space="preserve">įvertinta </w:t>
            </w:r>
            <w:proofErr w:type="spellStart"/>
            <w:r w:rsidR="00733FA1" w:rsidRPr="00975CA4">
              <w:rPr>
                <w:rFonts w:eastAsia="Times New Roman"/>
                <w:b/>
                <w:bCs/>
                <w:i/>
                <w:iCs/>
                <w:sz w:val="22"/>
                <w:szCs w:val="22"/>
              </w:rPr>
              <w:t>Kaplan-Meier</w:t>
            </w:r>
            <w:proofErr w:type="spellEnd"/>
            <w:r w:rsidR="00733FA1" w:rsidRPr="00975CA4">
              <w:rPr>
                <w:rFonts w:eastAsia="Times New Roman"/>
                <w:b/>
                <w:bCs/>
                <w:sz w:val="22"/>
                <w:szCs w:val="22"/>
              </w:rPr>
              <w:t>)</w:t>
            </w:r>
          </w:p>
        </w:tc>
      </w:tr>
      <w:tr w:rsidR="00733FA1" w:rsidRPr="00975CA4" w14:paraId="690C6ACE"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50E21EBF" w14:textId="77777777" w:rsidR="00733FA1" w:rsidRPr="00975CA4" w:rsidRDefault="005A4CE0">
            <w:pPr>
              <w:ind w:right="-147"/>
              <w:rPr>
                <w:sz w:val="22"/>
                <w:szCs w:val="22"/>
              </w:rPr>
            </w:pPr>
            <w:r w:rsidRPr="00975CA4">
              <w:rPr>
                <w:rFonts w:eastAsia="Times New Roman"/>
                <w:sz w:val="22"/>
                <w:szCs w:val="22"/>
              </w:rPr>
              <w:t>Be ligos progresavimo</w:t>
            </w:r>
          </w:p>
        </w:tc>
        <w:tc>
          <w:tcPr>
            <w:tcW w:w="1390" w:type="dxa"/>
            <w:tcBorders>
              <w:top w:val="single" w:sz="4" w:space="0" w:color="000000"/>
              <w:left w:val="single" w:sz="4" w:space="0" w:color="000000"/>
              <w:bottom w:val="single" w:sz="4" w:space="0" w:color="000000"/>
              <w:right w:val="single" w:sz="4" w:space="0" w:color="000000"/>
            </w:tcBorders>
          </w:tcPr>
          <w:p w14:paraId="0DC26B11" w14:textId="77777777" w:rsidR="00733FA1" w:rsidRPr="00975CA4" w:rsidRDefault="00733FA1" w:rsidP="005A4CE0">
            <w:pPr>
              <w:ind w:left="-172" w:right="-153"/>
              <w:jc w:val="center"/>
              <w:rPr>
                <w:rFonts w:eastAsia="Times New Roman"/>
                <w:sz w:val="22"/>
                <w:szCs w:val="22"/>
              </w:rPr>
            </w:pPr>
          </w:p>
        </w:tc>
        <w:tc>
          <w:tcPr>
            <w:tcW w:w="1625" w:type="dxa"/>
            <w:tcBorders>
              <w:top w:val="single" w:sz="4" w:space="0" w:color="000000"/>
              <w:left w:val="single" w:sz="4" w:space="0" w:color="000000"/>
              <w:bottom w:val="single" w:sz="4" w:space="0" w:color="000000"/>
              <w:right w:val="single" w:sz="4" w:space="0" w:color="000000"/>
            </w:tcBorders>
          </w:tcPr>
          <w:p w14:paraId="7692314E" w14:textId="77777777" w:rsidR="00733FA1" w:rsidRPr="00975CA4" w:rsidRDefault="00733FA1" w:rsidP="005A4CE0">
            <w:pPr>
              <w:ind w:left="-172" w:right="-155"/>
              <w:jc w:val="center"/>
              <w:rPr>
                <w:rFonts w:eastAsia="Times New Roman"/>
                <w:bCs/>
                <w:sz w:val="22"/>
                <w:szCs w:val="22"/>
              </w:rPr>
            </w:pPr>
          </w:p>
        </w:tc>
        <w:tc>
          <w:tcPr>
            <w:tcW w:w="1745" w:type="dxa"/>
            <w:tcBorders>
              <w:top w:val="single" w:sz="4" w:space="0" w:color="000000"/>
              <w:left w:val="single" w:sz="4" w:space="0" w:color="000000"/>
              <w:bottom w:val="single" w:sz="4" w:space="0" w:color="000000"/>
              <w:right w:val="single" w:sz="4" w:space="0" w:color="000000"/>
            </w:tcBorders>
          </w:tcPr>
          <w:p w14:paraId="617A7E23" w14:textId="77777777" w:rsidR="00733FA1" w:rsidRPr="00975CA4" w:rsidRDefault="00733FA1" w:rsidP="005A4CE0">
            <w:pPr>
              <w:ind w:left="-172" w:right="-73"/>
              <w:jc w:val="center"/>
              <w:rPr>
                <w:rFonts w:eastAsia="Times New Roman"/>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345E7D9" w14:textId="77777777" w:rsidR="00733FA1" w:rsidRPr="00975CA4" w:rsidRDefault="00733FA1" w:rsidP="005A4CE0">
            <w:pPr>
              <w:ind w:left="-172" w:right="-42"/>
              <w:jc w:val="center"/>
              <w:rPr>
                <w:rFonts w:eastAsia="Times New Roman"/>
                <w:bCs/>
                <w:sz w:val="22"/>
                <w:szCs w:val="22"/>
              </w:rPr>
            </w:pPr>
          </w:p>
        </w:tc>
        <w:tc>
          <w:tcPr>
            <w:tcW w:w="1667" w:type="dxa"/>
            <w:tcBorders>
              <w:top w:val="single" w:sz="4" w:space="0" w:color="000000"/>
              <w:left w:val="single" w:sz="4" w:space="0" w:color="000000"/>
              <w:bottom w:val="single" w:sz="4" w:space="0" w:color="000000"/>
              <w:right w:val="single" w:sz="4" w:space="0" w:color="000000"/>
            </w:tcBorders>
          </w:tcPr>
          <w:p w14:paraId="1BDC2F39" w14:textId="77777777" w:rsidR="00733FA1" w:rsidRPr="00975CA4" w:rsidRDefault="00733FA1" w:rsidP="005A4CE0">
            <w:pPr>
              <w:ind w:left="-172" w:right="-42"/>
              <w:jc w:val="center"/>
              <w:rPr>
                <w:rFonts w:eastAsia="Times New Roman"/>
                <w:bCs/>
                <w:sz w:val="22"/>
                <w:szCs w:val="22"/>
              </w:rPr>
            </w:pPr>
          </w:p>
        </w:tc>
      </w:tr>
      <w:tr w:rsidR="00733FA1" w:rsidRPr="00975CA4" w14:paraId="2A715B0A"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1C6A5D85" w14:textId="77777777" w:rsidR="00733FA1" w:rsidRPr="00975CA4" w:rsidRDefault="00733FA1">
            <w:pPr>
              <w:ind w:left="142" w:right="-147"/>
              <w:rPr>
                <w:rFonts w:eastAsia="Times New Roman"/>
                <w:sz w:val="22"/>
                <w:szCs w:val="22"/>
              </w:rPr>
            </w:pPr>
            <w:r w:rsidRPr="00975CA4">
              <w:rPr>
                <w:rFonts w:eastAsia="Times New Roman"/>
                <w:sz w:val="22"/>
                <w:szCs w:val="22"/>
              </w:rPr>
              <w:t xml:space="preserve">1 </w:t>
            </w:r>
            <w:r w:rsidR="005A4CE0" w:rsidRPr="00975CA4">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37927462"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91</w:t>
            </w:r>
            <w:r w:rsidR="00E54F9C" w:rsidRPr="00975CA4">
              <w:rPr>
                <w:rFonts w:eastAsia="Times New Roman"/>
                <w:sz w:val="22"/>
                <w:szCs w:val="22"/>
              </w:rPr>
              <w:t> </w:t>
            </w:r>
            <w:r w:rsidRPr="00975CA4">
              <w:rPr>
                <w:rFonts w:eastAsia="Times New Roman"/>
                <w:sz w:val="22"/>
                <w:szCs w:val="22"/>
              </w:rPr>
              <w:t>% (88</w:t>
            </w:r>
            <w:r w:rsidRPr="00975CA4">
              <w:rPr>
                <w:rFonts w:eastAsia="Times New Roman"/>
                <w:bCs/>
                <w:sz w:val="22"/>
                <w:szCs w:val="22"/>
              </w:rPr>
              <w:t xml:space="preserve"> ‒ </w:t>
            </w:r>
            <w:r w:rsidRPr="00975CA4">
              <w:rPr>
                <w:rFonts w:eastAsia="Times New Roman"/>
                <w:sz w:val="22"/>
                <w:szCs w:val="22"/>
              </w:rPr>
              <w:t>94)</w:t>
            </w:r>
          </w:p>
        </w:tc>
        <w:tc>
          <w:tcPr>
            <w:tcW w:w="1625" w:type="dxa"/>
            <w:tcBorders>
              <w:top w:val="single" w:sz="4" w:space="0" w:color="000000"/>
              <w:left w:val="single" w:sz="4" w:space="0" w:color="000000"/>
              <w:bottom w:val="single" w:sz="4" w:space="0" w:color="000000"/>
              <w:right w:val="single" w:sz="4" w:space="0" w:color="000000"/>
            </w:tcBorders>
            <w:hideMark/>
          </w:tcPr>
          <w:p w14:paraId="0887AEDE" w14:textId="77777777" w:rsidR="00733FA1" w:rsidRPr="00975CA4" w:rsidRDefault="00733FA1" w:rsidP="005A4CE0">
            <w:pPr>
              <w:jc w:val="center"/>
              <w:rPr>
                <w:rFonts w:eastAsia="Times New Roman"/>
                <w:sz w:val="22"/>
                <w:szCs w:val="22"/>
              </w:rPr>
            </w:pPr>
            <w:r w:rsidRPr="00975CA4">
              <w:rPr>
                <w:rFonts w:eastAsia="Times New Roman"/>
                <w:sz w:val="22"/>
                <w:szCs w:val="22"/>
              </w:rPr>
              <w:t>64</w:t>
            </w:r>
            <w:r w:rsidR="00E54F9C" w:rsidRPr="00975CA4">
              <w:rPr>
                <w:rFonts w:eastAsia="Times New Roman"/>
                <w:sz w:val="22"/>
                <w:szCs w:val="22"/>
              </w:rPr>
              <w:t> </w:t>
            </w:r>
            <w:r w:rsidRPr="00975CA4">
              <w:rPr>
                <w:rFonts w:eastAsia="Times New Roman"/>
                <w:sz w:val="22"/>
                <w:szCs w:val="22"/>
              </w:rPr>
              <w:t>% (57</w:t>
            </w:r>
            <w:r w:rsidRPr="00975CA4">
              <w:rPr>
                <w:rFonts w:eastAsia="Times New Roman"/>
                <w:bCs/>
                <w:sz w:val="22"/>
                <w:szCs w:val="22"/>
              </w:rPr>
              <w:t xml:space="preserve"> ‒ </w:t>
            </w:r>
            <w:r w:rsidRPr="00975CA4">
              <w:rPr>
                <w:rFonts w:eastAsia="Times New Roman"/>
                <w:sz w:val="22"/>
                <w:szCs w:val="22"/>
              </w:rPr>
              <w:t>72)</w:t>
            </w:r>
          </w:p>
        </w:tc>
        <w:tc>
          <w:tcPr>
            <w:tcW w:w="1745" w:type="dxa"/>
            <w:tcBorders>
              <w:top w:val="single" w:sz="4" w:space="0" w:color="000000"/>
              <w:left w:val="single" w:sz="4" w:space="0" w:color="000000"/>
              <w:bottom w:val="single" w:sz="4" w:space="0" w:color="000000"/>
              <w:right w:val="single" w:sz="4" w:space="0" w:color="000000"/>
            </w:tcBorders>
            <w:hideMark/>
          </w:tcPr>
          <w:p w14:paraId="584C3744" w14:textId="77777777" w:rsidR="00733FA1" w:rsidRPr="00975CA4" w:rsidRDefault="00733FA1" w:rsidP="005A4CE0">
            <w:pPr>
              <w:ind w:right="-73"/>
              <w:jc w:val="center"/>
              <w:rPr>
                <w:rFonts w:eastAsia="Times New Roman"/>
                <w:sz w:val="22"/>
                <w:szCs w:val="22"/>
              </w:rPr>
            </w:pPr>
            <w:r w:rsidRPr="00975CA4">
              <w:rPr>
                <w:rFonts w:eastAsia="Times New Roman"/>
                <w:sz w:val="22"/>
                <w:szCs w:val="22"/>
              </w:rPr>
              <w:t>35</w:t>
            </w:r>
            <w:r w:rsidR="00E54F9C" w:rsidRPr="00975CA4">
              <w:rPr>
                <w:rFonts w:eastAsia="Times New Roman"/>
                <w:sz w:val="22"/>
                <w:szCs w:val="22"/>
              </w:rPr>
              <w:t> </w:t>
            </w:r>
            <w:r w:rsidRPr="00975CA4">
              <w:rPr>
                <w:rFonts w:eastAsia="Times New Roman"/>
                <w:sz w:val="22"/>
                <w:szCs w:val="22"/>
              </w:rPr>
              <w:t>% (25</w:t>
            </w:r>
            <w:r w:rsidRPr="00975CA4">
              <w:rPr>
                <w:rFonts w:eastAsia="Times New Roman"/>
                <w:bCs/>
                <w:sz w:val="22"/>
                <w:szCs w:val="22"/>
              </w:rPr>
              <w:t xml:space="preserve"> ‒ </w:t>
            </w:r>
            <w:r w:rsidRPr="00975CA4">
              <w:rPr>
                <w:rFonts w:eastAsia="Times New Roman"/>
                <w:sz w:val="22"/>
                <w:szCs w:val="22"/>
              </w:rPr>
              <w:t>45)</w:t>
            </w:r>
          </w:p>
        </w:tc>
        <w:tc>
          <w:tcPr>
            <w:tcW w:w="1842" w:type="dxa"/>
            <w:tcBorders>
              <w:top w:val="single" w:sz="4" w:space="0" w:color="000000"/>
              <w:left w:val="single" w:sz="4" w:space="0" w:color="000000"/>
              <w:bottom w:val="single" w:sz="4" w:space="0" w:color="000000"/>
              <w:right w:val="single" w:sz="4" w:space="0" w:color="000000"/>
            </w:tcBorders>
            <w:hideMark/>
          </w:tcPr>
          <w:p w14:paraId="7EF10384" w14:textId="77777777" w:rsidR="00733FA1" w:rsidRPr="00975CA4" w:rsidRDefault="00733FA1" w:rsidP="005A4CE0">
            <w:pPr>
              <w:jc w:val="center"/>
              <w:rPr>
                <w:rFonts w:eastAsia="Times New Roman"/>
                <w:sz w:val="22"/>
                <w:szCs w:val="22"/>
              </w:rPr>
            </w:pPr>
            <w:r w:rsidRPr="00975CA4">
              <w:rPr>
                <w:rFonts w:eastAsia="Times New Roman"/>
                <w:sz w:val="22"/>
                <w:szCs w:val="22"/>
              </w:rPr>
              <w:t>14</w:t>
            </w:r>
            <w:r w:rsidR="00E54F9C" w:rsidRPr="00975CA4">
              <w:rPr>
                <w:rFonts w:eastAsia="Times New Roman"/>
                <w:sz w:val="22"/>
                <w:szCs w:val="22"/>
              </w:rPr>
              <w:t> </w:t>
            </w:r>
            <w:r w:rsidRPr="00975CA4">
              <w:rPr>
                <w:rFonts w:eastAsia="Times New Roman"/>
                <w:sz w:val="22"/>
                <w:szCs w:val="22"/>
              </w:rPr>
              <w:t>% (3</w:t>
            </w:r>
            <w:r w:rsidRPr="00975CA4">
              <w:rPr>
                <w:rFonts w:eastAsia="Times New Roman"/>
                <w:bCs/>
                <w:sz w:val="22"/>
                <w:szCs w:val="22"/>
              </w:rPr>
              <w:t xml:space="preserve"> ‒ </w:t>
            </w:r>
            <w:r w:rsidRPr="00975CA4">
              <w:rPr>
                <w:rFonts w:eastAsia="Times New Roman"/>
                <w:sz w:val="22"/>
                <w:szCs w:val="22"/>
              </w:rPr>
              <w:t>25)</w:t>
            </w:r>
          </w:p>
        </w:tc>
        <w:tc>
          <w:tcPr>
            <w:tcW w:w="1667" w:type="dxa"/>
            <w:tcBorders>
              <w:top w:val="single" w:sz="4" w:space="0" w:color="000000"/>
              <w:left w:val="single" w:sz="4" w:space="0" w:color="000000"/>
              <w:bottom w:val="single" w:sz="4" w:space="0" w:color="000000"/>
              <w:right w:val="single" w:sz="4" w:space="0" w:color="000000"/>
            </w:tcBorders>
            <w:hideMark/>
          </w:tcPr>
          <w:p w14:paraId="7F20DAA8" w14:textId="77777777" w:rsidR="00733FA1" w:rsidRPr="00975CA4" w:rsidRDefault="00733FA1" w:rsidP="005A4CE0">
            <w:pPr>
              <w:jc w:val="center"/>
              <w:rPr>
                <w:rFonts w:eastAsia="Times New Roman"/>
                <w:sz w:val="22"/>
                <w:szCs w:val="22"/>
              </w:rPr>
            </w:pPr>
            <w:r w:rsidRPr="00975CA4">
              <w:rPr>
                <w:rFonts w:eastAsia="Times New Roman"/>
                <w:sz w:val="22"/>
                <w:szCs w:val="22"/>
              </w:rPr>
              <w:t>21</w:t>
            </w:r>
            <w:r w:rsidR="00E54F9C" w:rsidRPr="00975CA4">
              <w:rPr>
                <w:rFonts w:eastAsia="Times New Roman"/>
                <w:sz w:val="22"/>
                <w:szCs w:val="22"/>
              </w:rPr>
              <w:t> </w:t>
            </w:r>
            <w:r w:rsidRPr="00975CA4">
              <w:rPr>
                <w:rFonts w:eastAsia="Times New Roman"/>
                <w:sz w:val="22"/>
                <w:szCs w:val="22"/>
              </w:rPr>
              <w:t>% (9</w:t>
            </w:r>
            <w:r w:rsidRPr="00975CA4">
              <w:rPr>
                <w:rFonts w:eastAsia="Times New Roman"/>
                <w:bCs/>
                <w:sz w:val="22"/>
                <w:szCs w:val="22"/>
              </w:rPr>
              <w:t xml:space="preserve"> ‒ </w:t>
            </w:r>
            <w:r w:rsidRPr="00975CA4">
              <w:rPr>
                <w:rFonts w:eastAsia="Times New Roman"/>
                <w:sz w:val="22"/>
                <w:szCs w:val="22"/>
              </w:rPr>
              <w:t>34)</w:t>
            </w:r>
          </w:p>
        </w:tc>
      </w:tr>
      <w:tr w:rsidR="00733FA1" w:rsidRPr="00975CA4" w14:paraId="1E93BDFE"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59BE59C9" w14:textId="77777777" w:rsidR="00733FA1" w:rsidRPr="00975CA4" w:rsidRDefault="00733FA1">
            <w:pPr>
              <w:ind w:left="142" w:right="-147"/>
              <w:rPr>
                <w:rFonts w:eastAsia="Times New Roman"/>
                <w:sz w:val="22"/>
                <w:szCs w:val="22"/>
              </w:rPr>
            </w:pPr>
            <w:r w:rsidRPr="00975CA4">
              <w:rPr>
                <w:rFonts w:eastAsia="Times New Roman"/>
                <w:sz w:val="22"/>
                <w:szCs w:val="22"/>
              </w:rPr>
              <w:t xml:space="preserve">2 </w:t>
            </w:r>
            <w:r w:rsidR="005A4CE0" w:rsidRPr="00975CA4">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768754F9"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80</w:t>
            </w:r>
            <w:r w:rsidR="00E54F9C" w:rsidRPr="00975CA4">
              <w:rPr>
                <w:rFonts w:eastAsia="Times New Roman"/>
                <w:sz w:val="22"/>
                <w:szCs w:val="22"/>
              </w:rPr>
              <w:t> </w:t>
            </w:r>
            <w:r w:rsidRPr="00975CA4">
              <w:rPr>
                <w:rFonts w:eastAsia="Times New Roman"/>
                <w:sz w:val="22"/>
                <w:szCs w:val="22"/>
              </w:rPr>
              <w:t>% (75</w:t>
            </w:r>
            <w:r w:rsidRPr="00975CA4">
              <w:rPr>
                <w:rFonts w:eastAsia="Times New Roman"/>
                <w:bCs/>
                <w:sz w:val="22"/>
                <w:szCs w:val="22"/>
              </w:rPr>
              <w:t xml:space="preserve"> ‒ </w:t>
            </w:r>
            <w:r w:rsidRPr="00975CA4">
              <w:rPr>
                <w:rFonts w:eastAsia="Times New Roman"/>
                <w:sz w:val="22"/>
                <w:szCs w:val="22"/>
              </w:rPr>
              <w:t>84)</w:t>
            </w:r>
          </w:p>
        </w:tc>
        <w:tc>
          <w:tcPr>
            <w:tcW w:w="1625" w:type="dxa"/>
            <w:tcBorders>
              <w:top w:val="single" w:sz="4" w:space="0" w:color="000000"/>
              <w:left w:val="single" w:sz="4" w:space="0" w:color="000000"/>
              <w:bottom w:val="single" w:sz="4" w:space="0" w:color="000000"/>
              <w:right w:val="single" w:sz="4" w:space="0" w:color="000000"/>
            </w:tcBorders>
            <w:hideMark/>
          </w:tcPr>
          <w:p w14:paraId="40D3D64F" w14:textId="77777777" w:rsidR="00733FA1" w:rsidRPr="00975CA4" w:rsidRDefault="00733FA1" w:rsidP="005A4CE0">
            <w:pPr>
              <w:jc w:val="center"/>
              <w:rPr>
                <w:rFonts w:eastAsia="Times New Roman"/>
                <w:sz w:val="22"/>
                <w:szCs w:val="22"/>
              </w:rPr>
            </w:pPr>
            <w:r w:rsidRPr="00975CA4">
              <w:rPr>
                <w:rFonts w:eastAsia="Times New Roman"/>
                <w:sz w:val="22"/>
                <w:szCs w:val="22"/>
              </w:rPr>
              <w:t>46</w:t>
            </w:r>
            <w:r w:rsidR="00E54F9C" w:rsidRPr="00975CA4">
              <w:rPr>
                <w:rFonts w:eastAsia="Times New Roman"/>
                <w:sz w:val="22"/>
                <w:szCs w:val="22"/>
              </w:rPr>
              <w:t> </w:t>
            </w:r>
            <w:r w:rsidRPr="00975CA4">
              <w:rPr>
                <w:rFonts w:eastAsia="Times New Roman"/>
                <w:sz w:val="22"/>
                <w:szCs w:val="22"/>
              </w:rPr>
              <w:t>% (38</w:t>
            </w:r>
            <w:r w:rsidRPr="00975CA4">
              <w:rPr>
                <w:rFonts w:eastAsia="Times New Roman"/>
                <w:bCs/>
                <w:sz w:val="22"/>
                <w:szCs w:val="22"/>
              </w:rPr>
              <w:t xml:space="preserve"> ‒ </w:t>
            </w:r>
            <w:r w:rsidRPr="00975CA4">
              <w:rPr>
                <w:rFonts w:eastAsia="Times New Roman"/>
                <w:sz w:val="22"/>
                <w:szCs w:val="22"/>
              </w:rPr>
              <w:t>54)</w:t>
            </w:r>
          </w:p>
        </w:tc>
        <w:tc>
          <w:tcPr>
            <w:tcW w:w="1745" w:type="dxa"/>
            <w:tcBorders>
              <w:top w:val="single" w:sz="4" w:space="0" w:color="000000"/>
              <w:left w:val="single" w:sz="4" w:space="0" w:color="000000"/>
              <w:bottom w:val="single" w:sz="4" w:space="0" w:color="000000"/>
              <w:right w:val="single" w:sz="4" w:space="0" w:color="000000"/>
            </w:tcBorders>
            <w:hideMark/>
          </w:tcPr>
          <w:p w14:paraId="19D1664C" w14:textId="77777777" w:rsidR="00733FA1" w:rsidRPr="00975CA4" w:rsidRDefault="00733FA1" w:rsidP="005A4CE0">
            <w:pPr>
              <w:ind w:right="-73"/>
              <w:jc w:val="center"/>
              <w:rPr>
                <w:rFonts w:eastAsia="Times New Roman"/>
                <w:sz w:val="22"/>
                <w:szCs w:val="22"/>
              </w:rPr>
            </w:pPr>
            <w:r w:rsidRPr="00975CA4">
              <w:rPr>
                <w:rFonts w:eastAsia="Times New Roman"/>
                <w:sz w:val="22"/>
                <w:szCs w:val="22"/>
              </w:rPr>
              <w:t>20</w:t>
            </w:r>
            <w:r w:rsidR="00E54F9C" w:rsidRPr="00975CA4">
              <w:rPr>
                <w:rFonts w:eastAsia="Times New Roman"/>
                <w:sz w:val="22"/>
                <w:szCs w:val="22"/>
              </w:rPr>
              <w:t> </w:t>
            </w:r>
            <w:r w:rsidRPr="00975CA4">
              <w:rPr>
                <w:rFonts w:eastAsia="Times New Roman"/>
                <w:sz w:val="22"/>
                <w:szCs w:val="22"/>
              </w:rPr>
              <w:t>% (11</w:t>
            </w:r>
            <w:r w:rsidRPr="00975CA4">
              <w:rPr>
                <w:rFonts w:eastAsia="Times New Roman"/>
                <w:bCs/>
                <w:sz w:val="22"/>
                <w:szCs w:val="22"/>
              </w:rPr>
              <w:t xml:space="preserve"> ‒ </w:t>
            </w:r>
            <w:r w:rsidRPr="00975CA4">
              <w:rPr>
                <w:rFonts w:eastAsia="Times New Roman"/>
                <w:sz w:val="22"/>
                <w:szCs w:val="22"/>
              </w:rPr>
              <w:t>29)</w:t>
            </w:r>
          </w:p>
        </w:tc>
        <w:tc>
          <w:tcPr>
            <w:tcW w:w="1842" w:type="dxa"/>
            <w:tcBorders>
              <w:top w:val="single" w:sz="4" w:space="0" w:color="000000"/>
              <w:left w:val="single" w:sz="4" w:space="0" w:color="000000"/>
              <w:bottom w:val="single" w:sz="4" w:space="0" w:color="000000"/>
              <w:right w:val="single" w:sz="4" w:space="0" w:color="000000"/>
            </w:tcBorders>
            <w:hideMark/>
          </w:tcPr>
          <w:p w14:paraId="114E4409" w14:textId="77777777" w:rsidR="00733FA1" w:rsidRPr="00975CA4" w:rsidRDefault="00733FA1" w:rsidP="005A4CE0">
            <w:pPr>
              <w:jc w:val="center"/>
              <w:rPr>
                <w:rFonts w:eastAsia="Times New Roman"/>
                <w:sz w:val="22"/>
                <w:szCs w:val="22"/>
              </w:rPr>
            </w:pPr>
            <w:r w:rsidRPr="00975CA4">
              <w:rPr>
                <w:rFonts w:eastAsia="Times New Roman"/>
                <w:sz w:val="22"/>
                <w:szCs w:val="22"/>
              </w:rPr>
              <w:t>5</w:t>
            </w:r>
            <w:r w:rsidR="00E54F9C" w:rsidRPr="00975CA4">
              <w:rPr>
                <w:rFonts w:eastAsia="Times New Roman"/>
                <w:sz w:val="22"/>
                <w:szCs w:val="22"/>
              </w:rPr>
              <w:t> </w:t>
            </w:r>
            <w:r w:rsidRPr="00975CA4">
              <w:rPr>
                <w:rFonts w:eastAsia="Times New Roman"/>
                <w:sz w:val="22"/>
                <w:szCs w:val="22"/>
              </w:rPr>
              <w:t>% (0</w:t>
            </w:r>
            <w:r w:rsidRPr="00975CA4">
              <w:rPr>
                <w:rFonts w:eastAsia="Times New Roman"/>
                <w:bCs/>
                <w:sz w:val="22"/>
                <w:szCs w:val="22"/>
              </w:rPr>
              <w:t xml:space="preserve"> ‒ </w:t>
            </w:r>
            <w:r w:rsidRPr="00975CA4">
              <w:rPr>
                <w:rFonts w:eastAsia="Times New Roman"/>
                <w:sz w:val="22"/>
                <w:szCs w:val="22"/>
              </w:rPr>
              <w:t>13)</w:t>
            </w:r>
          </w:p>
        </w:tc>
        <w:tc>
          <w:tcPr>
            <w:tcW w:w="1667" w:type="dxa"/>
            <w:tcBorders>
              <w:top w:val="single" w:sz="4" w:space="0" w:color="000000"/>
              <w:left w:val="single" w:sz="4" w:space="0" w:color="000000"/>
              <w:bottom w:val="single" w:sz="4" w:space="0" w:color="000000"/>
              <w:right w:val="single" w:sz="4" w:space="0" w:color="000000"/>
            </w:tcBorders>
            <w:hideMark/>
          </w:tcPr>
          <w:p w14:paraId="0294B942" w14:textId="77777777" w:rsidR="00733FA1" w:rsidRPr="00975CA4" w:rsidRDefault="00733FA1" w:rsidP="005A4CE0">
            <w:pPr>
              <w:jc w:val="center"/>
              <w:rPr>
                <w:rFonts w:eastAsia="Times New Roman"/>
                <w:sz w:val="22"/>
                <w:szCs w:val="22"/>
              </w:rPr>
            </w:pPr>
            <w:r w:rsidRPr="00975CA4">
              <w:rPr>
                <w:rFonts w:eastAsia="Times New Roman"/>
                <w:sz w:val="22"/>
                <w:szCs w:val="22"/>
              </w:rPr>
              <w:t>12</w:t>
            </w:r>
            <w:r w:rsidR="00E54F9C" w:rsidRPr="00975CA4">
              <w:rPr>
                <w:rFonts w:eastAsia="Times New Roman"/>
                <w:sz w:val="22"/>
                <w:szCs w:val="22"/>
              </w:rPr>
              <w:t> </w:t>
            </w:r>
            <w:r w:rsidRPr="00975CA4">
              <w:rPr>
                <w:rFonts w:eastAsia="Times New Roman"/>
                <w:sz w:val="22"/>
                <w:szCs w:val="22"/>
              </w:rPr>
              <w:t>% (2</w:t>
            </w:r>
            <w:r w:rsidRPr="00975CA4">
              <w:rPr>
                <w:rFonts w:eastAsia="Times New Roman"/>
                <w:bCs/>
                <w:sz w:val="22"/>
                <w:szCs w:val="22"/>
              </w:rPr>
              <w:t xml:space="preserve"> ‒ </w:t>
            </w:r>
            <w:r w:rsidRPr="00975CA4">
              <w:rPr>
                <w:rFonts w:eastAsia="Times New Roman"/>
                <w:sz w:val="22"/>
                <w:szCs w:val="22"/>
              </w:rPr>
              <w:t>23)</w:t>
            </w:r>
          </w:p>
        </w:tc>
      </w:tr>
      <w:tr w:rsidR="00733FA1" w:rsidRPr="00975CA4" w14:paraId="01F89D0C"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24EC88C7" w14:textId="77777777" w:rsidR="00733FA1" w:rsidRPr="00975CA4" w:rsidRDefault="005A4CE0">
            <w:pPr>
              <w:ind w:right="-147"/>
              <w:rPr>
                <w:sz w:val="22"/>
                <w:szCs w:val="22"/>
              </w:rPr>
            </w:pPr>
            <w:r w:rsidRPr="00975CA4">
              <w:rPr>
                <w:sz w:val="22"/>
                <w:szCs w:val="22"/>
              </w:rPr>
              <w:t>Iš viso</w:t>
            </w:r>
          </w:p>
        </w:tc>
        <w:tc>
          <w:tcPr>
            <w:tcW w:w="1390" w:type="dxa"/>
            <w:tcBorders>
              <w:top w:val="single" w:sz="4" w:space="0" w:color="000000"/>
              <w:left w:val="single" w:sz="4" w:space="0" w:color="000000"/>
              <w:bottom w:val="single" w:sz="4" w:space="0" w:color="000000"/>
              <w:right w:val="single" w:sz="4" w:space="0" w:color="000000"/>
            </w:tcBorders>
          </w:tcPr>
          <w:p w14:paraId="2147FA0F" w14:textId="77777777" w:rsidR="00733FA1" w:rsidRPr="00975CA4" w:rsidRDefault="00733FA1" w:rsidP="005A4CE0">
            <w:pPr>
              <w:ind w:left="-172" w:right="-153"/>
              <w:jc w:val="center"/>
              <w:rPr>
                <w:rFonts w:eastAsia="Times New Roman"/>
                <w:sz w:val="22"/>
                <w:szCs w:val="22"/>
              </w:rPr>
            </w:pPr>
          </w:p>
        </w:tc>
        <w:tc>
          <w:tcPr>
            <w:tcW w:w="1625" w:type="dxa"/>
            <w:tcBorders>
              <w:top w:val="single" w:sz="4" w:space="0" w:color="000000"/>
              <w:left w:val="single" w:sz="4" w:space="0" w:color="000000"/>
              <w:bottom w:val="single" w:sz="4" w:space="0" w:color="000000"/>
              <w:right w:val="single" w:sz="4" w:space="0" w:color="000000"/>
            </w:tcBorders>
          </w:tcPr>
          <w:p w14:paraId="6150DB07" w14:textId="77777777" w:rsidR="00733FA1" w:rsidRPr="00975CA4" w:rsidRDefault="00733FA1" w:rsidP="005A4CE0">
            <w:pPr>
              <w:ind w:left="-172" w:right="-155"/>
              <w:jc w:val="center"/>
              <w:rPr>
                <w:rFonts w:eastAsia="Times New Roman"/>
                <w:sz w:val="22"/>
                <w:szCs w:val="22"/>
              </w:rPr>
            </w:pPr>
          </w:p>
        </w:tc>
        <w:tc>
          <w:tcPr>
            <w:tcW w:w="1745" w:type="dxa"/>
            <w:tcBorders>
              <w:top w:val="single" w:sz="4" w:space="0" w:color="000000"/>
              <w:left w:val="single" w:sz="4" w:space="0" w:color="000000"/>
              <w:bottom w:val="single" w:sz="4" w:space="0" w:color="000000"/>
              <w:right w:val="single" w:sz="4" w:space="0" w:color="000000"/>
            </w:tcBorders>
          </w:tcPr>
          <w:p w14:paraId="75EF839E" w14:textId="77777777" w:rsidR="00733FA1" w:rsidRPr="00975CA4" w:rsidRDefault="00733FA1" w:rsidP="005A4CE0">
            <w:pPr>
              <w:ind w:left="-172" w:right="-73"/>
              <w:jc w:val="center"/>
              <w:rPr>
                <w:rFonts w:eastAsia="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09929B5" w14:textId="77777777" w:rsidR="00733FA1" w:rsidRPr="00975CA4" w:rsidRDefault="00733FA1" w:rsidP="005A4CE0">
            <w:pPr>
              <w:ind w:left="-172" w:right="-42"/>
              <w:jc w:val="center"/>
              <w:rPr>
                <w:rFonts w:eastAsia="Times New Roman"/>
                <w:sz w:val="22"/>
                <w:szCs w:val="22"/>
              </w:rPr>
            </w:pPr>
          </w:p>
        </w:tc>
        <w:tc>
          <w:tcPr>
            <w:tcW w:w="1667" w:type="dxa"/>
            <w:tcBorders>
              <w:top w:val="single" w:sz="4" w:space="0" w:color="000000"/>
              <w:left w:val="single" w:sz="4" w:space="0" w:color="000000"/>
              <w:bottom w:val="single" w:sz="4" w:space="0" w:color="000000"/>
              <w:right w:val="single" w:sz="4" w:space="0" w:color="000000"/>
            </w:tcBorders>
          </w:tcPr>
          <w:p w14:paraId="0EE1A80C" w14:textId="77777777" w:rsidR="00733FA1" w:rsidRPr="00975CA4" w:rsidRDefault="00733FA1" w:rsidP="005A4CE0">
            <w:pPr>
              <w:ind w:left="-172" w:right="-42"/>
              <w:jc w:val="center"/>
              <w:rPr>
                <w:rFonts w:eastAsia="Times New Roman"/>
                <w:sz w:val="22"/>
                <w:szCs w:val="22"/>
              </w:rPr>
            </w:pPr>
          </w:p>
        </w:tc>
      </w:tr>
      <w:tr w:rsidR="00733FA1" w:rsidRPr="00975CA4" w14:paraId="1D159782"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39AD7551" w14:textId="77777777" w:rsidR="00733FA1" w:rsidRPr="00975CA4" w:rsidRDefault="00733FA1">
            <w:pPr>
              <w:ind w:left="142" w:right="-147"/>
              <w:rPr>
                <w:rFonts w:eastAsia="Times New Roman"/>
                <w:sz w:val="22"/>
                <w:szCs w:val="22"/>
              </w:rPr>
            </w:pPr>
            <w:r w:rsidRPr="00975CA4">
              <w:rPr>
                <w:rFonts w:eastAsia="Times New Roman"/>
                <w:sz w:val="22"/>
                <w:szCs w:val="22"/>
              </w:rPr>
              <w:t xml:space="preserve">1 </w:t>
            </w:r>
            <w:r w:rsidR="005A4CE0" w:rsidRPr="00975CA4">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4E7A7D1B"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97</w:t>
            </w:r>
            <w:r w:rsidR="00E54F9C" w:rsidRPr="00975CA4">
              <w:rPr>
                <w:rFonts w:eastAsia="Times New Roman"/>
                <w:sz w:val="22"/>
                <w:szCs w:val="22"/>
              </w:rPr>
              <w:t> </w:t>
            </w:r>
            <w:r w:rsidRPr="00975CA4">
              <w:rPr>
                <w:rFonts w:eastAsia="Times New Roman"/>
                <w:sz w:val="22"/>
                <w:szCs w:val="22"/>
              </w:rPr>
              <w:t>% (95</w:t>
            </w:r>
            <w:r w:rsidRPr="00975CA4">
              <w:rPr>
                <w:rFonts w:eastAsia="Times New Roman"/>
                <w:bCs/>
                <w:sz w:val="22"/>
                <w:szCs w:val="22"/>
              </w:rPr>
              <w:t xml:space="preserve"> ‒ </w:t>
            </w:r>
            <w:r w:rsidRPr="00975CA4">
              <w:rPr>
                <w:rFonts w:eastAsia="Times New Roman"/>
                <w:sz w:val="22"/>
                <w:szCs w:val="22"/>
              </w:rPr>
              <w:t>99)</w:t>
            </w:r>
          </w:p>
        </w:tc>
        <w:tc>
          <w:tcPr>
            <w:tcW w:w="1625" w:type="dxa"/>
            <w:tcBorders>
              <w:top w:val="single" w:sz="4" w:space="0" w:color="000000"/>
              <w:left w:val="single" w:sz="4" w:space="0" w:color="000000"/>
              <w:bottom w:val="single" w:sz="4" w:space="0" w:color="000000"/>
              <w:right w:val="single" w:sz="4" w:space="0" w:color="000000"/>
            </w:tcBorders>
            <w:hideMark/>
          </w:tcPr>
          <w:p w14:paraId="4C1E5158"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83</w:t>
            </w:r>
            <w:r w:rsidR="00E54F9C" w:rsidRPr="00975CA4">
              <w:rPr>
                <w:rFonts w:eastAsia="Times New Roman"/>
                <w:sz w:val="22"/>
                <w:szCs w:val="22"/>
              </w:rPr>
              <w:t> </w:t>
            </w:r>
            <w:r w:rsidRPr="00975CA4">
              <w:rPr>
                <w:rFonts w:eastAsia="Times New Roman"/>
                <w:sz w:val="22"/>
                <w:szCs w:val="22"/>
              </w:rPr>
              <w:t>% (77</w:t>
            </w:r>
            <w:r w:rsidRPr="00975CA4">
              <w:rPr>
                <w:rFonts w:eastAsia="Times New Roman"/>
                <w:bCs/>
                <w:sz w:val="22"/>
                <w:szCs w:val="22"/>
              </w:rPr>
              <w:t xml:space="preserve"> ‒ </w:t>
            </w:r>
            <w:r w:rsidRPr="00975CA4">
              <w:rPr>
                <w:rFonts w:eastAsia="Times New Roman"/>
                <w:sz w:val="22"/>
                <w:szCs w:val="22"/>
              </w:rPr>
              <w:t>89)</w:t>
            </w:r>
          </w:p>
        </w:tc>
        <w:tc>
          <w:tcPr>
            <w:tcW w:w="1745" w:type="dxa"/>
            <w:tcBorders>
              <w:top w:val="single" w:sz="4" w:space="0" w:color="000000"/>
              <w:left w:val="single" w:sz="4" w:space="0" w:color="000000"/>
              <w:bottom w:val="single" w:sz="4" w:space="0" w:color="000000"/>
              <w:right w:val="single" w:sz="4" w:space="0" w:color="000000"/>
            </w:tcBorders>
            <w:hideMark/>
          </w:tcPr>
          <w:p w14:paraId="42238352"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48</w:t>
            </w:r>
            <w:r w:rsidR="00E54F9C" w:rsidRPr="00975CA4">
              <w:rPr>
                <w:rFonts w:eastAsia="Times New Roman"/>
                <w:sz w:val="22"/>
                <w:szCs w:val="22"/>
              </w:rPr>
              <w:t> </w:t>
            </w:r>
            <w:r w:rsidRPr="00975CA4">
              <w:rPr>
                <w:rFonts w:eastAsia="Times New Roman"/>
                <w:sz w:val="22"/>
                <w:szCs w:val="22"/>
              </w:rPr>
              <w:t>% (38</w:t>
            </w:r>
            <w:r w:rsidRPr="00975CA4">
              <w:rPr>
                <w:rFonts w:eastAsia="Times New Roman"/>
                <w:bCs/>
                <w:sz w:val="22"/>
                <w:szCs w:val="22"/>
              </w:rPr>
              <w:t xml:space="preserve"> ‒ </w:t>
            </w:r>
            <w:r w:rsidRPr="00975CA4">
              <w:rPr>
                <w:rFonts w:eastAsia="Times New Roman"/>
                <w:sz w:val="22"/>
                <w:szCs w:val="22"/>
              </w:rPr>
              <w:t>59)</w:t>
            </w:r>
          </w:p>
        </w:tc>
        <w:tc>
          <w:tcPr>
            <w:tcW w:w="1842" w:type="dxa"/>
            <w:tcBorders>
              <w:top w:val="single" w:sz="4" w:space="0" w:color="000000"/>
              <w:left w:val="single" w:sz="4" w:space="0" w:color="000000"/>
              <w:bottom w:val="single" w:sz="4" w:space="0" w:color="000000"/>
              <w:right w:val="single" w:sz="4" w:space="0" w:color="000000"/>
            </w:tcBorders>
            <w:hideMark/>
          </w:tcPr>
          <w:p w14:paraId="6771BF46"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30</w:t>
            </w:r>
            <w:r w:rsidR="00E54F9C" w:rsidRPr="00975CA4">
              <w:rPr>
                <w:rFonts w:eastAsia="Times New Roman"/>
                <w:sz w:val="22"/>
                <w:szCs w:val="22"/>
              </w:rPr>
              <w:t> </w:t>
            </w:r>
            <w:r w:rsidRPr="00975CA4">
              <w:rPr>
                <w:rFonts w:eastAsia="Times New Roman"/>
                <w:sz w:val="22"/>
                <w:szCs w:val="22"/>
              </w:rPr>
              <w:t>% (14</w:t>
            </w:r>
            <w:r w:rsidRPr="00975CA4">
              <w:rPr>
                <w:rFonts w:eastAsia="Times New Roman"/>
                <w:bCs/>
                <w:sz w:val="22"/>
                <w:szCs w:val="22"/>
              </w:rPr>
              <w:t xml:space="preserve"> ‒ </w:t>
            </w:r>
            <w:r w:rsidRPr="00975CA4">
              <w:rPr>
                <w:rFonts w:eastAsia="Times New Roman"/>
                <w:sz w:val="22"/>
                <w:szCs w:val="22"/>
              </w:rPr>
              <w:t>47)</w:t>
            </w:r>
          </w:p>
        </w:tc>
        <w:tc>
          <w:tcPr>
            <w:tcW w:w="1667" w:type="dxa"/>
            <w:tcBorders>
              <w:top w:val="single" w:sz="4" w:space="0" w:color="000000"/>
              <w:left w:val="single" w:sz="4" w:space="0" w:color="000000"/>
              <w:bottom w:val="single" w:sz="4" w:space="0" w:color="000000"/>
              <w:right w:val="single" w:sz="4" w:space="0" w:color="000000"/>
            </w:tcBorders>
            <w:hideMark/>
          </w:tcPr>
          <w:p w14:paraId="11C3BC25"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35</w:t>
            </w:r>
            <w:r w:rsidR="00E54F9C" w:rsidRPr="00975CA4">
              <w:rPr>
                <w:rFonts w:eastAsia="Times New Roman"/>
                <w:sz w:val="22"/>
                <w:szCs w:val="22"/>
              </w:rPr>
              <w:t> </w:t>
            </w:r>
            <w:r w:rsidRPr="00975CA4">
              <w:rPr>
                <w:rFonts w:eastAsia="Times New Roman"/>
                <w:sz w:val="22"/>
                <w:szCs w:val="22"/>
              </w:rPr>
              <w:t>% (20</w:t>
            </w:r>
            <w:r w:rsidRPr="00975CA4">
              <w:rPr>
                <w:rFonts w:eastAsia="Times New Roman"/>
                <w:bCs/>
                <w:sz w:val="22"/>
                <w:szCs w:val="22"/>
              </w:rPr>
              <w:t xml:space="preserve"> ‒ </w:t>
            </w:r>
            <w:r w:rsidRPr="00975CA4">
              <w:rPr>
                <w:rFonts w:eastAsia="Times New Roman"/>
                <w:sz w:val="22"/>
                <w:szCs w:val="22"/>
              </w:rPr>
              <w:t>51)</w:t>
            </w:r>
          </w:p>
        </w:tc>
      </w:tr>
      <w:tr w:rsidR="00733FA1" w:rsidRPr="00975CA4" w14:paraId="3D5C92C4" w14:textId="77777777" w:rsidTr="005A4CE0">
        <w:trPr>
          <w:gridAfter w:val="1"/>
          <w:wAfter w:w="15" w:type="dxa"/>
          <w:trHeight w:val="283"/>
          <w:jc w:val="center"/>
        </w:trPr>
        <w:tc>
          <w:tcPr>
            <w:tcW w:w="1898" w:type="dxa"/>
            <w:tcBorders>
              <w:top w:val="single" w:sz="4" w:space="0" w:color="000000"/>
              <w:left w:val="single" w:sz="4" w:space="0" w:color="000000"/>
              <w:bottom w:val="single" w:sz="4" w:space="0" w:color="000000"/>
              <w:right w:val="single" w:sz="4" w:space="0" w:color="000000"/>
            </w:tcBorders>
            <w:hideMark/>
          </w:tcPr>
          <w:p w14:paraId="60621551" w14:textId="77777777" w:rsidR="00733FA1" w:rsidRPr="00975CA4" w:rsidRDefault="00733FA1">
            <w:pPr>
              <w:ind w:left="142" w:right="-147"/>
              <w:rPr>
                <w:rFonts w:eastAsia="Times New Roman"/>
                <w:sz w:val="22"/>
                <w:szCs w:val="22"/>
              </w:rPr>
            </w:pPr>
            <w:r w:rsidRPr="00975CA4">
              <w:rPr>
                <w:rFonts w:eastAsia="Times New Roman"/>
                <w:sz w:val="22"/>
                <w:szCs w:val="22"/>
              </w:rPr>
              <w:t xml:space="preserve">2 </w:t>
            </w:r>
            <w:r w:rsidR="005A4CE0" w:rsidRPr="00975CA4">
              <w:rPr>
                <w:rFonts w:eastAsia="Times New Roman"/>
                <w:sz w:val="22"/>
                <w:szCs w:val="22"/>
              </w:rPr>
              <w:t>metai</w:t>
            </w:r>
          </w:p>
        </w:tc>
        <w:tc>
          <w:tcPr>
            <w:tcW w:w="1390" w:type="dxa"/>
            <w:tcBorders>
              <w:top w:val="single" w:sz="4" w:space="0" w:color="000000"/>
              <w:left w:val="single" w:sz="4" w:space="0" w:color="000000"/>
              <w:bottom w:val="single" w:sz="4" w:space="0" w:color="000000"/>
              <w:right w:val="single" w:sz="4" w:space="0" w:color="000000"/>
            </w:tcBorders>
            <w:hideMark/>
          </w:tcPr>
          <w:p w14:paraId="2DD89C05"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94</w:t>
            </w:r>
            <w:r w:rsidR="00E54F9C" w:rsidRPr="00975CA4">
              <w:rPr>
                <w:rFonts w:eastAsia="Times New Roman"/>
                <w:sz w:val="22"/>
                <w:szCs w:val="22"/>
              </w:rPr>
              <w:t> </w:t>
            </w:r>
            <w:r w:rsidRPr="00975CA4">
              <w:rPr>
                <w:rFonts w:eastAsia="Times New Roman"/>
                <w:sz w:val="22"/>
                <w:szCs w:val="22"/>
              </w:rPr>
              <w:t>% (91</w:t>
            </w:r>
            <w:r w:rsidRPr="00975CA4">
              <w:rPr>
                <w:rFonts w:eastAsia="Times New Roman"/>
                <w:bCs/>
                <w:sz w:val="22"/>
                <w:szCs w:val="22"/>
              </w:rPr>
              <w:t xml:space="preserve"> ‒ </w:t>
            </w:r>
            <w:r w:rsidRPr="00975CA4">
              <w:rPr>
                <w:rFonts w:eastAsia="Times New Roman"/>
                <w:sz w:val="22"/>
                <w:szCs w:val="22"/>
              </w:rPr>
              <w:t>97)</w:t>
            </w:r>
          </w:p>
        </w:tc>
        <w:tc>
          <w:tcPr>
            <w:tcW w:w="1625" w:type="dxa"/>
            <w:tcBorders>
              <w:top w:val="single" w:sz="4" w:space="0" w:color="000000"/>
              <w:left w:val="single" w:sz="4" w:space="0" w:color="000000"/>
              <w:bottom w:val="single" w:sz="4" w:space="0" w:color="000000"/>
              <w:right w:val="single" w:sz="4" w:space="0" w:color="000000"/>
            </w:tcBorders>
            <w:hideMark/>
          </w:tcPr>
          <w:p w14:paraId="69E62C41"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72</w:t>
            </w:r>
            <w:r w:rsidR="00E54F9C" w:rsidRPr="00975CA4">
              <w:rPr>
                <w:rFonts w:eastAsia="Times New Roman"/>
                <w:sz w:val="22"/>
                <w:szCs w:val="22"/>
              </w:rPr>
              <w:t> </w:t>
            </w:r>
            <w:r w:rsidRPr="00975CA4">
              <w:rPr>
                <w:rFonts w:eastAsia="Times New Roman"/>
                <w:sz w:val="22"/>
                <w:szCs w:val="22"/>
              </w:rPr>
              <w:t>% (64</w:t>
            </w:r>
            <w:r w:rsidRPr="00975CA4">
              <w:rPr>
                <w:rFonts w:eastAsia="Times New Roman"/>
                <w:bCs/>
                <w:sz w:val="22"/>
                <w:szCs w:val="22"/>
              </w:rPr>
              <w:t xml:space="preserve"> ‒ </w:t>
            </w:r>
            <w:r w:rsidRPr="00975CA4">
              <w:rPr>
                <w:rFonts w:eastAsia="Times New Roman"/>
                <w:sz w:val="22"/>
                <w:szCs w:val="22"/>
              </w:rPr>
              <w:t>79)</w:t>
            </w:r>
          </w:p>
        </w:tc>
        <w:tc>
          <w:tcPr>
            <w:tcW w:w="1745" w:type="dxa"/>
            <w:tcBorders>
              <w:top w:val="single" w:sz="4" w:space="0" w:color="000000"/>
              <w:left w:val="single" w:sz="4" w:space="0" w:color="000000"/>
              <w:bottom w:val="single" w:sz="4" w:space="0" w:color="000000"/>
              <w:right w:val="single" w:sz="4" w:space="0" w:color="000000"/>
            </w:tcBorders>
            <w:hideMark/>
          </w:tcPr>
          <w:p w14:paraId="3E3C9B8C"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38</w:t>
            </w:r>
            <w:r w:rsidR="00E54F9C" w:rsidRPr="00975CA4">
              <w:rPr>
                <w:rFonts w:eastAsia="Times New Roman"/>
                <w:sz w:val="22"/>
                <w:szCs w:val="22"/>
              </w:rPr>
              <w:t> </w:t>
            </w:r>
            <w:r w:rsidRPr="00975CA4">
              <w:rPr>
                <w:rFonts w:eastAsia="Times New Roman"/>
                <w:sz w:val="22"/>
                <w:szCs w:val="22"/>
              </w:rPr>
              <w:t>% (27</w:t>
            </w:r>
            <w:r w:rsidRPr="00975CA4">
              <w:rPr>
                <w:rFonts w:eastAsia="Times New Roman"/>
                <w:bCs/>
                <w:sz w:val="22"/>
                <w:szCs w:val="22"/>
              </w:rPr>
              <w:t xml:space="preserve"> ‒ </w:t>
            </w:r>
            <w:r w:rsidRPr="00975CA4">
              <w:rPr>
                <w:rFonts w:eastAsia="Times New Roman"/>
                <w:sz w:val="22"/>
                <w:szCs w:val="22"/>
              </w:rPr>
              <w:t>50)</w:t>
            </w:r>
          </w:p>
        </w:tc>
        <w:tc>
          <w:tcPr>
            <w:tcW w:w="1842" w:type="dxa"/>
            <w:tcBorders>
              <w:top w:val="single" w:sz="4" w:space="0" w:color="000000"/>
              <w:left w:val="single" w:sz="4" w:space="0" w:color="000000"/>
              <w:bottom w:val="single" w:sz="4" w:space="0" w:color="000000"/>
              <w:right w:val="single" w:sz="4" w:space="0" w:color="000000"/>
            </w:tcBorders>
            <w:hideMark/>
          </w:tcPr>
          <w:p w14:paraId="36280CD9"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26</w:t>
            </w:r>
            <w:r w:rsidR="00E54F9C" w:rsidRPr="00975CA4">
              <w:rPr>
                <w:rFonts w:eastAsia="Times New Roman"/>
                <w:sz w:val="22"/>
                <w:szCs w:val="22"/>
              </w:rPr>
              <w:t> </w:t>
            </w:r>
            <w:r w:rsidRPr="00975CA4">
              <w:rPr>
                <w:rFonts w:eastAsia="Times New Roman"/>
                <w:sz w:val="22"/>
                <w:szCs w:val="22"/>
              </w:rPr>
              <w:t>% (10</w:t>
            </w:r>
            <w:r w:rsidRPr="00975CA4">
              <w:rPr>
                <w:rFonts w:eastAsia="Times New Roman"/>
                <w:bCs/>
                <w:sz w:val="22"/>
                <w:szCs w:val="22"/>
              </w:rPr>
              <w:t xml:space="preserve"> ‒ </w:t>
            </w:r>
            <w:r w:rsidRPr="00975CA4">
              <w:rPr>
                <w:rFonts w:eastAsia="Times New Roman"/>
                <w:sz w:val="22"/>
                <w:szCs w:val="22"/>
              </w:rPr>
              <w:t>42)</w:t>
            </w:r>
          </w:p>
        </w:tc>
        <w:tc>
          <w:tcPr>
            <w:tcW w:w="1667" w:type="dxa"/>
            <w:tcBorders>
              <w:top w:val="single" w:sz="4" w:space="0" w:color="000000"/>
              <w:left w:val="single" w:sz="4" w:space="0" w:color="000000"/>
              <w:bottom w:val="single" w:sz="4" w:space="0" w:color="000000"/>
              <w:right w:val="single" w:sz="4" w:space="0" w:color="000000"/>
            </w:tcBorders>
            <w:hideMark/>
          </w:tcPr>
          <w:p w14:paraId="3981A325" w14:textId="77777777" w:rsidR="00733FA1" w:rsidRPr="00975CA4" w:rsidRDefault="00733FA1" w:rsidP="005A4CE0">
            <w:pPr>
              <w:ind w:left="-172" w:right="-153"/>
              <w:jc w:val="center"/>
              <w:rPr>
                <w:rFonts w:eastAsia="Times New Roman"/>
                <w:sz w:val="22"/>
                <w:szCs w:val="22"/>
              </w:rPr>
            </w:pPr>
            <w:r w:rsidRPr="00975CA4">
              <w:rPr>
                <w:rFonts w:eastAsia="Times New Roman"/>
                <w:sz w:val="22"/>
                <w:szCs w:val="22"/>
              </w:rPr>
              <w:t>31</w:t>
            </w:r>
            <w:r w:rsidR="00E54F9C" w:rsidRPr="00975CA4">
              <w:rPr>
                <w:rFonts w:eastAsia="Times New Roman"/>
                <w:sz w:val="22"/>
                <w:szCs w:val="22"/>
              </w:rPr>
              <w:t> </w:t>
            </w:r>
            <w:r w:rsidRPr="00975CA4">
              <w:rPr>
                <w:rFonts w:eastAsia="Times New Roman"/>
                <w:sz w:val="22"/>
                <w:szCs w:val="22"/>
              </w:rPr>
              <w:t>% (16</w:t>
            </w:r>
            <w:r w:rsidRPr="00975CA4">
              <w:rPr>
                <w:rFonts w:eastAsia="Times New Roman"/>
                <w:bCs/>
                <w:sz w:val="22"/>
                <w:szCs w:val="22"/>
              </w:rPr>
              <w:t xml:space="preserve"> ‒ </w:t>
            </w:r>
            <w:r w:rsidRPr="00975CA4">
              <w:rPr>
                <w:rFonts w:eastAsia="Times New Roman"/>
                <w:sz w:val="22"/>
                <w:szCs w:val="22"/>
              </w:rPr>
              <w:t>47)</w:t>
            </w:r>
          </w:p>
        </w:tc>
      </w:tr>
    </w:tbl>
    <w:p w14:paraId="23773841" w14:textId="41398C62" w:rsidR="005A4CE0" w:rsidRPr="00975CA4" w:rsidRDefault="005A4CE0" w:rsidP="00621D2E">
      <w:pPr>
        <w:widowControl w:val="0"/>
        <w:tabs>
          <w:tab w:val="left" w:pos="567"/>
        </w:tabs>
        <w:suppressAutoHyphens/>
        <w:spacing w:after="0" w:line="240" w:lineRule="auto"/>
        <w:rPr>
          <w:rFonts w:ascii="Times New Roman" w:eastAsia="SimSun" w:hAnsi="Times New Roman" w:cs="Times New Roman"/>
          <w:iCs/>
          <w:color w:val="000000"/>
          <w:vertAlign w:val="superscript"/>
          <w:lang w:eastAsia="ar-SA"/>
        </w:rPr>
      </w:pPr>
      <w:r w:rsidRPr="00975CA4">
        <w:rPr>
          <w:rFonts w:ascii="Times New Roman" w:eastAsia="SimSun" w:hAnsi="Times New Roman" w:cs="Times New Roman"/>
          <w:iCs/>
          <w:color w:val="000000"/>
          <w:lang w:eastAsia="ar-SA"/>
        </w:rPr>
        <w:t>Šioje lentelėje pateikti tyrimų, kurių metu buvo vartojama pradinė 70</w:t>
      </w:r>
      <w:r w:rsidR="00C33938"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 2 kartus per parą dozė, duomenys. Žr. 4.2 skyrių dėl pradinės rekomenduojamos dozės.</w:t>
      </w:r>
    </w:p>
    <w:p w14:paraId="2FB5E14B" w14:textId="77777777" w:rsidR="005A4CE0" w:rsidRPr="00975CA4" w:rsidRDefault="005A4CE0" w:rsidP="00621D2E">
      <w:pPr>
        <w:widowControl w:val="0"/>
        <w:tabs>
          <w:tab w:val="left" w:pos="567"/>
        </w:tabs>
        <w:suppressAutoHyphens/>
        <w:spacing w:after="0" w:line="240" w:lineRule="auto"/>
        <w:rPr>
          <w:rFonts w:ascii="Times New Roman" w:eastAsia="SimSun" w:hAnsi="Times New Roman" w:cs="Times New Roman"/>
          <w:iCs/>
          <w:color w:val="000000"/>
          <w:vertAlign w:val="superscript"/>
          <w:lang w:eastAsia="ar-SA"/>
        </w:rPr>
      </w:pPr>
      <w:r w:rsidRPr="00975CA4">
        <w:rPr>
          <w:rFonts w:ascii="Times New Roman" w:eastAsia="SimSun" w:hAnsi="Times New Roman" w:cs="Times New Roman"/>
          <w:iCs/>
          <w:color w:val="000000"/>
          <w:vertAlign w:val="superscript"/>
          <w:lang w:eastAsia="ar-SA"/>
        </w:rPr>
        <w:t>a</w:t>
      </w:r>
      <w:r w:rsidRPr="00975CA4">
        <w:rPr>
          <w:rFonts w:ascii="Times New Roman" w:eastAsia="SimSun" w:hAnsi="Times New Roman" w:cs="Times New Roman"/>
          <w:iCs/>
          <w:color w:val="000000"/>
          <w:lang w:eastAsia="ar-SA"/>
        </w:rPr>
        <w:t xml:space="preserve"> Paryškinti pagrindinių veiksmingumo vertinamųjų baigčių duomenys.</w:t>
      </w:r>
    </w:p>
    <w:p w14:paraId="6F90BF41" w14:textId="57CB5E19" w:rsidR="005A4CE0" w:rsidRPr="00975CA4" w:rsidRDefault="005A4CE0"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vertAlign w:val="superscript"/>
          <w:lang w:eastAsia="ar-SA"/>
        </w:rPr>
        <w:t>b</w:t>
      </w:r>
      <w:r w:rsidRPr="00975CA4">
        <w:rPr>
          <w:rFonts w:ascii="Times New Roman" w:eastAsia="SimSun" w:hAnsi="Times New Roman" w:cs="Times New Roman"/>
          <w:iCs/>
          <w:color w:val="000000"/>
          <w:lang w:eastAsia="ar-SA"/>
        </w:rPr>
        <w:t xml:space="preserve"> Hematologinio atsako kriterijai (visi atsakai patvirtinti po 4 savaičių): didysis hematologinis atsakas (</w:t>
      </w:r>
      <w:proofErr w:type="spellStart"/>
      <w:r w:rsidRPr="00975CA4">
        <w:rPr>
          <w:rFonts w:ascii="Times New Roman" w:eastAsia="SimSun" w:hAnsi="Times New Roman" w:cs="Times New Roman"/>
          <w:iCs/>
          <w:color w:val="000000"/>
          <w:lang w:eastAsia="ar-SA"/>
        </w:rPr>
        <w:t>MaHR</w:t>
      </w:r>
      <w:proofErr w:type="spellEnd"/>
      <w:r w:rsidRPr="00975CA4">
        <w:rPr>
          <w:rFonts w:ascii="Times New Roman" w:eastAsia="SimSun" w:hAnsi="Times New Roman" w:cs="Times New Roman"/>
          <w:iCs/>
          <w:color w:val="000000"/>
          <w:lang w:eastAsia="ar-SA"/>
        </w:rPr>
        <w:t>) = visiškas hematologinis atsakas (CHR) + nėra leukemijos įrodymų (</w:t>
      </w:r>
      <w:r w:rsidR="00C33938" w:rsidRPr="00975CA4">
        <w:rPr>
          <w:rFonts w:ascii="Times New Roman" w:eastAsia="SimSun" w:hAnsi="Times New Roman" w:cs="Times New Roman"/>
          <w:iCs/>
          <w:color w:val="000000"/>
          <w:lang w:eastAsia="ar-SA"/>
        </w:rPr>
        <w:t xml:space="preserve">angl. </w:t>
      </w:r>
      <w:proofErr w:type="spellStart"/>
      <w:r w:rsidR="00C33938" w:rsidRPr="00975CA4">
        <w:rPr>
          <w:rFonts w:ascii="Times New Roman" w:eastAsia="SimSun" w:hAnsi="Times New Roman" w:cs="Times New Roman"/>
          <w:i/>
          <w:iCs/>
          <w:color w:val="000000"/>
          <w:lang w:eastAsia="ar-SA"/>
        </w:rPr>
        <w:t>No</w:t>
      </w:r>
      <w:proofErr w:type="spellEnd"/>
      <w:r w:rsidR="00C33938" w:rsidRPr="00975CA4">
        <w:rPr>
          <w:rFonts w:ascii="Times New Roman" w:eastAsia="SimSun" w:hAnsi="Times New Roman" w:cs="Times New Roman"/>
          <w:i/>
          <w:iCs/>
          <w:color w:val="000000"/>
          <w:lang w:eastAsia="ar-SA"/>
        </w:rPr>
        <w:t xml:space="preserve"> </w:t>
      </w:r>
      <w:proofErr w:type="spellStart"/>
      <w:r w:rsidR="00C33938" w:rsidRPr="00975CA4">
        <w:rPr>
          <w:rFonts w:ascii="Times New Roman" w:eastAsia="SimSun" w:hAnsi="Times New Roman" w:cs="Times New Roman"/>
          <w:i/>
          <w:iCs/>
          <w:color w:val="000000"/>
          <w:lang w:eastAsia="ar-SA"/>
        </w:rPr>
        <w:t>evidence</w:t>
      </w:r>
      <w:proofErr w:type="spellEnd"/>
      <w:r w:rsidR="00C33938" w:rsidRPr="00975CA4">
        <w:rPr>
          <w:rFonts w:ascii="Times New Roman" w:eastAsia="SimSun" w:hAnsi="Times New Roman" w:cs="Times New Roman"/>
          <w:i/>
          <w:iCs/>
          <w:color w:val="000000"/>
          <w:lang w:eastAsia="ar-SA"/>
        </w:rPr>
        <w:t xml:space="preserve"> </w:t>
      </w:r>
      <w:proofErr w:type="spellStart"/>
      <w:r w:rsidR="00C33938" w:rsidRPr="00975CA4">
        <w:rPr>
          <w:rFonts w:ascii="Times New Roman" w:eastAsia="SimSun" w:hAnsi="Times New Roman" w:cs="Times New Roman"/>
          <w:i/>
          <w:iCs/>
          <w:color w:val="000000"/>
          <w:lang w:eastAsia="ar-SA"/>
        </w:rPr>
        <w:t>of</w:t>
      </w:r>
      <w:proofErr w:type="spellEnd"/>
      <w:r w:rsidR="00C33938" w:rsidRPr="00975CA4">
        <w:rPr>
          <w:rFonts w:ascii="Times New Roman" w:eastAsia="SimSun" w:hAnsi="Times New Roman" w:cs="Times New Roman"/>
          <w:i/>
          <w:iCs/>
          <w:color w:val="000000"/>
          <w:lang w:eastAsia="ar-SA"/>
        </w:rPr>
        <w:t xml:space="preserve"> </w:t>
      </w:r>
      <w:proofErr w:type="spellStart"/>
      <w:r w:rsidR="00C33938" w:rsidRPr="00975CA4">
        <w:rPr>
          <w:rFonts w:ascii="Times New Roman" w:eastAsia="SimSun" w:hAnsi="Times New Roman" w:cs="Times New Roman"/>
          <w:i/>
          <w:iCs/>
          <w:color w:val="000000"/>
          <w:lang w:eastAsia="ar-SA"/>
        </w:rPr>
        <w:t>leukaemia</w:t>
      </w:r>
      <w:r w:rsidR="00C33938"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NEL</w:t>
      </w:r>
      <w:proofErr w:type="spellEnd"/>
      <w:r w:rsidRPr="00975CA4">
        <w:rPr>
          <w:rFonts w:ascii="Times New Roman" w:eastAsia="SimSun" w:hAnsi="Times New Roman" w:cs="Times New Roman"/>
          <w:iCs/>
          <w:color w:val="000000"/>
          <w:lang w:eastAsia="ar-SA"/>
        </w:rPr>
        <w:t>).</w:t>
      </w:r>
    </w:p>
    <w:p w14:paraId="1F06059E" w14:textId="22DF3125" w:rsidR="005A4CE0" w:rsidRPr="00975CA4" w:rsidRDefault="005A4CE0" w:rsidP="00621D2E">
      <w:pPr>
        <w:widowControl w:val="0"/>
        <w:tabs>
          <w:tab w:val="left" w:pos="851"/>
        </w:tabs>
        <w:suppressAutoHyphens/>
        <w:spacing w:after="0" w:line="240" w:lineRule="auto"/>
        <w:ind w:left="142"/>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CHR (lėtinė LML): leukocitų skaičius ≤</w:t>
      </w:r>
      <w:r w:rsidR="00C33938"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nustatyta VNR, trombocitų &lt;</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450000/mm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xml:space="preserve">, periferiniame kraujyje nėra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ir </w:t>
      </w:r>
      <w:proofErr w:type="spellStart"/>
      <w:r w:rsidRPr="00975CA4">
        <w:rPr>
          <w:rFonts w:ascii="Times New Roman" w:eastAsia="SimSun" w:hAnsi="Times New Roman" w:cs="Times New Roman"/>
          <w:iCs/>
          <w:color w:val="000000"/>
          <w:lang w:eastAsia="ar-SA"/>
        </w:rPr>
        <w:t>promielocitų</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mielocitų</w:t>
      </w:r>
      <w:proofErr w:type="spellEnd"/>
      <w:r w:rsidRPr="00975CA4">
        <w:rPr>
          <w:rFonts w:ascii="Times New Roman" w:eastAsia="SimSun" w:hAnsi="Times New Roman" w:cs="Times New Roman"/>
          <w:iCs/>
          <w:color w:val="000000"/>
          <w:lang w:eastAsia="ar-SA"/>
        </w:rPr>
        <w:t xml:space="preserve"> ir </w:t>
      </w:r>
      <w:proofErr w:type="spellStart"/>
      <w:r w:rsidRPr="00975CA4">
        <w:rPr>
          <w:rFonts w:ascii="Times New Roman" w:eastAsia="SimSun" w:hAnsi="Times New Roman" w:cs="Times New Roman"/>
          <w:iCs/>
          <w:color w:val="000000"/>
          <w:lang w:eastAsia="ar-SA"/>
        </w:rPr>
        <w:t>metamielocitų</w:t>
      </w:r>
      <w:proofErr w:type="spellEnd"/>
      <w:r w:rsidRPr="00975CA4">
        <w:rPr>
          <w:rFonts w:ascii="Times New Roman" w:eastAsia="SimSun" w:hAnsi="Times New Roman" w:cs="Times New Roman"/>
          <w:iCs/>
          <w:color w:val="000000"/>
          <w:lang w:eastAsia="ar-SA"/>
        </w:rPr>
        <w:t xml:space="preserve"> suma periferiniame kraujyje &lt;</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5</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bazofilų</w:t>
      </w:r>
      <w:proofErr w:type="spellEnd"/>
      <w:r w:rsidRPr="00975CA4">
        <w:rPr>
          <w:rFonts w:ascii="Times New Roman" w:eastAsia="SimSun" w:hAnsi="Times New Roman" w:cs="Times New Roman"/>
          <w:iCs/>
          <w:color w:val="000000"/>
          <w:lang w:eastAsia="ar-SA"/>
        </w:rPr>
        <w:t xml:space="preserve"> periferiniame kraujyje &lt;</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20</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ir nėra </w:t>
      </w:r>
      <w:proofErr w:type="spellStart"/>
      <w:r w:rsidRPr="00975CA4">
        <w:rPr>
          <w:rFonts w:ascii="Times New Roman" w:eastAsia="SimSun" w:hAnsi="Times New Roman" w:cs="Times New Roman"/>
          <w:iCs/>
          <w:color w:val="000000"/>
          <w:lang w:eastAsia="ar-SA"/>
        </w:rPr>
        <w:t>ekstramedulinių</w:t>
      </w:r>
      <w:proofErr w:type="spellEnd"/>
      <w:r w:rsidRPr="00975CA4">
        <w:rPr>
          <w:rFonts w:ascii="Times New Roman" w:eastAsia="SimSun" w:hAnsi="Times New Roman" w:cs="Times New Roman"/>
          <w:iCs/>
          <w:color w:val="000000"/>
          <w:lang w:eastAsia="ar-SA"/>
        </w:rPr>
        <w:t xml:space="preserve"> židinių.</w:t>
      </w:r>
    </w:p>
    <w:p w14:paraId="4512528B" w14:textId="3D53932B" w:rsidR="005A4CE0" w:rsidRPr="00975CA4" w:rsidRDefault="005A4CE0" w:rsidP="00621D2E">
      <w:pPr>
        <w:widowControl w:val="0"/>
        <w:tabs>
          <w:tab w:val="left" w:pos="851"/>
        </w:tabs>
        <w:suppressAutoHyphens/>
        <w:spacing w:after="0" w:line="240" w:lineRule="auto"/>
        <w:ind w:left="142"/>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CHR (progresavusi LML ir </w:t>
      </w:r>
      <w:proofErr w:type="spellStart"/>
      <w:r w:rsidRPr="00975CA4">
        <w:rPr>
          <w:rFonts w:ascii="Times New Roman" w:eastAsia="SimSun" w:hAnsi="Times New Roman" w:cs="Times New Roman"/>
          <w:iCs/>
          <w:color w:val="000000"/>
          <w:lang w:eastAsia="ar-SA"/>
        </w:rPr>
        <w:t>Ph</w:t>
      </w:r>
      <w:proofErr w:type="spellEnd"/>
      <w:r w:rsidRPr="00975CA4">
        <w:rPr>
          <w:rFonts w:ascii="Times New Roman" w:eastAsia="SimSun" w:hAnsi="Times New Roman" w:cs="Times New Roman"/>
          <w:iCs/>
          <w:color w:val="000000"/>
          <w:lang w:eastAsia="ar-SA"/>
        </w:rPr>
        <w:t>+ ŪLL): leukocitų ≤</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nustatyta VNR, absoliutus </w:t>
      </w:r>
      <w:proofErr w:type="spellStart"/>
      <w:r w:rsidRPr="00975CA4">
        <w:rPr>
          <w:rFonts w:ascii="Times New Roman" w:eastAsia="SimSun" w:hAnsi="Times New Roman" w:cs="Times New Roman"/>
          <w:iCs/>
          <w:color w:val="000000"/>
          <w:lang w:eastAsia="ar-SA"/>
        </w:rPr>
        <w:t>neutrofilų</w:t>
      </w:r>
      <w:proofErr w:type="spellEnd"/>
      <w:r w:rsidRPr="00975CA4">
        <w:rPr>
          <w:rFonts w:ascii="Times New Roman" w:eastAsia="SimSun" w:hAnsi="Times New Roman" w:cs="Times New Roman"/>
          <w:iCs/>
          <w:color w:val="000000"/>
          <w:lang w:eastAsia="ar-SA"/>
        </w:rPr>
        <w:t xml:space="preserve"> skaičius ≥</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trombocitų ≥</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100000/mm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xml:space="preserve">, periferiniame kraujyje nėra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ir </w:t>
      </w:r>
      <w:proofErr w:type="spellStart"/>
      <w:r w:rsidRPr="00975CA4">
        <w:rPr>
          <w:rFonts w:ascii="Times New Roman" w:eastAsia="SimSun" w:hAnsi="Times New Roman" w:cs="Times New Roman"/>
          <w:iCs/>
          <w:color w:val="000000"/>
          <w:lang w:eastAsia="ar-SA"/>
        </w:rPr>
        <w:t>promielocitų</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kaulų čiulpuose ≤</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5</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mielocitų</w:t>
      </w:r>
      <w:proofErr w:type="spellEnd"/>
      <w:r w:rsidRPr="00975CA4">
        <w:rPr>
          <w:rFonts w:ascii="Times New Roman" w:eastAsia="SimSun" w:hAnsi="Times New Roman" w:cs="Times New Roman"/>
          <w:iCs/>
          <w:color w:val="000000"/>
          <w:lang w:eastAsia="ar-SA"/>
        </w:rPr>
        <w:t xml:space="preserve"> ir </w:t>
      </w:r>
      <w:proofErr w:type="spellStart"/>
      <w:r w:rsidRPr="00975CA4">
        <w:rPr>
          <w:rFonts w:ascii="Times New Roman" w:eastAsia="SimSun" w:hAnsi="Times New Roman" w:cs="Times New Roman"/>
          <w:iCs/>
          <w:color w:val="000000"/>
          <w:lang w:eastAsia="ar-SA"/>
        </w:rPr>
        <w:t>metamielocitų</w:t>
      </w:r>
      <w:proofErr w:type="spellEnd"/>
      <w:r w:rsidRPr="00975CA4">
        <w:rPr>
          <w:rFonts w:ascii="Times New Roman" w:eastAsia="SimSun" w:hAnsi="Times New Roman" w:cs="Times New Roman"/>
          <w:iCs/>
          <w:color w:val="000000"/>
          <w:lang w:eastAsia="ar-SA"/>
        </w:rPr>
        <w:t xml:space="preserve"> suma periferiniame kraujyje &lt;</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5</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bazofilų</w:t>
      </w:r>
      <w:proofErr w:type="spellEnd"/>
      <w:r w:rsidRPr="00975CA4">
        <w:rPr>
          <w:rFonts w:ascii="Times New Roman" w:eastAsia="SimSun" w:hAnsi="Times New Roman" w:cs="Times New Roman"/>
          <w:iCs/>
          <w:color w:val="000000"/>
          <w:lang w:eastAsia="ar-SA"/>
        </w:rPr>
        <w:t xml:space="preserve"> periferiniame kraujyje &lt;</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20</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ir nėra </w:t>
      </w:r>
      <w:proofErr w:type="spellStart"/>
      <w:r w:rsidRPr="00975CA4">
        <w:rPr>
          <w:rFonts w:ascii="Times New Roman" w:eastAsia="SimSun" w:hAnsi="Times New Roman" w:cs="Times New Roman"/>
          <w:iCs/>
          <w:color w:val="000000"/>
          <w:lang w:eastAsia="ar-SA"/>
        </w:rPr>
        <w:t>ekstramedulinių</w:t>
      </w:r>
      <w:proofErr w:type="spellEnd"/>
      <w:r w:rsidRPr="00975CA4">
        <w:rPr>
          <w:rFonts w:ascii="Times New Roman" w:eastAsia="SimSun" w:hAnsi="Times New Roman" w:cs="Times New Roman"/>
          <w:iCs/>
          <w:color w:val="000000"/>
          <w:lang w:eastAsia="ar-SA"/>
        </w:rPr>
        <w:t xml:space="preserve"> židinių.</w:t>
      </w:r>
    </w:p>
    <w:p w14:paraId="6AF577A9" w14:textId="22619E31" w:rsidR="005A4CE0" w:rsidRPr="00975CA4" w:rsidRDefault="005A4CE0" w:rsidP="00621D2E">
      <w:pPr>
        <w:widowControl w:val="0"/>
        <w:tabs>
          <w:tab w:val="left" w:pos="851"/>
        </w:tabs>
        <w:suppressAutoHyphens/>
        <w:spacing w:after="0" w:line="240" w:lineRule="auto"/>
        <w:ind w:left="142"/>
        <w:rPr>
          <w:rFonts w:ascii="Times New Roman" w:eastAsia="SimSun" w:hAnsi="Times New Roman" w:cs="Times New Roman"/>
          <w:iCs/>
          <w:color w:val="000000"/>
          <w:vertAlign w:val="superscript"/>
          <w:lang w:eastAsia="ar-SA"/>
        </w:rPr>
      </w:pPr>
      <w:r w:rsidRPr="00975CA4">
        <w:rPr>
          <w:rFonts w:ascii="Times New Roman" w:eastAsia="SimSun" w:hAnsi="Times New Roman" w:cs="Times New Roman"/>
          <w:iCs/>
          <w:color w:val="000000"/>
          <w:lang w:eastAsia="ar-SA"/>
        </w:rPr>
        <w:lastRenderedPageBreak/>
        <w:t xml:space="preserve">NEL: tie patys kriterijai kaip CHR, tačiau absoliutus </w:t>
      </w:r>
      <w:proofErr w:type="spellStart"/>
      <w:r w:rsidRPr="00975CA4">
        <w:rPr>
          <w:rFonts w:ascii="Times New Roman" w:eastAsia="SimSun" w:hAnsi="Times New Roman" w:cs="Times New Roman"/>
          <w:iCs/>
          <w:color w:val="000000"/>
          <w:lang w:eastAsia="ar-SA"/>
        </w:rPr>
        <w:t>neutrofilų</w:t>
      </w:r>
      <w:proofErr w:type="spellEnd"/>
      <w:r w:rsidRPr="00975CA4">
        <w:rPr>
          <w:rFonts w:ascii="Times New Roman" w:eastAsia="SimSun" w:hAnsi="Times New Roman" w:cs="Times New Roman"/>
          <w:iCs/>
          <w:color w:val="000000"/>
          <w:lang w:eastAsia="ar-SA"/>
        </w:rPr>
        <w:t xml:space="preserve"> skaičius ≥</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500/mm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xml:space="preserve"> ir &lt;</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xml:space="preserve"> arba trombocitų ≥</w:t>
      </w:r>
      <w:r w:rsidR="00C33938"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20000/mm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xml:space="preserve"> ir ≤</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100000/mm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w:t>
      </w:r>
    </w:p>
    <w:p w14:paraId="65FC6E13" w14:textId="1247B00F" w:rsidR="005A4CE0" w:rsidRPr="00975CA4" w:rsidRDefault="005A4CE0" w:rsidP="00621D2E">
      <w:pPr>
        <w:widowControl w:val="0"/>
        <w:tabs>
          <w:tab w:val="left" w:pos="0"/>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vertAlign w:val="superscript"/>
          <w:lang w:eastAsia="ar-SA"/>
        </w:rPr>
        <w:t>c</w:t>
      </w:r>
      <w:r w:rsidRPr="00975CA4">
        <w:rPr>
          <w:rFonts w:ascii="Times New Roman" w:eastAsia="SimSun" w:hAnsi="Times New Roman" w:cs="Times New Roman"/>
          <w:iCs/>
          <w:color w:val="000000"/>
          <w:lang w:eastAsia="ar-SA"/>
        </w:rPr>
        <w:t xml:space="preserve"> Citogenetinio atsako kriterijai: visiškas (0</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Ph</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metafazių</w:t>
      </w:r>
      <w:proofErr w:type="spellEnd"/>
      <w:r w:rsidRPr="00975CA4">
        <w:rPr>
          <w:rFonts w:ascii="Times New Roman" w:eastAsia="SimSun" w:hAnsi="Times New Roman" w:cs="Times New Roman"/>
          <w:iCs/>
          <w:color w:val="000000"/>
          <w:lang w:eastAsia="ar-SA"/>
        </w:rPr>
        <w:t>) arba dalinis (&gt;</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0-35</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Didysis citogenetinis atsakas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(0-35</w:t>
      </w:r>
      <w:r w:rsidR="00CE6200"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apima visišką ir dalinį atsaką.</w:t>
      </w:r>
    </w:p>
    <w:p w14:paraId="2017CD75" w14:textId="2B89D8C0" w:rsidR="005A4CE0" w:rsidRPr="00975CA4" w:rsidRDefault="005A4CE0" w:rsidP="00621D2E">
      <w:pPr>
        <w:widowControl w:val="0"/>
        <w:tabs>
          <w:tab w:val="left" w:pos="0"/>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n/a</w:t>
      </w:r>
      <w:r w:rsidR="00FA5ED3" w:rsidRPr="00975CA4">
        <w:rPr>
          <w:rFonts w:ascii="Times New Roman" w:eastAsia="SimSun" w:hAnsi="Times New Roman" w:cs="Times New Roman"/>
          <w:iCs/>
          <w:color w:val="000000"/>
          <w:lang w:eastAsia="ar-SA"/>
        </w:rPr>
        <w:t xml:space="preserve"> -</w:t>
      </w:r>
      <w:r w:rsidRPr="00975CA4">
        <w:rPr>
          <w:rFonts w:ascii="Times New Roman" w:eastAsia="SimSun" w:hAnsi="Times New Roman" w:cs="Times New Roman"/>
          <w:iCs/>
          <w:color w:val="000000"/>
          <w:lang w:eastAsia="ar-SA"/>
        </w:rPr>
        <w:t xml:space="preserve"> duomenų nėra</w:t>
      </w:r>
      <w:r w:rsidR="00FA5ED3"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PI </w:t>
      </w:r>
      <w:r w:rsidR="00FA5ED3"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pasikliautinasis</w:t>
      </w:r>
      <w:proofErr w:type="spellEnd"/>
      <w:r w:rsidRPr="00975CA4">
        <w:rPr>
          <w:rFonts w:ascii="Times New Roman" w:eastAsia="SimSun" w:hAnsi="Times New Roman" w:cs="Times New Roman"/>
          <w:iCs/>
          <w:color w:val="000000"/>
          <w:lang w:eastAsia="ar-SA"/>
        </w:rPr>
        <w:t xml:space="preserve"> intervalas, VNR </w:t>
      </w:r>
      <w:r w:rsidR="00FA5ED3"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viršutinė normos riba.</w:t>
      </w:r>
    </w:p>
    <w:p w14:paraId="4C31D353" w14:textId="77777777" w:rsidR="005A4CE0" w:rsidRPr="00975CA4" w:rsidRDefault="005A4CE0"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E84FE7B" w14:textId="510F9FBE" w:rsidR="005A4CE0" w:rsidRPr="00975CA4"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Pacientų, kuriems po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vartojimo transplantuoti kaulų čiulpai, gydymo rezultatai </w:t>
      </w:r>
      <w:r w:rsidR="00F8424F" w:rsidRPr="00975CA4">
        <w:rPr>
          <w:rFonts w:ascii="Times New Roman" w:eastAsia="SimSun" w:hAnsi="Times New Roman" w:cs="Times New Roman"/>
          <w:iCs/>
          <w:color w:val="000000"/>
          <w:lang w:eastAsia="ar-SA"/>
        </w:rPr>
        <w:t xml:space="preserve">nebuvo pilnai </w:t>
      </w:r>
      <w:r w:rsidRPr="00975CA4">
        <w:rPr>
          <w:rFonts w:ascii="Times New Roman" w:eastAsia="SimSun" w:hAnsi="Times New Roman" w:cs="Times New Roman"/>
          <w:iCs/>
          <w:color w:val="000000"/>
          <w:lang w:eastAsia="ar-SA"/>
        </w:rPr>
        <w:t>įvertinti.</w:t>
      </w:r>
    </w:p>
    <w:p w14:paraId="3F237AAB" w14:textId="77777777" w:rsidR="005A4CE0" w:rsidRPr="00975CA4"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4F25BE9F" w14:textId="77777777" w:rsidR="005A4CE0" w:rsidRPr="00975CA4" w:rsidRDefault="005A4CE0" w:rsidP="005A4CE0">
      <w:pPr>
        <w:widowControl w:val="0"/>
        <w:tabs>
          <w:tab w:val="left" w:pos="567"/>
        </w:tabs>
        <w:suppressAutoHyphens/>
        <w:spacing w:after="0" w:line="240" w:lineRule="auto"/>
        <w:rPr>
          <w:rFonts w:ascii="Times New Roman" w:eastAsia="SimSun" w:hAnsi="Times New Roman" w:cs="Times New Roman"/>
          <w:i/>
          <w:iCs/>
          <w:color w:val="000000"/>
          <w:u w:val="single"/>
          <w:lang w:eastAsia="ar-SA"/>
        </w:rPr>
      </w:pPr>
      <w:r w:rsidRPr="00975CA4">
        <w:rPr>
          <w:rFonts w:ascii="Times New Roman" w:eastAsia="SimSun" w:hAnsi="Times New Roman" w:cs="Times New Roman"/>
          <w:i/>
          <w:iCs/>
          <w:color w:val="000000"/>
          <w:u w:val="single"/>
          <w:lang w:eastAsia="ar-SA"/>
        </w:rPr>
        <w:t xml:space="preserve">III fazės klinikiniai tyrimai su LML lėtine, akceleracijos ar </w:t>
      </w:r>
      <w:proofErr w:type="spellStart"/>
      <w:r w:rsidRPr="00975CA4">
        <w:rPr>
          <w:rFonts w:ascii="Times New Roman" w:eastAsia="SimSun" w:hAnsi="Times New Roman" w:cs="Times New Roman"/>
          <w:i/>
          <w:iCs/>
          <w:color w:val="000000"/>
          <w:u w:val="single"/>
          <w:lang w:eastAsia="ar-SA"/>
        </w:rPr>
        <w:t>mieloidinių</w:t>
      </w:r>
      <w:proofErr w:type="spellEnd"/>
      <w:r w:rsidRPr="00975CA4">
        <w:rPr>
          <w:rFonts w:ascii="Times New Roman" w:eastAsia="SimSun" w:hAnsi="Times New Roman" w:cs="Times New Roman"/>
          <w:i/>
          <w:iCs/>
          <w:color w:val="000000"/>
          <w:u w:val="single"/>
          <w:lang w:eastAsia="ar-SA"/>
        </w:rPr>
        <w:t xml:space="preserve"> </w:t>
      </w:r>
      <w:proofErr w:type="spellStart"/>
      <w:r w:rsidRPr="00975CA4">
        <w:rPr>
          <w:rFonts w:ascii="Times New Roman" w:eastAsia="SimSun" w:hAnsi="Times New Roman" w:cs="Times New Roman"/>
          <w:i/>
          <w:iCs/>
          <w:color w:val="000000"/>
          <w:u w:val="single"/>
          <w:lang w:eastAsia="ar-SA"/>
        </w:rPr>
        <w:t>blastų</w:t>
      </w:r>
      <w:proofErr w:type="spellEnd"/>
      <w:r w:rsidRPr="00975CA4">
        <w:rPr>
          <w:rFonts w:ascii="Times New Roman" w:eastAsia="SimSun" w:hAnsi="Times New Roman" w:cs="Times New Roman"/>
          <w:i/>
          <w:iCs/>
          <w:color w:val="000000"/>
          <w:u w:val="single"/>
          <w:lang w:eastAsia="ar-SA"/>
        </w:rPr>
        <w:t xml:space="preserve"> faze arba </w:t>
      </w:r>
      <w:proofErr w:type="spellStart"/>
      <w:r w:rsidRPr="00975CA4">
        <w:rPr>
          <w:rFonts w:ascii="Times New Roman" w:eastAsia="SimSun" w:hAnsi="Times New Roman" w:cs="Times New Roman"/>
          <w:i/>
          <w:iCs/>
          <w:color w:val="000000"/>
          <w:u w:val="single"/>
          <w:lang w:eastAsia="ar-SA"/>
        </w:rPr>
        <w:t>Ph</w:t>
      </w:r>
      <w:proofErr w:type="spellEnd"/>
      <w:r w:rsidRPr="00975CA4">
        <w:rPr>
          <w:rFonts w:ascii="Times New Roman" w:eastAsia="SimSun" w:hAnsi="Times New Roman" w:cs="Times New Roman"/>
          <w:i/>
          <w:iCs/>
          <w:color w:val="000000"/>
          <w:u w:val="single"/>
          <w:lang w:eastAsia="ar-SA"/>
        </w:rPr>
        <w:t>+ ŪLL</w:t>
      </w:r>
    </w:p>
    <w:p w14:paraId="760EC50E" w14:textId="77777777" w:rsidR="005A4CE0" w:rsidRPr="00975CA4"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
          <w:iCs/>
          <w:color w:val="000000"/>
          <w:u w:val="single"/>
          <w:lang w:eastAsia="ar-SA"/>
        </w:rPr>
        <w:t xml:space="preserve">sergančiais pacientais, kurių liga buvo atspari gydymui </w:t>
      </w:r>
      <w:proofErr w:type="spellStart"/>
      <w:r w:rsidRPr="00975CA4">
        <w:rPr>
          <w:rFonts w:ascii="Times New Roman" w:eastAsia="SimSun" w:hAnsi="Times New Roman" w:cs="Times New Roman"/>
          <w:i/>
          <w:iCs/>
          <w:color w:val="000000"/>
          <w:u w:val="single"/>
          <w:lang w:eastAsia="ar-SA"/>
        </w:rPr>
        <w:t>imatinibu</w:t>
      </w:r>
      <w:proofErr w:type="spellEnd"/>
      <w:r w:rsidRPr="00975CA4">
        <w:rPr>
          <w:rFonts w:ascii="Times New Roman" w:eastAsia="SimSun" w:hAnsi="Times New Roman" w:cs="Times New Roman"/>
          <w:i/>
          <w:iCs/>
          <w:color w:val="000000"/>
          <w:u w:val="single"/>
          <w:lang w:eastAsia="ar-SA"/>
        </w:rPr>
        <w:t xml:space="preserve"> arba kurie šio vaistinio preparato netoleravo</w:t>
      </w:r>
    </w:p>
    <w:p w14:paraId="2FAAAE7C" w14:textId="77777777" w:rsidR="005A4CE0" w:rsidRPr="00975CA4"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Atlikti 2 atsitiktinės atrankos atviri tyrimai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vartojamo 1 kartą per parą, saugumui ir veiksmingumui, lyginant su 2 kartus per parą vartojamu </w:t>
      </w:r>
      <w:proofErr w:type="spellStart"/>
      <w:r w:rsidRPr="00975CA4">
        <w:rPr>
          <w:rFonts w:ascii="Times New Roman" w:eastAsia="SimSun" w:hAnsi="Times New Roman" w:cs="Times New Roman"/>
          <w:iCs/>
          <w:color w:val="000000"/>
          <w:lang w:eastAsia="ar-SA"/>
        </w:rPr>
        <w:t>dazatinibu</w:t>
      </w:r>
      <w:proofErr w:type="spellEnd"/>
      <w:r w:rsidRPr="00975CA4">
        <w:rPr>
          <w:rFonts w:ascii="Times New Roman" w:eastAsia="SimSun" w:hAnsi="Times New Roman" w:cs="Times New Roman"/>
          <w:iCs/>
          <w:color w:val="000000"/>
          <w:lang w:eastAsia="ar-SA"/>
        </w:rPr>
        <w:t xml:space="preserve">, įvertinti. Žemiau pateikti bent 2 metų ir 7 metų stebėjimo duomenys (skaičiuojant nuo gydymo </w:t>
      </w:r>
      <w:proofErr w:type="spellStart"/>
      <w:r w:rsidRPr="00975CA4">
        <w:rPr>
          <w:rFonts w:ascii="Times New Roman" w:eastAsia="SimSun" w:hAnsi="Times New Roman" w:cs="Times New Roman"/>
          <w:iCs/>
          <w:color w:val="000000"/>
          <w:lang w:eastAsia="ar-SA"/>
        </w:rPr>
        <w:t>dazatinibu</w:t>
      </w:r>
      <w:proofErr w:type="spellEnd"/>
      <w:r w:rsidRPr="00975CA4">
        <w:rPr>
          <w:rFonts w:ascii="Times New Roman" w:eastAsia="SimSun" w:hAnsi="Times New Roman" w:cs="Times New Roman"/>
          <w:iCs/>
          <w:color w:val="000000"/>
          <w:lang w:eastAsia="ar-SA"/>
        </w:rPr>
        <w:t xml:space="preserve"> pradžios).</w:t>
      </w:r>
    </w:p>
    <w:p w14:paraId="41F4A363" w14:textId="77777777" w:rsidR="005A4CE0" w:rsidRPr="00975CA4"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12CECB9" w14:textId="77777777" w:rsidR="005A4CE0" w:rsidRPr="00975CA4"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
          <w:iCs/>
          <w:color w:val="000000"/>
          <w:lang w:eastAsia="ar-SA"/>
        </w:rPr>
        <w:t>1-asis tyrimas</w:t>
      </w:r>
    </w:p>
    <w:p w14:paraId="1382544B" w14:textId="7BC440C0" w:rsidR="005A4CE0" w:rsidRPr="00975CA4"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LML lėtinės fazės tyrimo metu pagrindinė vertinamoji baigtis buvo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atsparių pacientų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pagrindinė antraeilė vertinamoji baigtis –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atsparių pacientų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pagal suminę paros dozę. Kitos antraeilės vertinamosios baigtys buvo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trukmė, be ligos progresavimo išgyventas laikas ir bendroji išgyvenimo trukmė. Iš viso 670 pacientų (iš jų 497 buvo atsparūs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atsitiktinės atrankos būdu </w:t>
      </w:r>
      <w:r w:rsidR="001618EA" w:rsidRPr="00975CA4">
        <w:rPr>
          <w:rFonts w:ascii="Times New Roman" w:eastAsia="SimSun" w:hAnsi="Times New Roman" w:cs="Times New Roman"/>
          <w:iCs/>
          <w:color w:val="000000"/>
          <w:lang w:eastAsia="ar-SA"/>
        </w:rPr>
        <w:t xml:space="preserve">buvo </w:t>
      </w:r>
      <w:r w:rsidRPr="00975CA4">
        <w:rPr>
          <w:rFonts w:ascii="Times New Roman" w:eastAsia="SimSun" w:hAnsi="Times New Roman" w:cs="Times New Roman"/>
          <w:iCs/>
          <w:color w:val="000000"/>
          <w:lang w:eastAsia="ar-SA"/>
        </w:rPr>
        <w:t>priskirti į vartojančių 100</w:t>
      </w:r>
      <w:r w:rsidR="00F8424F"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1 kartą per parą, 140</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 1 kartą per parą, po 50</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 2 kartus per parą ir po 70</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 2 kartą per parą grupes. Toliau gydytų pacientų, stebėtų bent 5 metus (n</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205), gydymo trukmės mediana buvo 59 mėnesiai (diapazonas 28-66</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Po 7 stebėjimo metų visų pacientų gydymo trukmės mediana buvo 29,8 mėnesio (diapazonas &lt;</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w:t>
      </w:r>
      <w:r w:rsidR="00F8424F"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92,9</w:t>
      </w:r>
      <w:r w:rsidR="00466B13" w:rsidRPr="00975CA4">
        <w:rPr>
          <w:rFonts w:ascii="Times New Roman" w:eastAsia="SimSun" w:hAnsi="Times New Roman" w:cs="Times New Roman"/>
          <w:iCs/>
          <w:color w:val="000000"/>
          <w:lang w:eastAsia="ar-SA"/>
        </w:rPr>
        <w:t> </w:t>
      </w:r>
      <w:proofErr w:type="spellStart"/>
      <w:r w:rsidRPr="00975CA4">
        <w:rPr>
          <w:rFonts w:ascii="Times New Roman" w:eastAsia="SimSun" w:hAnsi="Times New Roman" w:cs="Times New Roman"/>
          <w:iCs/>
          <w:color w:val="000000"/>
          <w:lang w:eastAsia="ar-SA"/>
        </w:rPr>
        <w:t>mėn</w:t>
      </w:r>
      <w:proofErr w:type="spellEnd"/>
      <w:r w:rsidRPr="00975CA4">
        <w:rPr>
          <w:rFonts w:ascii="Times New Roman" w:eastAsia="SimSun" w:hAnsi="Times New Roman" w:cs="Times New Roman"/>
          <w:iCs/>
          <w:color w:val="000000"/>
          <w:lang w:eastAsia="ar-SA"/>
        </w:rPr>
        <w:t>).</w:t>
      </w:r>
    </w:p>
    <w:p w14:paraId="09E887FB" w14:textId="77777777" w:rsidR="005A4CE0" w:rsidRPr="00975CA4" w:rsidRDefault="00746845" w:rsidP="00ED5F32">
      <w:pPr>
        <w:widowControl w:val="0"/>
        <w:tabs>
          <w:tab w:val="left" w:pos="7526"/>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ab/>
      </w:r>
    </w:p>
    <w:p w14:paraId="38B56DA5" w14:textId="2253F55A" w:rsidR="005A4CE0" w:rsidRPr="00975CA4"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Nustatyta, kad </w:t>
      </w:r>
      <w:proofErr w:type="spellStart"/>
      <w:r w:rsidRPr="00975CA4">
        <w:rPr>
          <w:rFonts w:ascii="Times New Roman" w:eastAsia="SimSun" w:hAnsi="Times New Roman" w:cs="Times New Roman"/>
          <w:iCs/>
          <w:color w:val="000000"/>
          <w:lang w:eastAsia="ar-SA"/>
        </w:rPr>
        <w:t>dazatinibas</w:t>
      </w:r>
      <w:proofErr w:type="spellEnd"/>
      <w:r w:rsidRPr="00975CA4">
        <w:rPr>
          <w:rFonts w:ascii="Times New Roman" w:eastAsia="SimSun" w:hAnsi="Times New Roman" w:cs="Times New Roman"/>
          <w:iCs/>
          <w:color w:val="000000"/>
          <w:lang w:eastAsia="ar-SA"/>
        </w:rPr>
        <w:t xml:space="preserve"> buvo veiksmingas visose grupėse, o veiksmingumas pagal pagrindinę vertinamąją baigtį šio vaistinio preparato vartojant 1 kartą per parą buvo panašus (ne mažesnis), kaip jo vartojant 2 kartus per parą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skirtumas 1,9</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jo 95</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w:t>
      </w:r>
      <w:r w:rsidR="001618EA"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w:t>
      </w:r>
      <w:r w:rsidR="001A3715" w:rsidRPr="00975CA4">
        <w:rPr>
          <w:rFonts w:ascii="Times New Roman" w:eastAsia="SimSun" w:hAnsi="Times New Roman" w:cs="Times New Roman"/>
          <w:iCs/>
          <w:color w:val="000000"/>
          <w:lang w:eastAsia="ar-SA"/>
        </w:rPr>
        <w:t>PI</w:t>
      </w:r>
      <w:r w:rsidR="00746845"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w:t>
      </w:r>
      <w:r w:rsidR="001618EA"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6,8</w:t>
      </w:r>
      <w:r w:rsidR="001A3715"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10,6</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tačiau vartojant 100</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 kartą per parą saugumas ir toleravimas buvo geresni. Veiksmingumo duomenys pateikti 12 ir 13 lentelėse.</w:t>
      </w:r>
    </w:p>
    <w:p w14:paraId="233C1508" w14:textId="77777777" w:rsidR="005A4CE0" w:rsidRPr="00975CA4" w:rsidRDefault="005A4CE0" w:rsidP="005A4CE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2FF8F53" w14:textId="77777777" w:rsidR="005A4CE0" w:rsidRPr="00975CA4" w:rsidRDefault="005A4CE0" w:rsidP="002938B7">
      <w:pPr>
        <w:suppressAutoHyphens/>
        <w:spacing w:after="0" w:line="240" w:lineRule="auto"/>
        <w:ind w:left="851" w:hanging="874"/>
        <w:rPr>
          <w:rFonts w:ascii="Times New Roman" w:eastAsia="SimSun" w:hAnsi="Times New Roman" w:cs="Times New Roman"/>
          <w:iCs/>
          <w:color w:val="000000"/>
          <w:lang w:eastAsia="ar-SA"/>
        </w:rPr>
      </w:pPr>
      <w:r w:rsidRPr="00975CA4">
        <w:rPr>
          <w:rFonts w:ascii="Times New Roman" w:eastAsia="Times New Roman" w:hAnsi="Times New Roman" w:cs="Times New Roman"/>
          <w:b/>
          <w:bCs/>
          <w:color w:val="000000"/>
          <w:lang w:eastAsia="ar-SA"/>
        </w:rPr>
        <w:t xml:space="preserve">12 lentelė. </w:t>
      </w:r>
      <w:proofErr w:type="spellStart"/>
      <w:r w:rsidRPr="00975CA4">
        <w:rPr>
          <w:rFonts w:ascii="Times New Roman" w:eastAsia="Times New Roman" w:hAnsi="Times New Roman" w:cs="Times New Roman"/>
          <w:b/>
          <w:bCs/>
          <w:color w:val="000000"/>
          <w:lang w:eastAsia="ar-SA"/>
        </w:rPr>
        <w:t>Dazatinibo</w:t>
      </w:r>
      <w:proofErr w:type="spellEnd"/>
      <w:r w:rsidRPr="00975CA4">
        <w:rPr>
          <w:rFonts w:ascii="Times New Roman" w:eastAsia="Times New Roman" w:hAnsi="Times New Roman" w:cs="Times New Roman"/>
          <w:b/>
          <w:bCs/>
          <w:color w:val="000000"/>
          <w:lang w:eastAsia="ar-SA"/>
        </w:rPr>
        <w:t xml:space="preserve"> veiksmingumas III fazės dozės optimizavimo tyrimo metu </w:t>
      </w:r>
      <w:proofErr w:type="spellStart"/>
      <w:r w:rsidRPr="00975CA4">
        <w:rPr>
          <w:rFonts w:ascii="Times New Roman" w:eastAsia="Times New Roman" w:hAnsi="Times New Roman" w:cs="Times New Roman"/>
          <w:b/>
          <w:bCs/>
          <w:color w:val="000000"/>
          <w:lang w:eastAsia="ar-SA"/>
        </w:rPr>
        <w:t>imatinibui</w:t>
      </w:r>
      <w:proofErr w:type="spellEnd"/>
      <w:r w:rsidRPr="00975CA4">
        <w:rPr>
          <w:rFonts w:ascii="Times New Roman" w:eastAsia="Times New Roman" w:hAnsi="Times New Roman" w:cs="Times New Roman"/>
          <w:b/>
          <w:bCs/>
          <w:color w:val="000000"/>
          <w:lang w:eastAsia="ar-SA"/>
        </w:rPr>
        <w:t xml:space="preserve"> atsparia lėtinės fazės LML sergantiems arba </w:t>
      </w:r>
      <w:proofErr w:type="spellStart"/>
      <w:r w:rsidRPr="00975CA4">
        <w:rPr>
          <w:rFonts w:ascii="Times New Roman" w:eastAsia="Times New Roman" w:hAnsi="Times New Roman" w:cs="Times New Roman"/>
          <w:b/>
          <w:bCs/>
          <w:color w:val="000000"/>
          <w:lang w:eastAsia="ar-SA"/>
        </w:rPr>
        <w:t>imatinibo</w:t>
      </w:r>
      <w:proofErr w:type="spellEnd"/>
      <w:r w:rsidRPr="00975CA4">
        <w:rPr>
          <w:rFonts w:ascii="Times New Roman" w:eastAsia="Times New Roman" w:hAnsi="Times New Roman" w:cs="Times New Roman"/>
          <w:b/>
          <w:bCs/>
          <w:color w:val="000000"/>
          <w:lang w:eastAsia="ar-SA"/>
        </w:rPr>
        <w:t xml:space="preserve"> netoleruojantiems pacientams (2 metų duomenys)</w:t>
      </w:r>
      <w:r w:rsidRPr="00975CA4">
        <w:rPr>
          <w:rFonts w:ascii="Times New Roman" w:eastAsia="Times New Roman" w:hAnsi="Times New Roman" w:cs="Times New Roman"/>
          <w:b/>
          <w:bCs/>
          <w:color w:val="000000"/>
          <w:vertAlign w:val="superscript"/>
          <w:lang w:eastAsia="ar-SA"/>
        </w:rPr>
        <w:t>a</w:t>
      </w:r>
    </w:p>
    <w:p w14:paraId="312A3E91" w14:textId="77777777" w:rsidR="00733FA1" w:rsidRPr="00975CA4" w:rsidRDefault="00733FA1" w:rsidP="002938B7">
      <w:pPr>
        <w:spacing w:after="0" w:line="240" w:lineRule="auto"/>
        <w:rPr>
          <w:rFonts w:ascii="Times New Roman" w:eastAsia="Calibri" w:hAnsi="Times New Roman" w:cs="Times New Roman"/>
          <w:lang w:eastAsia="ar-SA"/>
        </w:rPr>
      </w:pPr>
    </w:p>
    <w:tbl>
      <w:tblPr>
        <w:tblStyle w:val="Mkatabulky1"/>
        <w:tblW w:w="0" w:type="auto"/>
        <w:jc w:val="center"/>
        <w:tblLook w:val="04A0" w:firstRow="1" w:lastRow="0" w:firstColumn="1" w:lastColumn="0" w:noHBand="0" w:noVBand="1"/>
      </w:tblPr>
      <w:tblGrid>
        <w:gridCol w:w="4354"/>
        <w:gridCol w:w="3721"/>
      </w:tblGrid>
      <w:tr w:rsidR="005A4CE0" w:rsidRPr="00975CA4" w14:paraId="3E4370D2"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3CAF0B3B" w14:textId="77777777" w:rsidR="005A4CE0" w:rsidRPr="00975CA4" w:rsidRDefault="005A4CE0" w:rsidP="002938B7">
            <w:pPr>
              <w:rPr>
                <w:rFonts w:eastAsia="Times New Roman"/>
                <w:b/>
                <w:bCs/>
              </w:rPr>
            </w:pPr>
            <w:r w:rsidRPr="00975CA4">
              <w:rPr>
                <w:rFonts w:eastAsia="Times New Roman"/>
                <w:b/>
                <w:bCs/>
              </w:rPr>
              <w:t>Visi pacientai</w:t>
            </w:r>
          </w:p>
        </w:tc>
        <w:tc>
          <w:tcPr>
            <w:tcW w:w="3721" w:type="dxa"/>
            <w:tcBorders>
              <w:top w:val="single" w:sz="4" w:space="0" w:color="auto"/>
              <w:left w:val="single" w:sz="4" w:space="0" w:color="auto"/>
              <w:bottom w:val="single" w:sz="4" w:space="0" w:color="auto"/>
              <w:right w:val="single" w:sz="4" w:space="0" w:color="auto"/>
            </w:tcBorders>
            <w:hideMark/>
          </w:tcPr>
          <w:p w14:paraId="224EA602" w14:textId="1385BF83" w:rsidR="005A4CE0" w:rsidRPr="00975CA4" w:rsidRDefault="005A4CE0" w:rsidP="00466B13">
            <w:pPr>
              <w:jc w:val="center"/>
              <w:rPr>
                <w:rFonts w:eastAsia="Times New Roman"/>
                <w:bCs/>
              </w:rPr>
            </w:pPr>
            <w:r w:rsidRPr="00975CA4">
              <w:rPr>
                <w:rFonts w:eastAsia="Times New Roman"/>
                <w:bCs/>
              </w:rPr>
              <w:t>n</w:t>
            </w:r>
            <w:r w:rsidR="00466B13" w:rsidRPr="00975CA4">
              <w:rPr>
                <w:rFonts w:eastAsia="Times New Roman"/>
                <w:bCs/>
              </w:rPr>
              <w:t> </w:t>
            </w:r>
            <w:r w:rsidRPr="00975CA4">
              <w:rPr>
                <w:rFonts w:eastAsia="Times New Roman"/>
                <w:bCs/>
              </w:rPr>
              <w:t xml:space="preserve">= </w:t>
            </w:r>
            <w:r w:rsidR="00466B13" w:rsidRPr="00975CA4">
              <w:rPr>
                <w:rFonts w:eastAsia="Times New Roman"/>
                <w:bCs/>
              </w:rPr>
              <w:t> </w:t>
            </w:r>
            <w:r w:rsidRPr="00975CA4">
              <w:rPr>
                <w:rFonts w:eastAsia="Times New Roman"/>
                <w:bCs/>
              </w:rPr>
              <w:t>67</w:t>
            </w:r>
          </w:p>
        </w:tc>
      </w:tr>
      <w:tr w:rsidR="005A4CE0" w:rsidRPr="00975CA4" w14:paraId="7B2B204A"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3C4BF6D1" w14:textId="77777777" w:rsidR="005A4CE0" w:rsidRPr="00975CA4" w:rsidRDefault="005A4CE0" w:rsidP="002938B7">
            <w:pPr>
              <w:rPr>
                <w:rFonts w:eastAsia="Times New Roman"/>
                <w:b/>
                <w:bCs/>
              </w:rPr>
            </w:pPr>
            <w:proofErr w:type="spellStart"/>
            <w:r w:rsidRPr="00975CA4">
              <w:rPr>
                <w:rFonts w:eastAsia="Times New Roman"/>
                <w:b/>
                <w:bCs/>
              </w:rPr>
              <w:t>Imatinibui</w:t>
            </w:r>
            <w:proofErr w:type="spellEnd"/>
            <w:r w:rsidRPr="00975CA4">
              <w:rPr>
                <w:rFonts w:eastAsia="Times New Roman"/>
                <w:b/>
                <w:bCs/>
              </w:rPr>
              <w:t xml:space="preserve"> atsparūs pacientai</w:t>
            </w:r>
          </w:p>
        </w:tc>
        <w:tc>
          <w:tcPr>
            <w:tcW w:w="3721" w:type="dxa"/>
            <w:tcBorders>
              <w:top w:val="single" w:sz="4" w:space="0" w:color="auto"/>
              <w:left w:val="single" w:sz="4" w:space="0" w:color="auto"/>
              <w:bottom w:val="single" w:sz="4" w:space="0" w:color="auto"/>
              <w:right w:val="single" w:sz="4" w:space="0" w:color="auto"/>
            </w:tcBorders>
            <w:hideMark/>
          </w:tcPr>
          <w:p w14:paraId="49487130" w14:textId="5410A5C1" w:rsidR="005A4CE0" w:rsidRPr="00975CA4" w:rsidRDefault="005A4CE0" w:rsidP="002938B7">
            <w:pPr>
              <w:jc w:val="center"/>
              <w:rPr>
                <w:rFonts w:eastAsia="Times New Roman"/>
                <w:bCs/>
              </w:rPr>
            </w:pPr>
            <w:r w:rsidRPr="00975CA4">
              <w:rPr>
                <w:rFonts w:eastAsia="Times New Roman"/>
                <w:bCs/>
              </w:rPr>
              <w:t>n</w:t>
            </w:r>
            <w:r w:rsidR="00466B13" w:rsidRPr="00975CA4">
              <w:rPr>
                <w:rFonts w:eastAsia="Times New Roman"/>
                <w:bCs/>
              </w:rPr>
              <w:t> </w:t>
            </w:r>
            <w:r w:rsidRPr="00975CA4">
              <w:rPr>
                <w:rFonts w:eastAsia="Times New Roman"/>
                <w:bCs/>
              </w:rPr>
              <w:t>=</w:t>
            </w:r>
            <w:r w:rsidR="00466B13" w:rsidRPr="00975CA4">
              <w:rPr>
                <w:rFonts w:eastAsia="Times New Roman"/>
                <w:bCs/>
              </w:rPr>
              <w:t> </w:t>
            </w:r>
            <w:r w:rsidRPr="00975CA4">
              <w:rPr>
                <w:rFonts w:eastAsia="Times New Roman"/>
                <w:bCs/>
              </w:rPr>
              <w:t>124</w:t>
            </w:r>
          </w:p>
        </w:tc>
      </w:tr>
      <w:tr w:rsidR="005A4CE0" w:rsidRPr="00975CA4" w14:paraId="72FE49FE" w14:textId="77777777" w:rsidTr="005A4CE0">
        <w:trPr>
          <w:trHeight w:val="283"/>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4082BFA1" w14:textId="77777777" w:rsidR="005A4CE0" w:rsidRPr="00975CA4" w:rsidRDefault="005A4CE0">
            <w:pPr>
              <w:rPr>
                <w:rFonts w:eastAsia="Times New Roman"/>
                <w:bCs/>
              </w:rPr>
            </w:pPr>
            <w:proofErr w:type="spellStart"/>
            <w:r w:rsidRPr="00975CA4">
              <w:rPr>
                <w:rFonts w:eastAsia="Times New Roman"/>
                <w:b/>
                <w:bCs/>
              </w:rPr>
              <w:t>Hematologimio</w:t>
            </w:r>
            <w:proofErr w:type="spellEnd"/>
            <w:r w:rsidRPr="00975CA4">
              <w:rPr>
                <w:rFonts w:eastAsia="Times New Roman"/>
                <w:b/>
                <w:bCs/>
              </w:rPr>
              <w:t xml:space="preserve"> atsako </w:t>
            </w:r>
            <w:proofErr w:type="spellStart"/>
            <w:r w:rsidR="00621D2E" w:rsidRPr="00975CA4">
              <w:rPr>
                <w:rFonts w:eastAsia="Times New Roman"/>
                <w:b/>
                <w:bCs/>
              </w:rPr>
              <w:t>dažnis</w:t>
            </w:r>
            <w:r w:rsidRPr="00975CA4">
              <w:rPr>
                <w:rFonts w:eastAsia="Times New Roman"/>
                <w:b/>
                <w:bCs/>
                <w:vertAlign w:val="superscript"/>
              </w:rPr>
              <w:t>b</w:t>
            </w:r>
            <w:proofErr w:type="spellEnd"/>
            <w:r w:rsidRPr="00975CA4">
              <w:rPr>
                <w:rFonts w:eastAsia="Times New Roman"/>
                <w:b/>
                <w:bCs/>
              </w:rPr>
              <w:t xml:space="preserve"> (%) (95</w:t>
            </w:r>
            <w:r w:rsidR="00466B13" w:rsidRPr="00975CA4">
              <w:rPr>
                <w:rFonts w:eastAsia="Times New Roman"/>
                <w:b/>
                <w:bCs/>
              </w:rPr>
              <w:t> </w:t>
            </w:r>
            <w:r w:rsidRPr="00975CA4">
              <w:rPr>
                <w:rFonts w:eastAsia="Times New Roman"/>
                <w:b/>
                <w:bCs/>
              </w:rPr>
              <w:t>% PI)</w:t>
            </w:r>
          </w:p>
        </w:tc>
      </w:tr>
      <w:tr w:rsidR="005A4CE0" w:rsidRPr="00975CA4" w14:paraId="5761D9ED"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2069928E" w14:textId="77777777" w:rsidR="005A4CE0" w:rsidRPr="00975CA4" w:rsidRDefault="005A4CE0">
            <w:pPr>
              <w:rPr>
                <w:rFonts w:eastAsia="Times New Roman"/>
                <w:bCs/>
              </w:rPr>
            </w:pPr>
            <w:r w:rsidRPr="00975CA4">
              <w:rPr>
                <w:rFonts w:eastAsia="Times New Roman"/>
              </w:rPr>
              <w:t>CHR</w:t>
            </w:r>
          </w:p>
        </w:tc>
        <w:tc>
          <w:tcPr>
            <w:tcW w:w="3721" w:type="dxa"/>
            <w:tcBorders>
              <w:top w:val="single" w:sz="4" w:space="0" w:color="auto"/>
              <w:left w:val="single" w:sz="4" w:space="0" w:color="auto"/>
              <w:bottom w:val="single" w:sz="4" w:space="0" w:color="auto"/>
              <w:right w:val="single" w:sz="4" w:space="0" w:color="auto"/>
            </w:tcBorders>
            <w:hideMark/>
          </w:tcPr>
          <w:p w14:paraId="0D28200A" w14:textId="77777777" w:rsidR="005A4CE0" w:rsidRPr="00975CA4" w:rsidRDefault="005A4CE0">
            <w:pPr>
              <w:ind w:left="-134" w:right="-82"/>
              <w:jc w:val="center"/>
              <w:rPr>
                <w:rFonts w:eastAsia="Times New Roman"/>
                <w:bCs/>
              </w:rPr>
            </w:pPr>
            <w:r w:rsidRPr="00975CA4">
              <w:rPr>
                <w:rFonts w:eastAsia="Times New Roman"/>
                <w:bCs/>
              </w:rPr>
              <w:t>92</w:t>
            </w:r>
            <w:r w:rsidR="00466B13" w:rsidRPr="002D3411">
              <w:t> </w:t>
            </w:r>
            <w:r w:rsidRPr="00975CA4">
              <w:rPr>
                <w:rFonts w:eastAsia="Times New Roman"/>
                <w:bCs/>
              </w:rPr>
              <w:t>% (86 – 95)</w:t>
            </w:r>
          </w:p>
        </w:tc>
      </w:tr>
      <w:tr w:rsidR="005A4CE0" w:rsidRPr="00975CA4" w14:paraId="6B6A9DE8" w14:textId="77777777" w:rsidTr="005A4CE0">
        <w:trPr>
          <w:trHeight w:val="283"/>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5FF23F13" w14:textId="77777777" w:rsidR="005A4CE0" w:rsidRPr="00975CA4" w:rsidRDefault="005A4CE0">
            <w:pPr>
              <w:ind w:left="-1" w:right="-82"/>
              <w:rPr>
                <w:rFonts w:eastAsia="Times New Roman"/>
                <w:bCs/>
              </w:rPr>
            </w:pPr>
            <w:proofErr w:type="spellStart"/>
            <w:r w:rsidRPr="00975CA4">
              <w:rPr>
                <w:rFonts w:eastAsia="Times New Roman"/>
                <w:b/>
                <w:bCs/>
              </w:rPr>
              <w:t>C</w:t>
            </w:r>
            <w:r w:rsidR="00621D2E" w:rsidRPr="00975CA4">
              <w:rPr>
                <w:rFonts w:eastAsia="Times New Roman"/>
                <w:b/>
                <w:bCs/>
              </w:rPr>
              <w:t>itogeninis</w:t>
            </w:r>
            <w:proofErr w:type="spellEnd"/>
            <w:r w:rsidR="00621D2E" w:rsidRPr="00975CA4">
              <w:rPr>
                <w:rFonts w:eastAsia="Times New Roman"/>
                <w:b/>
                <w:bCs/>
              </w:rPr>
              <w:t xml:space="preserve"> </w:t>
            </w:r>
            <w:proofErr w:type="spellStart"/>
            <w:r w:rsidR="00621D2E" w:rsidRPr="00975CA4">
              <w:rPr>
                <w:rFonts w:eastAsia="Times New Roman"/>
                <w:b/>
                <w:bCs/>
              </w:rPr>
              <w:t>atsakas</w:t>
            </w:r>
            <w:r w:rsidRPr="00975CA4">
              <w:rPr>
                <w:rFonts w:eastAsia="Times New Roman"/>
                <w:b/>
                <w:bCs/>
                <w:vertAlign w:val="superscript"/>
              </w:rPr>
              <w:t>c</w:t>
            </w:r>
            <w:proofErr w:type="spellEnd"/>
            <w:r w:rsidRPr="00975CA4">
              <w:rPr>
                <w:rFonts w:eastAsia="Times New Roman"/>
                <w:b/>
                <w:bCs/>
              </w:rPr>
              <w:t xml:space="preserve"> (%) (95</w:t>
            </w:r>
            <w:r w:rsidR="00466B13" w:rsidRPr="00975CA4">
              <w:rPr>
                <w:rFonts w:eastAsia="Times New Roman"/>
                <w:b/>
                <w:bCs/>
              </w:rPr>
              <w:t> </w:t>
            </w:r>
            <w:r w:rsidRPr="00975CA4">
              <w:rPr>
                <w:rFonts w:eastAsia="Times New Roman"/>
                <w:b/>
                <w:bCs/>
              </w:rPr>
              <w:t xml:space="preserve">% </w:t>
            </w:r>
            <w:r w:rsidR="00621D2E" w:rsidRPr="00975CA4">
              <w:rPr>
                <w:rFonts w:eastAsia="Times New Roman"/>
                <w:b/>
                <w:bCs/>
              </w:rPr>
              <w:t>P</w:t>
            </w:r>
            <w:r w:rsidRPr="00975CA4">
              <w:rPr>
                <w:rFonts w:eastAsia="Times New Roman"/>
                <w:b/>
                <w:bCs/>
              </w:rPr>
              <w:t>I)</w:t>
            </w:r>
          </w:p>
        </w:tc>
      </w:tr>
      <w:tr w:rsidR="005A4CE0" w:rsidRPr="00975CA4" w14:paraId="6F599E5B"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7438BD99" w14:textId="77777777" w:rsidR="005A4CE0" w:rsidRPr="00975CA4" w:rsidRDefault="005A4CE0">
            <w:pPr>
              <w:rPr>
                <w:rFonts w:eastAsia="Times New Roman"/>
              </w:rPr>
            </w:pPr>
            <w:proofErr w:type="spellStart"/>
            <w:r w:rsidRPr="00975CA4">
              <w:rPr>
                <w:rFonts w:eastAsia="Times New Roman"/>
              </w:rPr>
              <w:t>MCyR</w:t>
            </w:r>
            <w:proofErr w:type="spellEnd"/>
          </w:p>
        </w:tc>
        <w:tc>
          <w:tcPr>
            <w:tcW w:w="3721" w:type="dxa"/>
            <w:tcBorders>
              <w:top w:val="single" w:sz="4" w:space="0" w:color="auto"/>
              <w:left w:val="single" w:sz="4" w:space="0" w:color="auto"/>
              <w:bottom w:val="single" w:sz="4" w:space="0" w:color="auto"/>
              <w:right w:val="single" w:sz="4" w:space="0" w:color="auto"/>
            </w:tcBorders>
          </w:tcPr>
          <w:p w14:paraId="3FCE7B36" w14:textId="77777777" w:rsidR="005A4CE0" w:rsidRPr="00975CA4" w:rsidRDefault="005A4CE0">
            <w:pPr>
              <w:ind w:left="-134" w:right="-82"/>
              <w:jc w:val="center"/>
              <w:rPr>
                <w:rFonts w:eastAsia="Times New Roman"/>
                <w:bCs/>
              </w:rPr>
            </w:pPr>
          </w:p>
        </w:tc>
      </w:tr>
      <w:tr w:rsidR="005A4CE0" w:rsidRPr="00975CA4" w14:paraId="6864BFF2"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5C1CFDCC" w14:textId="77777777" w:rsidR="005A4CE0" w:rsidRPr="00975CA4" w:rsidRDefault="00621D2E">
            <w:pPr>
              <w:ind w:left="141"/>
              <w:rPr>
                <w:rFonts w:eastAsia="Times New Roman"/>
                <w:bCs/>
              </w:rPr>
            </w:pPr>
            <w:r w:rsidRPr="00975CA4">
              <w:rPr>
                <w:rFonts w:eastAsia="Times New Roman"/>
              </w:rPr>
              <w:t>Visi pacientai</w:t>
            </w:r>
          </w:p>
        </w:tc>
        <w:tc>
          <w:tcPr>
            <w:tcW w:w="3721" w:type="dxa"/>
            <w:tcBorders>
              <w:top w:val="single" w:sz="4" w:space="0" w:color="auto"/>
              <w:left w:val="single" w:sz="4" w:space="0" w:color="auto"/>
              <w:bottom w:val="single" w:sz="4" w:space="0" w:color="auto"/>
              <w:right w:val="single" w:sz="4" w:space="0" w:color="auto"/>
            </w:tcBorders>
            <w:hideMark/>
          </w:tcPr>
          <w:p w14:paraId="5F4154F2" w14:textId="77777777" w:rsidR="005A4CE0" w:rsidRPr="00975CA4" w:rsidRDefault="005A4CE0">
            <w:pPr>
              <w:ind w:left="-134" w:right="-82"/>
              <w:jc w:val="center"/>
              <w:rPr>
                <w:rFonts w:eastAsia="Times New Roman"/>
                <w:bCs/>
              </w:rPr>
            </w:pPr>
            <w:r w:rsidRPr="00975CA4">
              <w:rPr>
                <w:rFonts w:eastAsia="Times New Roman"/>
                <w:bCs/>
              </w:rPr>
              <w:t>63</w:t>
            </w:r>
            <w:r w:rsidR="00466B13" w:rsidRPr="00975CA4">
              <w:rPr>
                <w:rFonts w:eastAsia="Times New Roman"/>
                <w:bCs/>
              </w:rPr>
              <w:t> </w:t>
            </w:r>
            <w:r w:rsidRPr="00975CA4">
              <w:rPr>
                <w:rFonts w:eastAsia="Times New Roman"/>
                <w:bCs/>
              </w:rPr>
              <w:t>% (56 – 71)</w:t>
            </w:r>
          </w:p>
        </w:tc>
      </w:tr>
      <w:tr w:rsidR="005A4CE0" w:rsidRPr="00975CA4" w14:paraId="0DB86E17"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7C24A6AA" w14:textId="77777777" w:rsidR="005A4CE0" w:rsidRPr="00975CA4" w:rsidRDefault="005A4CE0">
            <w:pPr>
              <w:ind w:left="141"/>
              <w:rPr>
                <w:rFonts w:eastAsia="Times New Roman"/>
                <w:bCs/>
              </w:rPr>
            </w:pPr>
            <w:proofErr w:type="spellStart"/>
            <w:r w:rsidRPr="00975CA4">
              <w:rPr>
                <w:rFonts w:eastAsia="Times New Roman"/>
              </w:rPr>
              <w:t>Imatinib</w:t>
            </w:r>
            <w:r w:rsidR="00621D2E" w:rsidRPr="00975CA4">
              <w:rPr>
                <w:rFonts w:eastAsia="Times New Roman"/>
              </w:rPr>
              <w:t>ui</w:t>
            </w:r>
            <w:proofErr w:type="spellEnd"/>
            <w:r w:rsidR="00621D2E" w:rsidRPr="00975CA4">
              <w:rPr>
                <w:rFonts w:eastAsia="Times New Roman"/>
              </w:rPr>
              <w:t xml:space="preserve"> atsparūs pacientai</w:t>
            </w:r>
          </w:p>
        </w:tc>
        <w:tc>
          <w:tcPr>
            <w:tcW w:w="3721" w:type="dxa"/>
            <w:tcBorders>
              <w:top w:val="single" w:sz="4" w:space="0" w:color="auto"/>
              <w:left w:val="single" w:sz="4" w:space="0" w:color="auto"/>
              <w:bottom w:val="single" w:sz="4" w:space="0" w:color="auto"/>
              <w:right w:val="single" w:sz="4" w:space="0" w:color="auto"/>
            </w:tcBorders>
            <w:hideMark/>
          </w:tcPr>
          <w:p w14:paraId="251ABC59" w14:textId="77777777" w:rsidR="005A4CE0" w:rsidRPr="00975CA4" w:rsidRDefault="005A4CE0">
            <w:pPr>
              <w:ind w:left="-134" w:right="-82"/>
              <w:jc w:val="center"/>
              <w:rPr>
                <w:rFonts w:eastAsia="Times New Roman"/>
                <w:bCs/>
              </w:rPr>
            </w:pPr>
            <w:r w:rsidRPr="00975CA4">
              <w:rPr>
                <w:rFonts w:eastAsia="Times New Roman"/>
                <w:bCs/>
              </w:rPr>
              <w:t>59</w:t>
            </w:r>
            <w:r w:rsidR="00466B13" w:rsidRPr="00975CA4">
              <w:rPr>
                <w:rFonts w:eastAsia="Times New Roman"/>
                <w:bCs/>
              </w:rPr>
              <w:t> </w:t>
            </w:r>
            <w:r w:rsidRPr="00975CA4">
              <w:rPr>
                <w:rFonts w:eastAsia="Times New Roman"/>
                <w:bCs/>
              </w:rPr>
              <w:t>% (50 – 68)</w:t>
            </w:r>
          </w:p>
        </w:tc>
      </w:tr>
      <w:tr w:rsidR="005A4CE0" w:rsidRPr="00975CA4" w14:paraId="3803226A"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77640DF7" w14:textId="77777777" w:rsidR="005A4CE0" w:rsidRPr="00975CA4" w:rsidRDefault="005A4CE0">
            <w:pPr>
              <w:rPr>
                <w:rFonts w:eastAsia="Times New Roman"/>
              </w:rPr>
            </w:pPr>
            <w:proofErr w:type="spellStart"/>
            <w:r w:rsidRPr="00975CA4">
              <w:rPr>
                <w:rFonts w:eastAsia="Times New Roman"/>
              </w:rPr>
              <w:t>CCyR</w:t>
            </w:r>
            <w:proofErr w:type="spellEnd"/>
          </w:p>
        </w:tc>
        <w:tc>
          <w:tcPr>
            <w:tcW w:w="3721" w:type="dxa"/>
            <w:tcBorders>
              <w:top w:val="single" w:sz="4" w:space="0" w:color="auto"/>
              <w:left w:val="single" w:sz="4" w:space="0" w:color="auto"/>
              <w:bottom w:val="single" w:sz="4" w:space="0" w:color="auto"/>
              <w:right w:val="single" w:sz="4" w:space="0" w:color="auto"/>
            </w:tcBorders>
          </w:tcPr>
          <w:p w14:paraId="5478C3FA" w14:textId="77777777" w:rsidR="005A4CE0" w:rsidRPr="00975CA4" w:rsidRDefault="005A4CE0">
            <w:pPr>
              <w:ind w:left="-134" w:right="-82"/>
              <w:jc w:val="center"/>
              <w:rPr>
                <w:rFonts w:eastAsia="Times New Roman"/>
                <w:bCs/>
              </w:rPr>
            </w:pPr>
          </w:p>
        </w:tc>
      </w:tr>
      <w:tr w:rsidR="005A4CE0" w:rsidRPr="00975CA4" w14:paraId="1AA61BC9"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6B4C191E" w14:textId="77777777" w:rsidR="005A4CE0" w:rsidRPr="00975CA4" w:rsidRDefault="00621D2E">
            <w:pPr>
              <w:ind w:left="141"/>
              <w:rPr>
                <w:rFonts w:eastAsia="Times New Roman"/>
                <w:bCs/>
              </w:rPr>
            </w:pPr>
            <w:r w:rsidRPr="00975CA4">
              <w:rPr>
                <w:rFonts w:eastAsia="Times New Roman"/>
              </w:rPr>
              <w:t>Visi pacientai</w:t>
            </w:r>
          </w:p>
        </w:tc>
        <w:tc>
          <w:tcPr>
            <w:tcW w:w="3721" w:type="dxa"/>
            <w:tcBorders>
              <w:top w:val="single" w:sz="4" w:space="0" w:color="auto"/>
              <w:left w:val="single" w:sz="4" w:space="0" w:color="auto"/>
              <w:bottom w:val="single" w:sz="4" w:space="0" w:color="auto"/>
              <w:right w:val="single" w:sz="4" w:space="0" w:color="auto"/>
            </w:tcBorders>
            <w:hideMark/>
          </w:tcPr>
          <w:p w14:paraId="616C8138" w14:textId="77777777" w:rsidR="005A4CE0" w:rsidRPr="00975CA4" w:rsidRDefault="005A4CE0">
            <w:pPr>
              <w:ind w:left="-134" w:right="-82"/>
              <w:jc w:val="center"/>
              <w:rPr>
                <w:rFonts w:eastAsia="Times New Roman"/>
                <w:bCs/>
              </w:rPr>
            </w:pPr>
            <w:r w:rsidRPr="00975CA4">
              <w:rPr>
                <w:rFonts w:eastAsia="Times New Roman"/>
                <w:bCs/>
              </w:rPr>
              <w:t>50</w:t>
            </w:r>
            <w:r w:rsidR="00466B13" w:rsidRPr="00975CA4">
              <w:rPr>
                <w:rFonts w:eastAsia="Times New Roman"/>
                <w:bCs/>
              </w:rPr>
              <w:t> </w:t>
            </w:r>
            <w:r w:rsidRPr="00975CA4">
              <w:rPr>
                <w:rFonts w:eastAsia="Times New Roman"/>
                <w:bCs/>
              </w:rPr>
              <w:t>% (42 – 58)</w:t>
            </w:r>
          </w:p>
        </w:tc>
      </w:tr>
      <w:tr w:rsidR="00621D2E" w:rsidRPr="00975CA4" w14:paraId="56C7FD37"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7184AAB5" w14:textId="77777777" w:rsidR="00621D2E" w:rsidRPr="00975CA4" w:rsidRDefault="00621D2E" w:rsidP="00621D2E">
            <w:pPr>
              <w:ind w:left="141"/>
              <w:rPr>
                <w:rFonts w:eastAsia="Times New Roman"/>
                <w:bCs/>
              </w:rPr>
            </w:pPr>
            <w:proofErr w:type="spellStart"/>
            <w:r w:rsidRPr="00975CA4">
              <w:rPr>
                <w:rFonts w:eastAsia="Times New Roman"/>
              </w:rPr>
              <w:t>Imatinibui</w:t>
            </w:r>
            <w:proofErr w:type="spellEnd"/>
            <w:r w:rsidRPr="00975CA4">
              <w:rPr>
                <w:rFonts w:eastAsia="Times New Roman"/>
              </w:rPr>
              <w:t xml:space="preserve"> atsparūs pacientai</w:t>
            </w:r>
          </w:p>
        </w:tc>
        <w:tc>
          <w:tcPr>
            <w:tcW w:w="3721" w:type="dxa"/>
            <w:tcBorders>
              <w:top w:val="single" w:sz="4" w:space="0" w:color="auto"/>
              <w:left w:val="single" w:sz="4" w:space="0" w:color="auto"/>
              <w:bottom w:val="single" w:sz="4" w:space="0" w:color="auto"/>
              <w:right w:val="single" w:sz="4" w:space="0" w:color="auto"/>
            </w:tcBorders>
            <w:hideMark/>
          </w:tcPr>
          <w:p w14:paraId="0995E6E8" w14:textId="77777777" w:rsidR="00621D2E" w:rsidRPr="00975CA4" w:rsidRDefault="00621D2E" w:rsidP="00621D2E">
            <w:pPr>
              <w:ind w:left="-134" w:right="-82"/>
              <w:jc w:val="center"/>
              <w:rPr>
                <w:rFonts w:eastAsia="Times New Roman"/>
                <w:bCs/>
              </w:rPr>
            </w:pPr>
            <w:r w:rsidRPr="00975CA4">
              <w:rPr>
                <w:rFonts w:eastAsia="Times New Roman"/>
                <w:bCs/>
              </w:rPr>
              <w:t>44</w:t>
            </w:r>
            <w:r w:rsidR="00466B13" w:rsidRPr="00975CA4">
              <w:rPr>
                <w:rFonts w:eastAsia="Times New Roman"/>
                <w:bCs/>
              </w:rPr>
              <w:t> </w:t>
            </w:r>
            <w:r w:rsidRPr="00975CA4">
              <w:rPr>
                <w:rFonts w:eastAsia="Times New Roman"/>
                <w:bCs/>
              </w:rPr>
              <w:t>% (35 – 53)</w:t>
            </w:r>
          </w:p>
        </w:tc>
      </w:tr>
      <w:tr w:rsidR="005A4CE0" w:rsidRPr="00975CA4" w14:paraId="1F8424A9" w14:textId="77777777" w:rsidTr="005A4CE0">
        <w:trPr>
          <w:trHeight w:val="283"/>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514A03E4" w14:textId="77777777" w:rsidR="005A4CE0" w:rsidRPr="00975CA4" w:rsidRDefault="00621D2E">
            <w:pPr>
              <w:ind w:left="-1" w:right="-82"/>
              <w:rPr>
                <w:rFonts w:eastAsia="Times New Roman"/>
                <w:bCs/>
              </w:rPr>
            </w:pPr>
            <w:r w:rsidRPr="00975CA4">
              <w:rPr>
                <w:rFonts w:eastAsia="Times New Roman"/>
                <w:b/>
                <w:bCs/>
              </w:rPr>
              <w:t>Didysis molekulinis atsakas pacientams, pasiekusiems</w:t>
            </w:r>
            <w:r w:rsidR="005A4CE0" w:rsidRPr="00975CA4">
              <w:rPr>
                <w:rFonts w:eastAsia="Times New Roman"/>
                <w:b/>
                <w:bCs/>
              </w:rPr>
              <w:t xml:space="preserve"> </w:t>
            </w:r>
            <w:proofErr w:type="spellStart"/>
            <w:r w:rsidR="005A4CE0" w:rsidRPr="00975CA4">
              <w:rPr>
                <w:rFonts w:eastAsia="Times New Roman"/>
                <w:b/>
                <w:bCs/>
              </w:rPr>
              <w:t>CCyRd</w:t>
            </w:r>
            <w:proofErr w:type="spellEnd"/>
            <w:r w:rsidR="005A4CE0" w:rsidRPr="00975CA4">
              <w:rPr>
                <w:rFonts w:eastAsia="Times New Roman"/>
                <w:b/>
                <w:bCs/>
              </w:rPr>
              <w:t xml:space="preserve"> (%) (95</w:t>
            </w:r>
            <w:r w:rsidR="00466B13" w:rsidRPr="00975CA4">
              <w:rPr>
                <w:rFonts w:eastAsia="Times New Roman"/>
                <w:b/>
                <w:bCs/>
              </w:rPr>
              <w:t> </w:t>
            </w:r>
            <w:r w:rsidR="005A4CE0" w:rsidRPr="00975CA4">
              <w:rPr>
                <w:rFonts w:eastAsia="Times New Roman"/>
                <w:b/>
                <w:bCs/>
              </w:rPr>
              <w:t xml:space="preserve">% </w:t>
            </w:r>
            <w:r w:rsidRPr="00975CA4">
              <w:rPr>
                <w:rFonts w:eastAsia="Times New Roman"/>
                <w:b/>
                <w:bCs/>
              </w:rPr>
              <w:t>P</w:t>
            </w:r>
            <w:r w:rsidR="005A4CE0" w:rsidRPr="00975CA4">
              <w:rPr>
                <w:rFonts w:eastAsia="Times New Roman"/>
                <w:b/>
                <w:bCs/>
              </w:rPr>
              <w:t>I)</w:t>
            </w:r>
          </w:p>
        </w:tc>
      </w:tr>
      <w:tr w:rsidR="005A4CE0" w:rsidRPr="00975CA4" w14:paraId="0715F647"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2B7F3147" w14:textId="77777777" w:rsidR="005A4CE0" w:rsidRPr="00975CA4" w:rsidRDefault="00621D2E">
            <w:pPr>
              <w:rPr>
                <w:rFonts w:eastAsia="Times New Roman"/>
                <w:bCs/>
              </w:rPr>
            </w:pPr>
            <w:r w:rsidRPr="00975CA4">
              <w:rPr>
                <w:rFonts w:eastAsia="Times New Roman"/>
              </w:rPr>
              <w:t>Visi pacientai</w:t>
            </w:r>
          </w:p>
        </w:tc>
        <w:tc>
          <w:tcPr>
            <w:tcW w:w="3721" w:type="dxa"/>
            <w:tcBorders>
              <w:top w:val="single" w:sz="4" w:space="0" w:color="auto"/>
              <w:left w:val="single" w:sz="4" w:space="0" w:color="auto"/>
              <w:bottom w:val="single" w:sz="4" w:space="0" w:color="auto"/>
              <w:right w:val="single" w:sz="4" w:space="0" w:color="auto"/>
            </w:tcBorders>
            <w:hideMark/>
          </w:tcPr>
          <w:p w14:paraId="49922804" w14:textId="77777777" w:rsidR="005A4CE0" w:rsidRPr="00975CA4" w:rsidRDefault="005A4CE0">
            <w:pPr>
              <w:ind w:left="-134" w:right="-82"/>
              <w:jc w:val="center"/>
              <w:rPr>
                <w:rFonts w:eastAsia="Times New Roman"/>
                <w:bCs/>
              </w:rPr>
            </w:pPr>
            <w:r w:rsidRPr="00975CA4">
              <w:rPr>
                <w:rFonts w:eastAsia="Times New Roman"/>
                <w:bCs/>
              </w:rPr>
              <w:t>69</w:t>
            </w:r>
            <w:r w:rsidR="00466B13" w:rsidRPr="00975CA4">
              <w:rPr>
                <w:rFonts w:eastAsia="Times New Roman"/>
                <w:bCs/>
              </w:rPr>
              <w:t> </w:t>
            </w:r>
            <w:r w:rsidRPr="00975CA4">
              <w:rPr>
                <w:rFonts w:eastAsia="Times New Roman"/>
                <w:bCs/>
              </w:rPr>
              <w:t>% (58 – 79)</w:t>
            </w:r>
          </w:p>
        </w:tc>
      </w:tr>
      <w:tr w:rsidR="00621D2E" w:rsidRPr="00975CA4" w14:paraId="6BC5BEA1" w14:textId="77777777" w:rsidTr="005A4CE0">
        <w:trPr>
          <w:trHeight w:val="283"/>
          <w:jc w:val="center"/>
        </w:trPr>
        <w:tc>
          <w:tcPr>
            <w:tcW w:w="4354" w:type="dxa"/>
            <w:tcBorders>
              <w:top w:val="single" w:sz="4" w:space="0" w:color="auto"/>
              <w:left w:val="single" w:sz="4" w:space="0" w:color="auto"/>
              <w:bottom w:val="single" w:sz="4" w:space="0" w:color="auto"/>
              <w:right w:val="single" w:sz="4" w:space="0" w:color="auto"/>
            </w:tcBorders>
            <w:hideMark/>
          </w:tcPr>
          <w:p w14:paraId="7095A695" w14:textId="77777777" w:rsidR="00621D2E" w:rsidRPr="00975CA4" w:rsidRDefault="00621D2E" w:rsidP="00621D2E">
            <w:pPr>
              <w:rPr>
                <w:rFonts w:eastAsia="Times New Roman"/>
              </w:rPr>
            </w:pPr>
            <w:proofErr w:type="spellStart"/>
            <w:r w:rsidRPr="00975CA4">
              <w:rPr>
                <w:rFonts w:eastAsia="Times New Roman"/>
              </w:rPr>
              <w:t>Imatinibui</w:t>
            </w:r>
            <w:proofErr w:type="spellEnd"/>
            <w:r w:rsidRPr="00975CA4">
              <w:rPr>
                <w:rFonts w:eastAsia="Times New Roman"/>
              </w:rPr>
              <w:t xml:space="preserve"> atsparūs pacientai</w:t>
            </w:r>
          </w:p>
        </w:tc>
        <w:tc>
          <w:tcPr>
            <w:tcW w:w="3721" w:type="dxa"/>
            <w:tcBorders>
              <w:top w:val="single" w:sz="4" w:space="0" w:color="auto"/>
              <w:left w:val="single" w:sz="4" w:space="0" w:color="auto"/>
              <w:bottom w:val="single" w:sz="4" w:space="0" w:color="auto"/>
              <w:right w:val="single" w:sz="4" w:space="0" w:color="auto"/>
            </w:tcBorders>
            <w:hideMark/>
          </w:tcPr>
          <w:p w14:paraId="38248316" w14:textId="77777777" w:rsidR="00621D2E" w:rsidRPr="00975CA4" w:rsidRDefault="00621D2E" w:rsidP="00621D2E">
            <w:pPr>
              <w:ind w:left="-134" w:right="-82"/>
              <w:jc w:val="center"/>
              <w:rPr>
                <w:rFonts w:eastAsia="Times New Roman"/>
                <w:bCs/>
              </w:rPr>
            </w:pPr>
            <w:r w:rsidRPr="00975CA4">
              <w:rPr>
                <w:rFonts w:eastAsia="Times New Roman"/>
                <w:bCs/>
              </w:rPr>
              <w:t>72</w:t>
            </w:r>
            <w:r w:rsidR="00466B13" w:rsidRPr="00975CA4">
              <w:rPr>
                <w:rFonts w:eastAsia="Times New Roman"/>
                <w:bCs/>
              </w:rPr>
              <w:t> </w:t>
            </w:r>
            <w:r w:rsidRPr="00975CA4">
              <w:rPr>
                <w:rFonts w:eastAsia="Times New Roman"/>
                <w:bCs/>
              </w:rPr>
              <w:t>% (58 – 83)</w:t>
            </w:r>
          </w:p>
        </w:tc>
      </w:tr>
    </w:tbl>
    <w:p w14:paraId="1C2F05F3" w14:textId="1DB3BEAC"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vertAlign w:val="superscript"/>
          <w:lang w:eastAsia="ar-SA"/>
        </w:rPr>
      </w:pPr>
      <w:r w:rsidRPr="00975CA4">
        <w:rPr>
          <w:rFonts w:ascii="Times New Roman" w:eastAsia="SimSun" w:hAnsi="Times New Roman" w:cs="Times New Roman"/>
          <w:iCs/>
          <w:color w:val="000000"/>
          <w:vertAlign w:val="superscript"/>
          <w:lang w:eastAsia="ar-SA"/>
        </w:rPr>
        <w:t>a</w:t>
      </w:r>
      <w:r w:rsidRPr="00975CA4">
        <w:rPr>
          <w:rFonts w:ascii="Times New Roman" w:eastAsia="SimSun" w:hAnsi="Times New Roman" w:cs="Times New Roman"/>
          <w:iCs/>
          <w:color w:val="000000"/>
          <w:lang w:eastAsia="ar-SA"/>
        </w:rPr>
        <w:t xml:space="preserve"> Duomenys gauti vartojant rekomenduojam</w:t>
      </w:r>
      <w:r w:rsidRPr="00975CA4">
        <w:rPr>
          <w:rFonts w:ascii="Times New Roman" w:eastAsia="MS Mincho" w:hAnsi="Times New Roman" w:cs="Times New Roman"/>
          <w:iCs/>
          <w:color w:val="000000"/>
          <w:lang w:eastAsia="ar-SA"/>
        </w:rPr>
        <w:t>ą</w:t>
      </w:r>
      <w:r w:rsidRPr="00975CA4">
        <w:rPr>
          <w:rFonts w:ascii="Times New Roman" w:eastAsia="SimSun" w:hAnsi="Times New Roman" w:cs="Times New Roman"/>
          <w:iCs/>
          <w:color w:val="000000"/>
          <w:lang w:eastAsia="ar-SA"/>
        </w:rPr>
        <w:t xml:space="preserve"> pradin</w:t>
      </w:r>
      <w:r w:rsidRPr="00975CA4">
        <w:rPr>
          <w:rFonts w:ascii="Times New Roman" w:eastAsia="MS Mincho" w:hAnsi="Times New Roman" w:cs="Times New Roman"/>
          <w:iCs/>
          <w:color w:val="000000"/>
          <w:lang w:eastAsia="ar-SA"/>
        </w:rPr>
        <w:t>ę</w:t>
      </w:r>
      <w:r w:rsidRPr="00975CA4">
        <w:rPr>
          <w:rFonts w:ascii="Times New Roman" w:eastAsia="SimSun" w:hAnsi="Times New Roman" w:cs="Times New Roman"/>
          <w:iCs/>
          <w:color w:val="000000"/>
          <w:lang w:eastAsia="ar-SA"/>
        </w:rPr>
        <w:t xml:space="preserve"> 100</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 kart</w:t>
      </w:r>
      <w:r w:rsidRPr="00975CA4">
        <w:rPr>
          <w:rFonts w:ascii="Times New Roman" w:eastAsia="MS Mincho" w:hAnsi="Times New Roman" w:cs="Times New Roman"/>
          <w:iCs/>
          <w:color w:val="000000"/>
          <w:lang w:eastAsia="ar-SA"/>
        </w:rPr>
        <w:t>ą</w:t>
      </w:r>
      <w:r w:rsidRPr="00975CA4">
        <w:rPr>
          <w:rFonts w:ascii="Times New Roman" w:eastAsia="SimSun" w:hAnsi="Times New Roman" w:cs="Times New Roman"/>
          <w:iCs/>
          <w:color w:val="000000"/>
          <w:lang w:eastAsia="ar-SA"/>
        </w:rPr>
        <w:t xml:space="preserve"> per par</w:t>
      </w:r>
      <w:r w:rsidRPr="00975CA4">
        <w:rPr>
          <w:rFonts w:ascii="Times New Roman" w:eastAsia="MS Mincho" w:hAnsi="Times New Roman" w:cs="Times New Roman"/>
          <w:iCs/>
          <w:color w:val="000000"/>
          <w:lang w:eastAsia="ar-SA"/>
        </w:rPr>
        <w:t>ą</w:t>
      </w:r>
      <w:r w:rsidRPr="00975CA4">
        <w:rPr>
          <w:rFonts w:ascii="Times New Roman" w:eastAsia="SimSun" w:hAnsi="Times New Roman" w:cs="Times New Roman"/>
          <w:iCs/>
          <w:color w:val="000000"/>
          <w:lang w:eastAsia="ar-SA"/>
        </w:rPr>
        <w:t xml:space="preserve"> doz</w:t>
      </w:r>
      <w:r w:rsidRPr="00975CA4">
        <w:rPr>
          <w:rFonts w:ascii="Times New Roman" w:eastAsia="MS Mincho" w:hAnsi="Times New Roman" w:cs="Times New Roman"/>
          <w:iCs/>
          <w:color w:val="000000"/>
          <w:lang w:eastAsia="ar-SA"/>
        </w:rPr>
        <w:t>ę</w:t>
      </w:r>
      <w:r w:rsidRPr="00975CA4">
        <w:rPr>
          <w:rFonts w:ascii="Times New Roman" w:eastAsia="SimSun" w:hAnsi="Times New Roman" w:cs="Times New Roman"/>
          <w:iCs/>
          <w:color w:val="000000"/>
          <w:lang w:eastAsia="ar-SA"/>
        </w:rPr>
        <w:t>.</w:t>
      </w:r>
    </w:p>
    <w:p w14:paraId="5303FEA3" w14:textId="0769DFE1" w:rsidR="00621D2E" w:rsidRPr="00975CA4" w:rsidRDefault="00621D2E" w:rsidP="00621D2E">
      <w:pPr>
        <w:widowControl w:val="0"/>
        <w:tabs>
          <w:tab w:val="left" w:pos="567"/>
        </w:tabs>
        <w:suppressAutoHyphens/>
        <w:spacing w:after="0" w:line="240" w:lineRule="auto"/>
        <w:ind w:left="142" w:hanging="142"/>
        <w:rPr>
          <w:rFonts w:ascii="Times New Roman" w:eastAsia="SimSun" w:hAnsi="Times New Roman" w:cs="Times New Roman"/>
          <w:iCs/>
          <w:color w:val="000000"/>
          <w:vertAlign w:val="superscript"/>
          <w:lang w:eastAsia="ar-SA"/>
        </w:rPr>
      </w:pPr>
      <w:r w:rsidRPr="00975CA4">
        <w:rPr>
          <w:rFonts w:ascii="Times New Roman" w:eastAsia="SimSun" w:hAnsi="Times New Roman" w:cs="Times New Roman"/>
          <w:iCs/>
          <w:color w:val="000000"/>
          <w:vertAlign w:val="superscript"/>
          <w:lang w:eastAsia="ar-SA"/>
        </w:rPr>
        <w:lastRenderedPageBreak/>
        <w:t>b</w:t>
      </w:r>
      <w:r w:rsidRPr="00975CA4">
        <w:rPr>
          <w:rFonts w:ascii="Times New Roman" w:eastAsia="SimSun" w:hAnsi="Times New Roman" w:cs="Times New Roman"/>
          <w:iCs/>
          <w:color w:val="000000"/>
          <w:lang w:eastAsia="ar-SA"/>
        </w:rPr>
        <w:t xml:space="preserve"> Hematologinio atsako kriterijai (visi atsakai patvirtinti po 4 savaiči</w:t>
      </w:r>
      <w:r w:rsidRPr="00975CA4">
        <w:rPr>
          <w:rFonts w:ascii="Times New Roman" w:eastAsia="MS Mincho" w:hAnsi="Times New Roman" w:cs="Times New Roman"/>
          <w:iCs/>
          <w:color w:val="000000"/>
          <w:lang w:eastAsia="ar-SA"/>
        </w:rPr>
        <w:t>ų</w:t>
      </w:r>
      <w:r w:rsidRPr="00975CA4">
        <w:rPr>
          <w:rFonts w:ascii="Times New Roman" w:eastAsia="SimSun" w:hAnsi="Times New Roman" w:cs="Times New Roman"/>
          <w:iCs/>
          <w:color w:val="000000"/>
          <w:lang w:eastAsia="ar-SA"/>
        </w:rPr>
        <w:t>) – visiškas hematologinis atsakas (CHR) sergant LML: leukocit</w:t>
      </w:r>
      <w:r w:rsidRPr="00975CA4">
        <w:rPr>
          <w:rFonts w:ascii="Times New Roman" w:eastAsia="MS Mincho" w:hAnsi="Times New Roman" w:cs="Times New Roman"/>
          <w:iCs/>
          <w:color w:val="000000"/>
          <w:lang w:eastAsia="ar-SA"/>
        </w:rPr>
        <w:t>ų</w:t>
      </w:r>
      <w:r w:rsidRPr="00975CA4">
        <w:rPr>
          <w:rFonts w:ascii="Times New Roman" w:eastAsia="SimSun" w:hAnsi="Times New Roman" w:cs="Times New Roman"/>
          <w:iCs/>
          <w:color w:val="000000"/>
          <w:lang w:eastAsia="ar-SA"/>
        </w:rPr>
        <w:t xml:space="preserve"> ≤</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nustatyta VNR, trombocit</w:t>
      </w:r>
      <w:r w:rsidRPr="00975CA4">
        <w:rPr>
          <w:rFonts w:ascii="Times New Roman" w:eastAsia="MS Mincho" w:hAnsi="Times New Roman" w:cs="Times New Roman"/>
          <w:iCs/>
          <w:color w:val="000000"/>
          <w:lang w:eastAsia="ar-SA"/>
        </w:rPr>
        <w:t>ų</w:t>
      </w:r>
      <w:r w:rsidRPr="00975CA4">
        <w:rPr>
          <w:rFonts w:ascii="Times New Roman" w:eastAsia="SimSun" w:hAnsi="Times New Roman" w:cs="Times New Roman"/>
          <w:iCs/>
          <w:color w:val="000000"/>
          <w:lang w:eastAsia="ar-SA"/>
        </w:rPr>
        <w:t xml:space="preserve"> &lt;</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450000/mm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periferiniame kraujyje n</w:t>
      </w:r>
      <w:r w:rsidRPr="00975CA4">
        <w:rPr>
          <w:rFonts w:ascii="Times New Roman" w:eastAsia="MS Mincho" w:hAnsi="Times New Roman" w:cs="Times New Roman"/>
          <w:iCs/>
          <w:color w:val="000000"/>
          <w:lang w:eastAsia="ar-SA"/>
        </w:rPr>
        <w:t>ė</w:t>
      </w:r>
      <w:r w:rsidRPr="00975CA4">
        <w:rPr>
          <w:rFonts w:ascii="Times New Roman" w:eastAsia="SimSun" w:hAnsi="Times New Roman" w:cs="Times New Roman"/>
          <w:iCs/>
          <w:color w:val="000000"/>
          <w:lang w:eastAsia="ar-SA"/>
        </w:rPr>
        <w:t xml:space="preserve">ra </w:t>
      </w:r>
      <w:proofErr w:type="spellStart"/>
      <w:r w:rsidRPr="00975CA4">
        <w:rPr>
          <w:rFonts w:ascii="Times New Roman" w:eastAsia="SimSun" w:hAnsi="Times New Roman" w:cs="Times New Roman"/>
          <w:iCs/>
          <w:color w:val="000000"/>
          <w:lang w:eastAsia="ar-SA"/>
        </w:rPr>
        <w:t>blast</w:t>
      </w:r>
      <w:r w:rsidRPr="00975CA4">
        <w:rPr>
          <w:rFonts w:ascii="Times New Roman" w:eastAsia="MS Mincho" w:hAnsi="Times New Roman" w:cs="Times New Roman"/>
          <w:iCs/>
          <w:color w:val="000000"/>
          <w:lang w:eastAsia="ar-SA"/>
        </w:rPr>
        <w:t>ų</w:t>
      </w:r>
      <w:proofErr w:type="spellEnd"/>
      <w:r w:rsidRPr="00975CA4">
        <w:rPr>
          <w:rFonts w:ascii="Times New Roman" w:eastAsia="SimSun" w:hAnsi="Times New Roman" w:cs="Times New Roman"/>
          <w:iCs/>
          <w:color w:val="000000"/>
          <w:lang w:eastAsia="ar-SA"/>
        </w:rPr>
        <w:t xml:space="preserve"> ir </w:t>
      </w:r>
      <w:proofErr w:type="spellStart"/>
      <w:r w:rsidRPr="00975CA4">
        <w:rPr>
          <w:rFonts w:ascii="Times New Roman" w:eastAsia="SimSun" w:hAnsi="Times New Roman" w:cs="Times New Roman"/>
          <w:iCs/>
          <w:color w:val="000000"/>
          <w:lang w:eastAsia="ar-SA"/>
        </w:rPr>
        <w:t>promielocit</w:t>
      </w:r>
      <w:r w:rsidRPr="00975CA4">
        <w:rPr>
          <w:rFonts w:ascii="Times New Roman" w:eastAsia="MS Mincho" w:hAnsi="Times New Roman" w:cs="Times New Roman"/>
          <w:iCs/>
          <w:color w:val="000000"/>
          <w:lang w:eastAsia="ar-SA"/>
        </w:rPr>
        <w:t>ų</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mielocit</w:t>
      </w:r>
      <w:r w:rsidRPr="00975CA4">
        <w:rPr>
          <w:rFonts w:ascii="Times New Roman" w:eastAsia="MS Mincho" w:hAnsi="Times New Roman" w:cs="Times New Roman"/>
          <w:iCs/>
          <w:color w:val="000000"/>
          <w:lang w:eastAsia="ar-SA"/>
        </w:rPr>
        <w:t>ų</w:t>
      </w:r>
      <w:proofErr w:type="spellEnd"/>
      <w:r w:rsidRPr="00975CA4">
        <w:rPr>
          <w:rFonts w:ascii="Times New Roman" w:eastAsia="SimSun" w:hAnsi="Times New Roman" w:cs="Times New Roman"/>
          <w:iCs/>
          <w:color w:val="000000"/>
          <w:lang w:eastAsia="ar-SA"/>
        </w:rPr>
        <w:t xml:space="preserve"> ir </w:t>
      </w:r>
      <w:proofErr w:type="spellStart"/>
      <w:r w:rsidRPr="00975CA4">
        <w:rPr>
          <w:rFonts w:ascii="Times New Roman" w:eastAsia="SimSun" w:hAnsi="Times New Roman" w:cs="Times New Roman"/>
          <w:iCs/>
          <w:color w:val="000000"/>
          <w:lang w:eastAsia="ar-SA"/>
        </w:rPr>
        <w:t>metamielocit</w:t>
      </w:r>
      <w:r w:rsidRPr="00975CA4">
        <w:rPr>
          <w:rFonts w:ascii="Times New Roman" w:eastAsia="MS Mincho" w:hAnsi="Times New Roman" w:cs="Times New Roman"/>
          <w:iCs/>
          <w:color w:val="000000"/>
          <w:lang w:eastAsia="ar-SA"/>
        </w:rPr>
        <w:t>ų</w:t>
      </w:r>
      <w:proofErr w:type="spellEnd"/>
      <w:r w:rsidRPr="00975CA4">
        <w:rPr>
          <w:rFonts w:ascii="Times New Roman" w:eastAsia="SimSun" w:hAnsi="Times New Roman" w:cs="Times New Roman"/>
          <w:iCs/>
          <w:color w:val="000000"/>
          <w:lang w:eastAsia="ar-SA"/>
        </w:rPr>
        <w:t xml:space="preserve"> suma periferiniame kraujyje &lt;</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5</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bazofil</w:t>
      </w:r>
      <w:r w:rsidRPr="00975CA4">
        <w:rPr>
          <w:rFonts w:ascii="Times New Roman" w:eastAsia="MS Mincho" w:hAnsi="Times New Roman" w:cs="Times New Roman"/>
          <w:iCs/>
          <w:color w:val="000000"/>
          <w:lang w:eastAsia="ar-SA"/>
        </w:rPr>
        <w:t>ų</w:t>
      </w:r>
      <w:proofErr w:type="spellEnd"/>
      <w:r w:rsidRPr="00975CA4">
        <w:rPr>
          <w:rFonts w:ascii="Times New Roman" w:eastAsia="SimSun" w:hAnsi="Times New Roman" w:cs="Times New Roman"/>
          <w:iCs/>
          <w:color w:val="000000"/>
          <w:lang w:eastAsia="ar-SA"/>
        </w:rPr>
        <w:t xml:space="preserve"> periferiniame kraujyje &lt;</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20</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ir n</w:t>
      </w:r>
      <w:r w:rsidRPr="00975CA4">
        <w:rPr>
          <w:rFonts w:ascii="Times New Roman" w:eastAsia="MS Mincho" w:hAnsi="Times New Roman" w:cs="Times New Roman"/>
          <w:iCs/>
          <w:color w:val="000000"/>
          <w:lang w:eastAsia="ar-SA"/>
        </w:rPr>
        <w:t>ė</w:t>
      </w:r>
      <w:r w:rsidRPr="00975CA4">
        <w:rPr>
          <w:rFonts w:ascii="Times New Roman" w:eastAsia="SimSun" w:hAnsi="Times New Roman" w:cs="Times New Roman"/>
          <w:iCs/>
          <w:color w:val="000000"/>
          <w:lang w:eastAsia="ar-SA"/>
        </w:rPr>
        <w:t xml:space="preserve">ra </w:t>
      </w:r>
      <w:proofErr w:type="spellStart"/>
      <w:r w:rsidRPr="00975CA4">
        <w:rPr>
          <w:rFonts w:ascii="Times New Roman" w:eastAsia="SimSun" w:hAnsi="Times New Roman" w:cs="Times New Roman"/>
          <w:iCs/>
          <w:color w:val="000000"/>
          <w:lang w:eastAsia="ar-SA"/>
        </w:rPr>
        <w:t>ekstramedulini</w:t>
      </w:r>
      <w:r w:rsidRPr="00975CA4">
        <w:rPr>
          <w:rFonts w:ascii="Times New Roman" w:eastAsia="MS Mincho" w:hAnsi="Times New Roman" w:cs="Times New Roman"/>
          <w:iCs/>
          <w:color w:val="000000"/>
          <w:lang w:eastAsia="ar-SA"/>
        </w:rPr>
        <w:t>ų</w:t>
      </w:r>
      <w:proofErr w:type="spellEnd"/>
      <w:r w:rsidRPr="00975CA4">
        <w:rPr>
          <w:rFonts w:ascii="Times New Roman" w:eastAsia="SimSun" w:hAnsi="Times New Roman" w:cs="Times New Roman"/>
          <w:iCs/>
          <w:color w:val="000000"/>
          <w:lang w:eastAsia="ar-SA"/>
        </w:rPr>
        <w:t xml:space="preserve"> </w:t>
      </w:r>
      <w:r w:rsidRPr="00975CA4">
        <w:rPr>
          <w:rFonts w:ascii="Times New Roman" w:eastAsia="MS Mincho" w:hAnsi="Times New Roman" w:cs="Times New Roman"/>
          <w:iCs/>
          <w:color w:val="000000"/>
          <w:lang w:eastAsia="ar-SA"/>
        </w:rPr>
        <w:t>ž</w:t>
      </w:r>
      <w:r w:rsidRPr="00975CA4">
        <w:rPr>
          <w:rFonts w:ascii="Times New Roman" w:eastAsia="SimSun" w:hAnsi="Times New Roman" w:cs="Times New Roman"/>
          <w:iCs/>
          <w:color w:val="000000"/>
          <w:lang w:eastAsia="ar-SA"/>
        </w:rPr>
        <w:t>idini</w:t>
      </w:r>
      <w:r w:rsidRPr="00975CA4">
        <w:rPr>
          <w:rFonts w:ascii="Times New Roman" w:eastAsia="MS Mincho" w:hAnsi="Times New Roman" w:cs="Times New Roman"/>
          <w:iCs/>
          <w:color w:val="000000"/>
          <w:lang w:eastAsia="ar-SA"/>
        </w:rPr>
        <w:t>ų</w:t>
      </w:r>
      <w:r w:rsidRPr="00975CA4">
        <w:rPr>
          <w:rFonts w:ascii="Times New Roman" w:eastAsia="SimSun" w:hAnsi="Times New Roman" w:cs="Times New Roman"/>
          <w:iCs/>
          <w:color w:val="000000"/>
          <w:lang w:eastAsia="ar-SA"/>
        </w:rPr>
        <w:t>.</w:t>
      </w:r>
    </w:p>
    <w:p w14:paraId="5B4C985E" w14:textId="7BC3F0DE" w:rsidR="00621D2E" w:rsidRPr="00975CA4" w:rsidRDefault="00621D2E" w:rsidP="00621D2E">
      <w:pPr>
        <w:widowControl w:val="0"/>
        <w:tabs>
          <w:tab w:val="left" w:pos="567"/>
        </w:tabs>
        <w:suppressAutoHyphens/>
        <w:spacing w:after="0" w:line="240" w:lineRule="auto"/>
        <w:ind w:left="142" w:hanging="142"/>
        <w:rPr>
          <w:rFonts w:ascii="Times New Roman" w:eastAsia="SimSun" w:hAnsi="Times New Roman" w:cs="Times New Roman"/>
          <w:iCs/>
          <w:color w:val="000000"/>
          <w:vertAlign w:val="superscript"/>
          <w:lang w:eastAsia="ar-SA"/>
        </w:rPr>
      </w:pPr>
      <w:r w:rsidRPr="00975CA4">
        <w:rPr>
          <w:rFonts w:ascii="Times New Roman" w:eastAsia="SimSun" w:hAnsi="Times New Roman" w:cs="Times New Roman"/>
          <w:iCs/>
          <w:color w:val="000000"/>
          <w:vertAlign w:val="superscript"/>
          <w:lang w:eastAsia="ar-SA"/>
        </w:rPr>
        <w:t>c</w:t>
      </w:r>
      <w:r w:rsidRPr="00975CA4">
        <w:rPr>
          <w:rFonts w:ascii="Times New Roman" w:eastAsia="SimSun" w:hAnsi="Times New Roman" w:cs="Times New Roman"/>
          <w:iCs/>
          <w:color w:val="000000"/>
          <w:lang w:eastAsia="ar-SA"/>
        </w:rPr>
        <w:t xml:space="preserve"> Citogenetinio atsako kriterijai: visiškas (0</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Ph</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metafazi</w:t>
      </w:r>
      <w:r w:rsidRPr="00975CA4">
        <w:rPr>
          <w:rFonts w:ascii="Times New Roman" w:eastAsia="MS Mincho" w:hAnsi="Times New Roman" w:cs="Times New Roman"/>
          <w:iCs/>
          <w:color w:val="000000"/>
          <w:lang w:eastAsia="ar-SA"/>
        </w:rPr>
        <w:t>ų</w:t>
      </w:r>
      <w:proofErr w:type="spellEnd"/>
      <w:r w:rsidRPr="00975CA4">
        <w:rPr>
          <w:rFonts w:ascii="Times New Roman" w:eastAsia="SimSun" w:hAnsi="Times New Roman" w:cs="Times New Roman"/>
          <w:iCs/>
          <w:color w:val="000000"/>
          <w:lang w:eastAsia="ar-SA"/>
        </w:rPr>
        <w:t>) arba dalinis (&gt;</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0</w:t>
      </w:r>
      <w:r w:rsidR="00466B13" w:rsidRPr="00975CA4">
        <w:rPr>
          <w:rFonts w:ascii="Times New Roman" w:eastAsia="SimSun" w:hAnsi="Times New Roman" w:cs="Times New Roman"/>
          <w:iCs/>
          <w:color w:val="000000"/>
          <w:lang w:eastAsia="ar-SA"/>
        </w:rPr>
        <w:t> </w:t>
      </w:r>
      <w:r w:rsidR="001618EA"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35</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(0-35</w:t>
      </w:r>
      <w:r w:rsidR="00466B13"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apima visišk</w:t>
      </w:r>
      <w:r w:rsidRPr="00975CA4">
        <w:rPr>
          <w:rFonts w:ascii="Times New Roman" w:eastAsia="MS Mincho" w:hAnsi="Times New Roman" w:cs="Times New Roman"/>
          <w:iCs/>
          <w:color w:val="000000"/>
          <w:lang w:eastAsia="ar-SA"/>
        </w:rPr>
        <w:t>ą</w:t>
      </w:r>
      <w:r w:rsidRPr="00975CA4">
        <w:rPr>
          <w:rFonts w:ascii="Times New Roman" w:eastAsia="SimSun" w:hAnsi="Times New Roman" w:cs="Times New Roman"/>
          <w:iCs/>
          <w:color w:val="000000"/>
          <w:lang w:eastAsia="ar-SA"/>
        </w:rPr>
        <w:t xml:space="preserve"> ir dalin</w:t>
      </w:r>
      <w:r w:rsidRPr="00975CA4">
        <w:rPr>
          <w:rFonts w:ascii="Times New Roman" w:eastAsia="MS Mincho" w:hAnsi="Times New Roman" w:cs="Times New Roman"/>
          <w:iCs/>
          <w:color w:val="000000"/>
          <w:lang w:eastAsia="ar-SA"/>
        </w:rPr>
        <w:t>į</w:t>
      </w:r>
      <w:r w:rsidRPr="00975CA4">
        <w:rPr>
          <w:rFonts w:ascii="Times New Roman" w:eastAsia="SimSun" w:hAnsi="Times New Roman" w:cs="Times New Roman"/>
          <w:iCs/>
          <w:color w:val="000000"/>
          <w:lang w:eastAsia="ar-SA"/>
        </w:rPr>
        <w:t xml:space="preserve"> atsak</w:t>
      </w:r>
      <w:r w:rsidRPr="00975CA4">
        <w:rPr>
          <w:rFonts w:ascii="Times New Roman" w:eastAsia="MS Mincho" w:hAnsi="Times New Roman" w:cs="Times New Roman"/>
          <w:iCs/>
          <w:color w:val="000000"/>
          <w:lang w:eastAsia="ar-SA"/>
        </w:rPr>
        <w:t>ą</w:t>
      </w:r>
      <w:r w:rsidRPr="00975CA4">
        <w:rPr>
          <w:rFonts w:ascii="Times New Roman" w:eastAsia="SimSun" w:hAnsi="Times New Roman" w:cs="Times New Roman"/>
          <w:iCs/>
          <w:color w:val="000000"/>
          <w:lang w:eastAsia="ar-SA"/>
        </w:rPr>
        <w:t>.</w:t>
      </w:r>
    </w:p>
    <w:p w14:paraId="247E303B" w14:textId="4E53B556" w:rsidR="00621D2E" w:rsidRPr="00975CA4" w:rsidRDefault="00621D2E" w:rsidP="00621D2E">
      <w:pPr>
        <w:widowControl w:val="0"/>
        <w:tabs>
          <w:tab w:val="left" w:pos="567"/>
        </w:tabs>
        <w:suppressAutoHyphens/>
        <w:spacing w:after="0" w:line="240" w:lineRule="auto"/>
        <w:ind w:left="142" w:hanging="142"/>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vertAlign w:val="superscript"/>
          <w:lang w:eastAsia="ar-SA"/>
        </w:rPr>
        <w:t>d</w:t>
      </w:r>
      <w:r w:rsidRPr="00975CA4">
        <w:rPr>
          <w:rFonts w:ascii="Times New Roman" w:eastAsia="SimSun" w:hAnsi="Times New Roman" w:cs="Times New Roman"/>
          <w:iCs/>
          <w:color w:val="000000"/>
          <w:lang w:eastAsia="ar-SA"/>
        </w:rPr>
        <w:t xml:space="preserve"> Did</w:t>
      </w:r>
      <w:r w:rsidRPr="00975CA4">
        <w:rPr>
          <w:rFonts w:ascii="Times New Roman" w:eastAsia="MS Mincho" w:hAnsi="Times New Roman" w:cs="Times New Roman"/>
          <w:iCs/>
          <w:color w:val="000000"/>
          <w:lang w:eastAsia="ar-SA"/>
        </w:rPr>
        <w:t>ž</w:t>
      </w:r>
      <w:r w:rsidRPr="00975CA4">
        <w:rPr>
          <w:rFonts w:ascii="Times New Roman" w:eastAsia="SimSun" w:hAnsi="Times New Roman" w:cs="Times New Roman"/>
          <w:iCs/>
          <w:color w:val="000000"/>
          <w:lang w:eastAsia="ar-SA"/>
        </w:rPr>
        <w:t>iojo molekulinio atsako kriterijai: apibr</w:t>
      </w:r>
      <w:r w:rsidRPr="00975CA4">
        <w:rPr>
          <w:rFonts w:ascii="Times New Roman" w:eastAsia="MS Mincho" w:hAnsi="Times New Roman" w:cs="Times New Roman"/>
          <w:iCs/>
          <w:color w:val="000000"/>
          <w:lang w:eastAsia="ar-SA"/>
        </w:rPr>
        <w:t>ėž</w:t>
      </w:r>
      <w:r w:rsidRPr="00975CA4">
        <w:rPr>
          <w:rFonts w:ascii="Times New Roman" w:eastAsia="SimSun" w:hAnsi="Times New Roman" w:cs="Times New Roman"/>
          <w:iCs/>
          <w:color w:val="000000"/>
          <w:lang w:eastAsia="ar-SA"/>
        </w:rPr>
        <w:t>ti kaip BCR-ABL/kontrolini</w:t>
      </w:r>
      <w:r w:rsidRPr="00975CA4">
        <w:rPr>
          <w:rFonts w:ascii="Times New Roman" w:eastAsia="MS Mincho" w:hAnsi="Times New Roman" w:cs="Times New Roman"/>
          <w:iCs/>
          <w:color w:val="000000"/>
          <w:lang w:eastAsia="ar-SA"/>
        </w:rPr>
        <w:t>ų</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transkript</w:t>
      </w:r>
      <w:r w:rsidRPr="00975CA4">
        <w:rPr>
          <w:rFonts w:ascii="Times New Roman" w:eastAsia="MS Mincho" w:hAnsi="Times New Roman" w:cs="Times New Roman"/>
          <w:iCs/>
          <w:color w:val="000000"/>
          <w:lang w:eastAsia="ar-SA"/>
        </w:rPr>
        <w:t>ų</w:t>
      </w:r>
      <w:proofErr w:type="spellEnd"/>
      <w:r w:rsidRPr="00975CA4">
        <w:rPr>
          <w:rFonts w:ascii="Times New Roman" w:eastAsia="SimSun" w:hAnsi="Times New Roman" w:cs="Times New Roman"/>
          <w:iCs/>
          <w:color w:val="000000"/>
          <w:lang w:eastAsia="ar-SA"/>
        </w:rPr>
        <w:t xml:space="preserve"> </w:t>
      </w:r>
      <w:r w:rsidR="001618EA" w:rsidRPr="00975CA4">
        <w:rPr>
          <w:rFonts w:ascii="Times New Roman" w:eastAsia="SimSun" w:hAnsi="Times New Roman" w:cs="Times New Roman"/>
          <w:iCs/>
          <w:color w:val="000000"/>
          <w:lang w:eastAsia="ar-SA"/>
        </w:rPr>
        <w:t xml:space="preserve">santykis ≤ 0,1 % </w:t>
      </w:r>
      <w:r w:rsidRPr="00975CA4">
        <w:rPr>
          <w:rFonts w:ascii="Times New Roman" w:eastAsia="SimSun" w:hAnsi="Times New Roman" w:cs="Times New Roman"/>
          <w:iCs/>
          <w:color w:val="000000"/>
          <w:lang w:eastAsia="ar-SA"/>
        </w:rPr>
        <w:t>periferinio kraujo m</w:t>
      </w:r>
      <w:r w:rsidRPr="00975CA4">
        <w:rPr>
          <w:rFonts w:ascii="Times New Roman" w:eastAsia="MS Mincho" w:hAnsi="Times New Roman" w:cs="Times New Roman"/>
          <w:iCs/>
          <w:color w:val="000000"/>
          <w:lang w:eastAsia="ar-SA"/>
        </w:rPr>
        <w:t>ė</w:t>
      </w:r>
      <w:r w:rsidRPr="00975CA4">
        <w:rPr>
          <w:rFonts w:ascii="Times New Roman" w:eastAsia="SimSun" w:hAnsi="Times New Roman" w:cs="Times New Roman"/>
          <w:iCs/>
          <w:color w:val="000000"/>
          <w:lang w:eastAsia="ar-SA"/>
        </w:rPr>
        <w:t>giniuose RQ-PCR metodu</w:t>
      </w:r>
      <w:r w:rsidR="001618EA" w:rsidRPr="00975CA4">
        <w:rPr>
          <w:rFonts w:ascii="Times New Roman" w:eastAsia="SimSun" w:hAnsi="Times New Roman" w:cs="Times New Roman"/>
          <w:iCs/>
          <w:color w:val="000000"/>
          <w:lang w:eastAsia="ar-SA"/>
        </w:rPr>
        <w:t>.</w:t>
      </w:r>
    </w:p>
    <w:p w14:paraId="180D185C" w14:textId="77777777"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496C3B7E" w14:textId="77777777" w:rsidR="00621D2E" w:rsidRPr="00975CA4" w:rsidRDefault="00621D2E" w:rsidP="00621D2E">
      <w:pPr>
        <w:suppressAutoHyphens/>
        <w:spacing w:after="0" w:line="240" w:lineRule="auto"/>
        <w:ind w:left="851" w:hanging="851"/>
        <w:rPr>
          <w:rFonts w:ascii="Times New Roman" w:eastAsia="Times New Roman" w:hAnsi="Times New Roman" w:cs="Times New Roman"/>
          <w:b/>
          <w:bCs/>
          <w:color w:val="000000"/>
          <w:lang w:eastAsia="ar-SA"/>
        </w:rPr>
      </w:pPr>
      <w:r w:rsidRPr="00975CA4">
        <w:rPr>
          <w:rFonts w:ascii="Times New Roman" w:eastAsia="Times New Roman" w:hAnsi="Times New Roman" w:cs="Times New Roman"/>
          <w:b/>
          <w:bCs/>
          <w:color w:val="000000"/>
          <w:lang w:eastAsia="ar-SA"/>
        </w:rPr>
        <w:t xml:space="preserve">13 lentelė. Ilgalaikis </w:t>
      </w:r>
      <w:proofErr w:type="spellStart"/>
      <w:r w:rsidRPr="00975CA4">
        <w:rPr>
          <w:rFonts w:ascii="Times New Roman" w:eastAsia="Times New Roman" w:hAnsi="Times New Roman" w:cs="Times New Roman"/>
          <w:b/>
          <w:bCs/>
          <w:color w:val="000000"/>
          <w:lang w:eastAsia="ar-SA"/>
        </w:rPr>
        <w:t>dazatinibo</w:t>
      </w:r>
      <w:proofErr w:type="spellEnd"/>
      <w:r w:rsidRPr="00975CA4">
        <w:rPr>
          <w:rFonts w:ascii="Times New Roman" w:eastAsia="Times New Roman" w:hAnsi="Times New Roman" w:cs="Times New Roman"/>
          <w:b/>
          <w:bCs/>
          <w:color w:val="000000"/>
          <w:lang w:eastAsia="ar-SA"/>
        </w:rPr>
        <w:t xml:space="preserve"> veiksmingumas III fazės dozės optimizavimo tyrimo metu </w:t>
      </w:r>
      <w:proofErr w:type="spellStart"/>
      <w:r w:rsidRPr="00975CA4">
        <w:rPr>
          <w:rFonts w:ascii="Times New Roman" w:eastAsia="Times New Roman" w:hAnsi="Times New Roman" w:cs="Times New Roman"/>
          <w:b/>
          <w:bCs/>
          <w:color w:val="000000"/>
          <w:lang w:eastAsia="ar-SA"/>
        </w:rPr>
        <w:t>imatinibui</w:t>
      </w:r>
      <w:proofErr w:type="spellEnd"/>
    </w:p>
    <w:p w14:paraId="583321D8" w14:textId="77777777" w:rsidR="00621D2E" w:rsidRPr="00975CA4" w:rsidRDefault="00621D2E" w:rsidP="00621D2E">
      <w:pPr>
        <w:suppressAutoHyphens/>
        <w:spacing w:after="0" w:line="240" w:lineRule="auto"/>
        <w:ind w:left="851" w:hanging="851"/>
        <w:rPr>
          <w:rFonts w:ascii="Times New Roman" w:eastAsia="Times New Roman" w:hAnsi="Times New Roman" w:cs="Times New Roman"/>
          <w:b/>
          <w:bCs/>
          <w:color w:val="000000"/>
          <w:vertAlign w:val="superscript"/>
          <w:lang w:eastAsia="ar-SA"/>
        </w:rPr>
      </w:pPr>
      <w:r w:rsidRPr="00975CA4">
        <w:rPr>
          <w:rFonts w:ascii="Times New Roman" w:eastAsia="Times New Roman" w:hAnsi="Times New Roman" w:cs="Times New Roman"/>
          <w:b/>
          <w:bCs/>
          <w:color w:val="000000"/>
          <w:lang w:eastAsia="ar-SA"/>
        </w:rPr>
        <w:t xml:space="preserve">atsparia lėtinės fazės LML sergantiems arba </w:t>
      </w:r>
      <w:proofErr w:type="spellStart"/>
      <w:r w:rsidRPr="00975CA4">
        <w:rPr>
          <w:rFonts w:ascii="Times New Roman" w:eastAsia="Times New Roman" w:hAnsi="Times New Roman" w:cs="Times New Roman"/>
          <w:b/>
          <w:bCs/>
          <w:color w:val="000000"/>
          <w:lang w:eastAsia="ar-SA"/>
        </w:rPr>
        <w:t>imatinibo</w:t>
      </w:r>
      <w:proofErr w:type="spellEnd"/>
      <w:r w:rsidRPr="00975CA4">
        <w:rPr>
          <w:rFonts w:ascii="Times New Roman" w:eastAsia="Times New Roman" w:hAnsi="Times New Roman" w:cs="Times New Roman"/>
          <w:b/>
          <w:bCs/>
          <w:color w:val="000000"/>
          <w:lang w:eastAsia="ar-SA"/>
        </w:rPr>
        <w:t xml:space="preserve"> netoleruojantiems </w:t>
      </w:r>
      <w:proofErr w:type="spellStart"/>
      <w:r w:rsidRPr="00975CA4">
        <w:rPr>
          <w:rFonts w:ascii="Times New Roman" w:eastAsia="Times New Roman" w:hAnsi="Times New Roman" w:cs="Times New Roman"/>
          <w:b/>
          <w:bCs/>
          <w:color w:val="000000"/>
          <w:lang w:eastAsia="ar-SA"/>
        </w:rPr>
        <w:t>pacientams</w:t>
      </w:r>
      <w:r w:rsidRPr="00975CA4">
        <w:rPr>
          <w:rFonts w:ascii="Times New Roman" w:eastAsia="Times New Roman" w:hAnsi="Times New Roman" w:cs="Times New Roman"/>
          <w:b/>
          <w:bCs/>
          <w:color w:val="000000"/>
          <w:vertAlign w:val="superscript"/>
          <w:lang w:eastAsia="ar-SA"/>
        </w:rPr>
        <w:t>a</w:t>
      </w:r>
      <w:proofErr w:type="spellEnd"/>
    </w:p>
    <w:p w14:paraId="3CA649D7" w14:textId="77777777" w:rsidR="00621D2E" w:rsidRPr="00975CA4" w:rsidRDefault="00621D2E" w:rsidP="00621D2E">
      <w:pPr>
        <w:suppressAutoHyphens/>
        <w:spacing w:after="0" w:line="240" w:lineRule="auto"/>
        <w:ind w:left="851" w:hanging="851"/>
        <w:rPr>
          <w:rFonts w:ascii="Times New Roman" w:eastAsia="SimSun" w:hAnsi="Times New Roman" w:cs="Times New Roman"/>
          <w:iCs/>
          <w:color w:val="000000"/>
          <w:lang w:eastAsia="ar-SA"/>
        </w:rPr>
      </w:pPr>
    </w:p>
    <w:tbl>
      <w:tblPr>
        <w:tblStyle w:val="Mkatabulky1"/>
        <w:tblpPr w:leftFromText="180" w:rightFromText="180" w:vertAnchor="text" w:horzAnchor="margin" w:tblpY="98"/>
        <w:tblW w:w="5000" w:type="pct"/>
        <w:tblLook w:val="04A0" w:firstRow="1" w:lastRow="0" w:firstColumn="1" w:lastColumn="0" w:noHBand="0" w:noVBand="1"/>
      </w:tblPr>
      <w:tblGrid>
        <w:gridCol w:w="3022"/>
        <w:gridCol w:w="1830"/>
        <w:gridCol w:w="1512"/>
        <w:gridCol w:w="1512"/>
        <w:gridCol w:w="1512"/>
        <w:gridCol w:w="6"/>
      </w:tblGrid>
      <w:tr w:rsidR="00621D2E" w:rsidRPr="00975CA4" w14:paraId="0ADCD5B4"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tcPr>
          <w:p w14:paraId="526B85EF" w14:textId="77777777" w:rsidR="00621D2E" w:rsidRPr="00975CA4" w:rsidRDefault="00621D2E" w:rsidP="00621D2E">
            <w:pPr>
              <w:rPr>
                <w:rFonts w:eastAsia="Times New Roman"/>
                <w:bCs/>
              </w:rPr>
            </w:pPr>
          </w:p>
        </w:tc>
        <w:tc>
          <w:tcPr>
            <w:tcW w:w="3389" w:type="pct"/>
            <w:gridSpan w:val="4"/>
            <w:tcBorders>
              <w:top w:val="single" w:sz="4" w:space="0" w:color="auto"/>
              <w:left w:val="single" w:sz="4" w:space="0" w:color="auto"/>
              <w:bottom w:val="single" w:sz="4" w:space="0" w:color="auto"/>
              <w:right w:val="single" w:sz="4" w:space="0" w:color="auto"/>
            </w:tcBorders>
            <w:hideMark/>
          </w:tcPr>
          <w:p w14:paraId="01FE10F2" w14:textId="77777777" w:rsidR="00621D2E" w:rsidRPr="00975CA4" w:rsidRDefault="00621D2E" w:rsidP="00621D2E">
            <w:pPr>
              <w:jc w:val="center"/>
              <w:rPr>
                <w:rFonts w:eastAsia="Times New Roman"/>
                <w:bCs/>
              </w:rPr>
            </w:pPr>
            <w:r w:rsidRPr="00975CA4">
              <w:rPr>
                <w:rFonts w:eastAsia="Times New Roman"/>
                <w:b/>
                <w:bCs/>
              </w:rPr>
              <w:t>Minimalus stebėjimo laikotarpis</w:t>
            </w:r>
          </w:p>
        </w:tc>
      </w:tr>
      <w:tr w:rsidR="00621D2E" w:rsidRPr="00975CA4" w14:paraId="59A4ABCC"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tcPr>
          <w:p w14:paraId="54FF204D" w14:textId="77777777" w:rsidR="00621D2E" w:rsidRPr="00975CA4" w:rsidRDefault="00621D2E" w:rsidP="00621D2E">
            <w:pPr>
              <w:rPr>
                <w:rFonts w:eastAsia="Times New Roman"/>
                <w:bCs/>
              </w:rPr>
            </w:pPr>
          </w:p>
        </w:tc>
        <w:tc>
          <w:tcPr>
            <w:tcW w:w="974" w:type="pct"/>
            <w:tcBorders>
              <w:top w:val="single" w:sz="4" w:space="0" w:color="auto"/>
              <w:left w:val="single" w:sz="4" w:space="0" w:color="auto"/>
              <w:bottom w:val="single" w:sz="4" w:space="0" w:color="auto"/>
              <w:right w:val="single" w:sz="4" w:space="0" w:color="auto"/>
            </w:tcBorders>
            <w:hideMark/>
          </w:tcPr>
          <w:p w14:paraId="5A870680" w14:textId="77777777" w:rsidR="00621D2E" w:rsidRPr="00975CA4" w:rsidRDefault="00621D2E" w:rsidP="00621D2E">
            <w:pPr>
              <w:jc w:val="center"/>
              <w:rPr>
                <w:rFonts w:eastAsia="Times New Roman"/>
                <w:bCs/>
              </w:rPr>
            </w:pPr>
            <w:r w:rsidRPr="00975CA4">
              <w:rPr>
                <w:rFonts w:eastAsia="Times New Roman"/>
                <w:b/>
                <w:bCs/>
              </w:rPr>
              <w:t>1 metai</w:t>
            </w:r>
          </w:p>
        </w:tc>
        <w:tc>
          <w:tcPr>
            <w:tcW w:w="805" w:type="pct"/>
            <w:tcBorders>
              <w:top w:val="single" w:sz="4" w:space="0" w:color="auto"/>
              <w:left w:val="single" w:sz="4" w:space="0" w:color="auto"/>
              <w:bottom w:val="single" w:sz="4" w:space="0" w:color="auto"/>
              <w:right w:val="single" w:sz="4" w:space="0" w:color="auto"/>
            </w:tcBorders>
            <w:hideMark/>
          </w:tcPr>
          <w:p w14:paraId="09113392" w14:textId="77777777" w:rsidR="00621D2E" w:rsidRPr="00975CA4" w:rsidRDefault="00621D2E" w:rsidP="00621D2E">
            <w:pPr>
              <w:jc w:val="center"/>
              <w:rPr>
                <w:rFonts w:eastAsia="Times New Roman"/>
              </w:rPr>
            </w:pPr>
            <w:r w:rsidRPr="00975CA4">
              <w:rPr>
                <w:rFonts w:eastAsia="Times New Roman"/>
                <w:b/>
                <w:bCs/>
              </w:rPr>
              <w:t>2 metai</w:t>
            </w:r>
          </w:p>
        </w:tc>
        <w:tc>
          <w:tcPr>
            <w:tcW w:w="805" w:type="pct"/>
            <w:tcBorders>
              <w:top w:val="single" w:sz="4" w:space="0" w:color="auto"/>
              <w:left w:val="single" w:sz="4" w:space="0" w:color="auto"/>
              <w:bottom w:val="single" w:sz="4" w:space="0" w:color="auto"/>
              <w:right w:val="single" w:sz="4" w:space="0" w:color="auto"/>
            </w:tcBorders>
            <w:hideMark/>
          </w:tcPr>
          <w:p w14:paraId="73F41E0F" w14:textId="77777777" w:rsidR="00621D2E" w:rsidRPr="00975CA4" w:rsidRDefault="00621D2E" w:rsidP="00621D2E">
            <w:pPr>
              <w:jc w:val="center"/>
              <w:rPr>
                <w:rFonts w:eastAsia="Times New Roman"/>
              </w:rPr>
            </w:pPr>
            <w:r w:rsidRPr="00975CA4">
              <w:rPr>
                <w:rFonts w:eastAsia="Times New Roman"/>
                <w:b/>
                <w:bCs/>
              </w:rPr>
              <w:t>5 metai</w:t>
            </w:r>
          </w:p>
        </w:tc>
        <w:tc>
          <w:tcPr>
            <w:tcW w:w="805" w:type="pct"/>
            <w:tcBorders>
              <w:top w:val="single" w:sz="4" w:space="0" w:color="auto"/>
              <w:left w:val="single" w:sz="4" w:space="0" w:color="auto"/>
              <w:bottom w:val="single" w:sz="4" w:space="0" w:color="auto"/>
              <w:right w:val="single" w:sz="4" w:space="0" w:color="auto"/>
            </w:tcBorders>
            <w:hideMark/>
          </w:tcPr>
          <w:p w14:paraId="7732243A" w14:textId="77777777" w:rsidR="00621D2E" w:rsidRPr="00975CA4" w:rsidRDefault="00621D2E" w:rsidP="00621D2E">
            <w:pPr>
              <w:jc w:val="center"/>
              <w:rPr>
                <w:rFonts w:eastAsia="Times New Roman"/>
              </w:rPr>
            </w:pPr>
            <w:r w:rsidRPr="00975CA4">
              <w:rPr>
                <w:rFonts w:eastAsia="Times New Roman"/>
                <w:b/>
                <w:bCs/>
              </w:rPr>
              <w:t>7 metai</w:t>
            </w:r>
          </w:p>
        </w:tc>
      </w:tr>
      <w:tr w:rsidR="00621D2E" w:rsidRPr="00975CA4" w14:paraId="75905BE1" w14:textId="77777777" w:rsidTr="00ED5F32">
        <w:trPr>
          <w:trHeight w:val="283"/>
        </w:trPr>
        <w:tc>
          <w:tcPr>
            <w:tcW w:w="5000" w:type="pct"/>
            <w:gridSpan w:val="6"/>
            <w:tcBorders>
              <w:top w:val="single" w:sz="4" w:space="0" w:color="auto"/>
              <w:left w:val="single" w:sz="4" w:space="0" w:color="auto"/>
              <w:bottom w:val="single" w:sz="4" w:space="0" w:color="auto"/>
              <w:right w:val="single" w:sz="4" w:space="0" w:color="auto"/>
            </w:tcBorders>
            <w:hideMark/>
          </w:tcPr>
          <w:p w14:paraId="1D5F8C26" w14:textId="77777777" w:rsidR="00621D2E" w:rsidRPr="00975CA4" w:rsidRDefault="00621D2E" w:rsidP="00621D2E">
            <w:pPr>
              <w:rPr>
                <w:rFonts w:eastAsia="Times New Roman"/>
              </w:rPr>
            </w:pPr>
            <w:r w:rsidRPr="00975CA4">
              <w:rPr>
                <w:rFonts w:eastAsia="Times New Roman"/>
                <w:b/>
                <w:bCs/>
              </w:rPr>
              <w:t>Didysis molekulinis atsakas</w:t>
            </w:r>
          </w:p>
        </w:tc>
      </w:tr>
      <w:tr w:rsidR="00621D2E" w:rsidRPr="00975CA4" w14:paraId="5AC3367A"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3E21AAEB" w14:textId="77777777" w:rsidR="00621D2E" w:rsidRPr="00975CA4" w:rsidRDefault="00621D2E" w:rsidP="00621D2E">
            <w:pPr>
              <w:ind w:left="188"/>
              <w:rPr>
                <w:rFonts w:eastAsia="Times New Roman"/>
              </w:rPr>
            </w:pPr>
            <w:r w:rsidRPr="00975CA4">
              <w:rPr>
                <w:rFonts w:eastAsia="Times New Roman"/>
              </w:rPr>
              <w:t>Visi pacientai</w:t>
            </w:r>
          </w:p>
        </w:tc>
        <w:tc>
          <w:tcPr>
            <w:tcW w:w="974" w:type="pct"/>
            <w:tcBorders>
              <w:top w:val="single" w:sz="4" w:space="0" w:color="auto"/>
              <w:left w:val="single" w:sz="4" w:space="0" w:color="auto"/>
              <w:bottom w:val="single" w:sz="4" w:space="0" w:color="auto"/>
              <w:right w:val="single" w:sz="4" w:space="0" w:color="auto"/>
            </w:tcBorders>
            <w:hideMark/>
          </w:tcPr>
          <w:p w14:paraId="2CA6CDAB" w14:textId="77777777" w:rsidR="00621D2E" w:rsidRPr="00975CA4" w:rsidRDefault="00621D2E" w:rsidP="00621D2E">
            <w:pPr>
              <w:ind w:left="-65" w:right="-108"/>
              <w:jc w:val="center"/>
              <w:rPr>
                <w:rFonts w:eastAsia="Times New Roman"/>
              </w:rPr>
            </w:pPr>
            <w:r w:rsidRPr="00975CA4">
              <w:rPr>
                <w:rFonts w:eastAsia="Times New Roman"/>
              </w:rPr>
              <w:t>n/a</w:t>
            </w:r>
          </w:p>
        </w:tc>
        <w:tc>
          <w:tcPr>
            <w:tcW w:w="805" w:type="pct"/>
            <w:tcBorders>
              <w:top w:val="single" w:sz="4" w:space="0" w:color="auto"/>
              <w:left w:val="single" w:sz="4" w:space="0" w:color="auto"/>
              <w:bottom w:val="single" w:sz="4" w:space="0" w:color="auto"/>
              <w:right w:val="single" w:sz="4" w:space="0" w:color="auto"/>
            </w:tcBorders>
            <w:hideMark/>
          </w:tcPr>
          <w:p w14:paraId="162CD9DD" w14:textId="77777777" w:rsidR="00621D2E" w:rsidRPr="00975CA4" w:rsidRDefault="00621D2E" w:rsidP="00621D2E">
            <w:pPr>
              <w:ind w:left="-108" w:right="-160"/>
              <w:jc w:val="center"/>
              <w:rPr>
                <w:rFonts w:eastAsia="Times New Roman"/>
              </w:rPr>
            </w:pPr>
            <w:r w:rsidRPr="00975CA4">
              <w:rPr>
                <w:rFonts w:eastAsia="Times New Roman"/>
              </w:rPr>
              <w:t>37</w:t>
            </w:r>
            <w:r w:rsidR="00466B13" w:rsidRPr="00975CA4">
              <w:rPr>
                <w:rFonts w:eastAsia="Times New Roman"/>
              </w:rPr>
              <w:t> </w:t>
            </w:r>
            <w:r w:rsidRPr="00975CA4">
              <w:rPr>
                <w:rFonts w:eastAsia="Times New Roman"/>
              </w:rPr>
              <w:t>% (57/154)</w:t>
            </w:r>
          </w:p>
        </w:tc>
        <w:tc>
          <w:tcPr>
            <w:tcW w:w="805" w:type="pct"/>
            <w:tcBorders>
              <w:top w:val="single" w:sz="4" w:space="0" w:color="auto"/>
              <w:left w:val="single" w:sz="4" w:space="0" w:color="auto"/>
              <w:bottom w:val="single" w:sz="4" w:space="0" w:color="auto"/>
              <w:right w:val="single" w:sz="4" w:space="0" w:color="auto"/>
            </w:tcBorders>
            <w:hideMark/>
          </w:tcPr>
          <w:p w14:paraId="51AEA45D" w14:textId="77777777" w:rsidR="00621D2E" w:rsidRPr="00975CA4" w:rsidRDefault="00621D2E" w:rsidP="00621D2E">
            <w:pPr>
              <w:ind w:left="-108" w:right="-94"/>
              <w:jc w:val="center"/>
              <w:rPr>
                <w:rFonts w:eastAsia="Times New Roman"/>
              </w:rPr>
            </w:pPr>
            <w:r w:rsidRPr="00975CA4">
              <w:rPr>
                <w:rFonts w:eastAsia="Times New Roman"/>
              </w:rPr>
              <w:t>44</w:t>
            </w:r>
            <w:r w:rsidR="00466B13" w:rsidRPr="00975CA4">
              <w:rPr>
                <w:rFonts w:eastAsia="Times New Roman"/>
              </w:rPr>
              <w:t> </w:t>
            </w:r>
            <w:r w:rsidRPr="00975CA4">
              <w:rPr>
                <w:rFonts w:eastAsia="Times New Roman"/>
              </w:rPr>
              <w:t>% (71/160)</w:t>
            </w:r>
          </w:p>
        </w:tc>
        <w:tc>
          <w:tcPr>
            <w:tcW w:w="805" w:type="pct"/>
            <w:tcBorders>
              <w:top w:val="single" w:sz="4" w:space="0" w:color="auto"/>
              <w:left w:val="single" w:sz="4" w:space="0" w:color="auto"/>
              <w:bottom w:val="single" w:sz="4" w:space="0" w:color="auto"/>
              <w:right w:val="single" w:sz="4" w:space="0" w:color="auto"/>
            </w:tcBorders>
            <w:hideMark/>
          </w:tcPr>
          <w:p w14:paraId="33E45CA7" w14:textId="77777777" w:rsidR="00621D2E" w:rsidRPr="00975CA4" w:rsidRDefault="00621D2E" w:rsidP="00621D2E">
            <w:pPr>
              <w:ind w:left="-108" w:right="-108"/>
              <w:jc w:val="center"/>
              <w:rPr>
                <w:rFonts w:eastAsia="Times New Roman"/>
              </w:rPr>
            </w:pPr>
            <w:r w:rsidRPr="00975CA4">
              <w:rPr>
                <w:rFonts w:eastAsia="Times New Roman"/>
              </w:rPr>
              <w:t>46</w:t>
            </w:r>
            <w:r w:rsidR="00466B13" w:rsidRPr="00975CA4">
              <w:rPr>
                <w:rFonts w:eastAsia="Times New Roman"/>
              </w:rPr>
              <w:t> </w:t>
            </w:r>
            <w:r w:rsidRPr="00975CA4">
              <w:rPr>
                <w:rFonts w:eastAsia="Times New Roman"/>
              </w:rPr>
              <w:t>% (73/160)</w:t>
            </w:r>
          </w:p>
        </w:tc>
      </w:tr>
      <w:tr w:rsidR="00621D2E" w:rsidRPr="00975CA4" w14:paraId="34C47388"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0E0DCEEC" w14:textId="77777777" w:rsidR="00621D2E" w:rsidRPr="00975CA4" w:rsidRDefault="00621D2E" w:rsidP="00621D2E">
            <w:pPr>
              <w:ind w:left="188"/>
              <w:rPr>
                <w:rFonts w:eastAsia="Times New Roman"/>
              </w:rPr>
            </w:pPr>
            <w:proofErr w:type="spellStart"/>
            <w:r w:rsidRPr="00975CA4">
              <w:rPr>
                <w:rFonts w:eastAsia="Times New Roman"/>
              </w:rPr>
              <w:t>Imatinibui</w:t>
            </w:r>
            <w:proofErr w:type="spellEnd"/>
            <w:r w:rsidRPr="00975CA4">
              <w:rPr>
                <w:rFonts w:eastAsia="Times New Roman"/>
              </w:rPr>
              <w:t xml:space="preserve"> atsparūs pacientai</w:t>
            </w:r>
          </w:p>
        </w:tc>
        <w:tc>
          <w:tcPr>
            <w:tcW w:w="974" w:type="pct"/>
            <w:tcBorders>
              <w:top w:val="single" w:sz="4" w:space="0" w:color="auto"/>
              <w:left w:val="single" w:sz="4" w:space="0" w:color="auto"/>
              <w:bottom w:val="single" w:sz="4" w:space="0" w:color="auto"/>
              <w:right w:val="single" w:sz="4" w:space="0" w:color="auto"/>
            </w:tcBorders>
            <w:hideMark/>
          </w:tcPr>
          <w:p w14:paraId="42C7FD17" w14:textId="77777777" w:rsidR="00621D2E" w:rsidRPr="00975CA4" w:rsidRDefault="00621D2E" w:rsidP="00621D2E">
            <w:pPr>
              <w:ind w:left="-65" w:right="-108"/>
              <w:jc w:val="center"/>
              <w:rPr>
                <w:rFonts w:eastAsia="Times New Roman"/>
              </w:rPr>
            </w:pPr>
            <w:r w:rsidRPr="00975CA4">
              <w:rPr>
                <w:rFonts w:eastAsia="Times New Roman"/>
              </w:rPr>
              <w:t>n/a</w:t>
            </w:r>
          </w:p>
        </w:tc>
        <w:tc>
          <w:tcPr>
            <w:tcW w:w="805" w:type="pct"/>
            <w:tcBorders>
              <w:top w:val="single" w:sz="4" w:space="0" w:color="auto"/>
              <w:left w:val="single" w:sz="4" w:space="0" w:color="auto"/>
              <w:bottom w:val="single" w:sz="4" w:space="0" w:color="auto"/>
              <w:right w:val="single" w:sz="4" w:space="0" w:color="auto"/>
            </w:tcBorders>
            <w:hideMark/>
          </w:tcPr>
          <w:p w14:paraId="0D452E87" w14:textId="77777777" w:rsidR="00621D2E" w:rsidRPr="00975CA4" w:rsidRDefault="00621D2E" w:rsidP="00621D2E">
            <w:pPr>
              <w:ind w:left="-108" w:right="-160"/>
              <w:jc w:val="center"/>
              <w:rPr>
                <w:rFonts w:eastAsia="Times New Roman"/>
              </w:rPr>
            </w:pPr>
            <w:r w:rsidRPr="00975CA4">
              <w:rPr>
                <w:rFonts w:eastAsia="Times New Roman"/>
              </w:rPr>
              <w:t>35</w:t>
            </w:r>
            <w:r w:rsidR="00466B13" w:rsidRPr="00975CA4">
              <w:rPr>
                <w:rFonts w:eastAsia="Times New Roman"/>
              </w:rPr>
              <w:t> </w:t>
            </w:r>
            <w:r w:rsidRPr="00975CA4">
              <w:rPr>
                <w:rFonts w:eastAsia="Times New Roman"/>
              </w:rPr>
              <w:t>% (41/117)</w:t>
            </w:r>
          </w:p>
        </w:tc>
        <w:tc>
          <w:tcPr>
            <w:tcW w:w="805" w:type="pct"/>
            <w:tcBorders>
              <w:top w:val="single" w:sz="4" w:space="0" w:color="auto"/>
              <w:left w:val="single" w:sz="4" w:space="0" w:color="auto"/>
              <w:bottom w:val="single" w:sz="4" w:space="0" w:color="auto"/>
              <w:right w:val="single" w:sz="4" w:space="0" w:color="auto"/>
            </w:tcBorders>
            <w:hideMark/>
          </w:tcPr>
          <w:p w14:paraId="3216BC59" w14:textId="77777777" w:rsidR="00621D2E" w:rsidRPr="00975CA4" w:rsidRDefault="00621D2E" w:rsidP="00621D2E">
            <w:pPr>
              <w:ind w:left="-108" w:right="-94"/>
              <w:jc w:val="center"/>
              <w:rPr>
                <w:rFonts w:eastAsia="Times New Roman"/>
              </w:rPr>
            </w:pPr>
            <w:r w:rsidRPr="00975CA4">
              <w:rPr>
                <w:rFonts w:eastAsia="Times New Roman"/>
              </w:rPr>
              <w:t>42</w:t>
            </w:r>
            <w:r w:rsidR="00466B13" w:rsidRPr="00975CA4">
              <w:rPr>
                <w:rFonts w:eastAsia="Times New Roman"/>
              </w:rPr>
              <w:t> </w:t>
            </w:r>
            <w:r w:rsidRPr="00975CA4">
              <w:rPr>
                <w:rFonts w:eastAsia="Times New Roman"/>
              </w:rPr>
              <w:t>% (50/120)</w:t>
            </w:r>
          </w:p>
        </w:tc>
        <w:tc>
          <w:tcPr>
            <w:tcW w:w="805" w:type="pct"/>
            <w:tcBorders>
              <w:top w:val="single" w:sz="4" w:space="0" w:color="auto"/>
              <w:left w:val="single" w:sz="4" w:space="0" w:color="auto"/>
              <w:bottom w:val="single" w:sz="4" w:space="0" w:color="auto"/>
              <w:right w:val="single" w:sz="4" w:space="0" w:color="auto"/>
            </w:tcBorders>
            <w:hideMark/>
          </w:tcPr>
          <w:p w14:paraId="2D446ADD" w14:textId="77777777" w:rsidR="00621D2E" w:rsidRPr="00975CA4" w:rsidRDefault="00621D2E" w:rsidP="00621D2E">
            <w:pPr>
              <w:ind w:left="-108" w:right="-108"/>
              <w:jc w:val="center"/>
              <w:rPr>
                <w:rFonts w:eastAsia="Times New Roman"/>
              </w:rPr>
            </w:pPr>
            <w:r w:rsidRPr="00975CA4">
              <w:rPr>
                <w:rFonts w:eastAsia="Times New Roman"/>
              </w:rPr>
              <w:t>43</w:t>
            </w:r>
            <w:r w:rsidR="00466B13" w:rsidRPr="00975CA4">
              <w:rPr>
                <w:rFonts w:eastAsia="Times New Roman"/>
              </w:rPr>
              <w:t> </w:t>
            </w:r>
            <w:r w:rsidRPr="00975CA4">
              <w:rPr>
                <w:rFonts w:eastAsia="Times New Roman"/>
              </w:rPr>
              <w:t>% (51/120)</w:t>
            </w:r>
          </w:p>
        </w:tc>
      </w:tr>
      <w:tr w:rsidR="00621D2E" w:rsidRPr="00975CA4" w14:paraId="1D0737FC"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6F90FAAD" w14:textId="77777777" w:rsidR="00621D2E" w:rsidRPr="00975CA4" w:rsidRDefault="00621D2E" w:rsidP="00621D2E">
            <w:pPr>
              <w:ind w:left="188" w:right="-168"/>
              <w:rPr>
                <w:rFonts w:eastAsia="Times New Roman"/>
              </w:rPr>
            </w:pPr>
            <w:proofErr w:type="spellStart"/>
            <w:r w:rsidRPr="00975CA4">
              <w:rPr>
                <w:rFonts w:eastAsia="Times New Roman"/>
              </w:rPr>
              <w:t>Imatinibo</w:t>
            </w:r>
            <w:proofErr w:type="spellEnd"/>
            <w:r w:rsidRPr="00975CA4">
              <w:rPr>
                <w:rFonts w:eastAsia="Times New Roman"/>
              </w:rPr>
              <w:t xml:space="preserve"> netoleravę pacientai</w:t>
            </w:r>
          </w:p>
        </w:tc>
        <w:tc>
          <w:tcPr>
            <w:tcW w:w="974" w:type="pct"/>
            <w:tcBorders>
              <w:top w:val="single" w:sz="4" w:space="0" w:color="auto"/>
              <w:left w:val="single" w:sz="4" w:space="0" w:color="auto"/>
              <w:bottom w:val="single" w:sz="4" w:space="0" w:color="auto"/>
              <w:right w:val="single" w:sz="4" w:space="0" w:color="auto"/>
            </w:tcBorders>
            <w:hideMark/>
          </w:tcPr>
          <w:p w14:paraId="27EDA99F" w14:textId="77777777" w:rsidR="00621D2E" w:rsidRPr="00975CA4" w:rsidRDefault="00621D2E" w:rsidP="00621D2E">
            <w:pPr>
              <w:ind w:left="-65" w:right="-108"/>
              <w:jc w:val="center"/>
              <w:rPr>
                <w:rFonts w:eastAsia="Times New Roman"/>
              </w:rPr>
            </w:pPr>
            <w:r w:rsidRPr="00975CA4">
              <w:rPr>
                <w:rFonts w:eastAsia="Times New Roman"/>
              </w:rPr>
              <w:t>n/a</w:t>
            </w:r>
          </w:p>
        </w:tc>
        <w:tc>
          <w:tcPr>
            <w:tcW w:w="805" w:type="pct"/>
            <w:tcBorders>
              <w:top w:val="single" w:sz="4" w:space="0" w:color="auto"/>
              <w:left w:val="single" w:sz="4" w:space="0" w:color="auto"/>
              <w:bottom w:val="single" w:sz="4" w:space="0" w:color="auto"/>
              <w:right w:val="single" w:sz="4" w:space="0" w:color="auto"/>
            </w:tcBorders>
            <w:hideMark/>
          </w:tcPr>
          <w:p w14:paraId="63910C74" w14:textId="77777777" w:rsidR="00621D2E" w:rsidRPr="00975CA4" w:rsidRDefault="00621D2E" w:rsidP="00621D2E">
            <w:pPr>
              <w:ind w:left="-108" w:right="-160"/>
              <w:jc w:val="center"/>
              <w:rPr>
                <w:rFonts w:eastAsia="Times New Roman"/>
              </w:rPr>
            </w:pPr>
            <w:r w:rsidRPr="00975CA4">
              <w:rPr>
                <w:rFonts w:eastAsia="Times New Roman"/>
              </w:rPr>
              <w:t>43</w:t>
            </w:r>
            <w:r w:rsidR="00466B13" w:rsidRPr="00975CA4">
              <w:rPr>
                <w:rFonts w:eastAsia="Times New Roman"/>
              </w:rPr>
              <w:t> </w:t>
            </w:r>
            <w:r w:rsidRPr="00975CA4">
              <w:rPr>
                <w:rFonts w:eastAsia="Times New Roman"/>
              </w:rPr>
              <w:t>% (16/37)</w:t>
            </w:r>
          </w:p>
        </w:tc>
        <w:tc>
          <w:tcPr>
            <w:tcW w:w="805" w:type="pct"/>
            <w:tcBorders>
              <w:top w:val="single" w:sz="4" w:space="0" w:color="auto"/>
              <w:left w:val="single" w:sz="4" w:space="0" w:color="auto"/>
              <w:bottom w:val="single" w:sz="4" w:space="0" w:color="auto"/>
              <w:right w:val="single" w:sz="4" w:space="0" w:color="auto"/>
            </w:tcBorders>
            <w:hideMark/>
          </w:tcPr>
          <w:p w14:paraId="4E97BA39" w14:textId="77777777" w:rsidR="00621D2E" w:rsidRPr="00975CA4" w:rsidRDefault="00621D2E" w:rsidP="00621D2E">
            <w:pPr>
              <w:ind w:left="-108" w:right="-94"/>
              <w:jc w:val="center"/>
              <w:rPr>
                <w:rFonts w:eastAsia="Times New Roman"/>
              </w:rPr>
            </w:pPr>
            <w:r w:rsidRPr="00975CA4">
              <w:rPr>
                <w:rFonts w:eastAsia="Times New Roman"/>
              </w:rPr>
              <w:t>53</w:t>
            </w:r>
            <w:r w:rsidR="00466B13" w:rsidRPr="00975CA4">
              <w:rPr>
                <w:rFonts w:eastAsia="Times New Roman"/>
              </w:rPr>
              <w:t> </w:t>
            </w:r>
            <w:r w:rsidRPr="00975CA4">
              <w:rPr>
                <w:rFonts w:eastAsia="Times New Roman"/>
              </w:rPr>
              <w:t>% (21/40)</w:t>
            </w:r>
          </w:p>
        </w:tc>
        <w:tc>
          <w:tcPr>
            <w:tcW w:w="805" w:type="pct"/>
            <w:tcBorders>
              <w:top w:val="single" w:sz="4" w:space="0" w:color="auto"/>
              <w:left w:val="single" w:sz="4" w:space="0" w:color="auto"/>
              <w:bottom w:val="single" w:sz="4" w:space="0" w:color="auto"/>
              <w:right w:val="single" w:sz="4" w:space="0" w:color="auto"/>
            </w:tcBorders>
            <w:hideMark/>
          </w:tcPr>
          <w:p w14:paraId="2DCFEEC1" w14:textId="77777777" w:rsidR="00621D2E" w:rsidRPr="00975CA4" w:rsidRDefault="00621D2E" w:rsidP="00621D2E">
            <w:pPr>
              <w:ind w:left="-108" w:right="-108"/>
              <w:jc w:val="center"/>
              <w:rPr>
                <w:rFonts w:eastAsia="Times New Roman"/>
              </w:rPr>
            </w:pPr>
            <w:r w:rsidRPr="00975CA4">
              <w:rPr>
                <w:rFonts w:eastAsia="Times New Roman"/>
              </w:rPr>
              <w:t>55</w:t>
            </w:r>
            <w:r w:rsidR="00466B13" w:rsidRPr="00975CA4">
              <w:rPr>
                <w:rFonts w:eastAsia="Times New Roman"/>
              </w:rPr>
              <w:t> </w:t>
            </w:r>
            <w:r w:rsidRPr="00975CA4">
              <w:rPr>
                <w:rFonts w:eastAsia="Times New Roman"/>
              </w:rPr>
              <w:t>% (22/40)</w:t>
            </w:r>
          </w:p>
        </w:tc>
      </w:tr>
      <w:tr w:rsidR="00621D2E" w:rsidRPr="00975CA4" w14:paraId="223DD740" w14:textId="77777777" w:rsidTr="00ED5F32">
        <w:trPr>
          <w:trHeight w:val="283"/>
        </w:trPr>
        <w:tc>
          <w:tcPr>
            <w:tcW w:w="5000" w:type="pct"/>
            <w:gridSpan w:val="6"/>
            <w:tcBorders>
              <w:top w:val="single" w:sz="4" w:space="0" w:color="auto"/>
              <w:left w:val="single" w:sz="4" w:space="0" w:color="auto"/>
              <w:bottom w:val="single" w:sz="4" w:space="0" w:color="auto"/>
              <w:right w:val="single" w:sz="4" w:space="0" w:color="auto"/>
            </w:tcBorders>
            <w:hideMark/>
          </w:tcPr>
          <w:p w14:paraId="38FB782B" w14:textId="77777777" w:rsidR="00621D2E" w:rsidRPr="00975CA4" w:rsidRDefault="00621D2E" w:rsidP="00621D2E">
            <w:pPr>
              <w:ind w:right="-108"/>
              <w:rPr>
                <w:rFonts w:eastAsia="Times New Roman"/>
              </w:rPr>
            </w:pPr>
            <w:r w:rsidRPr="00975CA4">
              <w:rPr>
                <w:rFonts w:eastAsia="SimSun"/>
                <w:b/>
                <w:bCs/>
                <w:iCs/>
                <w:color w:val="000000"/>
                <w:lang w:eastAsia="ar-SA"/>
              </w:rPr>
              <w:t xml:space="preserve">Išgyvenimas be ligos progresavimo </w:t>
            </w:r>
            <w:r w:rsidRPr="00975CA4">
              <w:rPr>
                <w:rFonts w:eastAsia="SimSun"/>
                <w:b/>
                <w:bCs/>
                <w:iCs/>
                <w:color w:val="000000"/>
                <w:vertAlign w:val="superscript"/>
                <w:lang w:eastAsia="ar-SA"/>
              </w:rPr>
              <w:t>b</w:t>
            </w:r>
          </w:p>
        </w:tc>
      </w:tr>
      <w:tr w:rsidR="00621D2E" w:rsidRPr="00975CA4" w14:paraId="22C5C5AB"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39776C9F" w14:textId="77777777" w:rsidR="00621D2E" w:rsidRPr="00975CA4" w:rsidRDefault="00621D2E" w:rsidP="00621D2E">
            <w:pPr>
              <w:ind w:left="188"/>
              <w:rPr>
                <w:rFonts w:eastAsia="Times New Roman"/>
              </w:rPr>
            </w:pPr>
            <w:r w:rsidRPr="00975CA4">
              <w:rPr>
                <w:rFonts w:eastAsia="Times New Roman"/>
              </w:rPr>
              <w:t>Visi pacientai</w:t>
            </w:r>
          </w:p>
        </w:tc>
        <w:tc>
          <w:tcPr>
            <w:tcW w:w="974" w:type="pct"/>
            <w:tcBorders>
              <w:top w:val="single" w:sz="4" w:space="0" w:color="auto"/>
              <w:left w:val="single" w:sz="4" w:space="0" w:color="auto"/>
              <w:bottom w:val="single" w:sz="4" w:space="0" w:color="auto"/>
              <w:right w:val="single" w:sz="4" w:space="0" w:color="auto"/>
            </w:tcBorders>
            <w:hideMark/>
          </w:tcPr>
          <w:p w14:paraId="358ED658" w14:textId="77777777" w:rsidR="00621D2E" w:rsidRPr="00975CA4" w:rsidRDefault="00621D2E" w:rsidP="00621D2E">
            <w:pPr>
              <w:ind w:left="-65" w:right="-108"/>
              <w:jc w:val="center"/>
              <w:rPr>
                <w:rFonts w:eastAsia="Times New Roman"/>
              </w:rPr>
            </w:pPr>
            <w:r w:rsidRPr="00975CA4">
              <w:rPr>
                <w:rFonts w:eastAsia="Times New Roman"/>
              </w:rPr>
              <w:t>90</w:t>
            </w:r>
            <w:r w:rsidR="00466B13" w:rsidRPr="00975CA4">
              <w:rPr>
                <w:rFonts w:eastAsia="Times New Roman"/>
              </w:rPr>
              <w:t> </w:t>
            </w:r>
            <w:r w:rsidRPr="00975CA4">
              <w:rPr>
                <w:rFonts w:eastAsia="Times New Roman"/>
              </w:rPr>
              <w:t>% (86</w:t>
            </w:r>
            <w:r w:rsidRPr="00975CA4">
              <w:rPr>
                <w:rFonts w:eastAsia="Times New Roman"/>
                <w:bCs/>
              </w:rPr>
              <w:t xml:space="preserve"> – </w:t>
            </w:r>
            <w:r w:rsidRPr="00975CA4">
              <w:rPr>
                <w:rFonts w:eastAsia="Times New Roman"/>
              </w:rPr>
              <w:t>95)</w:t>
            </w:r>
          </w:p>
        </w:tc>
        <w:tc>
          <w:tcPr>
            <w:tcW w:w="805" w:type="pct"/>
            <w:tcBorders>
              <w:top w:val="single" w:sz="4" w:space="0" w:color="auto"/>
              <w:left w:val="single" w:sz="4" w:space="0" w:color="auto"/>
              <w:bottom w:val="single" w:sz="4" w:space="0" w:color="auto"/>
              <w:right w:val="single" w:sz="4" w:space="0" w:color="auto"/>
            </w:tcBorders>
            <w:hideMark/>
          </w:tcPr>
          <w:p w14:paraId="43C1CBDB" w14:textId="77777777" w:rsidR="00621D2E" w:rsidRPr="00975CA4" w:rsidRDefault="00621D2E" w:rsidP="00621D2E">
            <w:pPr>
              <w:ind w:left="-108" w:right="-160"/>
              <w:jc w:val="center"/>
              <w:rPr>
                <w:rFonts w:eastAsia="Times New Roman"/>
              </w:rPr>
            </w:pPr>
            <w:r w:rsidRPr="00975CA4">
              <w:rPr>
                <w:rFonts w:eastAsia="Times New Roman"/>
              </w:rPr>
              <w:t>80</w:t>
            </w:r>
            <w:r w:rsidR="00466B13" w:rsidRPr="00975CA4">
              <w:rPr>
                <w:rFonts w:eastAsia="Times New Roman"/>
              </w:rPr>
              <w:t> </w:t>
            </w:r>
            <w:r w:rsidRPr="00975CA4">
              <w:rPr>
                <w:rFonts w:eastAsia="Times New Roman"/>
              </w:rPr>
              <w:t>% (73</w:t>
            </w:r>
            <w:r w:rsidRPr="00975CA4">
              <w:rPr>
                <w:rFonts w:eastAsia="Times New Roman"/>
                <w:bCs/>
              </w:rPr>
              <w:t xml:space="preserve"> – </w:t>
            </w:r>
            <w:r w:rsidRPr="00975CA4">
              <w:rPr>
                <w:rFonts w:eastAsia="Times New Roman"/>
              </w:rPr>
              <w:t>87)</w:t>
            </w:r>
          </w:p>
        </w:tc>
        <w:tc>
          <w:tcPr>
            <w:tcW w:w="805" w:type="pct"/>
            <w:tcBorders>
              <w:top w:val="single" w:sz="4" w:space="0" w:color="auto"/>
              <w:left w:val="single" w:sz="4" w:space="0" w:color="auto"/>
              <w:bottom w:val="single" w:sz="4" w:space="0" w:color="auto"/>
              <w:right w:val="single" w:sz="4" w:space="0" w:color="auto"/>
            </w:tcBorders>
            <w:hideMark/>
          </w:tcPr>
          <w:p w14:paraId="7CB65AE2" w14:textId="77777777" w:rsidR="00621D2E" w:rsidRPr="00975CA4" w:rsidRDefault="00621D2E" w:rsidP="00621D2E">
            <w:pPr>
              <w:ind w:left="-108" w:right="-94"/>
              <w:jc w:val="center"/>
              <w:rPr>
                <w:rFonts w:eastAsia="Times New Roman"/>
              </w:rPr>
            </w:pPr>
            <w:r w:rsidRPr="00975CA4">
              <w:rPr>
                <w:rFonts w:eastAsia="Times New Roman"/>
              </w:rPr>
              <w:t>51</w:t>
            </w:r>
            <w:r w:rsidR="00466B13" w:rsidRPr="00975CA4">
              <w:rPr>
                <w:rFonts w:eastAsia="Times New Roman"/>
              </w:rPr>
              <w:t> </w:t>
            </w:r>
            <w:r w:rsidRPr="00975CA4">
              <w:rPr>
                <w:rFonts w:eastAsia="Times New Roman"/>
              </w:rPr>
              <w:t>% (41</w:t>
            </w:r>
            <w:r w:rsidRPr="00975CA4">
              <w:rPr>
                <w:rFonts w:eastAsia="Times New Roman"/>
                <w:bCs/>
              </w:rPr>
              <w:t xml:space="preserve"> – </w:t>
            </w:r>
            <w:r w:rsidRPr="00975CA4">
              <w:rPr>
                <w:rFonts w:eastAsia="Times New Roman"/>
              </w:rPr>
              <w:t>60)</w:t>
            </w:r>
          </w:p>
        </w:tc>
        <w:tc>
          <w:tcPr>
            <w:tcW w:w="805" w:type="pct"/>
            <w:tcBorders>
              <w:top w:val="single" w:sz="4" w:space="0" w:color="auto"/>
              <w:left w:val="single" w:sz="4" w:space="0" w:color="auto"/>
              <w:bottom w:val="single" w:sz="4" w:space="0" w:color="auto"/>
              <w:right w:val="single" w:sz="4" w:space="0" w:color="auto"/>
            </w:tcBorders>
            <w:hideMark/>
          </w:tcPr>
          <w:p w14:paraId="7AC9977E" w14:textId="77777777" w:rsidR="00621D2E" w:rsidRPr="00975CA4" w:rsidRDefault="00621D2E" w:rsidP="00621D2E">
            <w:pPr>
              <w:ind w:left="-108" w:right="-108"/>
              <w:jc w:val="center"/>
              <w:rPr>
                <w:rFonts w:eastAsia="Times New Roman"/>
              </w:rPr>
            </w:pPr>
            <w:r w:rsidRPr="00975CA4">
              <w:rPr>
                <w:rFonts w:eastAsia="Times New Roman"/>
              </w:rPr>
              <w:t>42</w:t>
            </w:r>
            <w:r w:rsidR="00466B13" w:rsidRPr="00975CA4">
              <w:rPr>
                <w:rFonts w:eastAsia="Times New Roman"/>
              </w:rPr>
              <w:t> </w:t>
            </w:r>
            <w:r w:rsidRPr="00975CA4">
              <w:rPr>
                <w:rFonts w:eastAsia="Times New Roman"/>
              </w:rPr>
              <w:t>% (33</w:t>
            </w:r>
            <w:r w:rsidRPr="00975CA4">
              <w:rPr>
                <w:rFonts w:eastAsia="Times New Roman"/>
                <w:bCs/>
              </w:rPr>
              <w:t xml:space="preserve"> – </w:t>
            </w:r>
            <w:r w:rsidRPr="00975CA4">
              <w:rPr>
                <w:rFonts w:eastAsia="Times New Roman"/>
              </w:rPr>
              <w:t>51)</w:t>
            </w:r>
          </w:p>
        </w:tc>
      </w:tr>
      <w:tr w:rsidR="00621D2E" w:rsidRPr="00975CA4" w14:paraId="1CA35B60"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183D0591" w14:textId="77777777" w:rsidR="00621D2E" w:rsidRPr="00975CA4" w:rsidRDefault="00621D2E" w:rsidP="00621D2E">
            <w:pPr>
              <w:ind w:left="188"/>
              <w:rPr>
                <w:rFonts w:eastAsia="Times New Roman"/>
              </w:rPr>
            </w:pPr>
            <w:proofErr w:type="spellStart"/>
            <w:r w:rsidRPr="00975CA4">
              <w:rPr>
                <w:rFonts w:eastAsia="Times New Roman"/>
              </w:rPr>
              <w:t>Imatinibui</w:t>
            </w:r>
            <w:proofErr w:type="spellEnd"/>
            <w:r w:rsidRPr="00975CA4">
              <w:rPr>
                <w:rFonts w:eastAsia="Times New Roman"/>
              </w:rPr>
              <w:t xml:space="preserve"> atsparūs pacientai</w:t>
            </w:r>
          </w:p>
        </w:tc>
        <w:tc>
          <w:tcPr>
            <w:tcW w:w="974" w:type="pct"/>
            <w:tcBorders>
              <w:top w:val="single" w:sz="4" w:space="0" w:color="auto"/>
              <w:left w:val="single" w:sz="4" w:space="0" w:color="auto"/>
              <w:bottom w:val="single" w:sz="4" w:space="0" w:color="auto"/>
              <w:right w:val="single" w:sz="4" w:space="0" w:color="auto"/>
            </w:tcBorders>
            <w:hideMark/>
          </w:tcPr>
          <w:p w14:paraId="780B5A59" w14:textId="77777777" w:rsidR="00621D2E" w:rsidRPr="00975CA4" w:rsidRDefault="00621D2E" w:rsidP="00621D2E">
            <w:pPr>
              <w:ind w:left="-65" w:right="-108"/>
              <w:jc w:val="center"/>
              <w:rPr>
                <w:rFonts w:eastAsia="Times New Roman"/>
              </w:rPr>
            </w:pPr>
            <w:r w:rsidRPr="00975CA4">
              <w:rPr>
                <w:rFonts w:eastAsia="Times New Roman"/>
              </w:rPr>
              <w:t>88</w:t>
            </w:r>
            <w:r w:rsidR="00466B13" w:rsidRPr="00975CA4">
              <w:rPr>
                <w:rFonts w:eastAsia="Times New Roman"/>
              </w:rPr>
              <w:t> </w:t>
            </w:r>
            <w:r w:rsidRPr="00975CA4">
              <w:rPr>
                <w:rFonts w:eastAsia="Times New Roman"/>
              </w:rPr>
              <w:t>% (82</w:t>
            </w:r>
            <w:r w:rsidRPr="00975CA4">
              <w:rPr>
                <w:rFonts w:eastAsia="Times New Roman"/>
                <w:bCs/>
              </w:rPr>
              <w:t xml:space="preserve"> – </w:t>
            </w:r>
            <w:r w:rsidRPr="00975CA4">
              <w:rPr>
                <w:rFonts w:eastAsia="Times New Roman"/>
              </w:rPr>
              <w:t>94)</w:t>
            </w:r>
          </w:p>
        </w:tc>
        <w:tc>
          <w:tcPr>
            <w:tcW w:w="805" w:type="pct"/>
            <w:tcBorders>
              <w:top w:val="single" w:sz="4" w:space="0" w:color="auto"/>
              <w:left w:val="single" w:sz="4" w:space="0" w:color="auto"/>
              <w:bottom w:val="single" w:sz="4" w:space="0" w:color="auto"/>
              <w:right w:val="single" w:sz="4" w:space="0" w:color="auto"/>
            </w:tcBorders>
            <w:hideMark/>
          </w:tcPr>
          <w:p w14:paraId="6695FDE4" w14:textId="77777777" w:rsidR="00621D2E" w:rsidRPr="00975CA4" w:rsidRDefault="00621D2E" w:rsidP="00621D2E">
            <w:pPr>
              <w:ind w:left="-108" w:right="-160"/>
              <w:jc w:val="center"/>
              <w:rPr>
                <w:rFonts w:eastAsia="Times New Roman"/>
              </w:rPr>
            </w:pPr>
            <w:r w:rsidRPr="00975CA4">
              <w:rPr>
                <w:rFonts w:eastAsia="Times New Roman"/>
              </w:rPr>
              <w:t>77</w:t>
            </w:r>
            <w:r w:rsidR="00466B13" w:rsidRPr="00975CA4">
              <w:rPr>
                <w:rFonts w:eastAsia="Times New Roman"/>
              </w:rPr>
              <w:t> </w:t>
            </w:r>
            <w:r w:rsidRPr="00975CA4">
              <w:rPr>
                <w:rFonts w:eastAsia="Times New Roman"/>
              </w:rPr>
              <w:t>% (68</w:t>
            </w:r>
            <w:r w:rsidRPr="00975CA4">
              <w:rPr>
                <w:rFonts w:eastAsia="Times New Roman"/>
                <w:bCs/>
              </w:rPr>
              <w:t xml:space="preserve"> – </w:t>
            </w:r>
            <w:r w:rsidRPr="00975CA4">
              <w:rPr>
                <w:rFonts w:eastAsia="Times New Roman"/>
              </w:rPr>
              <w:t>85)</w:t>
            </w:r>
          </w:p>
        </w:tc>
        <w:tc>
          <w:tcPr>
            <w:tcW w:w="805" w:type="pct"/>
            <w:tcBorders>
              <w:top w:val="single" w:sz="4" w:space="0" w:color="auto"/>
              <w:left w:val="single" w:sz="4" w:space="0" w:color="auto"/>
              <w:bottom w:val="single" w:sz="4" w:space="0" w:color="auto"/>
              <w:right w:val="single" w:sz="4" w:space="0" w:color="auto"/>
            </w:tcBorders>
            <w:hideMark/>
          </w:tcPr>
          <w:p w14:paraId="233A13E2" w14:textId="77777777" w:rsidR="00621D2E" w:rsidRPr="00975CA4" w:rsidRDefault="00621D2E" w:rsidP="00621D2E">
            <w:pPr>
              <w:ind w:left="-108" w:right="-94"/>
              <w:jc w:val="center"/>
              <w:rPr>
                <w:rFonts w:eastAsia="Times New Roman"/>
              </w:rPr>
            </w:pPr>
            <w:r w:rsidRPr="00975CA4">
              <w:rPr>
                <w:rFonts w:eastAsia="Times New Roman"/>
              </w:rPr>
              <w:t>49</w:t>
            </w:r>
            <w:r w:rsidR="00466B13" w:rsidRPr="00975CA4">
              <w:rPr>
                <w:rFonts w:eastAsia="Times New Roman"/>
              </w:rPr>
              <w:t> </w:t>
            </w:r>
            <w:r w:rsidRPr="00975CA4">
              <w:rPr>
                <w:rFonts w:eastAsia="Times New Roman"/>
              </w:rPr>
              <w:t>% (39</w:t>
            </w:r>
            <w:r w:rsidRPr="00975CA4">
              <w:rPr>
                <w:rFonts w:eastAsia="Times New Roman"/>
                <w:bCs/>
              </w:rPr>
              <w:t xml:space="preserve"> – </w:t>
            </w:r>
            <w:r w:rsidRPr="00975CA4">
              <w:rPr>
                <w:rFonts w:eastAsia="Times New Roman"/>
              </w:rPr>
              <w:t>59)</w:t>
            </w:r>
          </w:p>
        </w:tc>
        <w:tc>
          <w:tcPr>
            <w:tcW w:w="805" w:type="pct"/>
            <w:tcBorders>
              <w:top w:val="single" w:sz="4" w:space="0" w:color="auto"/>
              <w:left w:val="single" w:sz="4" w:space="0" w:color="auto"/>
              <w:bottom w:val="single" w:sz="4" w:space="0" w:color="auto"/>
              <w:right w:val="single" w:sz="4" w:space="0" w:color="auto"/>
            </w:tcBorders>
            <w:hideMark/>
          </w:tcPr>
          <w:p w14:paraId="061988D7" w14:textId="77777777" w:rsidR="00621D2E" w:rsidRPr="00975CA4" w:rsidRDefault="00621D2E" w:rsidP="00621D2E">
            <w:pPr>
              <w:ind w:left="-108" w:right="-108"/>
              <w:jc w:val="center"/>
              <w:rPr>
                <w:rFonts w:eastAsia="Times New Roman"/>
              </w:rPr>
            </w:pPr>
            <w:r w:rsidRPr="00975CA4">
              <w:rPr>
                <w:rFonts w:eastAsia="Times New Roman"/>
              </w:rPr>
              <w:t>39</w:t>
            </w:r>
            <w:r w:rsidR="00466B13" w:rsidRPr="00975CA4">
              <w:rPr>
                <w:rFonts w:eastAsia="Times New Roman"/>
              </w:rPr>
              <w:t> </w:t>
            </w:r>
            <w:r w:rsidRPr="00975CA4">
              <w:rPr>
                <w:rFonts w:eastAsia="Times New Roman"/>
              </w:rPr>
              <w:t>% (29</w:t>
            </w:r>
            <w:r w:rsidRPr="00975CA4">
              <w:rPr>
                <w:rFonts w:eastAsia="Times New Roman"/>
                <w:bCs/>
              </w:rPr>
              <w:t xml:space="preserve"> – </w:t>
            </w:r>
            <w:r w:rsidRPr="00975CA4">
              <w:rPr>
                <w:rFonts w:eastAsia="Times New Roman"/>
              </w:rPr>
              <w:t>49)</w:t>
            </w:r>
          </w:p>
        </w:tc>
      </w:tr>
      <w:tr w:rsidR="00621D2E" w:rsidRPr="00975CA4" w14:paraId="548651DC"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41F53F5A" w14:textId="77777777" w:rsidR="00621D2E" w:rsidRPr="00975CA4" w:rsidRDefault="00621D2E" w:rsidP="00621D2E">
            <w:pPr>
              <w:ind w:left="188" w:right="-168"/>
              <w:rPr>
                <w:rFonts w:eastAsia="Times New Roman"/>
              </w:rPr>
            </w:pPr>
            <w:proofErr w:type="spellStart"/>
            <w:r w:rsidRPr="00975CA4">
              <w:rPr>
                <w:rFonts w:eastAsia="Times New Roman"/>
              </w:rPr>
              <w:t>Imatinibo</w:t>
            </w:r>
            <w:proofErr w:type="spellEnd"/>
            <w:r w:rsidRPr="00975CA4">
              <w:rPr>
                <w:rFonts w:eastAsia="Times New Roman"/>
              </w:rPr>
              <w:t xml:space="preserve"> netoleravę pacientai</w:t>
            </w:r>
          </w:p>
        </w:tc>
        <w:tc>
          <w:tcPr>
            <w:tcW w:w="974" w:type="pct"/>
            <w:tcBorders>
              <w:top w:val="single" w:sz="4" w:space="0" w:color="auto"/>
              <w:left w:val="single" w:sz="4" w:space="0" w:color="auto"/>
              <w:bottom w:val="single" w:sz="4" w:space="0" w:color="auto"/>
              <w:right w:val="single" w:sz="4" w:space="0" w:color="auto"/>
            </w:tcBorders>
            <w:hideMark/>
          </w:tcPr>
          <w:p w14:paraId="788C327D" w14:textId="77777777" w:rsidR="00621D2E" w:rsidRPr="00975CA4" w:rsidRDefault="00621D2E" w:rsidP="00621D2E">
            <w:pPr>
              <w:ind w:left="-65" w:right="-108"/>
              <w:jc w:val="center"/>
              <w:rPr>
                <w:rFonts w:eastAsia="Times New Roman"/>
              </w:rPr>
            </w:pPr>
            <w:r w:rsidRPr="00975CA4">
              <w:rPr>
                <w:rFonts w:eastAsia="Times New Roman"/>
              </w:rPr>
              <w:t>97</w:t>
            </w:r>
            <w:r w:rsidR="00466B13" w:rsidRPr="00975CA4">
              <w:rPr>
                <w:rFonts w:eastAsia="Times New Roman"/>
              </w:rPr>
              <w:t> </w:t>
            </w:r>
            <w:r w:rsidRPr="00975CA4">
              <w:rPr>
                <w:rFonts w:eastAsia="Times New Roman"/>
              </w:rPr>
              <w:t>% (92</w:t>
            </w:r>
            <w:r w:rsidRPr="00975CA4">
              <w:rPr>
                <w:rFonts w:eastAsia="Times New Roman"/>
                <w:bCs/>
              </w:rPr>
              <w:t xml:space="preserve"> – </w:t>
            </w:r>
            <w:r w:rsidRPr="00975CA4">
              <w:rPr>
                <w:rFonts w:eastAsia="Times New Roman"/>
              </w:rPr>
              <w:t>100)</w:t>
            </w:r>
          </w:p>
        </w:tc>
        <w:tc>
          <w:tcPr>
            <w:tcW w:w="805" w:type="pct"/>
            <w:tcBorders>
              <w:top w:val="single" w:sz="4" w:space="0" w:color="auto"/>
              <w:left w:val="single" w:sz="4" w:space="0" w:color="auto"/>
              <w:bottom w:val="single" w:sz="4" w:space="0" w:color="auto"/>
              <w:right w:val="single" w:sz="4" w:space="0" w:color="auto"/>
            </w:tcBorders>
            <w:hideMark/>
          </w:tcPr>
          <w:p w14:paraId="3579DA99" w14:textId="77777777" w:rsidR="00621D2E" w:rsidRPr="00975CA4" w:rsidRDefault="00621D2E" w:rsidP="00621D2E">
            <w:pPr>
              <w:ind w:left="-108" w:right="-160"/>
              <w:jc w:val="center"/>
              <w:rPr>
                <w:rFonts w:eastAsia="Times New Roman"/>
              </w:rPr>
            </w:pPr>
            <w:r w:rsidRPr="00975CA4">
              <w:rPr>
                <w:rFonts w:eastAsia="Times New Roman"/>
              </w:rPr>
              <w:t>87</w:t>
            </w:r>
            <w:r w:rsidR="00466B13" w:rsidRPr="00975CA4">
              <w:rPr>
                <w:rFonts w:eastAsia="Times New Roman"/>
              </w:rPr>
              <w:t> </w:t>
            </w:r>
            <w:r w:rsidRPr="00975CA4">
              <w:rPr>
                <w:rFonts w:eastAsia="Times New Roman"/>
              </w:rPr>
              <w:t>% (76</w:t>
            </w:r>
            <w:r w:rsidRPr="00975CA4">
              <w:rPr>
                <w:rFonts w:eastAsia="Times New Roman"/>
                <w:bCs/>
              </w:rPr>
              <w:t xml:space="preserve"> – </w:t>
            </w:r>
            <w:r w:rsidRPr="00975CA4">
              <w:rPr>
                <w:rFonts w:eastAsia="Times New Roman"/>
              </w:rPr>
              <w:t>99)</w:t>
            </w:r>
          </w:p>
        </w:tc>
        <w:tc>
          <w:tcPr>
            <w:tcW w:w="805" w:type="pct"/>
            <w:tcBorders>
              <w:top w:val="single" w:sz="4" w:space="0" w:color="auto"/>
              <w:left w:val="single" w:sz="4" w:space="0" w:color="auto"/>
              <w:bottom w:val="single" w:sz="4" w:space="0" w:color="auto"/>
              <w:right w:val="single" w:sz="4" w:space="0" w:color="auto"/>
            </w:tcBorders>
            <w:hideMark/>
          </w:tcPr>
          <w:p w14:paraId="1EC3FCB8" w14:textId="77777777" w:rsidR="00621D2E" w:rsidRPr="00975CA4" w:rsidRDefault="00621D2E" w:rsidP="00621D2E">
            <w:pPr>
              <w:ind w:left="-108" w:right="-94"/>
              <w:jc w:val="center"/>
              <w:rPr>
                <w:rFonts w:eastAsia="Times New Roman"/>
              </w:rPr>
            </w:pPr>
            <w:r w:rsidRPr="00975CA4">
              <w:rPr>
                <w:rFonts w:eastAsia="Times New Roman"/>
              </w:rPr>
              <w:t>56</w:t>
            </w:r>
            <w:r w:rsidR="00466B13" w:rsidRPr="00975CA4">
              <w:rPr>
                <w:rFonts w:eastAsia="Times New Roman"/>
              </w:rPr>
              <w:t> </w:t>
            </w:r>
            <w:r w:rsidRPr="00975CA4">
              <w:rPr>
                <w:rFonts w:eastAsia="Times New Roman"/>
              </w:rPr>
              <w:t>% (37</w:t>
            </w:r>
            <w:r w:rsidRPr="00975CA4">
              <w:rPr>
                <w:rFonts w:eastAsia="Times New Roman"/>
                <w:bCs/>
              </w:rPr>
              <w:t xml:space="preserve"> – </w:t>
            </w:r>
            <w:r w:rsidRPr="00975CA4">
              <w:rPr>
                <w:rFonts w:eastAsia="Times New Roman"/>
              </w:rPr>
              <w:t>76)</w:t>
            </w:r>
          </w:p>
        </w:tc>
        <w:tc>
          <w:tcPr>
            <w:tcW w:w="805" w:type="pct"/>
            <w:tcBorders>
              <w:top w:val="single" w:sz="4" w:space="0" w:color="auto"/>
              <w:left w:val="single" w:sz="4" w:space="0" w:color="auto"/>
              <w:bottom w:val="single" w:sz="4" w:space="0" w:color="auto"/>
              <w:right w:val="single" w:sz="4" w:space="0" w:color="auto"/>
            </w:tcBorders>
            <w:hideMark/>
          </w:tcPr>
          <w:p w14:paraId="5FC2F037" w14:textId="77777777" w:rsidR="00621D2E" w:rsidRPr="00975CA4" w:rsidRDefault="00621D2E" w:rsidP="00621D2E">
            <w:pPr>
              <w:ind w:left="-108" w:right="-108"/>
              <w:jc w:val="center"/>
              <w:rPr>
                <w:rFonts w:eastAsia="Times New Roman"/>
              </w:rPr>
            </w:pPr>
            <w:r w:rsidRPr="00975CA4">
              <w:rPr>
                <w:rFonts w:eastAsia="Times New Roman"/>
              </w:rPr>
              <w:t>51</w:t>
            </w:r>
            <w:r w:rsidR="00466B13" w:rsidRPr="00975CA4">
              <w:rPr>
                <w:rFonts w:eastAsia="Times New Roman"/>
              </w:rPr>
              <w:t> </w:t>
            </w:r>
            <w:r w:rsidRPr="00975CA4">
              <w:rPr>
                <w:rFonts w:eastAsia="Times New Roman"/>
              </w:rPr>
              <w:t>% (32</w:t>
            </w:r>
            <w:r w:rsidRPr="00975CA4">
              <w:rPr>
                <w:rFonts w:eastAsia="Times New Roman"/>
                <w:bCs/>
              </w:rPr>
              <w:t xml:space="preserve"> – </w:t>
            </w:r>
            <w:r w:rsidRPr="00975CA4">
              <w:rPr>
                <w:rFonts w:eastAsia="Times New Roman"/>
              </w:rPr>
              <w:t>67)</w:t>
            </w:r>
          </w:p>
        </w:tc>
      </w:tr>
      <w:tr w:rsidR="00621D2E" w:rsidRPr="00975CA4" w14:paraId="3ED2681B" w14:textId="77777777" w:rsidTr="00ED5F32">
        <w:trPr>
          <w:trHeight w:val="283"/>
        </w:trPr>
        <w:tc>
          <w:tcPr>
            <w:tcW w:w="5000" w:type="pct"/>
            <w:gridSpan w:val="6"/>
            <w:tcBorders>
              <w:top w:val="single" w:sz="4" w:space="0" w:color="auto"/>
              <w:left w:val="single" w:sz="4" w:space="0" w:color="auto"/>
              <w:bottom w:val="single" w:sz="4" w:space="0" w:color="auto"/>
              <w:right w:val="single" w:sz="4" w:space="0" w:color="auto"/>
            </w:tcBorders>
            <w:hideMark/>
          </w:tcPr>
          <w:p w14:paraId="3FFF43A2" w14:textId="77777777" w:rsidR="00621D2E" w:rsidRPr="00975CA4" w:rsidRDefault="00621D2E" w:rsidP="00621D2E">
            <w:pPr>
              <w:ind w:right="-108"/>
              <w:rPr>
                <w:rFonts w:eastAsia="Times New Roman"/>
                <w:bCs/>
              </w:rPr>
            </w:pPr>
            <w:r w:rsidRPr="00975CA4">
              <w:rPr>
                <w:rFonts w:eastAsia="SimSun"/>
                <w:b/>
                <w:bCs/>
                <w:iCs/>
                <w:color w:val="000000"/>
                <w:lang w:eastAsia="ar-SA"/>
              </w:rPr>
              <w:t>Bendras išgyvenimas</w:t>
            </w:r>
          </w:p>
        </w:tc>
      </w:tr>
      <w:tr w:rsidR="00621D2E" w:rsidRPr="00975CA4" w14:paraId="09B96868"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28F0ADE0" w14:textId="77777777" w:rsidR="00621D2E" w:rsidRPr="00975CA4" w:rsidRDefault="00621D2E" w:rsidP="00621D2E">
            <w:pPr>
              <w:ind w:left="188"/>
              <w:rPr>
                <w:rFonts w:eastAsia="Times New Roman"/>
              </w:rPr>
            </w:pPr>
            <w:r w:rsidRPr="00975CA4">
              <w:rPr>
                <w:rFonts w:eastAsia="Times New Roman"/>
              </w:rPr>
              <w:t>Visi pacientai</w:t>
            </w:r>
          </w:p>
        </w:tc>
        <w:tc>
          <w:tcPr>
            <w:tcW w:w="974" w:type="pct"/>
            <w:tcBorders>
              <w:top w:val="single" w:sz="4" w:space="0" w:color="auto"/>
              <w:left w:val="single" w:sz="4" w:space="0" w:color="auto"/>
              <w:bottom w:val="single" w:sz="4" w:space="0" w:color="auto"/>
              <w:right w:val="single" w:sz="4" w:space="0" w:color="auto"/>
            </w:tcBorders>
            <w:hideMark/>
          </w:tcPr>
          <w:p w14:paraId="344B2A97" w14:textId="77777777" w:rsidR="00621D2E" w:rsidRPr="00975CA4" w:rsidRDefault="00621D2E" w:rsidP="00621D2E">
            <w:pPr>
              <w:ind w:left="-65" w:right="-108"/>
              <w:jc w:val="center"/>
              <w:rPr>
                <w:rFonts w:eastAsia="Times New Roman"/>
              </w:rPr>
            </w:pPr>
            <w:r w:rsidRPr="00975CA4">
              <w:rPr>
                <w:rFonts w:eastAsia="Times New Roman"/>
              </w:rPr>
              <w:t>96</w:t>
            </w:r>
            <w:r w:rsidR="00466B13" w:rsidRPr="00975CA4">
              <w:rPr>
                <w:rFonts w:eastAsia="Times New Roman"/>
              </w:rPr>
              <w:t> </w:t>
            </w:r>
            <w:r w:rsidRPr="00975CA4">
              <w:rPr>
                <w:rFonts w:eastAsia="Times New Roman"/>
              </w:rPr>
              <w:t>% (93</w:t>
            </w:r>
            <w:r w:rsidRPr="00975CA4">
              <w:rPr>
                <w:rFonts w:eastAsia="Times New Roman"/>
                <w:bCs/>
              </w:rPr>
              <w:t xml:space="preserve"> – </w:t>
            </w:r>
            <w:r w:rsidRPr="00975CA4">
              <w:rPr>
                <w:rFonts w:eastAsia="Times New Roman"/>
              </w:rPr>
              <w:t>99)</w:t>
            </w:r>
          </w:p>
        </w:tc>
        <w:tc>
          <w:tcPr>
            <w:tcW w:w="805" w:type="pct"/>
            <w:tcBorders>
              <w:top w:val="single" w:sz="4" w:space="0" w:color="auto"/>
              <w:left w:val="single" w:sz="4" w:space="0" w:color="auto"/>
              <w:bottom w:val="single" w:sz="4" w:space="0" w:color="auto"/>
              <w:right w:val="single" w:sz="4" w:space="0" w:color="auto"/>
            </w:tcBorders>
            <w:hideMark/>
          </w:tcPr>
          <w:p w14:paraId="42ADAFE2" w14:textId="77777777" w:rsidR="00621D2E" w:rsidRPr="00975CA4" w:rsidRDefault="00621D2E" w:rsidP="00621D2E">
            <w:pPr>
              <w:ind w:left="-108" w:right="-160"/>
              <w:jc w:val="center"/>
              <w:rPr>
                <w:rFonts w:eastAsia="Times New Roman"/>
              </w:rPr>
            </w:pPr>
            <w:r w:rsidRPr="00975CA4">
              <w:rPr>
                <w:rFonts w:eastAsia="Times New Roman"/>
              </w:rPr>
              <w:t>91</w:t>
            </w:r>
            <w:r w:rsidR="00466B13" w:rsidRPr="00975CA4">
              <w:rPr>
                <w:rFonts w:eastAsia="Times New Roman"/>
              </w:rPr>
              <w:t> </w:t>
            </w:r>
            <w:r w:rsidRPr="00975CA4">
              <w:rPr>
                <w:rFonts w:eastAsia="Times New Roman"/>
              </w:rPr>
              <w:t>% (86</w:t>
            </w:r>
            <w:r w:rsidRPr="00975CA4">
              <w:rPr>
                <w:rFonts w:eastAsia="Times New Roman"/>
                <w:bCs/>
              </w:rPr>
              <w:t xml:space="preserve"> – </w:t>
            </w:r>
            <w:r w:rsidRPr="00975CA4">
              <w:rPr>
                <w:rFonts w:eastAsia="Times New Roman"/>
              </w:rPr>
              <w:t>96)</w:t>
            </w:r>
          </w:p>
        </w:tc>
        <w:tc>
          <w:tcPr>
            <w:tcW w:w="805" w:type="pct"/>
            <w:tcBorders>
              <w:top w:val="single" w:sz="4" w:space="0" w:color="auto"/>
              <w:left w:val="single" w:sz="4" w:space="0" w:color="auto"/>
              <w:bottom w:val="single" w:sz="4" w:space="0" w:color="auto"/>
              <w:right w:val="single" w:sz="4" w:space="0" w:color="auto"/>
            </w:tcBorders>
            <w:hideMark/>
          </w:tcPr>
          <w:p w14:paraId="1C414074" w14:textId="77777777" w:rsidR="00621D2E" w:rsidRPr="00975CA4" w:rsidRDefault="00621D2E" w:rsidP="00621D2E">
            <w:pPr>
              <w:ind w:left="-108" w:right="-94"/>
              <w:jc w:val="center"/>
              <w:rPr>
                <w:rFonts w:eastAsia="Times New Roman"/>
              </w:rPr>
            </w:pPr>
            <w:r w:rsidRPr="00975CA4">
              <w:rPr>
                <w:rFonts w:eastAsia="Times New Roman"/>
              </w:rPr>
              <w:t>78</w:t>
            </w:r>
            <w:r w:rsidR="00466B13" w:rsidRPr="00975CA4">
              <w:rPr>
                <w:rFonts w:eastAsia="Times New Roman"/>
              </w:rPr>
              <w:t> </w:t>
            </w:r>
            <w:r w:rsidRPr="00975CA4">
              <w:rPr>
                <w:rFonts w:eastAsia="Times New Roman"/>
              </w:rPr>
              <w:t>% (72</w:t>
            </w:r>
            <w:r w:rsidRPr="00975CA4">
              <w:rPr>
                <w:rFonts w:eastAsia="Times New Roman"/>
                <w:bCs/>
              </w:rPr>
              <w:t xml:space="preserve"> – </w:t>
            </w:r>
            <w:r w:rsidRPr="00975CA4">
              <w:rPr>
                <w:rFonts w:eastAsia="Times New Roman"/>
              </w:rPr>
              <w:t>85)</w:t>
            </w:r>
          </w:p>
        </w:tc>
        <w:tc>
          <w:tcPr>
            <w:tcW w:w="805" w:type="pct"/>
            <w:tcBorders>
              <w:top w:val="single" w:sz="4" w:space="0" w:color="auto"/>
              <w:left w:val="single" w:sz="4" w:space="0" w:color="auto"/>
              <w:bottom w:val="single" w:sz="4" w:space="0" w:color="auto"/>
              <w:right w:val="single" w:sz="4" w:space="0" w:color="auto"/>
            </w:tcBorders>
            <w:hideMark/>
          </w:tcPr>
          <w:p w14:paraId="0E526355" w14:textId="77777777" w:rsidR="00621D2E" w:rsidRPr="00975CA4" w:rsidRDefault="00621D2E" w:rsidP="00621D2E">
            <w:pPr>
              <w:ind w:left="-108" w:right="-108"/>
              <w:jc w:val="center"/>
              <w:rPr>
                <w:rFonts w:eastAsia="Times New Roman"/>
              </w:rPr>
            </w:pPr>
            <w:r w:rsidRPr="00975CA4">
              <w:rPr>
                <w:rFonts w:eastAsia="Times New Roman"/>
              </w:rPr>
              <w:t>65</w:t>
            </w:r>
            <w:r w:rsidR="00746845" w:rsidRPr="00975CA4">
              <w:rPr>
                <w:rFonts w:eastAsia="Times New Roman"/>
              </w:rPr>
              <w:t> </w:t>
            </w:r>
            <w:r w:rsidRPr="00975CA4">
              <w:rPr>
                <w:rFonts w:eastAsia="Times New Roman"/>
              </w:rPr>
              <w:t>% (56</w:t>
            </w:r>
            <w:r w:rsidRPr="00975CA4">
              <w:rPr>
                <w:rFonts w:eastAsia="Times New Roman"/>
                <w:bCs/>
              </w:rPr>
              <w:t xml:space="preserve"> – </w:t>
            </w:r>
            <w:r w:rsidRPr="00975CA4">
              <w:rPr>
                <w:rFonts w:eastAsia="Times New Roman"/>
              </w:rPr>
              <w:t>72)</w:t>
            </w:r>
          </w:p>
        </w:tc>
      </w:tr>
      <w:tr w:rsidR="00621D2E" w:rsidRPr="00975CA4" w14:paraId="3451A94C"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28E71DEC" w14:textId="77777777" w:rsidR="00621D2E" w:rsidRPr="00975CA4" w:rsidRDefault="00621D2E" w:rsidP="00621D2E">
            <w:pPr>
              <w:ind w:left="188"/>
              <w:rPr>
                <w:rFonts w:eastAsia="Times New Roman"/>
              </w:rPr>
            </w:pPr>
            <w:proofErr w:type="spellStart"/>
            <w:r w:rsidRPr="00975CA4">
              <w:rPr>
                <w:rFonts w:eastAsia="Times New Roman"/>
              </w:rPr>
              <w:t>Imatinibui</w:t>
            </w:r>
            <w:proofErr w:type="spellEnd"/>
            <w:r w:rsidRPr="00975CA4">
              <w:rPr>
                <w:rFonts w:eastAsia="Times New Roman"/>
              </w:rPr>
              <w:t xml:space="preserve"> atsparūs pacientai</w:t>
            </w:r>
          </w:p>
        </w:tc>
        <w:tc>
          <w:tcPr>
            <w:tcW w:w="974" w:type="pct"/>
            <w:tcBorders>
              <w:top w:val="single" w:sz="4" w:space="0" w:color="auto"/>
              <w:left w:val="single" w:sz="4" w:space="0" w:color="auto"/>
              <w:bottom w:val="single" w:sz="4" w:space="0" w:color="auto"/>
              <w:right w:val="single" w:sz="4" w:space="0" w:color="auto"/>
            </w:tcBorders>
            <w:hideMark/>
          </w:tcPr>
          <w:p w14:paraId="4573ACCB" w14:textId="77777777" w:rsidR="00621D2E" w:rsidRPr="00975CA4" w:rsidRDefault="00621D2E" w:rsidP="00621D2E">
            <w:pPr>
              <w:ind w:left="-65" w:right="-108"/>
              <w:jc w:val="center"/>
              <w:rPr>
                <w:rFonts w:eastAsia="Times New Roman"/>
              </w:rPr>
            </w:pPr>
            <w:r w:rsidRPr="00975CA4">
              <w:rPr>
                <w:rFonts w:eastAsia="Times New Roman"/>
              </w:rPr>
              <w:t>94</w:t>
            </w:r>
            <w:r w:rsidR="00466B13" w:rsidRPr="00975CA4">
              <w:rPr>
                <w:rFonts w:eastAsia="Times New Roman"/>
              </w:rPr>
              <w:t> </w:t>
            </w:r>
            <w:r w:rsidRPr="00975CA4">
              <w:rPr>
                <w:rFonts w:eastAsia="Times New Roman"/>
              </w:rPr>
              <w:t>% (90</w:t>
            </w:r>
            <w:r w:rsidRPr="00975CA4">
              <w:rPr>
                <w:rFonts w:eastAsia="Times New Roman"/>
                <w:bCs/>
              </w:rPr>
              <w:t xml:space="preserve"> – </w:t>
            </w:r>
            <w:r w:rsidRPr="00975CA4">
              <w:rPr>
                <w:rFonts w:eastAsia="Times New Roman"/>
              </w:rPr>
              <w:t>98)</w:t>
            </w:r>
          </w:p>
        </w:tc>
        <w:tc>
          <w:tcPr>
            <w:tcW w:w="805" w:type="pct"/>
            <w:tcBorders>
              <w:top w:val="single" w:sz="4" w:space="0" w:color="auto"/>
              <w:left w:val="single" w:sz="4" w:space="0" w:color="auto"/>
              <w:bottom w:val="single" w:sz="4" w:space="0" w:color="auto"/>
              <w:right w:val="single" w:sz="4" w:space="0" w:color="auto"/>
            </w:tcBorders>
            <w:hideMark/>
          </w:tcPr>
          <w:p w14:paraId="01B8BB38" w14:textId="77777777" w:rsidR="00621D2E" w:rsidRPr="00975CA4" w:rsidRDefault="00621D2E" w:rsidP="00621D2E">
            <w:pPr>
              <w:ind w:left="-108" w:right="-160"/>
              <w:jc w:val="center"/>
              <w:rPr>
                <w:rFonts w:eastAsia="Times New Roman"/>
              </w:rPr>
            </w:pPr>
            <w:r w:rsidRPr="00975CA4">
              <w:rPr>
                <w:rFonts w:eastAsia="Times New Roman"/>
              </w:rPr>
              <w:t>89</w:t>
            </w:r>
            <w:r w:rsidR="00466B13" w:rsidRPr="00975CA4">
              <w:rPr>
                <w:rFonts w:eastAsia="Times New Roman"/>
              </w:rPr>
              <w:t> </w:t>
            </w:r>
            <w:r w:rsidRPr="00975CA4">
              <w:rPr>
                <w:rFonts w:eastAsia="Times New Roman"/>
              </w:rPr>
              <w:t>% (84</w:t>
            </w:r>
            <w:r w:rsidRPr="00975CA4">
              <w:rPr>
                <w:rFonts w:eastAsia="Times New Roman"/>
                <w:bCs/>
              </w:rPr>
              <w:t xml:space="preserve"> – </w:t>
            </w:r>
            <w:r w:rsidRPr="00975CA4">
              <w:rPr>
                <w:rFonts w:eastAsia="Times New Roman"/>
              </w:rPr>
              <w:t>95)</w:t>
            </w:r>
          </w:p>
        </w:tc>
        <w:tc>
          <w:tcPr>
            <w:tcW w:w="805" w:type="pct"/>
            <w:tcBorders>
              <w:top w:val="single" w:sz="4" w:space="0" w:color="auto"/>
              <w:left w:val="single" w:sz="4" w:space="0" w:color="auto"/>
              <w:bottom w:val="single" w:sz="4" w:space="0" w:color="auto"/>
              <w:right w:val="single" w:sz="4" w:space="0" w:color="auto"/>
            </w:tcBorders>
            <w:hideMark/>
          </w:tcPr>
          <w:p w14:paraId="26F31429" w14:textId="77777777" w:rsidR="00621D2E" w:rsidRPr="00975CA4" w:rsidRDefault="00621D2E" w:rsidP="00621D2E">
            <w:pPr>
              <w:ind w:left="-108" w:right="-94"/>
              <w:jc w:val="center"/>
              <w:rPr>
                <w:rFonts w:eastAsia="Times New Roman"/>
              </w:rPr>
            </w:pPr>
            <w:r w:rsidRPr="00975CA4">
              <w:rPr>
                <w:rFonts w:eastAsia="Times New Roman"/>
              </w:rPr>
              <w:t>77</w:t>
            </w:r>
            <w:r w:rsidR="00466B13" w:rsidRPr="00975CA4">
              <w:rPr>
                <w:rFonts w:eastAsia="Times New Roman"/>
              </w:rPr>
              <w:t> </w:t>
            </w:r>
            <w:r w:rsidRPr="00975CA4">
              <w:rPr>
                <w:rFonts w:eastAsia="Times New Roman"/>
              </w:rPr>
              <w:t>% (69</w:t>
            </w:r>
            <w:r w:rsidRPr="00975CA4">
              <w:rPr>
                <w:rFonts w:eastAsia="Times New Roman"/>
                <w:bCs/>
              </w:rPr>
              <w:t xml:space="preserve"> – </w:t>
            </w:r>
            <w:r w:rsidRPr="00975CA4">
              <w:rPr>
                <w:rFonts w:eastAsia="Times New Roman"/>
              </w:rPr>
              <w:t>85)</w:t>
            </w:r>
          </w:p>
        </w:tc>
        <w:tc>
          <w:tcPr>
            <w:tcW w:w="805" w:type="pct"/>
            <w:tcBorders>
              <w:top w:val="single" w:sz="4" w:space="0" w:color="auto"/>
              <w:left w:val="single" w:sz="4" w:space="0" w:color="auto"/>
              <w:bottom w:val="single" w:sz="4" w:space="0" w:color="auto"/>
              <w:right w:val="single" w:sz="4" w:space="0" w:color="auto"/>
            </w:tcBorders>
            <w:hideMark/>
          </w:tcPr>
          <w:p w14:paraId="565920F1" w14:textId="77777777" w:rsidR="00621D2E" w:rsidRPr="00975CA4" w:rsidRDefault="00621D2E" w:rsidP="00621D2E">
            <w:pPr>
              <w:ind w:left="-108" w:right="-108"/>
              <w:jc w:val="center"/>
              <w:rPr>
                <w:rFonts w:eastAsia="Times New Roman"/>
              </w:rPr>
            </w:pPr>
            <w:r w:rsidRPr="00975CA4">
              <w:rPr>
                <w:rFonts w:eastAsia="Times New Roman"/>
              </w:rPr>
              <w:t>63</w:t>
            </w:r>
            <w:r w:rsidR="00466B13" w:rsidRPr="00975CA4">
              <w:rPr>
                <w:rFonts w:eastAsia="Times New Roman"/>
              </w:rPr>
              <w:t> </w:t>
            </w:r>
            <w:r w:rsidRPr="00975CA4">
              <w:rPr>
                <w:rFonts w:eastAsia="Times New Roman"/>
              </w:rPr>
              <w:t>% (53</w:t>
            </w:r>
            <w:r w:rsidRPr="00975CA4">
              <w:rPr>
                <w:rFonts w:eastAsia="Times New Roman"/>
                <w:bCs/>
              </w:rPr>
              <w:t xml:space="preserve"> – </w:t>
            </w:r>
            <w:r w:rsidRPr="00975CA4">
              <w:rPr>
                <w:rFonts w:eastAsia="Times New Roman"/>
              </w:rPr>
              <w:t>71)</w:t>
            </w:r>
          </w:p>
        </w:tc>
      </w:tr>
      <w:tr w:rsidR="00621D2E" w:rsidRPr="00975CA4" w14:paraId="5591EE39" w14:textId="77777777" w:rsidTr="00ED5F32">
        <w:trPr>
          <w:gridAfter w:val="1"/>
          <w:wAfter w:w="4" w:type="pct"/>
          <w:trHeight w:val="283"/>
        </w:trPr>
        <w:tc>
          <w:tcPr>
            <w:tcW w:w="1608" w:type="pct"/>
            <w:tcBorders>
              <w:top w:val="single" w:sz="4" w:space="0" w:color="auto"/>
              <w:left w:val="single" w:sz="4" w:space="0" w:color="auto"/>
              <w:bottom w:val="single" w:sz="4" w:space="0" w:color="auto"/>
              <w:right w:val="single" w:sz="4" w:space="0" w:color="auto"/>
            </w:tcBorders>
            <w:hideMark/>
          </w:tcPr>
          <w:p w14:paraId="3BD8AA17" w14:textId="77777777" w:rsidR="00621D2E" w:rsidRPr="00975CA4" w:rsidRDefault="00621D2E" w:rsidP="00621D2E">
            <w:pPr>
              <w:ind w:left="188" w:right="-168"/>
              <w:rPr>
                <w:rFonts w:eastAsia="Times New Roman"/>
              </w:rPr>
            </w:pPr>
            <w:proofErr w:type="spellStart"/>
            <w:r w:rsidRPr="00975CA4">
              <w:rPr>
                <w:rFonts w:eastAsia="Times New Roman"/>
              </w:rPr>
              <w:t>Imatinibo</w:t>
            </w:r>
            <w:proofErr w:type="spellEnd"/>
            <w:r w:rsidRPr="00975CA4">
              <w:rPr>
                <w:rFonts w:eastAsia="Times New Roman"/>
              </w:rPr>
              <w:t xml:space="preserve"> netoleravę pacientai</w:t>
            </w:r>
          </w:p>
        </w:tc>
        <w:tc>
          <w:tcPr>
            <w:tcW w:w="974" w:type="pct"/>
            <w:tcBorders>
              <w:top w:val="single" w:sz="4" w:space="0" w:color="auto"/>
              <w:left w:val="single" w:sz="4" w:space="0" w:color="auto"/>
              <w:bottom w:val="single" w:sz="4" w:space="0" w:color="auto"/>
              <w:right w:val="single" w:sz="4" w:space="0" w:color="auto"/>
            </w:tcBorders>
            <w:hideMark/>
          </w:tcPr>
          <w:p w14:paraId="02021A43" w14:textId="77777777" w:rsidR="00621D2E" w:rsidRPr="00975CA4" w:rsidRDefault="00621D2E" w:rsidP="00621D2E">
            <w:pPr>
              <w:ind w:left="-227" w:right="-204"/>
              <w:jc w:val="center"/>
              <w:rPr>
                <w:rFonts w:eastAsia="Times New Roman"/>
              </w:rPr>
            </w:pPr>
            <w:r w:rsidRPr="00975CA4">
              <w:rPr>
                <w:rFonts w:eastAsia="Times New Roman"/>
              </w:rPr>
              <w:t>100</w:t>
            </w:r>
            <w:r w:rsidR="00466B13" w:rsidRPr="00975CA4">
              <w:rPr>
                <w:rFonts w:eastAsia="Times New Roman"/>
              </w:rPr>
              <w:t> </w:t>
            </w:r>
            <w:r w:rsidRPr="00975CA4">
              <w:rPr>
                <w:rFonts w:eastAsia="Times New Roman"/>
              </w:rPr>
              <w:t>% (100</w:t>
            </w:r>
            <w:r w:rsidRPr="00975CA4">
              <w:rPr>
                <w:rFonts w:eastAsia="Times New Roman"/>
                <w:bCs/>
              </w:rPr>
              <w:t xml:space="preserve"> – </w:t>
            </w:r>
            <w:r w:rsidRPr="00975CA4">
              <w:rPr>
                <w:rFonts w:eastAsia="Times New Roman"/>
              </w:rPr>
              <w:t>100)</w:t>
            </w:r>
          </w:p>
        </w:tc>
        <w:tc>
          <w:tcPr>
            <w:tcW w:w="805" w:type="pct"/>
            <w:tcBorders>
              <w:top w:val="single" w:sz="4" w:space="0" w:color="auto"/>
              <w:left w:val="single" w:sz="4" w:space="0" w:color="auto"/>
              <w:bottom w:val="single" w:sz="4" w:space="0" w:color="auto"/>
              <w:right w:val="single" w:sz="4" w:space="0" w:color="auto"/>
            </w:tcBorders>
            <w:hideMark/>
          </w:tcPr>
          <w:p w14:paraId="25B63104" w14:textId="77777777" w:rsidR="00621D2E" w:rsidRPr="00975CA4" w:rsidRDefault="00621D2E" w:rsidP="00621D2E">
            <w:pPr>
              <w:ind w:left="-170" w:right="-159"/>
              <w:jc w:val="center"/>
              <w:rPr>
                <w:rFonts w:eastAsia="Times New Roman"/>
              </w:rPr>
            </w:pPr>
            <w:r w:rsidRPr="00975CA4">
              <w:rPr>
                <w:rFonts w:eastAsia="Times New Roman"/>
              </w:rPr>
              <w:t>95</w:t>
            </w:r>
            <w:r w:rsidR="00466B13" w:rsidRPr="00975CA4">
              <w:rPr>
                <w:rFonts w:eastAsia="Times New Roman"/>
              </w:rPr>
              <w:t> </w:t>
            </w:r>
            <w:r w:rsidRPr="00975CA4">
              <w:rPr>
                <w:rFonts w:eastAsia="Times New Roman"/>
              </w:rPr>
              <w:t>% (88</w:t>
            </w:r>
            <w:r w:rsidRPr="00975CA4">
              <w:rPr>
                <w:rFonts w:eastAsia="Times New Roman"/>
                <w:bCs/>
              </w:rPr>
              <w:t xml:space="preserve"> – </w:t>
            </w:r>
            <w:r w:rsidRPr="00975CA4">
              <w:rPr>
                <w:rFonts w:eastAsia="Times New Roman"/>
              </w:rPr>
              <w:t>100)</w:t>
            </w:r>
          </w:p>
        </w:tc>
        <w:tc>
          <w:tcPr>
            <w:tcW w:w="805" w:type="pct"/>
            <w:tcBorders>
              <w:top w:val="single" w:sz="4" w:space="0" w:color="auto"/>
              <w:left w:val="single" w:sz="4" w:space="0" w:color="auto"/>
              <w:bottom w:val="single" w:sz="4" w:space="0" w:color="auto"/>
              <w:right w:val="single" w:sz="4" w:space="0" w:color="auto"/>
            </w:tcBorders>
            <w:hideMark/>
          </w:tcPr>
          <w:p w14:paraId="59833488" w14:textId="77777777" w:rsidR="00621D2E" w:rsidRPr="00975CA4" w:rsidRDefault="00621D2E" w:rsidP="00621D2E">
            <w:pPr>
              <w:ind w:left="-108" w:right="-94"/>
              <w:jc w:val="center"/>
              <w:rPr>
                <w:rFonts w:eastAsia="Times New Roman"/>
              </w:rPr>
            </w:pPr>
            <w:r w:rsidRPr="00975CA4">
              <w:rPr>
                <w:rFonts w:eastAsia="Times New Roman"/>
              </w:rPr>
              <w:t>82</w:t>
            </w:r>
            <w:r w:rsidR="00466B13" w:rsidRPr="00975CA4">
              <w:rPr>
                <w:rFonts w:eastAsia="Times New Roman"/>
              </w:rPr>
              <w:t> </w:t>
            </w:r>
            <w:r w:rsidRPr="00975CA4">
              <w:rPr>
                <w:rFonts w:eastAsia="Times New Roman"/>
              </w:rPr>
              <w:t>% (70</w:t>
            </w:r>
            <w:r w:rsidRPr="00975CA4">
              <w:rPr>
                <w:rFonts w:eastAsia="Times New Roman"/>
                <w:bCs/>
              </w:rPr>
              <w:t xml:space="preserve"> – </w:t>
            </w:r>
            <w:r w:rsidRPr="00975CA4">
              <w:rPr>
                <w:rFonts w:eastAsia="Times New Roman"/>
              </w:rPr>
              <w:t>94)</w:t>
            </w:r>
          </w:p>
        </w:tc>
        <w:tc>
          <w:tcPr>
            <w:tcW w:w="805" w:type="pct"/>
            <w:tcBorders>
              <w:top w:val="single" w:sz="4" w:space="0" w:color="auto"/>
              <w:left w:val="single" w:sz="4" w:space="0" w:color="auto"/>
              <w:bottom w:val="single" w:sz="4" w:space="0" w:color="auto"/>
              <w:right w:val="single" w:sz="4" w:space="0" w:color="auto"/>
            </w:tcBorders>
            <w:hideMark/>
          </w:tcPr>
          <w:p w14:paraId="19831A3A" w14:textId="77777777" w:rsidR="00621D2E" w:rsidRPr="00975CA4" w:rsidRDefault="00621D2E" w:rsidP="00621D2E">
            <w:pPr>
              <w:ind w:left="-108" w:right="-108"/>
              <w:jc w:val="center"/>
              <w:rPr>
                <w:rFonts w:eastAsia="Times New Roman"/>
              </w:rPr>
            </w:pPr>
            <w:r w:rsidRPr="00975CA4">
              <w:rPr>
                <w:rFonts w:eastAsia="Times New Roman"/>
              </w:rPr>
              <w:t>70</w:t>
            </w:r>
            <w:r w:rsidR="00466B13" w:rsidRPr="00975CA4">
              <w:rPr>
                <w:rFonts w:eastAsia="Times New Roman"/>
              </w:rPr>
              <w:t> </w:t>
            </w:r>
            <w:r w:rsidRPr="00975CA4">
              <w:rPr>
                <w:rFonts w:eastAsia="Times New Roman"/>
              </w:rPr>
              <w:t>% (52</w:t>
            </w:r>
            <w:r w:rsidRPr="00975CA4">
              <w:rPr>
                <w:rFonts w:eastAsia="Times New Roman"/>
                <w:bCs/>
              </w:rPr>
              <w:t xml:space="preserve"> – </w:t>
            </w:r>
            <w:r w:rsidRPr="00975CA4">
              <w:rPr>
                <w:rFonts w:eastAsia="Times New Roman"/>
              </w:rPr>
              <w:t>82)</w:t>
            </w:r>
          </w:p>
        </w:tc>
      </w:tr>
    </w:tbl>
    <w:p w14:paraId="5A6CE1AA" w14:textId="7C607862"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vertAlign w:val="superscript"/>
          <w:lang w:eastAsia="ar-SA"/>
        </w:rPr>
      </w:pPr>
      <w:r w:rsidRPr="00975CA4">
        <w:rPr>
          <w:rFonts w:ascii="Times New Roman" w:eastAsia="SimSun" w:hAnsi="Times New Roman" w:cs="Times New Roman"/>
          <w:iCs/>
          <w:color w:val="000000"/>
          <w:vertAlign w:val="superscript"/>
          <w:lang w:eastAsia="ar-SA"/>
        </w:rPr>
        <w:t>a</w:t>
      </w:r>
      <w:r w:rsidRPr="00975CA4">
        <w:rPr>
          <w:rFonts w:ascii="Times New Roman" w:eastAsia="SimSun" w:hAnsi="Times New Roman" w:cs="Times New Roman"/>
          <w:iCs/>
          <w:color w:val="000000"/>
          <w:lang w:eastAsia="ar-SA"/>
        </w:rPr>
        <w:t xml:space="preserve"> Duomenys gauti vartojant rekomenduojamą pradinę 100</w:t>
      </w:r>
      <w:r w:rsidR="00746845"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 kartą per parą dozę.</w:t>
      </w:r>
    </w:p>
    <w:p w14:paraId="1E1A123F" w14:textId="1BF74722" w:rsidR="00621D2E" w:rsidRPr="00975CA4" w:rsidRDefault="00621D2E" w:rsidP="00621D2E">
      <w:pPr>
        <w:widowControl w:val="0"/>
        <w:tabs>
          <w:tab w:val="left" w:pos="567"/>
        </w:tabs>
        <w:suppressAutoHyphens/>
        <w:spacing w:before="120" w:after="0" w:line="240" w:lineRule="auto"/>
        <w:ind w:left="142" w:hanging="142"/>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vertAlign w:val="superscript"/>
          <w:lang w:eastAsia="ar-SA"/>
        </w:rPr>
        <w:t>b</w:t>
      </w:r>
      <w:r w:rsidRPr="00975CA4">
        <w:rPr>
          <w:rFonts w:ascii="Times New Roman" w:eastAsia="SimSun" w:hAnsi="Times New Roman" w:cs="Times New Roman"/>
          <w:iCs/>
          <w:color w:val="000000"/>
          <w:lang w:eastAsia="ar-SA"/>
        </w:rPr>
        <w:t xml:space="preserve"> Progresavimas buvo konstatuojamas didėjant leukocitų skaičiui, išnykus CHR arba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w:t>
      </w:r>
      <w:r w:rsidR="00072B1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30</w:t>
      </w:r>
      <w:r w:rsidR="00072B1E"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padaugėjus </w:t>
      </w:r>
      <w:proofErr w:type="spellStart"/>
      <w:r w:rsidRPr="00975CA4">
        <w:rPr>
          <w:rFonts w:ascii="Times New Roman" w:eastAsia="SimSun" w:hAnsi="Times New Roman" w:cs="Times New Roman"/>
          <w:iCs/>
          <w:color w:val="000000"/>
          <w:lang w:eastAsia="ar-SA"/>
        </w:rPr>
        <w:t>Ph</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metafazių</w:t>
      </w:r>
      <w:proofErr w:type="spellEnd"/>
      <w:r w:rsidRPr="00975CA4">
        <w:rPr>
          <w:rFonts w:ascii="Times New Roman" w:eastAsia="SimSun" w:hAnsi="Times New Roman" w:cs="Times New Roman"/>
          <w:iCs/>
          <w:color w:val="000000"/>
          <w:lang w:eastAsia="ar-SA"/>
        </w:rPr>
        <w:t xml:space="preserve">, patvirtinus transformaciją į akceleracijos ar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fazę arba pacientui mirus. Apskaičiuojant išgyvenimą be ligos progresavimo buvo analizuojami numatytų gydyti pacientų duomenys, o pacientai buvo stebimi iki atitinkamų įvykių, įskaitant vėlesnį gydymą.</w:t>
      </w:r>
    </w:p>
    <w:p w14:paraId="693ACC68" w14:textId="78709CD2" w:rsidR="00621D2E" w:rsidRPr="00975CA4" w:rsidRDefault="00703720"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n/a </w:t>
      </w:r>
      <w:r w:rsidR="00316862"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duomenų nėra.</w:t>
      </w:r>
    </w:p>
    <w:p w14:paraId="0FC0A39A" w14:textId="77777777" w:rsidR="00703720" w:rsidRPr="00975CA4" w:rsidRDefault="00703720"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C50FB0C" w14:textId="1BD61B7F"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Įvertinus </w:t>
      </w:r>
      <w:proofErr w:type="spellStart"/>
      <w:r w:rsidRPr="00975CA4">
        <w:rPr>
          <w:rFonts w:ascii="Times New Roman" w:eastAsia="SimSun" w:hAnsi="Times New Roman" w:cs="Times New Roman"/>
          <w:i/>
          <w:iCs/>
          <w:color w:val="000000"/>
          <w:lang w:eastAsia="ar-SA"/>
        </w:rPr>
        <w:t>Kaplan-Meier</w:t>
      </w:r>
      <w:proofErr w:type="spellEnd"/>
      <w:r w:rsidRPr="00975CA4">
        <w:rPr>
          <w:rFonts w:ascii="Times New Roman" w:eastAsia="SimSun" w:hAnsi="Times New Roman" w:cs="Times New Roman"/>
          <w:iCs/>
          <w:color w:val="000000"/>
          <w:lang w:eastAsia="ar-SA"/>
        </w:rPr>
        <w:t xml:space="preserve"> metodu, </w:t>
      </w:r>
      <w:r w:rsidR="00316862" w:rsidRPr="00975CA4">
        <w:rPr>
          <w:rFonts w:ascii="Times New Roman" w:eastAsia="SimSun" w:hAnsi="Times New Roman" w:cs="Times New Roman"/>
          <w:iCs/>
          <w:color w:val="000000"/>
          <w:lang w:eastAsia="ar-SA"/>
        </w:rPr>
        <w:t xml:space="preserve">93 % </w:t>
      </w:r>
      <w:r w:rsidR="00915925" w:rsidRPr="00975CA4">
        <w:rPr>
          <w:rFonts w:ascii="Times New Roman" w:eastAsia="SimSun" w:hAnsi="Times New Roman" w:cs="Times New Roman"/>
          <w:iCs/>
          <w:color w:val="000000"/>
          <w:lang w:eastAsia="ar-SA"/>
        </w:rPr>
        <w:t xml:space="preserve">pacientų </w:t>
      </w:r>
      <w:r w:rsidR="00316862" w:rsidRPr="00975CA4">
        <w:rPr>
          <w:rFonts w:ascii="Times New Roman" w:eastAsia="SimSun" w:hAnsi="Times New Roman" w:cs="Times New Roman"/>
          <w:iCs/>
          <w:color w:val="000000"/>
          <w:lang w:eastAsia="ar-SA"/>
        </w:rPr>
        <w:t>(95 % PI: 88-98 %)</w:t>
      </w:r>
      <w:r w:rsidR="00915925" w:rsidRPr="00975CA4">
        <w:rPr>
          <w:rFonts w:ascii="Times New Roman" w:eastAsia="SimSun" w:hAnsi="Times New Roman" w:cs="Times New Roman"/>
          <w:iCs/>
          <w:color w:val="000000"/>
          <w:lang w:eastAsia="ar-SA"/>
        </w:rPr>
        <w:t>, var</w:t>
      </w:r>
      <w:r w:rsidR="00316862" w:rsidRPr="00975CA4">
        <w:rPr>
          <w:rFonts w:ascii="Times New Roman" w:eastAsia="SimSun" w:hAnsi="Times New Roman" w:cs="Times New Roman"/>
          <w:iCs/>
          <w:color w:val="000000"/>
          <w:lang w:eastAsia="ar-SA"/>
        </w:rPr>
        <w:t>t</w:t>
      </w:r>
      <w:r w:rsidR="00915925" w:rsidRPr="00975CA4">
        <w:rPr>
          <w:rFonts w:ascii="Times New Roman" w:eastAsia="SimSun" w:hAnsi="Times New Roman" w:cs="Times New Roman"/>
          <w:iCs/>
          <w:color w:val="000000"/>
          <w:lang w:eastAsia="ar-SA"/>
        </w:rPr>
        <w:t>o</w:t>
      </w:r>
      <w:r w:rsidR="00316862" w:rsidRPr="00975CA4">
        <w:rPr>
          <w:rFonts w:ascii="Times New Roman" w:eastAsia="SimSun" w:hAnsi="Times New Roman" w:cs="Times New Roman"/>
          <w:iCs/>
          <w:color w:val="000000"/>
          <w:lang w:eastAsia="ar-SA"/>
        </w:rPr>
        <w:t xml:space="preserve">jusių </w:t>
      </w:r>
      <w:r w:rsidRPr="00975CA4">
        <w:rPr>
          <w:rFonts w:ascii="Times New Roman" w:eastAsia="SimSun" w:hAnsi="Times New Roman" w:cs="Times New Roman"/>
          <w:iCs/>
          <w:color w:val="000000"/>
          <w:lang w:eastAsia="ar-SA"/>
        </w:rPr>
        <w:t>100</w:t>
      </w:r>
      <w:r w:rsidR="0031686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1 kartą per parą,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išliko 18</w:t>
      </w:r>
      <w:r w:rsidR="0031686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w:t>
      </w:r>
    </w:p>
    <w:p w14:paraId="79BBECB9" w14:textId="77777777"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9756EAB" w14:textId="27610EBD"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Taip pat buvo įvertintas veiksmingumas </w:t>
      </w:r>
      <w:proofErr w:type="spellStart"/>
      <w:r w:rsidRPr="00975CA4">
        <w:rPr>
          <w:rFonts w:ascii="Times New Roman" w:eastAsia="SimSun" w:hAnsi="Times New Roman" w:cs="Times New Roman"/>
          <w:iCs/>
          <w:color w:val="000000"/>
          <w:lang w:eastAsia="ar-SA"/>
        </w:rPr>
        <w:t>imatinibo</w:t>
      </w:r>
      <w:proofErr w:type="spellEnd"/>
      <w:r w:rsidRPr="00975CA4">
        <w:rPr>
          <w:rFonts w:ascii="Times New Roman" w:eastAsia="SimSun" w:hAnsi="Times New Roman" w:cs="Times New Roman"/>
          <w:iCs/>
          <w:color w:val="000000"/>
          <w:lang w:eastAsia="ar-SA"/>
        </w:rPr>
        <w:t xml:space="preserve"> netoleravusiems pacientams. Šios populiacijos pacientams, vartojusiems 100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1 kartą per parą,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buvo pasiektas 77</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xml:space="preserve"> – 67</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atvejų.</w:t>
      </w:r>
    </w:p>
    <w:p w14:paraId="69235A87" w14:textId="77777777"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C54E708" w14:textId="77777777"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
          <w:iCs/>
          <w:color w:val="000000"/>
          <w:lang w:eastAsia="ar-SA"/>
        </w:rPr>
        <w:t>2-asis tyrimas</w:t>
      </w:r>
    </w:p>
    <w:p w14:paraId="302FC64B" w14:textId="0DAE82A5"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Progresavusios fazės LML ir </w:t>
      </w:r>
      <w:proofErr w:type="spellStart"/>
      <w:r w:rsidRPr="00975CA4">
        <w:rPr>
          <w:rFonts w:ascii="Times New Roman" w:eastAsia="SimSun" w:hAnsi="Times New Roman" w:cs="Times New Roman"/>
          <w:iCs/>
          <w:color w:val="000000"/>
          <w:lang w:eastAsia="ar-SA"/>
        </w:rPr>
        <w:t>Ph+ŪLL</w:t>
      </w:r>
      <w:proofErr w:type="spellEnd"/>
      <w:r w:rsidRPr="00975CA4">
        <w:rPr>
          <w:rFonts w:ascii="Times New Roman" w:eastAsia="SimSun" w:hAnsi="Times New Roman" w:cs="Times New Roman"/>
          <w:iCs/>
          <w:color w:val="000000"/>
          <w:lang w:eastAsia="ar-SA"/>
        </w:rPr>
        <w:t xml:space="preserve"> tyrimo metu pagrindinė vertinamoji baigtis buvo </w:t>
      </w:r>
      <w:proofErr w:type="spellStart"/>
      <w:r w:rsidRPr="00975CA4">
        <w:rPr>
          <w:rFonts w:ascii="Times New Roman" w:eastAsia="SimSun" w:hAnsi="Times New Roman" w:cs="Times New Roman"/>
          <w:iCs/>
          <w:color w:val="000000"/>
          <w:lang w:eastAsia="ar-SA"/>
        </w:rPr>
        <w:t>MaHR</w:t>
      </w:r>
      <w:proofErr w:type="spellEnd"/>
      <w:r w:rsidRPr="00975CA4">
        <w:rPr>
          <w:rFonts w:ascii="Times New Roman" w:eastAsia="SimSun" w:hAnsi="Times New Roman" w:cs="Times New Roman"/>
          <w:iCs/>
          <w:color w:val="000000"/>
          <w:lang w:eastAsia="ar-SA"/>
        </w:rPr>
        <w:t>. Iš viso 611 pacientai atsitiktinės atrankos būdu buvo priskirti vartoti 140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1 kartą per parą ir po 70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 2 kartus per parą grupes. Gydymo trukmės mediana buvo maždaug 6</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mėn. (diapazonas nuo 0,03 iki 31 mėnesi</w:t>
      </w:r>
      <w:r w:rsidR="003B5809" w:rsidRPr="00975CA4">
        <w:rPr>
          <w:rFonts w:ascii="Times New Roman" w:eastAsia="SimSun" w:hAnsi="Times New Roman" w:cs="Times New Roman"/>
          <w:iCs/>
          <w:color w:val="000000"/>
          <w:lang w:eastAsia="ar-SA"/>
        </w:rPr>
        <w:t>o</w:t>
      </w:r>
      <w:r w:rsidRPr="00975CA4">
        <w:rPr>
          <w:rFonts w:ascii="Times New Roman" w:eastAsia="SimSun" w:hAnsi="Times New Roman" w:cs="Times New Roman"/>
          <w:iCs/>
          <w:color w:val="000000"/>
          <w:lang w:eastAsia="ar-SA"/>
        </w:rPr>
        <w:t>).</w:t>
      </w:r>
    </w:p>
    <w:p w14:paraId="33D7016A" w14:textId="77777777"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A5E1500" w14:textId="291263CA"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bCs/>
          <w:color w:val="000000"/>
          <w:lang w:eastAsia="ar-SA"/>
        </w:rPr>
      </w:pPr>
      <w:r w:rsidRPr="00975CA4">
        <w:rPr>
          <w:rFonts w:ascii="Times New Roman" w:eastAsia="SimSun" w:hAnsi="Times New Roman" w:cs="Times New Roman"/>
          <w:iCs/>
          <w:color w:val="000000"/>
          <w:lang w:eastAsia="ar-SA"/>
        </w:rPr>
        <w:t>Nustatyta, kad veiksmingumas pagal pagrindinę vertinamąją baigtį šio vaistinio preparato vartojant 1 kartą per parą  ir jo vartojant 2 kartus per parą yra panašus (ne mažesnis) (</w:t>
      </w:r>
      <w:proofErr w:type="spellStart"/>
      <w:r w:rsidRPr="00975CA4">
        <w:rPr>
          <w:rFonts w:ascii="Times New Roman" w:eastAsia="SimSun" w:hAnsi="Times New Roman" w:cs="Times New Roman"/>
          <w:iCs/>
          <w:color w:val="000000"/>
          <w:lang w:eastAsia="ar-SA"/>
        </w:rPr>
        <w:t>MaHR</w:t>
      </w:r>
      <w:proofErr w:type="spellEnd"/>
      <w:r w:rsidRPr="00975CA4">
        <w:rPr>
          <w:rFonts w:ascii="Times New Roman" w:eastAsia="SimSun" w:hAnsi="Times New Roman" w:cs="Times New Roman"/>
          <w:iCs/>
          <w:color w:val="000000"/>
          <w:lang w:eastAsia="ar-SA"/>
        </w:rPr>
        <w:t xml:space="preserve"> skirtumas 0,8</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95</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3B5809" w:rsidRPr="00975CA4">
        <w:rPr>
          <w:rFonts w:ascii="Times New Roman" w:eastAsia="SimSun" w:hAnsi="Times New Roman" w:cs="Times New Roman"/>
          <w:iCs/>
          <w:color w:val="000000"/>
          <w:lang w:eastAsia="ar-SA"/>
        </w:rPr>
        <w:t>PI:</w:t>
      </w:r>
      <w:r w:rsidRPr="00975CA4">
        <w:rPr>
          <w:rFonts w:ascii="Times New Roman" w:eastAsia="SimSun" w:hAnsi="Times New Roman" w:cs="Times New Roman"/>
          <w:iCs/>
          <w:color w:val="000000"/>
          <w:lang w:eastAsia="ar-SA"/>
        </w:rPr>
        <w:t xml:space="preserve"> 7,1</w:t>
      </w:r>
      <w:r w:rsidR="003B5809"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8,7</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tačiau 140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1 kartą per parą dozės saugumas ir toleravimas buvo geresni. Atsako dažnis </w:t>
      </w:r>
      <w:r w:rsidRPr="00975CA4">
        <w:rPr>
          <w:rFonts w:ascii="Times New Roman" w:eastAsia="SimSun" w:hAnsi="Times New Roman" w:cs="Times New Roman"/>
          <w:iCs/>
          <w:color w:val="000000"/>
          <w:lang w:eastAsia="ar-SA"/>
        </w:rPr>
        <w:lastRenderedPageBreak/>
        <w:t xml:space="preserve">pateiktas </w:t>
      </w:r>
      <w:r w:rsidRPr="00975CA4">
        <w:rPr>
          <w:rFonts w:ascii="Times New Roman" w:eastAsia="SimSun" w:hAnsi="Times New Roman" w:cs="Times New Roman"/>
          <w:bCs/>
          <w:color w:val="000000"/>
          <w:lang w:eastAsia="ar-SA"/>
        </w:rPr>
        <w:t>14 lentelėje.</w:t>
      </w:r>
    </w:p>
    <w:p w14:paraId="66588481" w14:textId="77777777" w:rsidR="00621D2E" w:rsidRPr="00975CA4" w:rsidRDefault="00621D2E" w:rsidP="00621D2E">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CE02B18" w14:textId="77777777" w:rsidR="00621D2E" w:rsidRPr="00975CA4" w:rsidRDefault="00621D2E" w:rsidP="002D3411">
      <w:pPr>
        <w:keepNext/>
        <w:tabs>
          <w:tab w:val="left" w:pos="567"/>
        </w:tabs>
        <w:suppressAutoHyphens/>
        <w:spacing w:after="0" w:line="240" w:lineRule="auto"/>
        <w:ind w:left="1105" w:hanging="1094"/>
        <w:rPr>
          <w:rFonts w:ascii="Times New Roman" w:eastAsia="SimSun" w:hAnsi="Times New Roman" w:cs="Times New Roman"/>
          <w:b/>
          <w:iCs/>
          <w:color w:val="000000"/>
          <w:lang w:eastAsia="ar-SA"/>
        </w:rPr>
      </w:pPr>
      <w:r w:rsidRPr="00975CA4">
        <w:rPr>
          <w:rFonts w:ascii="Times New Roman" w:eastAsia="SimSun" w:hAnsi="Times New Roman" w:cs="Times New Roman"/>
          <w:b/>
          <w:iCs/>
          <w:color w:val="000000"/>
          <w:lang w:eastAsia="ar-SA"/>
        </w:rPr>
        <w:t xml:space="preserve">14 lentelė. </w:t>
      </w:r>
      <w:proofErr w:type="spellStart"/>
      <w:r w:rsidRPr="00975CA4">
        <w:rPr>
          <w:rFonts w:ascii="Times New Roman" w:eastAsia="SimSun" w:hAnsi="Times New Roman" w:cs="Times New Roman"/>
          <w:b/>
          <w:iCs/>
          <w:color w:val="000000"/>
          <w:lang w:eastAsia="ar-SA"/>
        </w:rPr>
        <w:t>Dazatinibo</w:t>
      </w:r>
      <w:proofErr w:type="spellEnd"/>
      <w:r w:rsidRPr="00975CA4">
        <w:rPr>
          <w:rFonts w:ascii="Times New Roman" w:eastAsia="SimSun" w:hAnsi="Times New Roman" w:cs="Times New Roman"/>
          <w:b/>
          <w:iCs/>
          <w:color w:val="000000"/>
          <w:lang w:eastAsia="ar-SA"/>
        </w:rPr>
        <w:t xml:space="preserve"> veiksmingumas III fazės dozės optimizavimo tyrime progresavusios</w:t>
      </w:r>
      <w:r w:rsidR="00703720" w:rsidRPr="00975CA4">
        <w:rPr>
          <w:rFonts w:ascii="Times New Roman" w:eastAsia="SimSun" w:hAnsi="Times New Roman" w:cs="Times New Roman"/>
          <w:b/>
          <w:iCs/>
          <w:color w:val="000000"/>
          <w:lang w:eastAsia="ar-SA"/>
        </w:rPr>
        <w:t xml:space="preserve"> </w:t>
      </w:r>
      <w:r w:rsidRPr="00975CA4">
        <w:rPr>
          <w:rFonts w:ascii="Times New Roman" w:eastAsia="SimSun" w:hAnsi="Times New Roman" w:cs="Times New Roman"/>
          <w:b/>
          <w:iCs/>
          <w:color w:val="000000"/>
          <w:lang w:eastAsia="ar-SA"/>
        </w:rPr>
        <w:t xml:space="preserve">fazės LML ir </w:t>
      </w:r>
      <w:proofErr w:type="spellStart"/>
      <w:r w:rsidRPr="00975CA4">
        <w:rPr>
          <w:rFonts w:ascii="Times New Roman" w:eastAsia="SimSun" w:hAnsi="Times New Roman" w:cs="Times New Roman"/>
          <w:b/>
          <w:iCs/>
          <w:color w:val="000000"/>
          <w:lang w:eastAsia="ar-SA"/>
        </w:rPr>
        <w:t>Ph</w:t>
      </w:r>
      <w:proofErr w:type="spellEnd"/>
      <w:r w:rsidRPr="00975CA4">
        <w:rPr>
          <w:rFonts w:ascii="Times New Roman" w:eastAsia="SimSun" w:hAnsi="Times New Roman" w:cs="Times New Roman"/>
          <w:b/>
          <w:iCs/>
          <w:color w:val="000000"/>
          <w:lang w:eastAsia="ar-SA"/>
        </w:rPr>
        <w:t>+ ŪLL sergantiems pacientams (2 metų duomenys)</w:t>
      </w:r>
      <w:r w:rsidRPr="00975CA4">
        <w:rPr>
          <w:rFonts w:ascii="Times New Roman" w:eastAsia="SimSun" w:hAnsi="Times New Roman" w:cs="Times New Roman"/>
          <w:b/>
          <w:iCs/>
          <w:color w:val="000000"/>
          <w:vertAlign w:val="superscript"/>
          <w:lang w:eastAsia="ar-SA"/>
        </w:rPr>
        <w:t>a</w:t>
      </w:r>
    </w:p>
    <w:p w14:paraId="6EE21693" w14:textId="77777777" w:rsidR="005A4CE0" w:rsidRPr="00975CA4" w:rsidRDefault="005A4CE0" w:rsidP="00621D2E">
      <w:pPr>
        <w:spacing w:after="0" w:line="240" w:lineRule="auto"/>
        <w:rPr>
          <w:rFonts w:ascii="Times New Roman" w:eastAsia="Calibri" w:hAnsi="Times New Roman" w:cs="Times New Roman"/>
          <w:lang w:eastAsia="ar-SA"/>
        </w:rPr>
      </w:pPr>
    </w:p>
    <w:tbl>
      <w:tblPr>
        <w:tblStyle w:val="Lentelstinklelis"/>
        <w:tblW w:w="0" w:type="auto"/>
        <w:tblInd w:w="442" w:type="dxa"/>
        <w:tblLook w:val="04A0" w:firstRow="1" w:lastRow="0" w:firstColumn="1" w:lastColumn="0" w:noHBand="0" w:noVBand="1"/>
      </w:tblPr>
      <w:tblGrid>
        <w:gridCol w:w="1949"/>
        <w:gridCol w:w="1686"/>
        <w:gridCol w:w="1872"/>
        <w:gridCol w:w="1843"/>
        <w:gridCol w:w="1591"/>
      </w:tblGrid>
      <w:tr w:rsidR="00703720" w:rsidRPr="00975CA4" w14:paraId="0183B294" w14:textId="77777777" w:rsidTr="00703720">
        <w:trPr>
          <w:trHeight w:val="567"/>
        </w:trPr>
        <w:tc>
          <w:tcPr>
            <w:tcW w:w="1949" w:type="dxa"/>
            <w:tcBorders>
              <w:top w:val="single" w:sz="4" w:space="0" w:color="000000"/>
              <w:left w:val="single" w:sz="4" w:space="0" w:color="000000"/>
              <w:bottom w:val="single" w:sz="4" w:space="0" w:color="000000"/>
              <w:right w:val="single" w:sz="4" w:space="0" w:color="000000"/>
            </w:tcBorders>
          </w:tcPr>
          <w:p w14:paraId="7289041A" w14:textId="77777777" w:rsidR="00703720" w:rsidRPr="00975CA4" w:rsidRDefault="00703720">
            <w:pPr>
              <w:rPr>
                <w:sz w:val="22"/>
                <w:szCs w:val="22"/>
              </w:rPr>
            </w:pPr>
          </w:p>
        </w:tc>
        <w:tc>
          <w:tcPr>
            <w:tcW w:w="1686" w:type="dxa"/>
            <w:tcBorders>
              <w:top w:val="single" w:sz="4" w:space="0" w:color="000000"/>
              <w:left w:val="single" w:sz="4" w:space="0" w:color="000000"/>
              <w:bottom w:val="single" w:sz="4" w:space="0" w:color="000000"/>
              <w:right w:val="single" w:sz="4" w:space="0" w:color="000000"/>
            </w:tcBorders>
            <w:hideMark/>
          </w:tcPr>
          <w:p w14:paraId="0D6F5FA5" w14:textId="77777777" w:rsidR="00703720" w:rsidRPr="00975CA4" w:rsidRDefault="00703720">
            <w:pPr>
              <w:ind w:left="-172" w:right="-155"/>
              <w:jc w:val="center"/>
              <w:rPr>
                <w:rFonts w:eastAsia="Times New Roman"/>
                <w:sz w:val="22"/>
                <w:szCs w:val="22"/>
              </w:rPr>
            </w:pPr>
            <w:r w:rsidRPr="00975CA4">
              <w:rPr>
                <w:rFonts w:eastAsia="Times New Roman"/>
                <w:b/>
                <w:bCs/>
                <w:sz w:val="22"/>
                <w:szCs w:val="22"/>
              </w:rPr>
              <w:t>Akceleracijos</w:t>
            </w:r>
          </w:p>
          <w:p w14:paraId="04B4FCB6" w14:textId="0BB8CA3C" w:rsidR="00703720" w:rsidRPr="00975CA4" w:rsidRDefault="00703720">
            <w:pPr>
              <w:ind w:left="-172" w:right="-155"/>
              <w:jc w:val="center"/>
              <w:rPr>
                <w:sz w:val="22"/>
                <w:szCs w:val="22"/>
              </w:rPr>
            </w:pPr>
            <w:r w:rsidRPr="00975CA4">
              <w:rPr>
                <w:rFonts w:eastAsia="Times New Roman"/>
                <w:b/>
                <w:bCs/>
                <w:sz w:val="22"/>
                <w:szCs w:val="22"/>
              </w:rPr>
              <w:t>(n</w:t>
            </w:r>
            <w:r w:rsidR="003C3022" w:rsidRPr="00975CA4">
              <w:rPr>
                <w:rFonts w:eastAsia="Times New Roman"/>
                <w:b/>
                <w:bCs/>
                <w:sz w:val="22"/>
                <w:szCs w:val="22"/>
              </w:rPr>
              <w:t> </w:t>
            </w:r>
            <w:r w:rsidRPr="00975CA4">
              <w:rPr>
                <w:rFonts w:eastAsia="Times New Roman"/>
                <w:b/>
                <w:bCs/>
                <w:sz w:val="22"/>
                <w:szCs w:val="22"/>
              </w:rPr>
              <w:t>=</w:t>
            </w:r>
            <w:r w:rsidR="003C3022" w:rsidRPr="00975CA4">
              <w:rPr>
                <w:rFonts w:eastAsia="Times New Roman"/>
                <w:b/>
                <w:bCs/>
                <w:sz w:val="22"/>
                <w:szCs w:val="22"/>
              </w:rPr>
              <w:t> </w:t>
            </w:r>
            <w:r w:rsidRPr="00975CA4">
              <w:rPr>
                <w:rFonts w:eastAsia="Times New Roman"/>
                <w:b/>
                <w:bCs/>
                <w:sz w:val="22"/>
                <w:szCs w:val="22"/>
              </w:rPr>
              <w:t>158)</w:t>
            </w:r>
          </w:p>
        </w:tc>
        <w:tc>
          <w:tcPr>
            <w:tcW w:w="1872" w:type="dxa"/>
            <w:tcBorders>
              <w:top w:val="single" w:sz="4" w:space="0" w:color="000000"/>
              <w:left w:val="single" w:sz="4" w:space="0" w:color="000000"/>
              <w:bottom w:val="single" w:sz="4" w:space="0" w:color="000000"/>
              <w:right w:val="single" w:sz="4" w:space="0" w:color="000000"/>
            </w:tcBorders>
            <w:hideMark/>
          </w:tcPr>
          <w:p w14:paraId="2E4F7556" w14:textId="77777777" w:rsidR="00703720" w:rsidRPr="00975CA4" w:rsidRDefault="00703720">
            <w:pPr>
              <w:ind w:left="-172" w:right="-155"/>
              <w:jc w:val="center"/>
              <w:rPr>
                <w:rFonts w:eastAsia="Times New Roman"/>
                <w:sz w:val="22"/>
                <w:szCs w:val="22"/>
              </w:rPr>
            </w:pPr>
            <w:proofErr w:type="spellStart"/>
            <w:r w:rsidRPr="00975CA4">
              <w:rPr>
                <w:rFonts w:eastAsia="Times New Roman"/>
                <w:b/>
                <w:bCs/>
                <w:sz w:val="22"/>
                <w:szCs w:val="22"/>
              </w:rPr>
              <w:t>Mieloidinių</w:t>
            </w:r>
            <w:proofErr w:type="spellEnd"/>
            <w:r w:rsidRPr="00975CA4">
              <w:rPr>
                <w:rFonts w:eastAsia="Times New Roman"/>
                <w:b/>
                <w:bCs/>
                <w:sz w:val="22"/>
                <w:szCs w:val="22"/>
              </w:rPr>
              <w:t xml:space="preserve"> </w:t>
            </w:r>
            <w:proofErr w:type="spellStart"/>
            <w:r w:rsidRPr="00975CA4">
              <w:rPr>
                <w:rFonts w:eastAsia="Times New Roman"/>
                <w:b/>
                <w:bCs/>
                <w:sz w:val="22"/>
                <w:szCs w:val="22"/>
              </w:rPr>
              <w:t>blastų</w:t>
            </w:r>
            <w:proofErr w:type="spellEnd"/>
          </w:p>
          <w:p w14:paraId="395525F4" w14:textId="7FF047B0" w:rsidR="00703720" w:rsidRPr="00975CA4" w:rsidRDefault="00703720" w:rsidP="003C3022">
            <w:pPr>
              <w:ind w:left="-172" w:right="-155"/>
              <w:jc w:val="center"/>
              <w:rPr>
                <w:sz w:val="22"/>
                <w:szCs w:val="22"/>
              </w:rPr>
            </w:pPr>
            <w:r w:rsidRPr="00975CA4">
              <w:rPr>
                <w:rFonts w:eastAsia="Times New Roman"/>
                <w:b/>
                <w:bCs/>
                <w:sz w:val="22"/>
                <w:szCs w:val="22"/>
              </w:rPr>
              <w:t>(n</w:t>
            </w:r>
            <w:r w:rsidR="003C3022" w:rsidRPr="00975CA4">
              <w:rPr>
                <w:rFonts w:eastAsia="Times New Roman"/>
                <w:b/>
                <w:bCs/>
                <w:sz w:val="22"/>
                <w:szCs w:val="22"/>
              </w:rPr>
              <w:t> </w:t>
            </w:r>
            <w:r w:rsidRPr="00975CA4">
              <w:rPr>
                <w:rFonts w:eastAsia="Times New Roman"/>
                <w:b/>
                <w:bCs/>
                <w:sz w:val="22"/>
                <w:szCs w:val="22"/>
              </w:rPr>
              <w:t>=</w:t>
            </w:r>
            <w:r w:rsidR="003C3022" w:rsidRPr="00975CA4">
              <w:rPr>
                <w:rFonts w:eastAsia="Times New Roman"/>
                <w:b/>
                <w:bCs/>
                <w:sz w:val="22"/>
                <w:szCs w:val="22"/>
              </w:rPr>
              <w:t> </w:t>
            </w:r>
            <w:r w:rsidRPr="00975CA4">
              <w:rPr>
                <w:rFonts w:eastAsia="Times New Roman"/>
                <w:b/>
                <w:bCs/>
                <w:sz w:val="22"/>
                <w:szCs w:val="22"/>
              </w:rPr>
              <w:t>75)</w:t>
            </w:r>
          </w:p>
        </w:tc>
        <w:tc>
          <w:tcPr>
            <w:tcW w:w="1843" w:type="dxa"/>
            <w:tcBorders>
              <w:top w:val="single" w:sz="4" w:space="0" w:color="000000"/>
              <w:left w:val="single" w:sz="4" w:space="0" w:color="000000"/>
              <w:bottom w:val="single" w:sz="4" w:space="0" w:color="000000"/>
              <w:right w:val="single" w:sz="4" w:space="0" w:color="000000"/>
            </w:tcBorders>
            <w:hideMark/>
          </w:tcPr>
          <w:p w14:paraId="129DE6F2" w14:textId="77777777" w:rsidR="00703720" w:rsidRPr="00975CA4" w:rsidRDefault="00703720">
            <w:pPr>
              <w:ind w:left="-172" w:right="-155"/>
              <w:jc w:val="center"/>
              <w:rPr>
                <w:rFonts w:eastAsia="Times New Roman"/>
                <w:sz w:val="22"/>
                <w:szCs w:val="22"/>
              </w:rPr>
            </w:pPr>
            <w:proofErr w:type="spellStart"/>
            <w:r w:rsidRPr="00975CA4">
              <w:rPr>
                <w:rFonts w:eastAsia="Times New Roman"/>
                <w:b/>
                <w:bCs/>
                <w:sz w:val="22"/>
                <w:szCs w:val="22"/>
              </w:rPr>
              <w:t>Limfoidinių</w:t>
            </w:r>
            <w:proofErr w:type="spellEnd"/>
            <w:r w:rsidRPr="00975CA4">
              <w:rPr>
                <w:rFonts w:eastAsia="Times New Roman"/>
                <w:b/>
                <w:bCs/>
                <w:sz w:val="22"/>
                <w:szCs w:val="22"/>
              </w:rPr>
              <w:t xml:space="preserve"> </w:t>
            </w:r>
            <w:proofErr w:type="spellStart"/>
            <w:r w:rsidRPr="00975CA4">
              <w:rPr>
                <w:rFonts w:eastAsia="Times New Roman"/>
                <w:b/>
                <w:bCs/>
                <w:sz w:val="22"/>
                <w:szCs w:val="22"/>
              </w:rPr>
              <w:t>blastų</w:t>
            </w:r>
            <w:proofErr w:type="spellEnd"/>
          </w:p>
          <w:p w14:paraId="4EB19B91" w14:textId="1F62B078" w:rsidR="00703720" w:rsidRPr="00975CA4" w:rsidRDefault="00703720" w:rsidP="003C3022">
            <w:pPr>
              <w:ind w:left="-172" w:right="-155"/>
              <w:jc w:val="center"/>
              <w:rPr>
                <w:sz w:val="22"/>
                <w:szCs w:val="22"/>
              </w:rPr>
            </w:pPr>
            <w:r w:rsidRPr="00975CA4">
              <w:rPr>
                <w:rFonts w:eastAsia="Times New Roman"/>
                <w:b/>
                <w:bCs/>
                <w:sz w:val="22"/>
                <w:szCs w:val="22"/>
              </w:rPr>
              <w:t>(n</w:t>
            </w:r>
            <w:r w:rsidR="003C3022" w:rsidRPr="00975CA4">
              <w:rPr>
                <w:rFonts w:eastAsia="Times New Roman"/>
                <w:b/>
                <w:bCs/>
                <w:sz w:val="22"/>
                <w:szCs w:val="22"/>
              </w:rPr>
              <w:t> </w:t>
            </w:r>
            <w:r w:rsidRPr="00975CA4">
              <w:rPr>
                <w:rFonts w:eastAsia="Times New Roman"/>
                <w:b/>
                <w:bCs/>
                <w:sz w:val="22"/>
                <w:szCs w:val="22"/>
              </w:rPr>
              <w:t>=</w:t>
            </w:r>
            <w:r w:rsidR="003C3022" w:rsidRPr="00975CA4">
              <w:rPr>
                <w:rFonts w:eastAsia="Times New Roman"/>
                <w:b/>
                <w:bCs/>
                <w:sz w:val="22"/>
                <w:szCs w:val="22"/>
              </w:rPr>
              <w:t> </w:t>
            </w:r>
            <w:r w:rsidRPr="00975CA4">
              <w:rPr>
                <w:rFonts w:eastAsia="Times New Roman"/>
                <w:b/>
                <w:bCs/>
                <w:sz w:val="22"/>
                <w:szCs w:val="22"/>
              </w:rPr>
              <w:t>33)</w:t>
            </w:r>
          </w:p>
        </w:tc>
        <w:tc>
          <w:tcPr>
            <w:tcW w:w="1591" w:type="dxa"/>
            <w:tcBorders>
              <w:top w:val="single" w:sz="4" w:space="0" w:color="000000"/>
              <w:left w:val="single" w:sz="4" w:space="0" w:color="000000"/>
              <w:bottom w:val="single" w:sz="4" w:space="0" w:color="000000"/>
              <w:right w:val="single" w:sz="4" w:space="0" w:color="000000"/>
            </w:tcBorders>
            <w:hideMark/>
          </w:tcPr>
          <w:p w14:paraId="0EA9F8B9" w14:textId="77777777" w:rsidR="00703720" w:rsidRPr="00975CA4" w:rsidRDefault="00703720">
            <w:pPr>
              <w:ind w:left="-172" w:right="-155"/>
              <w:jc w:val="center"/>
              <w:rPr>
                <w:rFonts w:eastAsia="Times New Roman"/>
                <w:b/>
                <w:bCs/>
                <w:sz w:val="22"/>
                <w:szCs w:val="22"/>
              </w:rPr>
            </w:pPr>
            <w:proofErr w:type="spellStart"/>
            <w:r w:rsidRPr="00975CA4">
              <w:rPr>
                <w:rFonts w:eastAsia="Times New Roman"/>
                <w:b/>
                <w:bCs/>
                <w:sz w:val="22"/>
                <w:szCs w:val="22"/>
              </w:rPr>
              <w:t>Ph</w:t>
            </w:r>
            <w:proofErr w:type="spellEnd"/>
            <w:r w:rsidRPr="00975CA4">
              <w:rPr>
                <w:rFonts w:eastAsia="Times New Roman"/>
                <w:b/>
                <w:bCs/>
                <w:sz w:val="22"/>
                <w:szCs w:val="22"/>
              </w:rPr>
              <w:t>+ ŪLL</w:t>
            </w:r>
          </w:p>
          <w:p w14:paraId="29B78C07" w14:textId="5553136C" w:rsidR="00703720" w:rsidRPr="00975CA4" w:rsidRDefault="00703720">
            <w:pPr>
              <w:ind w:left="-172" w:right="-155"/>
              <w:jc w:val="center"/>
              <w:rPr>
                <w:sz w:val="22"/>
                <w:szCs w:val="22"/>
              </w:rPr>
            </w:pPr>
            <w:r w:rsidRPr="00975CA4">
              <w:rPr>
                <w:rFonts w:eastAsia="Times New Roman"/>
                <w:b/>
                <w:bCs/>
                <w:sz w:val="22"/>
                <w:szCs w:val="22"/>
              </w:rPr>
              <w:t>(n</w:t>
            </w:r>
            <w:r w:rsidR="003C3022" w:rsidRPr="00975CA4">
              <w:rPr>
                <w:rFonts w:eastAsia="Times New Roman"/>
                <w:b/>
                <w:bCs/>
                <w:sz w:val="22"/>
                <w:szCs w:val="22"/>
              </w:rPr>
              <w:t> </w:t>
            </w:r>
            <w:r w:rsidRPr="00975CA4">
              <w:rPr>
                <w:rFonts w:eastAsia="Times New Roman"/>
                <w:b/>
                <w:bCs/>
                <w:sz w:val="22"/>
                <w:szCs w:val="22"/>
              </w:rPr>
              <w:t>=</w:t>
            </w:r>
            <w:r w:rsidR="003C3022" w:rsidRPr="00975CA4">
              <w:rPr>
                <w:rFonts w:eastAsia="Times New Roman"/>
                <w:b/>
                <w:bCs/>
                <w:sz w:val="22"/>
                <w:szCs w:val="22"/>
              </w:rPr>
              <w:t> </w:t>
            </w:r>
            <w:r w:rsidRPr="00975CA4">
              <w:rPr>
                <w:rFonts w:eastAsia="Times New Roman"/>
                <w:b/>
                <w:bCs/>
                <w:sz w:val="22"/>
                <w:szCs w:val="22"/>
              </w:rPr>
              <w:t>40)</w:t>
            </w:r>
          </w:p>
        </w:tc>
      </w:tr>
      <w:tr w:rsidR="00703720" w:rsidRPr="00975CA4" w14:paraId="73D58F4B" w14:textId="77777777" w:rsidTr="00703720">
        <w:trPr>
          <w:trHeight w:val="283"/>
        </w:trPr>
        <w:tc>
          <w:tcPr>
            <w:tcW w:w="1949" w:type="dxa"/>
            <w:tcBorders>
              <w:top w:val="single" w:sz="4" w:space="0" w:color="000000"/>
              <w:left w:val="single" w:sz="4" w:space="0" w:color="000000"/>
              <w:bottom w:val="single" w:sz="4" w:space="0" w:color="000000"/>
              <w:right w:val="single" w:sz="4" w:space="0" w:color="000000"/>
            </w:tcBorders>
            <w:hideMark/>
          </w:tcPr>
          <w:p w14:paraId="34667690" w14:textId="77777777" w:rsidR="00703720" w:rsidRPr="00975CA4" w:rsidRDefault="00703720">
            <w:pPr>
              <w:ind w:right="-147"/>
              <w:rPr>
                <w:sz w:val="22"/>
                <w:szCs w:val="22"/>
              </w:rPr>
            </w:pPr>
            <w:proofErr w:type="spellStart"/>
            <w:r w:rsidRPr="00975CA4">
              <w:rPr>
                <w:rFonts w:eastAsia="Times New Roman"/>
                <w:b/>
                <w:sz w:val="22"/>
                <w:szCs w:val="22"/>
              </w:rPr>
              <w:t>MaHR</w:t>
            </w:r>
            <w:r w:rsidRPr="00975CA4">
              <w:rPr>
                <w:rFonts w:eastAsia="Times New Roman"/>
                <w:b/>
                <w:sz w:val="22"/>
                <w:szCs w:val="22"/>
                <w:vertAlign w:val="superscript"/>
              </w:rPr>
              <w:t>b</w:t>
            </w:r>
            <w:proofErr w:type="spellEnd"/>
            <w:r w:rsidRPr="00975CA4">
              <w:rPr>
                <w:rFonts w:eastAsia="Times New Roman"/>
                <w:sz w:val="22"/>
                <w:szCs w:val="22"/>
              </w:rPr>
              <w:t xml:space="preserve"> (95</w:t>
            </w:r>
            <w:r w:rsidR="003C3022" w:rsidRPr="00975CA4">
              <w:rPr>
                <w:rFonts w:eastAsia="Times New Roman"/>
                <w:sz w:val="22"/>
                <w:szCs w:val="22"/>
              </w:rPr>
              <w:t> </w:t>
            </w:r>
            <w:r w:rsidRPr="00975CA4">
              <w:rPr>
                <w:rFonts w:eastAsia="Times New Roman"/>
                <w:sz w:val="22"/>
                <w:szCs w:val="22"/>
              </w:rPr>
              <w:t>% PI)</w:t>
            </w:r>
          </w:p>
        </w:tc>
        <w:tc>
          <w:tcPr>
            <w:tcW w:w="1686" w:type="dxa"/>
            <w:tcBorders>
              <w:top w:val="single" w:sz="4" w:space="0" w:color="000000"/>
              <w:left w:val="single" w:sz="4" w:space="0" w:color="000000"/>
              <w:bottom w:val="single" w:sz="4" w:space="0" w:color="000000"/>
              <w:right w:val="single" w:sz="4" w:space="0" w:color="000000"/>
            </w:tcBorders>
            <w:hideMark/>
          </w:tcPr>
          <w:p w14:paraId="59DF3EE4" w14:textId="77777777" w:rsidR="00703720" w:rsidRPr="00975CA4" w:rsidRDefault="00703720">
            <w:pPr>
              <w:ind w:left="-172" w:right="-155"/>
              <w:jc w:val="center"/>
              <w:rPr>
                <w:rFonts w:eastAsia="Times New Roman"/>
                <w:bCs/>
                <w:sz w:val="22"/>
                <w:szCs w:val="22"/>
              </w:rPr>
            </w:pPr>
            <w:r w:rsidRPr="00975CA4">
              <w:rPr>
                <w:rFonts w:eastAsia="Times New Roman"/>
                <w:bCs/>
                <w:sz w:val="22"/>
                <w:szCs w:val="22"/>
              </w:rPr>
              <w:t>66</w:t>
            </w:r>
            <w:r w:rsidR="003C3022" w:rsidRPr="00975CA4">
              <w:rPr>
                <w:rFonts w:eastAsia="Times New Roman"/>
                <w:bCs/>
                <w:sz w:val="22"/>
                <w:szCs w:val="22"/>
              </w:rPr>
              <w:t> </w:t>
            </w:r>
            <w:r w:rsidRPr="00975CA4">
              <w:rPr>
                <w:rFonts w:eastAsia="Times New Roman"/>
                <w:bCs/>
                <w:sz w:val="22"/>
                <w:szCs w:val="22"/>
              </w:rPr>
              <w:t>% (59 ‒ 74)</w:t>
            </w:r>
          </w:p>
        </w:tc>
        <w:tc>
          <w:tcPr>
            <w:tcW w:w="1872" w:type="dxa"/>
            <w:tcBorders>
              <w:top w:val="single" w:sz="4" w:space="0" w:color="000000"/>
              <w:left w:val="single" w:sz="4" w:space="0" w:color="000000"/>
              <w:bottom w:val="single" w:sz="4" w:space="0" w:color="000000"/>
              <w:right w:val="single" w:sz="4" w:space="0" w:color="000000"/>
            </w:tcBorders>
            <w:hideMark/>
          </w:tcPr>
          <w:p w14:paraId="647C883B" w14:textId="77777777" w:rsidR="00703720" w:rsidRPr="00975CA4" w:rsidRDefault="00703720">
            <w:pPr>
              <w:ind w:right="-73"/>
              <w:jc w:val="center"/>
              <w:rPr>
                <w:sz w:val="22"/>
                <w:szCs w:val="22"/>
              </w:rPr>
            </w:pPr>
            <w:r w:rsidRPr="00975CA4">
              <w:rPr>
                <w:sz w:val="22"/>
                <w:szCs w:val="22"/>
              </w:rPr>
              <w:t>28</w:t>
            </w:r>
            <w:r w:rsidR="003C3022" w:rsidRPr="00975CA4">
              <w:rPr>
                <w:sz w:val="22"/>
                <w:szCs w:val="22"/>
              </w:rPr>
              <w:t> </w:t>
            </w:r>
            <w:r w:rsidRPr="00975CA4">
              <w:rPr>
                <w:sz w:val="22"/>
                <w:szCs w:val="22"/>
              </w:rPr>
              <w:t>% (18</w:t>
            </w:r>
            <w:r w:rsidRPr="00975CA4">
              <w:rPr>
                <w:rFonts w:eastAsia="Times New Roman"/>
                <w:bCs/>
                <w:sz w:val="22"/>
                <w:szCs w:val="22"/>
              </w:rPr>
              <w:t xml:space="preserve"> ‒ </w:t>
            </w:r>
            <w:r w:rsidRPr="00975CA4">
              <w:rPr>
                <w:sz w:val="22"/>
                <w:szCs w:val="22"/>
              </w:rPr>
              <w:t>40)</w:t>
            </w:r>
          </w:p>
        </w:tc>
        <w:tc>
          <w:tcPr>
            <w:tcW w:w="1843" w:type="dxa"/>
            <w:tcBorders>
              <w:top w:val="single" w:sz="4" w:space="0" w:color="000000"/>
              <w:left w:val="single" w:sz="4" w:space="0" w:color="000000"/>
              <w:bottom w:val="single" w:sz="4" w:space="0" w:color="000000"/>
              <w:right w:val="single" w:sz="4" w:space="0" w:color="000000"/>
            </w:tcBorders>
            <w:hideMark/>
          </w:tcPr>
          <w:p w14:paraId="18832809" w14:textId="77777777" w:rsidR="00703720" w:rsidRPr="00975CA4" w:rsidRDefault="00703720">
            <w:pPr>
              <w:ind w:right="-42"/>
              <w:jc w:val="center"/>
              <w:rPr>
                <w:sz w:val="22"/>
                <w:szCs w:val="22"/>
              </w:rPr>
            </w:pPr>
            <w:r w:rsidRPr="00975CA4">
              <w:rPr>
                <w:sz w:val="22"/>
                <w:szCs w:val="22"/>
              </w:rPr>
              <w:t>42</w:t>
            </w:r>
            <w:r w:rsidR="003C3022" w:rsidRPr="00975CA4">
              <w:rPr>
                <w:sz w:val="22"/>
                <w:szCs w:val="22"/>
              </w:rPr>
              <w:t> </w:t>
            </w:r>
            <w:r w:rsidRPr="00975CA4">
              <w:rPr>
                <w:sz w:val="22"/>
                <w:szCs w:val="22"/>
              </w:rPr>
              <w:t>% (26</w:t>
            </w:r>
            <w:r w:rsidRPr="00975CA4">
              <w:rPr>
                <w:rFonts w:eastAsia="Times New Roman"/>
                <w:bCs/>
                <w:sz w:val="22"/>
                <w:szCs w:val="22"/>
              </w:rPr>
              <w:t xml:space="preserve"> ‒ </w:t>
            </w:r>
            <w:r w:rsidRPr="00975CA4">
              <w:rPr>
                <w:sz w:val="22"/>
                <w:szCs w:val="22"/>
              </w:rPr>
              <w:t>61)</w:t>
            </w:r>
          </w:p>
        </w:tc>
        <w:tc>
          <w:tcPr>
            <w:tcW w:w="1591" w:type="dxa"/>
            <w:tcBorders>
              <w:top w:val="single" w:sz="4" w:space="0" w:color="000000"/>
              <w:left w:val="single" w:sz="4" w:space="0" w:color="000000"/>
              <w:bottom w:val="single" w:sz="4" w:space="0" w:color="000000"/>
              <w:right w:val="single" w:sz="4" w:space="0" w:color="000000"/>
            </w:tcBorders>
            <w:hideMark/>
          </w:tcPr>
          <w:p w14:paraId="7AA3AA9F" w14:textId="77777777" w:rsidR="00703720" w:rsidRPr="00975CA4" w:rsidRDefault="00703720">
            <w:pPr>
              <w:ind w:left="-172" w:right="-42"/>
              <w:jc w:val="center"/>
              <w:rPr>
                <w:rFonts w:eastAsia="Times New Roman"/>
                <w:bCs/>
                <w:sz w:val="22"/>
                <w:szCs w:val="22"/>
              </w:rPr>
            </w:pPr>
            <w:r w:rsidRPr="00975CA4">
              <w:rPr>
                <w:rFonts w:eastAsia="Times New Roman"/>
                <w:bCs/>
                <w:sz w:val="22"/>
                <w:szCs w:val="22"/>
              </w:rPr>
              <w:t>38</w:t>
            </w:r>
            <w:r w:rsidR="003C3022" w:rsidRPr="002D3411">
              <w:rPr>
                <w:sz w:val="22"/>
              </w:rPr>
              <w:t> </w:t>
            </w:r>
            <w:r w:rsidRPr="00975CA4">
              <w:rPr>
                <w:rFonts w:eastAsia="Times New Roman"/>
                <w:bCs/>
                <w:sz w:val="22"/>
                <w:szCs w:val="22"/>
              </w:rPr>
              <w:t>% (23 ‒ 54)</w:t>
            </w:r>
          </w:p>
        </w:tc>
      </w:tr>
      <w:tr w:rsidR="00703720" w:rsidRPr="00975CA4" w14:paraId="1010ECCE" w14:textId="77777777" w:rsidTr="00703720">
        <w:trPr>
          <w:trHeight w:val="283"/>
        </w:trPr>
        <w:tc>
          <w:tcPr>
            <w:tcW w:w="1949" w:type="dxa"/>
            <w:tcBorders>
              <w:top w:val="single" w:sz="4" w:space="0" w:color="000000"/>
              <w:left w:val="single" w:sz="4" w:space="0" w:color="000000"/>
              <w:bottom w:val="single" w:sz="4" w:space="0" w:color="000000"/>
              <w:right w:val="single" w:sz="4" w:space="0" w:color="000000"/>
            </w:tcBorders>
            <w:hideMark/>
          </w:tcPr>
          <w:p w14:paraId="62E7220F" w14:textId="77777777" w:rsidR="00703720" w:rsidRPr="00975CA4" w:rsidRDefault="00703720">
            <w:pPr>
              <w:ind w:left="142" w:right="-147"/>
              <w:rPr>
                <w:sz w:val="22"/>
                <w:szCs w:val="22"/>
              </w:rPr>
            </w:pPr>
            <w:proofErr w:type="spellStart"/>
            <w:r w:rsidRPr="00975CA4">
              <w:rPr>
                <w:rFonts w:eastAsia="Times New Roman"/>
                <w:sz w:val="22"/>
                <w:szCs w:val="22"/>
              </w:rPr>
              <w:t>CHR</w:t>
            </w:r>
            <w:r w:rsidRPr="00975CA4">
              <w:rPr>
                <w:rFonts w:eastAsia="Times New Roman"/>
                <w:sz w:val="22"/>
                <w:szCs w:val="22"/>
                <w:vertAlign w:val="superscript"/>
              </w:rPr>
              <w:t>b</w:t>
            </w:r>
            <w:proofErr w:type="spellEnd"/>
            <w:r w:rsidRPr="00975CA4">
              <w:rPr>
                <w:rFonts w:eastAsia="Times New Roman"/>
                <w:sz w:val="22"/>
                <w:szCs w:val="22"/>
              </w:rPr>
              <w:t xml:space="preserve"> (95</w:t>
            </w:r>
            <w:r w:rsidR="003C3022" w:rsidRPr="00975CA4">
              <w:rPr>
                <w:rFonts w:eastAsia="Times New Roman"/>
                <w:sz w:val="22"/>
                <w:szCs w:val="22"/>
              </w:rPr>
              <w:t> </w:t>
            </w:r>
            <w:r w:rsidRPr="00975CA4">
              <w:rPr>
                <w:rFonts w:eastAsia="Times New Roman"/>
                <w:sz w:val="22"/>
                <w:szCs w:val="22"/>
              </w:rPr>
              <w:t>% PI)</w:t>
            </w:r>
          </w:p>
        </w:tc>
        <w:tc>
          <w:tcPr>
            <w:tcW w:w="1686" w:type="dxa"/>
            <w:tcBorders>
              <w:top w:val="single" w:sz="4" w:space="0" w:color="000000"/>
              <w:left w:val="single" w:sz="4" w:space="0" w:color="000000"/>
              <w:bottom w:val="single" w:sz="4" w:space="0" w:color="000000"/>
              <w:right w:val="single" w:sz="4" w:space="0" w:color="000000"/>
            </w:tcBorders>
            <w:hideMark/>
          </w:tcPr>
          <w:p w14:paraId="5812965B" w14:textId="77777777" w:rsidR="00703720" w:rsidRPr="00975CA4" w:rsidRDefault="00703720">
            <w:pPr>
              <w:jc w:val="center"/>
              <w:rPr>
                <w:rFonts w:eastAsia="Times New Roman"/>
                <w:sz w:val="22"/>
                <w:szCs w:val="22"/>
              </w:rPr>
            </w:pPr>
            <w:r w:rsidRPr="00975CA4">
              <w:rPr>
                <w:rFonts w:eastAsia="Times New Roman"/>
                <w:sz w:val="22"/>
                <w:szCs w:val="22"/>
              </w:rPr>
              <w:t>47</w:t>
            </w:r>
            <w:r w:rsidR="003C3022" w:rsidRPr="00975CA4">
              <w:rPr>
                <w:rFonts w:eastAsia="Times New Roman"/>
                <w:sz w:val="22"/>
                <w:szCs w:val="22"/>
              </w:rPr>
              <w:t> </w:t>
            </w:r>
            <w:r w:rsidRPr="00975CA4">
              <w:rPr>
                <w:rFonts w:eastAsia="Times New Roman"/>
                <w:sz w:val="22"/>
                <w:szCs w:val="22"/>
              </w:rPr>
              <w:t>% (40</w:t>
            </w:r>
            <w:r w:rsidRPr="00975CA4">
              <w:rPr>
                <w:rFonts w:eastAsia="Times New Roman"/>
                <w:bCs/>
                <w:sz w:val="22"/>
                <w:szCs w:val="22"/>
              </w:rPr>
              <w:t xml:space="preserve"> ‒ </w:t>
            </w:r>
            <w:r w:rsidRPr="00975CA4">
              <w:rPr>
                <w:rFonts w:eastAsia="Times New Roman"/>
                <w:sz w:val="22"/>
                <w:szCs w:val="22"/>
              </w:rPr>
              <w:t>56)</w:t>
            </w:r>
          </w:p>
        </w:tc>
        <w:tc>
          <w:tcPr>
            <w:tcW w:w="1872" w:type="dxa"/>
            <w:tcBorders>
              <w:top w:val="single" w:sz="4" w:space="0" w:color="000000"/>
              <w:left w:val="single" w:sz="4" w:space="0" w:color="000000"/>
              <w:bottom w:val="single" w:sz="4" w:space="0" w:color="000000"/>
              <w:right w:val="single" w:sz="4" w:space="0" w:color="000000"/>
            </w:tcBorders>
            <w:hideMark/>
          </w:tcPr>
          <w:p w14:paraId="5C1EF307" w14:textId="77777777" w:rsidR="00703720" w:rsidRPr="00975CA4" w:rsidRDefault="00703720">
            <w:pPr>
              <w:ind w:right="-73"/>
              <w:jc w:val="center"/>
              <w:rPr>
                <w:rFonts w:eastAsia="Times New Roman"/>
                <w:sz w:val="22"/>
                <w:szCs w:val="22"/>
              </w:rPr>
            </w:pPr>
            <w:r w:rsidRPr="00975CA4">
              <w:rPr>
                <w:rFonts w:eastAsia="Times New Roman"/>
                <w:sz w:val="22"/>
                <w:szCs w:val="22"/>
              </w:rPr>
              <w:t>17</w:t>
            </w:r>
            <w:r w:rsidR="003C3022" w:rsidRPr="00975CA4">
              <w:rPr>
                <w:rFonts w:eastAsia="Times New Roman"/>
                <w:sz w:val="22"/>
                <w:szCs w:val="22"/>
              </w:rPr>
              <w:t> </w:t>
            </w:r>
            <w:r w:rsidRPr="00975CA4">
              <w:rPr>
                <w:rFonts w:eastAsia="Times New Roman"/>
                <w:sz w:val="22"/>
                <w:szCs w:val="22"/>
              </w:rPr>
              <w:t>% (10</w:t>
            </w:r>
            <w:r w:rsidRPr="00975CA4">
              <w:rPr>
                <w:rFonts w:eastAsia="Times New Roman"/>
                <w:bCs/>
                <w:sz w:val="22"/>
                <w:szCs w:val="22"/>
              </w:rPr>
              <w:t xml:space="preserve"> ‒ 28</w:t>
            </w:r>
            <w:r w:rsidRPr="00975CA4">
              <w:rPr>
                <w:rFonts w:eastAsia="Times New Roman"/>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14:paraId="2A5E48CF" w14:textId="77777777" w:rsidR="00703720" w:rsidRPr="00975CA4" w:rsidRDefault="00703720">
            <w:pPr>
              <w:ind w:right="-42"/>
              <w:jc w:val="center"/>
              <w:rPr>
                <w:rFonts w:eastAsia="Times New Roman"/>
                <w:sz w:val="22"/>
                <w:szCs w:val="22"/>
              </w:rPr>
            </w:pPr>
            <w:r w:rsidRPr="00975CA4">
              <w:rPr>
                <w:rFonts w:eastAsia="Times New Roman"/>
                <w:sz w:val="22"/>
                <w:szCs w:val="22"/>
              </w:rPr>
              <w:t>21</w:t>
            </w:r>
            <w:r w:rsidR="003C3022" w:rsidRPr="00975CA4">
              <w:rPr>
                <w:rFonts w:eastAsia="Times New Roman"/>
                <w:sz w:val="22"/>
                <w:szCs w:val="22"/>
              </w:rPr>
              <w:t> </w:t>
            </w:r>
            <w:r w:rsidRPr="00975CA4">
              <w:rPr>
                <w:rFonts w:eastAsia="Times New Roman"/>
                <w:sz w:val="22"/>
                <w:szCs w:val="22"/>
              </w:rPr>
              <w:t>% (9</w:t>
            </w:r>
            <w:r w:rsidRPr="00975CA4">
              <w:rPr>
                <w:rFonts w:eastAsia="Times New Roman"/>
                <w:bCs/>
                <w:sz w:val="22"/>
                <w:szCs w:val="22"/>
              </w:rPr>
              <w:t xml:space="preserve"> ‒ </w:t>
            </w:r>
            <w:r w:rsidRPr="00975CA4">
              <w:rPr>
                <w:rFonts w:eastAsia="Times New Roman"/>
                <w:sz w:val="22"/>
                <w:szCs w:val="22"/>
              </w:rPr>
              <w:t>39)</w:t>
            </w:r>
          </w:p>
        </w:tc>
        <w:tc>
          <w:tcPr>
            <w:tcW w:w="1591" w:type="dxa"/>
            <w:tcBorders>
              <w:top w:val="single" w:sz="4" w:space="0" w:color="000000"/>
              <w:left w:val="single" w:sz="4" w:space="0" w:color="000000"/>
              <w:bottom w:val="single" w:sz="4" w:space="0" w:color="000000"/>
              <w:right w:val="single" w:sz="4" w:space="0" w:color="000000"/>
            </w:tcBorders>
            <w:hideMark/>
          </w:tcPr>
          <w:p w14:paraId="7E1BEAF0" w14:textId="77777777" w:rsidR="00703720" w:rsidRPr="00975CA4" w:rsidRDefault="00703720">
            <w:pPr>
              <w:ind w:right="-42"/>
              <w:jc w:val="center"/>
              <w:rPr>
                <w:rFonts w:eastAsia="Times New Roman"/>
                <w:sz w:val="22"/>
                <w:szCs w:val="22"/>
              </w:rPr>
            </w:pPr>
            <w:r w:rsidRPr="00975CA4">
              <w:rPr>
                <w:rFonts w:eastAsia="Times New Roman"/>
                <w:sz w:val="22"/>
                <w:szCs w:val="22"/>
              </w:rPr>
              <w:t>33</w:t>
            </w:r>
            <w:r w:rsidR="003C3022" w:rsidRPr="00975CA4">
              <w:rPr>
                <w:rFonts w:eastAsia="Times New Roman"/>
                <w:sz w:val="22"/>
                <w:szCs w:val="22"/>
              </w:rPr>
              <w:t> </w:t>
            </w:r>
            <w:r w:rsidRPr="00975CA4">
              <w:rPr>
                <w:rFonts w:eastAsia="Times New Roman"/>
                <w:sz w:val="22"/>
                <w:szCs w:val="22"/>
              </w:rPr>
              <w:t>% (19</w:t>
            </w:r>
            <w:r w:rsidRPr="00975CA4">
              <w:rPr>
                <w:rFonts w:eastAsia="Times New Roman"/>
                <w:bCs/>
                <w:sz w:val="22"/>
                <w:szCs w:val="22"/>
              </w:rPr>
              <w:t xml:space="preserve"> ‒ </w:t>
            </w:r>
            <w:r w:rsidRPr="00975CA4">
              <w:rPr>
                <w:rFonts w:eastAsia="Times New Roman"/>
                <w:sz w:val="22"/>
                <w:szCs w:val="22"/>
              </w:rPr>
              <w:t>49)</w:t>
            </w:r>
          </w:p>
        </w:tc>
      </w:tr>
      <w:tr w:rsidR="00703720" w:rsidRPr="00975CA4" w14:paraId="52772C31" w14:textId="77777777" w:rsidTr="00703720">
        <w:trPr>
          <w:trHeight w:val="283"/>
        </w:trPr>
        <w:tc>
          <w:tcPr>
            <w:tcW w:w="1949" w:type="dxa"/>
            <w:tcBorders>
              <w:top w:val="single" w:sz="4" w:space="0" w:color="000000"/>
              <w:left w:val="single" w:sz="4" w:space="0" w:color="000000"/>
              <w:bottom w:val="single" w:sz="4" w:space="0" w:color="000000"/>
              <w:right w:val="single" w:sz="4" w:space="0" w:color="000000"/>
            </w:tcBorders>
            <w:hideMark/>
          </w:tcPr>
          <w:p w14:paraId="745958CC" w14:textId="77777777" w:rsidR="00703720" w:rsidRPr="00975CA4" w:rsidRDefault="00703720">
            <w:pPr>
              <w:ind w:left="142"/>
              <w:rPr>
                <w:sz w:val="22"/>
                <w:szCs w:val="22"/>
              </w:rPr>
            </w:pPr>
            <w:proofErr w:type="spellStart"/>
            <w:r w:rsidRPr="00975CA4">
              <w:rPr>
                <w:rFonts w:eastAsia="Times New Roman"/>
                <w:sz w:val="22"/>
                <w:szCs w:val="22"/>
              </w:rPr>
              <w:t>NEL</w:t>
            </w:r>
            <w:r w:rsidRPr="00975CA4">
              <w:rPr>
                <w:rFonts w:eastAsia="Times New Roman"/>
                <w:sz w:val="22"/>
                <w:szCs w:val="22"/>
                <w:vertAlign w:val="superscript"/>
              </w:rPr>
              <w:t>b</w:t>
            </w:r>
            <w:proofErr w:type="spellEnd"/>
            <w:r w:rsidRPr="00975CA4">
              <w:rPr>
                <w:rFonts w:eastAsia="Times New Roman"/>
                <w:sz w:val="22"/>
                <w:szCs w:val="22"/>
              </w:rPr>
              <w:t xml:space="preserve"> (95</w:t>
            </w:r>
            <w:r w:rsidR="003C3022" w:rsidRPr="00975CA4">
              <w:rPr>
                <w:rFonts w:eastAsia="Times New Roman"/>
                <w:sz w:val="22"/>
                <w:szCs w:val="22"/>
              </w:rPr>
              <w:t> </w:t>
            </w:r>
            <w:r w:rsidRPr="00975CA4">
              <w:rPr>
                <w:rFonts w:eastAsia="Times New Roman"/>
                <w:sz w:val="22"/>
                <w:szCs w:val="22"/>
              </w:rPr>
              <w:t>% PI)</w:t>
            </w:r>
          </w:p>
        </w:tc>
        <w:tc>
          <w:tcPr>
            <w:tcW w:w="1686" w:type="dxa"/>
            <w:tcBorders>
              <w:top w:val="single" w:sz="4" w:space="0" w:color="000000"/>
              <w:left w:val="single" w:sz="4" w:space="0" w:color="000000"/>
              <w:bottom w:val="single" w:sz="4" w:space="0" w:color="000000"/>
              <w:right w:val="single" w:sz="4" w:space="0" w:color="000000"/>
            </w:tcBorders>
            <w:hideMark/>
          </w:tcPr>
          <w:p w14:paraId="22B092A1" w14:textId="77777777" w:rsidR="00703720" w:rsidRPr="00975CA4" w:rsidRDefault="00703720">
            <w:pPr>
              <w:jc w:val="center"/>
              <w:rPr>
                <w:rFonts w:eastAsia="Times New Roman"/>
                <w:sz w:val="22"/>
                <w:szCs w:val="22"/>
              </w:rPr>
            </w:pPr>
            <w:r w:rsidRPr="00975CA4">
              <w:rPr>
                <w:rFonts w:eastAsia="Times New Roman"/>
                <w:sz w:val="22"/>
                <w:szCs w:val="22"/>
              </w:rPr>
              <w:t>19</w:t>
            </w:r>
            <w:r w:rsidR="003C3022" w:rsidRPr="00975CA4">
              <w:rPr>
                <w:rFonts w:eastAsia="Times New Roman"/>
                <w:sz w:val="22"/>
                <w:szCs w:val="22"/>
              </w:rPr>
              <w:t> </w:t>
            </w:r>
            <w:r w:rsidRPr="00975CA4">
              <w:rPr>
                <w:rFonts w:eastAsia="Times New Roman"/>
                <w:sz w:val="22"/>
                <w:szCs w:val="22"/>
              </w:rPr>
              <w:t>% (13</w:t>
            </w:r>
            <w:r w:rsidRPr="00975CA4">
              <w:rPr>
                <w:rFonts w:eastAsia="Times New Roman"/>
                <w:bCs/>
                <w:sz w:val="22"/>
                <w:szCs w:val="22"/>
              </w:rPr>
              <w:t xml:space="preserve"> ‒ </w:t>
            </w:r>
            <w:r w:rsidRPr="00975CA4">
              <w:rPr>
                <w:rFonts w:eastAsia="Times New Roman"/>
                <w:sz w:val="22"/>
                <w:szCs w:val="22"/>
              </w:rPr>
              <w:t>26)</w:t>
            </w:r>
          </w:p>
        </w:tc>
        <w:tc>
          <w:tcPr>
            <w:tcW w:w="1872" w:type="dxa"/>
            <w:tcBorders>
              <w:top w:val="single" w:sz="4" w:space="0" w:color="000000"/>
              <w:left w:val="single" w:sz="4" w:space="0" w:color="000000"/>
              <w:bottom w:val="single" w:sz="4" w:space="0" w:color="000000"/>
              <w:right w:val="single" w:sz="4" w:space="0" w:color="000000"/>
            </w:tcBorders>
            <w:hideMark/>
          </w:tcPr>
          <w:p w14:paraId="6AF60287" w14:textId="77777777" w:rsidR="00703720" w:rsidRPr="00975CA4" w:rsidRDefault="00703720">
            <w:pPr>
              <w:jc w:val="center"/>
              <w:rPr>
                <w:rFonts w:eastAsia="Times New Roman"/>
                <w:sz w:val="22"/>
                <w:szCs w:val="22"/>
              </w:rPr>
            </w:pPr>
            <w:r w:rsidRPr="00975CA4">
              <w:rPr>
                <w:rFonts w:eastAsia="Times New Roman"/>
                <w:sz w:val="22"/>
                <w:szCs w:val="22"/>
              </w:rPr>
              <w:t>11</w:t>
            </w:r>
            <w:r w:rsidR="003C3022" w:rsidRPr="00975CA4">
              <w:rPr>
                <w:rFonts w:eastAsia="Times New Roman"/>
                <w:sz w:val="22"/>
                <w:szCs w:val="22"/>
              </w:rPr>
              <w:t> </w:t>
            </w:r>
            <w:r w:rsidRPr="00975CA4">
              <w:rPr>
                <w:rFonts w:eastAsia="Times New Roman"/>
                <w:sz w:val="22"/>
                <w:szCs w:val="22"/>
              </w:rPr>
              <w:t>% (5</w:t>
            </w:r>
            <w:r w:rsidRPr="00975CA4">
              <w:rPr>
                <w:rFonts w:eastAsia="Times New Roman"/>
                <w:bCs/>
                <w:sz w:val="22"/>
                <w:szCs w:val="22"/>
              </w:rPr>
              <w:t xml:space="preserve"> ‒ </w:t>
            </w:r>
            <w:r w:rsidRPr="00975CA4">
              <w:rPr>
                <w:rFonts w:eastAsia="Times New Roman"/>
                <w:sz w:val="22"/>
                <w:szCs w:val="22"/>
              </w:rPr>
              <w:t>20)</w:t>
            </w:r>
          </w:p>
        </w:tc>
        <w:tc>
          <w:tcPr>
            <w:tcW w:w="1843" w:type="dxa"/>
            <w:tcBorders>
              <w:top w:val="single" w:sz="4" w:space="0" w:color="000000"/>
              <w:left w:val="single" w:sz="4" w:space="0" w:color="000000"/>
              <w:bottom w:val="single" w:sz="4" w:space="0" w:color="000000"/>
              <w:right w:val="single" w:sz="4" w:space="0" w:color="000000"/>
            </w:tcBorders>
            <w:hideMark/>
          </w:tcPr>
          <w:p w14:paraId="7ACBDF4A" w14:textId="77777777" w:rsidR="00703720" w:rsidRPr="00975CA4" w:rsidRDefault="00703720">
            <w:pPr>
              <w:jc w:val="center"/>
              <w:rPr>
                <w:rFonts w:eastAsia="Times New Roman"/>
                <w:sz w:val="22"/>
                <w:szCs w:val="22"/>
              </w:rPr>
            </w:pPr>
            <w:r w:rsidRPr="00975CA4">
              <w:rPr>
                <w:rFonts w:eastAsia="Times New Roman"/>
                <w:sz w:val="22"/>
                <w:szCs w:val="22"/>
              </w:rPr>
              <w:t>21</w:t>
            </w:r>
            <w:r w:rsidR="003C3022" w:rsidRPr="00975CA4">
              <w:rPr>
                <w:rFonts w:eastAsia="Times New Roman"/>
                <w:sz w:val="22"/>
                <w:szCs w:val="22"/>
              </w:rPr>
              <w:t> </w:t>
            </w:r>
            <w:r w:rsidRPr="00975CA4">
              <w:rPr>
                <w:rFonts w:eastAsia="Times New Roman"/>
                <w:sz w:val="22"/>
                <w:szCs w:val="22"/>
              </w:rPr>
              <w:t>% (9</w:t>
            </w:r>
            <w:r w:rsidRPr="00975CA4">
              <w:rPr>
                <w:rFonts w:eastAsia="Times New Roman"/>
                <w:bCs/>
                <w:sz w:val="22"/>
                <w:szCs w:val="22"/>
              </w:rPr>
              <w:t xml:space="preserve"> ‒ </w:t>
            </w:r>
            <w:r w:rsidRPr="00975CA4">
              <w:rPr>
                <w:rFonts w:eastAsia="Times New Roman"/>
                <w:sz w:val="22"/>
                <w:szCs w:val="22"/>
              </w:rPr>
              <w:t>39)</w:t>
            </w:r>
          </w:p>
        </w:tc>
        <w:tc>
          <w:tcPr>
            <w:tcW w:w="1591" w:type="dxa"/>
            <w:tcBorders>
              <w:top w:val="single" w:sz="4" w:space="0" w:color="000000"/>
              <w:left w:val="single" w:sz="4" w:space="0" w:color="000000"/>
              <w:bottom w:val="single" w:sz="4" w:space="0" w:color="000000"/>
              <w:right w:val="single" w:sz="4" w:space="0" w:color="000000"/>
            </w:tcBorders>
            <w:hideMark/>
          </w:tcPr>
          <w:p w14:paraId="7A420999" w14:textId="77777777" w:rsidR="00703720" w:rsidRPr="00975CA4" w:rsidRDefault="00703720">
            <w:pPr>
              <w:jc w:val="center"/>
              <w:rPr>
                <w:rFonts w:eastAsia="Times New Roman"/>
                <w:sz w:val="22"/>
                <w:szCs w:val="22"/>
              </w:rPr>
            </w:pPr>
            <w:r w:rsidRPr="00975CA4">
              <w:rPr>
                <w:rFonts w:eastAsia="Times New Roman"/>
                <w:sz w:val="22"/>
                <w:szCs w:val="22"/>
              </w:rPr>
              <w:t>5</w:t>
            </w:r>
            <w:r w:rsidR="003C3022" w:rsidRPr="00975CA4">
              <w:rPr>
                <w:rFonts w:eastAsia="Times New Roman"/>
                <w:sz w:val="22"/>
                <w:szCs w:val="22"/>
              </w:rPr>
              <w:t> </w:t>
            </w:r>
            <w:r w:rsidRPr="00975CA4">
              <w:rPr>
                <w:rFonts w:eastAsia="Times New Roman"/>
                <w:sz w:val="22"/>
                <w:szCs w:val="22"/>
              </w:rPr>
              <w:t>% (1</w:t>
            </w:r>
            <w:r w:rsidRPr="00975CA4">
              <w:rPr>
                <w:rFonts w:eastAsia="Times New Roman"/>
                <w:bCs/>
                <w:sz w:val="22"/>
                <w:szCs w:val="22"/>
              </w:rPr>
              <w:t xml:space="preserve"> ‒ </w:t>
            </w:r>
            <w:r w:rsidRPr="00975CA4">
              <w:rPr>
                <w:rFonts w:eastAsia="Times New Roman"/>
                <w:sz w:val="22"/>
                <w:szCs w:val="22"/>
              </w:rPr>
              <w:t>17)</w:t>
            </w:r>
          </w:p>
        </w:tc>
      </w:tr>
      <w:tr w:rsidR="00703720" w:rsidRPr="00975CA4" w14:paraId="08B1ED15" w14:textId="77777777" w:rsidTr="00703720">
        <w:trPr>
          <w:trHeight w:val="283"/>
        </w:trPr>
        <w:tc>
          <w:tcPr>
            <w:tcW w:w="1949" w:type="dxa"/>
            <w:tcBorders>
              <w:top w:val="single" w:sz="4" w:space="0" w:color="000000"/>
              <w:left w:val="single" w:sz="4" w:space="0" w:color="000000"/>
              <w:bottom w:val="single" w:sz="4" w:space="0" w:color="000000"/>
              <w:right w:val="single" w:sz="4" w:space="0" w:color="000000"/>
            </w:tcBorders>
            <w:hideMark/>
          </w:tcPr>
          <w:p w14:paraId="40E72626" w14:textId="77777777" w:rsidR="00703720" w:rsidRPr="00975CA4" w:rsidRDefault="00703720">
            <w:pPr>
              <w:ind w:right="-147"/>
              <w:rPr>
                <w:sz w:val="22"/>
                <w:szCs w:val="22"/>
              </w:rPr>
            </w:pPr>
            <w:proofErr w:type="spellStart"/>
            <w:r w:rsidRPr="00975CA4">
              <w:rPr>
                <w:rFonts w:eastAsia="Times New Roman"/>
                <w:b/>
                <w:sz w:val="22"/>
                <w:szCs w:val="22"/>
              </w:rPr>
              <w:t>MCyR</w:t>
            </w:r>
            <w:r w:rsidRPr="00975CA4">
              <w:rPr>
                <w:rFonts w:eastAsia="Times New Roman"/>
                <w:b/>
                <w:sz w:val="22"/>
                <w:szCs w:val="22"/>
                <w:vertAlign w:val="superscript"/>
              </w:rPr>
              <w:t>c</w:t>
            </w:r>
            <w:proofErr w:type="spellEnd"/>
            <w:r w:rsidRPr="00975CA4">
              <w:rPr>
                <w:rFonts w:eastAsia="Times New Roman"/>
                <w:sz w:val="22"/>
                <w:szCs w:val="22"/>
              </w:rPr>
              <w:t xml:space="preserve"> (95</w:t>
            </w:r>
            <w:r w:rsidR="003C3022" w:rsidRPr="00975CA4">
              <w:rPr>
                <w:rFonts w:eastAsia="Times New Roman"/>
                <w:sz w:val="22"/>
                <w:szCs w:val="22"/>
              </w:rPr>
              <w:t> </w:t>
            </w:r>
            <w:r w:rsidRPr="00975CA4">
              <w:rPr>
                <w:rFonts w:eastAsia="Times New Roman"/>
                <w:sz w:val="22"/>
                <w:szCs w:val="22"/>
              </w:rPr>
              <w:t>% PI)</w:t>
            </w:r>
          </w:p>
        </w:tc>
        <w:tc>
          <w:tcPr>
            <w:tcW w:w="1686" w:type="dxa"/>
            <w:tcBorders>
              <w:top w:val="single" w:sz="4" w:space="0" w:color="000000"/>
              <w:left w:val="single" w:sz="4" w:space="0" w:color="000000"/>
              <w:bottom w:val="single" w:sz="4" w:space="0" w:color="000000"/>
              <w:right w:val="single" w:sz="4" w:space="0" w:color="000000"/>
            </w:tcBorders>
            <w:hideMark/>
          </w:tcPr>
          <w:p w14:paraId="7EAF4B2E" w14:textId="77777777" w:rsidR="00703720" w:rsidRPr="00975CA4" w:rsidRDefault="00703720">
            <w:pPr>
              <w:ind w:left="-172" w:right="-153"/>
              <w:jc w:val="center"/>
              <w:rPr>
                <w:rFonts w:eastAsia="Times New Roman"/>
                <w:sz w:val="22"/>
                <w:szCs w:val="22"/>
              </w:rPr>
            </w:pPr>
            <w:r w:rsidRPr="00975CA4">
              <w:rPr>
                <w:rFonts w:eastAsia="Times New Roman"/>
                <w:sz w:val="22"/>
                <w:szCs w:val="22"/>
              </w:rPr>
              <w:t>39</w:t>
            </w:r>
            <w:r w:rsidR="003C3022" w:rsidRPr="00975CA4">
              <w:rPr>
                <w:rFonts w:eastAsia="Times New Roman"/>
                <w:sz w:val="22"/>
                <w:szCs w:val="22"/>
              </w:rPr>
              <w:t> </w:t>
            </w:r>
            <w:r w:rsidRPr="00975CA4">
              <w:rPr>
                <w:rFonts w:eastAsia="Times New Roman"/>
                <w:sz w:val="22"/>
                <w:szCs w:val="22"/>
              </w:rPr>
              <w:t>% (31</w:t>
            </w:r>
            <w:r w:rsidRPr="00975CA4">
              <w:rPr>
                <w:rFonts w:eastAsia="Times New Roman"/>
                <w:bCs/>
                <w:sz w:val="22"/>
                <w:szCs w:val="22"/>
              </w:rPr>
              <w:t xml:space="preserve"> ‒ </w:t>
            </w:r>
            <w:r w:rsidRPr="00975CA4">
              <w:rPr>
                <w:rFonts w:eastAsia="Times New Roman"/>
                <w:sz w:val="22"/>
                <w:szCs w:val="22"/>
              </w:rPr>
              <w:t>47)</w:t>
            </w:r>
          </w:p>
        </w:tc>
        <w:tc>
          <w:tcPr>
            <w:tcW w:w="1872" w:type="dxa"/>
            <w:tcBorders>
              <w:top w:val="single" w:sz="4" w:space="0" w:color="000000"/>
              <w:left w:val="single" w:sz="4" w:space="0" w:color="000000"/>
              <w:bottom w:val="single" w:sz="4" w:space="0" w:color="000000"/>
              <w:right w:val="single" w:sz="4" w:space="0" w:color="000000"/>
            </w:tcBorders>
            <w:hideMark/>
          </w:tcPr>
          <w:p w14:paraId="25E41993" w14:textId="77777777" w:rsidR="00703720" w:rsidRPr="00975CA4" w:rsidRDefault="00703720">
            <w:pPr>
              <w:ind w:left="-172" w:right="-153"/>
              <w:jc w:val="center"/>
              <w:rPr>
                <w:rFonts w:eastAsia="Times New Roman"/>
                <w:sz w:val="22"/>
                <w:szCs w:val="22"/>
              </w:rPr>
            </w:pPr>
            <w:r w:rsidRPr="00975CA4">
              <w:rPr>
                <w:rFonts w:eastAsia="Times New Roman"/>
                <w:sz w:val="22"/>
                <w:szCs w:val="22"/>
              </w:rPr>
              <w:t>28</w:t>
            </w:r>
            <w:r w:rsidR="003C3022" w:rsidRPr="00975CA4">
              <w:rPr>
                <w:rFonts w:eastAsia="Times New Roman"/>
                <w:sz w:val="22"/>
                <w:szCs w:val="22"/>
              </w:rPr>
              <w:t> </w:t>
            </w:r>
            <w:r w:rsidRPr="00975CA4">
              <w:rPr>
                <w:rFonts w:eastAsia="Times New Roman"/>
                <w:sz w:val="22"/>
                <w:szCs w:val="22"/>
              </w:rPr>
              <w:t>% (18</w:t>
            </w:r>
            <w:r w:rsidRPr="00975CA4">
              <w:rPr>
                <w:rFonts w:eastAsia="Times New Roman"/>
                <w:bCs/>
                <w:sz w:val="22"/>
                <w:szCs w:val="22"/>
              </w:rPr>
              <w:t xml:space="preserve"> ‒ </w:t>
            </w:r>
            <w:r w:rsidRPr="00975CA4">
              <w:rPr>
                <w:rFonts w:eastAsia="Times New Roman"/>
                <w:sz w:val="22"/>
                <w:szCs w:val="22"/>
              </w:rPr>
              <w:t>40)</w:t>
            </w:r>
          </w:p>
        </w:tc>
        <w:tc>
          <w:tcPr>
            <w:tcW w:w="1843" w:type="dxa"/>
            <w:tcBorders>
              <w:top w:val="single" w:sz="4" w:space="0" w:color="000000"/>
              <w:left w:val="single" w:sz="4" w:space="0" w:color="000000"/>
              <w:bottom w:val="single" w:sz="4" w:space="0" w:color="000000"/>
              <w:right w:val="single" w:sz="4" w:space="0" w:color="000000"/>
            </w:tcBorders>
            <w:hideMark/>
          </w:tcPr>
          <w:p w14:paraId="3AB5EB9A" w14:textId="77777777" w:rsidR="00703720" w:rsidRPr="00975CA4" w:rsidRDefault="00703720">
            <w:pPr>
              <w:ind w:left="-172" w:right="-153"/>
              <w:jc w:val="center"/>
              <w:rPr>
                <w:rFonts w:eastAsia="Times New Roman"/>
                <w:sz w:val="22"/>
                <w:szCs w:val="22"/>
              </w:rPr>
            </w:pPr>
            <w:r w:rsidRPr="00975CA4">
              <w:rPr>
                <w:rFonts w:eastAsia="Times New Roman"/>
                <w:sz w:val="22"/>
                <w:szCs w:val="22"/>
              </w:rPr>
              <w:t>52</w:t>
            </w:r>
            <w:r w:rsidR="003C3022" w:rsidRPr="00975CA4">
              <w:rPr>
                <w:rFonts w:eastAsia="Times New Roman"/>
                <w:sz w:val="22"/>
                <w:szCs w:val="22"/>
              </w:rPr>
              <w:t> </w:t>
            </w:r>
            <w:r w:rsidRPr="00975CA4">
              <w:rPr>
                <w:rFonts w:eastAsia="Times New Roman"/>
                <w:sz w:val="22"/>
                <w:szCs w:val="22"/>
              </w:rPr>
              <w:t>% (34</w:t>
            </w:r>
            <w:r w:rsidRPr="00975CA4">
              <w:rPr>
                <w:rFonts w:eastAsia="Times New Roman"/>
                <w:bCs/>
                <w:sz w:val="22"/>
                <w:szCs w:val="22"/>
              </w:rPr>
              <w:t xml:space="preserve"> ‒ </w:t>
            </w:r>
            <w:r w:rsidRPr="00975CA4">
              <w:rPr>
                <w:rFonts w:eastAsia="Times New Roman"/>
                <w:sz w:val="22"/>
                <w:szCs w:val="22"/>
              </w:rPr>
              <w:t>69)</w:t>
            </w:r>
          </w:p>
        </w:tc>
        <w:tc>
          <w:tcPr>
            <w:tcW w:w="1591" w:type="dxa"/>
            <w:tcBorders>
              <w:top w:val="single" w:sz="4" w:space="0" w:color="000000"/>
              <w:left w:val="single" w:sz="4" w:space="0" w:color="000000"/>
              <w:bottom w:val="single" w:sz="4" w:space="0" w:color="000000"/>
              <w:right w:val="single" w:sz="4" w:space="0" w:color="000000"/>
            </w:tcBorders>
            <w:hideMark/>
          </w:tcPr>
          <w:p w14:paraId="701C4C8F" w14:textId="77777777" w:rsidR="00703720" w:rsidRPr="00975CA4" w:rsidRDefault="00703720">
            <w:pPr>
              <w:ind w:left="-172" w:right="-153"/>
              <w:jc w:val="center"/>
              <w:rPr>
                <w:rFonts w:eastAsia="Times New Roman"/>
                <w:sz w:val="22"/>
                <w:szCs w:val="22"/>
              </w:rPr>
            </w:pPr>
            <w:r w:rsidRPr="00975CA4">
              <w:rPr>
                <w:rFonts w:eastAsia="Times New Roman"/>
                <w:sz w:val="22"/>
                <w:szCs w:val="22"/>
              </w:rPr>
              <w:t>70</w:t>
            </w:r>
            <w:r w:rsidR="003C3022" w:rsidRPr="00975CA4">
              <w:rPr>
                <w:rFonts w:eastAsia="Times New Roman"/>
                <w:sz w:val="22"/>
                <w:szCs w:val="22"/>
              </w:rPr>
              <w:t> </w:t>
            </w:r>
            <w:r w:rsidRPr="00975CA4">
              <w:rPr>
                <w:rFonts w:eastAsia="Times New Roman"/>
                <w:sz w:val="22"/>
                <w:szCs w:val="22"/>
              </w:rPr>
              <w:t>% (54</w:t>
            </w:r>
            <w:r w:rsidRPr="00975CA4">
              <w:rPr>
                <w:rFonts w:eastAsia="Times New Roman"/>
                <w:bCs/>
                <w:sz w:val="22"/>
                <w:szCs w:val="22"/>
              </w:rPr>
              <w:t xml:space="preserve"> ‒ </w:t>
            </w:r>
            <w:r w:rsidRPr="00975CA4">
              <w:rPr>
                <w:rFonts w:eastAsia="Times New Roman"/>
                <w:sz w:val="22"/>
                <w:szCs w:val="22"/>
              </w:rPr>
              <w:t>83)</w:t>
            </w:r>
          </w:p>
        </w:tc>
      </w:tr>
      <w:tr w:rsidR="00703720" w:rsidRPr="00975CA4" w14:paraId="44ABBD08" w14:textId="77777777" w:rsidTr="00703720">
        <w:trPr>
          <w:trHeight w:val="283"/>
        </w:trPr>
        <w:tc>
          <w:tcPr>
            <w:tcW w:w="1949" w:type="dxa"/>
            <w:tcBorders>
              <w:top w:val="single" w:sz="4" w:space="0" w:color="000000"/>
              <w:left w:val="single" w:sz="4" w:space="0" w:color="000000"/>
              <w:bottom w:val="single" w:sz="4" w:space="0" w:color="000000"/>
              <w:right w:val="single" w:sz="4" w:space="0" w:color="000000"/>
            </w:tcBorders>
            <w:hideMark/>
          </w:tcPr>
          <w:p w14:paraId="2CE0FE18" w14:textId="77777777" w:rsidR="00703720" w:rsidRPr="00975CA4" w:rsidRDefault="00703720">
            <w:pPr>
              <w:ind w:left="142" w:right="-147"/>
              <w:rPr>
                <w:rFonts w:eastAsia="Times New Roman"/>
                <w:sz w:val="22"/>
                <w:szCs w:val="22"/>
              </w:rPr>
            </w:pPr>
            <w:proofErr w:type="spellStart"/>
            <w:r w:rsidRPr="00975CA4">
              <w:rPr>
                <w:rFonts w:eastAsia="Times New Roman"/>
                <w:sz w:val="22"/>
                <w:szCs w:val="22"/>
              </w:rPr>
              <w:t>CCyR</w:t>
            </w:r>
            <w:proofErr w:type="spellEnd"/>
            <w:r w:rsidRPr="00975CA4">
              <w:rPr>
                <w:rFonts w:eastAsia="Times New Roman"/>
                <w:sz w:val="22"/>
                <w:szCs w:val="22"/>
              </w:rPr>
              <w:t xml:space="preserve"> (95</w:t>
            </w:r>
            <w:r w:rsidR="003C3022" w:rsidRPr="00975CA4">
              <w:rPr>
                <w:rFonts w:eastAsia="Times New Roman"/>
                <w:sz w:val="22"/>
                <w:szCs w:val="22"/>
              </w:rPr>
              <w:t> </w:t>
            </w:r>
            <w:r w:rsidRPr="00975CA4">
              <w:rPr>
                <w:rFonts w:eastAsia="Times New Roman"/>
                <w:sz w:val="22"/>
                <w:szCs w:val="22"/>
              </w:rPr>
              <w:t>% PI)</w:t>
            </w:r>
          </w:p>
        </w:tc>
        <w:tc>
          <w:tcPr>
            <w:tcW w:w="1686" w:type="dxa"/>
            <w:tcBorders>
              <w:top w:val="single" w:sz="4" w:space="0" w:color="000000"/>
              <w:left w:val="single" w:sz="4" w:space="0" w:color="000000"/>
              <w:bottom w:val="single" w:sz="4" w:space="0" w:color="000000"/>
              <w:right w:val="single" w:sz="4" w:space="0" w:color="000000"/>
            </w:tcBorders>
            <w:hideMark/>
          </w:tcPr>
          <w:p w14:paraId="4E80B2CA" w14:textId="77777777" w:rsidR="00703720" w:rsidRPr="00975CA4" w:rsidRDefault="00703720">
            <w:pPr>
              <w:ind w:left="-172" w:right="-153"/>
              <w:jc w:val="center"/>
              <w:rPr>
                <w:rFonts w:eastAsia="Times New Roman"/>
                <w:sz w:val="22"/>
                <w:szCs w:val="22"/>
              </w:rPr>
            </w:pPr>
            <w:r w:rsidRPr="00975CA4">
              <w:rPr>
                <w:rFonts w:eastAsia="Times New Roman"/>
                <w:sz w:val="22"/>
                <w:szCs w:val="22"/>
              </w:rPr>
              <w:t>32</w:t>
            </w:r>
            <w:r w:rsidR="003C3022" w:rsidRPr="00975CA4">
              <w:rPr>
                <w:rFonts w:eastAsia="Times New Roman"/>
                <w:sz w:val="22"/>
                <w:szCs w:val="22"/>
              </w:rPr>
              <w:t> </w:t>
            </w:r>
            <w:r w:rsidRPr="00975CA4">
              <w:rPr>
                <w:rFonts w:eastAsia="Times New Roman"/>
                <w:sz w:val="22"/>
                <w:szCs w:val="22"/>
              </w:rPr>
              <w:t>% (25</w:t>
            </w:r>
            <w:r w:rsidRPr="00975CA4">
              <w:rPr>
                <w:rFonts w:eastAsia="Times New Roman"/>
                <w:bCs/>
                <w:sz w:val="22"/>
                <w:szCs w:val="22"/>
              </w:rPr>
              <w:t xml:space="preserve"> ‒ </w:t>
            </w:r>
            <w:r w:rsidRPr="00975CA4">
              <w:rPr>
                <w:rFonts w:eastAsia="Times New Roman"/>
                <w:sz w:val="22"/>
                <w:szCs w:val="22"/>
              </w:rPr>
              <w:t>40)</w:t>
            </w:r>
          </w:p>
        </w:tc>
        <w:tc>
          <w:tcPr>
            <w:tcW w:w="1872" w:type="dxa"/>
            <w:tcBorders>
              <w:top w:val="single" w:sz="4" w:space="0" w:color="000000"/>
              <w:left w:val="single" w:sz="4" w:space="0" w:color="000000"/>
              <w:bottom w:val="single" w:sz="4" w:space="0" w:color="000000"/>
              <w:right w:val="single" w:sz="4" w:space="0" w:color="000000"/>
            </w:tcBorders>
            <w:hideMark/>
          </w:tcPr>
          <w:p w14:paraId="3A57C194" w14:textId="77777777" w:rsidR="00703720" w:rsidRPr="00975CA4" w:rsidRDefault="00703720">
            <w:pPr>
              <w:ind w:left="-172" w:right="-153"/>
              <w:jc w:val="center"/>
              <w:rPr>
                <w:rFonts w:eastAsia="Times New Roman"/>
                <w:sz w:val="22"/>
                <w:szCs w:val="22"/>
              </w:rPr>
            </w:pPr>
            <w:r w:rsidRPr="00975CA4">
              <w:rPr>
                <w:rFonts w:eastAsia="Times New Roman"/>
                <w:sz w:val="22"/>
                <w:szCs w:val="22"/>
              </w:rPr>
              <w:t>17</w:t>
            </w:r>
            <w:r w:rsidR="003C3022" w:rsidRPr="00975CA4">
              <w:rPr>
                <w:rFonts w:eastAsia="Times New Roman"/>
                <w:sz w:val="22"/>
                <w:szCs w:val="22"/>
              </w:rPr>
              <w:t> </w:t>
            </w:r>
            <w:r w:rsidRPr="00975CA4">
              <w:rPr>
                <w:rFonts w:eastAsia="Times New Roman"/>
                <w:sz w:val="22"/>
                <w:szCs w:val="22"/>
              </w:rPr>
              <w:t xml:space="preserve">% (10 </w:t>
            </w:r>
            <w:r w:rsidRPr="00975CA4">
              <w:rPr>
                <w:rFonts w:eastAsia="Times New Roman"/>
                <w:bCs/>
                <w:sz w:val="22"/>
                <w:szCs w:val="22"/>
              </w:rPr>
              <w:t xml:space="preserve">‒ </w:t>
            </w:r>
            <w:r w:rsidRPr="00975CA4">
              <w:rPr>
                <w:rFonts w:eastAsia="Times New Roman"/>
                <w:sz w:val="22"/>
                <w:szCs w:val="22"/>
              </w:rPr>
              <w:t>28)</w:t>
            </w:r>
          </w:p>
        </w:tc>
        <w:tc>
          <w:tcPr>
            <w:tcW w:w="1843" w:type="dxa"/>
            <w:tcBorders>
              <w:top w:val="single" w:sz="4" w:space="0" w:color="000000"/>
              <w:left w:val="single" w:sz="4" w:space="0" w:color="000000"/>
              <w:bottom w:val="single" w:sz="4" w:space="0" w:color="000000"/>
              <w:right w:val="single" w:sz="4" w:space="0" w:color="000000"/>
            </w:tcBorders>
            <w:hideMark/>
          </w:tcPr>
          <w:p w14:paraId="53AA2E92" w14:textId="77777777" w:rsidR="00703720" w:rsidRPr="00975CA4" w:rsidRDefault="00703720">
            <w:pPr>
              <w:ind w:left="-172" w:right="-153"/>
              <w:jc w:val="center"/>
              <w:rPr>
                <w:rFonts w:eastAsia="Times New Roman"/>
                <w:sz w:val="22"/>
                <w:szCs w:val="22"/>
              </w:rPr>
            </w:pPr>
            <w:r w:rsidRPr="00975CA4">
              <w:rPr>
                <w:rFonts w:eastAsia="Times New Roman"/>
                <w:sz w:val="22"/>
                <w:szCs w:val="22"/>
              </w:rPr>
              <w:t>39</w:t>
            </w:r>
            <w:r w:rsidR="003C3022" w:rsidRPr="00975CA4">
              <w:rPr>
                <w:rFonts w:eastAsia="Times New Roman"/>
                <w:sz w:val="22"/>
                <w:szCs w:val="22"/>
              </w:rPr>
              <w:t> </w:t>
            </w:r>
            <w:r w:rsidRPr="00975CA4">
              <w:rPr>
                <w:rFonts w:eastAsia="Times New Roman"/>
                <w:sz w:val="22"/>
                <w:szCs w:val="22"/>
              </w:rPr>
              <w:t xml:space="preserve">% (23 </w:t>
            </w:r>
            <w:r w:rsidRPr="00975CA4">
              <w:rPr>
                <w:rFonts w:eastAsia="Times New Roman"/>
                <w:bCs/>
                <w:sz w:val="22"/>
                <w:szCs w:val="22"/>
              </w:rPr>
              <w:t xml:space="preserve">‒ </w:t>
            </w:r>
            <w:r w:rsidRPr="00975CA4">
              <w:rPr>
                <w:rFonts w:eastAsia="Times New Roman"/>
                <w:sz w:val="22"/>
                <w:szCs w:val="22"/>
              </w:rPr>
              <w:t>58)</w:t>
            </w:r>
          </w:p>
        </w:tc>
        <w:tc>
          <w:tcPr>
            <w:tcW w:w="1591" w:type="dxa"/>
            <w:tcBorders>
              <w:top w:val="single" w:sz="4" w:space="0" w:color="000000"/>
              <w:left w:val="single" w:sz="4" w:space="0" w:color="000000"/>
              <w:bottom w:val="single" w:sz="4" w:space="0" w:color="000000"/>
              <w:right w:val="single" w:sz="4" w:space="0" w:color="000000"/>
            </w:tcBorders>
            <w:hideMark/>
          </w:tcPr>
          <w:p w14:paraId="42C96EC8" w14:textId="77777777" w:rsidR="00703720" w:rsidRPr="00975CA4" w:rsidRDefault="00703720">
            <w:pPr>
              <w:ind w:left="-172" w:right="-153"/>
              <w:jc w:val="center"/>
              <w:rPr>
                <w:rFonts w:eastAsia="Times New Roman"/>
                <w:sz w:val="22"/>
                <w:szCs w:val="22"/>
              </w:rPr>
            </w:pPr>
            <w:r w:rsidRPr="00975CA4">
              <w:rPr>
                <w:rFonts w:eastAsia="Times New Roman"/>
                <w:sz w:val="22"/>
                <w:szCs w:val="22"/>
              </w:rPr>
              <w:t>50</w:t>
            </w:r>
            <w:r w:rsidR="003C3022" w:rsidRPr="00975CA4">
              <w:rPr>
                <w:rFonts w:eastAsia="Times New Roman"/>
                <w:sz w:val="22"/>
                <w:szCs w:val="22"/>
              </w:rPr>
              <w:t> </w:t>
            </w:r>
            <w:r w:rsidRPr="00975CA4">
              <w:rPr>
                <w:rFonts w:eastAsia="Times New Roman"/>
                <w:sz w:val="22"/>
                <w:szCs w:val="22"/>
              </w:rPr>
              <w:t xml:space="preserve">% (34 </w:t>
            </w:r>
            <w:r w:rsidRPr="00975CA4">
              <w:rPr>
                <w:rFonts w:eastAsia="Times New Roman"/>
                <w:bCs/>
                <w:sz w:val="22"/>
                <w:szCs w:val="22"/>
              </w:rPr>
              <w:t xml:space="preserve">‒ </w:t>
            </w:r>
            <w:r w:rsidRPr="00975CA4">
              <w:rPr>
                <w:rFonts w:eastAsia="Times New Roman"/>
                <w:sz w:val="22"/>
                <w:szCs w:val="22"/>
              </w:rPr>
              <w:t>66)</w:t>
            </w:r>
          </w:p>
        </w:tc>
      </w:tr>
    </w:tbl>
    <w:p w14:paraId="0B7FB599" w14:textId="6F1D0547"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vertAlign w:val="superscript"/>
          <w:lang w:eastAsia="ar-SA"/>
        </w:rPr>
      </w:pPr>
      <w:r w:rsidRPr="00975CA4">
        <w:rPr>
          <w:rFonts w:ascii="Times New Roman" w:eastAsia="SimSun" w:hAnsi="Times New Roman" w:cs="Times New Roman"/>
          <w:iCs/>
          <w:color w:val="000000"/>
          <w:vertAlign w:val="superscript"/>
          <w:lang w:eastAsia="ar-SA"/>
        </w:rPr>
        <w:t>a</w:t>
      </w:r>
      <w:r w:rsidRPr="00975CA4">
        <w:rPr>
          <w:rFonts w:ascii="Times New Roman" w:eastAsia="SimSun" w:hAnsi="Times New Roman" w:cs="Times New Roman"/>
          <w:iCs/>
          <w:color w:val="000000"/>
          <w:lang w:eastAsia="ar-SA"/>
        </w:rPr>
        <w:t xml:space="preserve"> Duomenys gauti vartojant rekomenduojamą pradinę 140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 1 kartą per parą dozę (žr. 4.2 skyrių).</w:t>
      </w:r>
    </w:p>
    <w:p w14:paraId="3D667251" w14:textId="77777777" w:rsidR="00703720" w:rsidRPr="00975CA4" w:rsidRDefault="00703720" w:rsidP="00703720">
      <w:pPr>
        <w:widowControl w:val="0"/>
        <w:tabs>
          <w:tab w:val="left" w:pos="567"/>
        </w:tabs>
        <w:suppressAutoHyphens/>
        <w:spacing w:after="120" w:line="240" w:lineRule="auto"/>
        <w:ind w:left="142" w:hanging="142"/>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vertAlign w:val="superscript"/>
          <w:lang w:eastAsia="ar-SA"/>
        </w:rPr>
        <w:t>b</w:t>
      </w:r>
      <w:r w:rsidRPr="00975CA4">
        <w:rPr>
          <w:rFonts w:ascii="Times New Roman" w:eastAsia="SimSun" w:hAnsi="Times New Roman" w:cs="Times New Roman"/>
          <w:iCs/>
          <w:color w:val="000000"/>
          <w:lang w:eastAsia="ar-SA"/>
        </w:rPr>
        <w:t xml:space="preserve"> Hematologinio atsako kriterijai (visais atvejais atsakas patvirtintas po 4 savaičių): didysis hematologinis atsakas (</w:t>
      </w:r>
      <w:proofErr w:type="spellStart"/>
      <w:r w:rsidRPr="00975CA4">
        <w:rPr>
          <w:rFonts w:ascii="Times New Roman" w:eastAsia="SimSun" w:hAnsi="Times New Roman" w:cs="Times New Roman"/>
          <w:iCs/>
          <w:color w:val="000000"/>
          <w:lang w:eastAsia="ar-SA"/>
        </w:rPr>
        <w:t>MaHR</w:t>
      </w:r>
      <w:proofErr w:type="spellEnd"/>
      <w:r w:rsidRPr="00975CA4">
        <w:rPr>
          <w:rFonts w:ascii="Times New Roman" w:eastAsia="SimSun" w:hAnsi="Times New Roman" w:cs="Times New Roman"/>
          <w:iCs/>
          <w:color w:val="000000"/>
          <w:lang w:eastAsia="ar-SA"/>
        </w:rPr>
        <w:t>) = visiškas hematologinis atsakas (CHR) + nėra leukemiją rodančių duomenų (NEL)</w:t>
      </w:r>
    </w:p>
    <w:p w14:paraId="1E3C6F0F" w14:textId="26E68D6B" w:rsidR="00703720" w:rsidRPr="00975CA4" w:rsidRDefault="00703720" w:rsidP="00703720">
      <w:pPr>
        <w:widowControl w:val="0"/>
        <w:tabs>
          <w:tab w:val="left" w:pos="567"/>
        </w:tabs>
        <w:suppressAutoHyphens/>
        <w:spacing w:after="120" w:line="240" w:lineRule="auto"/>
        <w:ind w:left="142"/>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CHR: leukocitų ≤</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nustatyta VNR, absoliutus </w:t>
      </w:r>
      <w:proofErr w:type="spellStart"/>
      <w:r w:rsidRPr="00975CA4">
        <w:rPr>
          <w:rFonts w:ascii="Times New Roman" w:eastAsia="SimSun" w:hAnsi="Times New Roman" w:cs="Times New Roman"/>
          <w:iCs/>
          <w:color w:val="000000"/>
          <w:lang w:eastAsia="ar-SA"/>
        </w:rPr>
        <w:t>neutrofilų</w:t>
      </w:r>
      <w:proofErr w:type="spellEnd"/>
      <w:r w:rsidRPr="00975CA4">
        <w:rPr>
          <w:rFonts w:ascii="Times New Roman" w:eastAsia="SimSun" w:hAnsi="Times New Roman" w:cs="Times New Roman"/>
          <w:iCs/>
          <w:color w:val="000000"/>
          <w:lang w:eastAsia="ar-SA"/>
        </w:rPr>
        <w:t xml:space="preserve"> skaičius ≥</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trombocitų ≥</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100000/mm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xml:space="preserve">; periferiniame kraujyje nėra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ir </w:t>
      </w:r>
      <w:proofErr w:type="spellStart"/>
      <w:r w:rsidRPr="00975CA4">
        <w:rPr>
          <w:rFonts w:ascii="Times New Roman" w:eastAsia="SimSun" w:hAnsi="Times New Roman" w:cs="Times New Roman"/>
          <w:iCs/>
          <w:color w:val="000000"/>
          <w:lang w:eastAsia="ar-SA"/>
        </w:rPr>
        <w:t>promielocitų</w:t>
      </w:r>
      <w:proofErr w:type="spellEnd"/>
      <w:r w:rsidRPr="00975CA4">
        <w:rPr>
          <w:rFonts w:ascii="Times New Roman" w:eastAsia="SimSun" w:hAnsi="Times New Roman" w:cs="Times New Roman"/>
          <w:iCs/>
          <w:color w:val="000000"/>
          <w:lang w:eastAsia="ar-SA"/>
        </w:rPr>
        <w:t xml:space="preserve">, kaulų čiulpuose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w:t>
      </w:r>
      <w:r w:rsidR="003B580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5%, periferiniame kraujyje </w:t>
      </w:r>
      <w:proofErr w:type="spellStart"/>
      <w:r w:rsidRPr="00975CA4">
        <w:rPr>
          <w:rFonts w:ascii="Times New Roman" w:eastAsia="SimSun" w:hAnsi="Times New Roman" w:cs="Times New Roman"/>
          <w:iCs/>
          <w:color w:val="000000"/>
          <w:lang w:eastAsia="ar-SA"/>
        </w:rPr>
        <w:t>mielocitų</w:t>
      </w:r>
      <w:proofErr w:type="spellEnd"/>
      <w:r w:rsidRPr="00975CA4">
        <w:rPr>
          <w:rFonts w:ascii="Times New Roman" w:eastAsia="SimSun" w:hAnsi="Times New Roman" w:cs="Times New Roman"/>
          <w:iCs/>
          <w:color w:val="000000"/>
          <w:lang w:eastAsia="ar-SA"/>
        </w:rPr>
        <w:t xml:space="preserve"> + </w:t>
      </w:r>
      <w:proofErr w:type="spellStart"/>
      <w:r w:rsidRPr="00975CA4">
        <w:rPr>
          <w:rFonts w:ascii="Times New Roman" w:eastAsia="SimSun" w:hAnsi="Times New Roman" w:cs="Times New Roman"/>
          <w:iCs/>
          <w:color w:val="000000"/>
          <w:lang w:eastAsia="ar-SA"/>
        </w:rPr>
        <w:t>metamielocitų</w:t>
      </w:r>
      <w:proofErr w:type="spellEnd"/>
      <w:r w:rsidRPr="00975CA4">
        <w:rPr>
          <w:rFonts w:ascii="Times New Roman" w:eastAsia="SimSun" w:hAnsi="Times New Roman" w:cs="Times New Roman"/>
          <w:iCs/>
          <w:color w:val="000000"/>
          <w:lang w:eastAsia="ar-SA"/>
        </w:rPr>
        <w:t xml:space="preserve"> &lt;</w:t>
      </w:r>
      <w:r w:rsidR="003B5809"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5</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r w:rsidR="003B5809" w:rsidRPr="00975CA4">
        <w:rPr>
          <w:rFonts w:ascii="Times New Roman" w:eastAsia="SimSun" w:hAnsi="Times New Roman" w:cs="Times New Roman"/>
          <w:iCs/>
          <w:color w:val="000000"/>
          <w:lang w:eastAsia="ar-SA"/>
        </w:rPr>
        <w:t xml:space="preserve">periferiniame kraujyje </w:t>
      </w:r>
      <w:proofErr w:type="spellStart"/>
      <w:r w:rsidRPr="00975CA4">
        <w:rPr>
          <w:rFonts w:ascii="Times New Roman" w:eastAsia="SimSun" w:hAnsi="Times New Roman" w:cs="Times New Roman"/>
          <w:iCs/>
          <w:color w:val="000000"/>
          <w:lang w:eastAsia="ar-SA"/>
        </w:rPr>
        <w:t>bazofilų</w:t>
      </w:r>
      <w:proofErr w:type="spellEnd"/>
      <w:r w:rsidRPr="00975CA4">
        <w:rPr>
          <w:rFonts w:ascii="Times New Roman" w:eastAsia="SimSun" w:hAnsi="Times New Roman" w:cs="Times New Roman"/>
          <w:iCs/>
          <w:color w:val="000000"/>
          <w:lang w:eastAsia="ar-SA"/>
        </w:rPr>
        <w:t xml:space="preserve"> &lt;</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20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nėra </w:t>
      </w:r>
      <w:proofErr w:type="spellStart"/>
      <w:r w:rsidRPr="00975CA4">
        <w:rPr>
          <w:rFonts w:ascii="Times New Roman" w:eastAsia="SimSun" w:hAnsi="Times New Roman" w:cs="Times New Roman"/>
          <w:iCs/>
          <w:color w:val="000000"/>
          <w:lang w:eastAsia="ar-SA"/>
        </w:rPr>
        <w:t>ekstramedulinių</w:t>
      </w:r>
      <w:proofErr w:type="spellEnd"/>
      <w:r w:rsidRPr="00975CA4">
        <w:rPr>
          <w:rFonts w:ascii="Times New Roman" w:eastAsia="SimSun" w:hAnsi="Times New Roman" w:cs="Times New Roman"/>
          <w:iCs/>
          <w:color w:val="000000"/>
          <w:lang w:eastAsia="ar-SA"/>
        </w:rPr>
        <w:t xml:space="preserve"> židinių</w:t>
      </w:r>
    </w:p>
    <w:p w14:paraId="0F7D5FEE" w14:textId="625EE6FA" w:rsidR="00703720" w:rsidRPr="00975CA4" w:rsidRDefault="00703720" w:rsidP="00703720">
      <w:pPr>
        <w:widowControl w:val="0"/>
        <w:tabs>
          <w:tab w:val="left" w:pos="567"/>
        </w:tabs>
        <w:suppressAutoHyphens/>
        <w:spacing w:after="120" w:line="240" w:lineRule="auto"/>
        <w:ind w:left="142"/>
        <w:rPr>
          <w:rFonts w:ascii="Times New Roman" w:eastAsia="SimSun" w:hAnsi="Times New Roman" w:cs="Times New Roman"/>
          <w:iCs/>
          <w:color w:val="000000"/>
          <w:vertAlign w:val="superscript"/>
          <w:lang w:eastAsia="ar-SA"/>
        </w:rPr>
      </w:pPr>
      <w:r w:rsidRPr="00975CA4">
        <w:rPr>
          <w:rFonts w:ascii="Times New Roman" w:eastAsia="SimSun" w:hAnsi="Times New Roman" w:cs="Times New Roman"/>
          <w:iCs/>
          <w:color w:val="000000"/>
          <w:lang w:eastAsia="ar-SA"/>
        </w:rPr>
        <w:t xml:space="preserve">NEL: tie patys kriterijai kaip CHR, tačiau absoliutus </w:t>
      </w:r>
      <w:proofErr w:type="spellStart"/>
      <w:r w:rsidRPr="00975CA4">
        <w:rPr>
          <w:rFonts w:ascii="Times New Roman" w:eastAsia="SimSun" w:hAnsi="Times New Roman" w:cs="Times New Roman"/>
          <w:iCs/>
          <w:color w:val="000000"/>
          <w:lang w:eastAsia="ar-SA"/>
        </w:rPr>
        <w:t>neutrofilų</w:t>
      </w:r>
      <w:proofErr w:type="spellEnd"/>
      <w:r w:rsidRPr="00975CA4">
        <w:rPr>
          <w:rFonts w:ascii="Times New Roman" w:eastAsia="SimSun" w:hAnsi="Times New Roman" w:cs="Times New Roman"/>
          <w:iCs/>
          <w:color w:val="000000"/>
          <w:lang w:eastAsia="ar-SA"/>
        </w:rPr>
        <w:t xml:space="preserve"> skaičius ≥</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500/mm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xml:space="preserve"> ir &lt;</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xml:space="preserve"> arba trombocitų ≥</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20000/mm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 xml:space="preserve"> ir ≤</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100000/mm</w:t>
      </w:r>
      <w:r w:rsidRPr="00975CA4">
        <w:rPr>
          <w:rFonts w:ascii="Times New Roman" w:eastAsia="SimSun" w:hAnsi="Times New Roman" w:cs="Times New Roman"/>
          <w:iCs/>
          <w:color w:val="000000"/>
          <w:vertAlign w:val="superscript"/>
          <w:lang w:eastAsia="ar-SA"/>
        </w:rPr>
        <w:t>3</w:t>
      </w:r>
      <w:r w:rsidRPr="00975CA4">
        <w:rPr>
          <w:rFonts w:ascii="Times New Roman" w:eastAsia="SimSun" w:hAnsi="Times New Roman" w:cs="Times New Roman"/>
          <w:iCs/>
          <w:color w:val="000000"/>
          <w:lang w:eastAsia="ar-SA"/>
        </w:rPr>
        <w:t>.</w:t>
      </w:r>
    </w:p>
    <w:p w14:paraId="57D5D9E4" w14:textId="282D003C" w:rsidR="00703720" w:rsidRPr="00975CA4" w:rsidRDefault="00703720" w:rsidP="00703720">
      <w:pPr>
        <w:widowControl w:val="0"/>
        <w:tabs>
          <w:tab w:val="left" w:pos="567"/>
        </w:tabs>
        <w:suppressAutoHyphens/>
        <w:spacing w:after="12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vertAlign w:val="superscript"/>
          <w:lang w:eastAsia="ar-SA"/>
        </w:rPr>
        <w:t>c</w:t>
      </w:r>
      <w:r w:rsidRPr="00975CA4">
        <w:rPr>
          <w:rFonts w:ascii="Times New Roman" w:eastAsia="SimSun" w:hAnsi="Times New Roman" w:cs="Times New Roman"/>
          <w:iCs/>
          <w:color w:val="000000"/>
          <w:lang w:eastAsia="ar-SA"/>
        </w:rPr>
        <w:t xml:space="preserve"> Didysis citogenetinis atsakas </w:t>
      </w:r>
      <w:r w:rsidR="003B5809" w:rsidRPr="00975CA4">
        <w:rPr>
          <w:rFonts w:ascii="Times New Roman" w:eastAsia="SimSun" w:hAnsi="Times New Roman" w:cs="Times New Roman"/>
          <w:iCs/>
          <w:color w:val="000000"/>
          <w:lang w:eastAsia="ar-SA"/>
        </w:rPr>
        <w:t>(</w:t>
      </w:r>
      <w:proofErr w:type="spellStart"/>
      <w:r w:rsidR="003B5809" w:rsidRPr="00975CA4">
        <w:rPr>
          <w:rFonts w:ascii="Times New Roman" w:eastAsia="SimSun" w:hAnsi="Times New Roman" w:cs="Times New Roman"/>
          <w:iCs/>
          <w:color w:val="000000"/>
          <w:lang w:eastAsia="ar-SA"/>
        </w:rPr>
        <w:t>MCyR</w:t>
      </w:r>
      <w:proofErr w:type="spellEnd"/>
      <w:r w:rsidR="003B5809" w:rsidRPr="00975CA4">
        <w:rPr>
          <w:rFonts w:ascii="Times New Roman" w:eastAsia="SimSun" w:hAnsi="Times New Roman" w:cs="Times New Roman"/>
          <w:iCs/>
          <w:color w:val="000000"/>
          <w:lang w:eastAsia="ar-SA"/>
        </w:rPr>
        <w:t xml:space="preserve">) </w:t>
      </w:r>
      <w:r w:rsidRPr="00975CA4">
        <w:rPr>
          <w:rFonts w:ascii="Times New Roman" w:eastAsia="SimSun" w:hAnsi="Times New Roman" w:cs="Times New Roman"/>
          <w:iCs/>
          <w:color w:val="000000"/>
          <w:lang w:eastAsia="ar-SA"/>
        </w:rPr>
        <w:t>apima visišką (0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Ph</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metafazių</w:t>
      </w:r>
      <w:proofErr w:type="spellEnd"/>
      <w:r w:rsidRPr="00975CA4">
        <w:rPr>
          <w:rFonts w:ascii="Times New Roman" w:eastAsia="SimSun" w:hAnsi="Times New Roman" w:cs="Times New Roman"/>
          <w:iCs/>
          <w:color w:val="000000"/>
          <w:lang w:eastAsia="ar-SA"/>
        </w:rPr>
        <w:t>) ir dalinį (&gt; 0-35</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atsaką.</w:t>
      </w:r>
    </w:p>
    <w:p w14:paraId="4214F504" w14:textId="7BF6FB08" w:rsidR="00703720" w:rsidRPr="00975CA4" w:rsidRDefault="00703720" w:rsidP="00703720">
      <w:pPr>
        <w:widowControl w:val="0"/>
        <w:tabs>
          <w:tab w:val="left" w:pos="567"/>
        </w:tabs>
        <w:suppressAutoHyphens/>
        <w:spacing w:after="12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PI </w:t>
      </w:r>
      <w:r w:rsidR="003B5809"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pasikliautinasis</w:t>
      </w:r>
      <w:proofErr w:type="spellEnd"/>
      <w:r w:rsidRPr="00975CA4">
        <w:rPr>
          <w:rFonts w:ascii="Times New Roman" w:eastAsia="SimSun" w:hAnsi="Times New Roman" w:cs="Times New Roman"/>
          <w:iCs/>
          <w:color w:val="000000"/>
          <w:lang w:eastAsia="ar-SA"/>
        </w:rPr>
        <w:t xml:space="preserve"> intervalas</w:t>
      </w:r>
      <w:r w:rsidR="003B5809"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VNR </w:t>
      </w:r>
      <w:r w:rsidR="003B5809" w:rsidRPr="00975CA4">
        <w:rPr>
          <w:rFonts w:ascii="Times New Roman" w:eastAsia="SimSun" w:hAnsi="Times New Roman" w:cs="Times New Roman"/>
          <w:iCs/>
          <w:color w:val="000000"/>
          <w:lang w:eastAsia="ar-SA"/>
        </w:rPr>
        <w:t>-</w:t>
      </w:r>
      <w:r w:rsidRPr="00975CA4">
        <w:rPr>
          <w:rFonts w:ascii="Times New Roman" w:eastAsia="SimSun" w:hAnsi="Times New Roman" w:cs="Times New Roman"/>
          <w:iCs/>
          <w:color w:val="000000"/>
          <w:lang w:eastAsia="ar-SA"/>
        </w:rPr>
        <w:t xml:space="preserve"> viršutinė normos riba.</w:t>
      </w:r>
    </w:p>
    <w:p w14:paraId="39087797" w14:textId="7D7B4D1A"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Pacientams, kuriems buvo LML akceleracijos fazė ir kurie vartojo140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dozę kartą per parą, </w:t>
      </w:r>
      <w:proofErr w:type="spellStart"/>
      <w:r w:rsidRPr="00975CA4">
        <w:rPr>
          <w:rFonts w:ascii="Times New Roman" w:eastAsia="SimSun" w:hAnsi="Times New Roman" w:cs="Times New Roman"/>
          <w:iCs/>
          <w:color w:val="000000"/>
          <w:lang w:eastAsia="ar-SA"/>
        </w:rPr>
        <w:t>MaHR</w:t>
      </w:r>
      <w:proofErr w:type="spellEnd"/>
      <w:r w:rsidRPr="00975CA4">
        <w:rPr>
          <w:rFonts w:ascii="Times New Roman" w:eastAsia="SimSun" w:hAnsi="Times New Roman" w:cs="Times New Roman"/>
          <w:iCs/>
          <w:color w:val="000000"/>
          <w:lang w:eastAsia="ar-SA"/>
        </w:rPr>
        <w:t xml:space="preserve"> trukmės mediana ir bendro išgyvenimo mediana nebuvo pasiekta, o jų PFS mediana buvo 25 mėnesiai.</w:t>
      </w:r>
    </w:p>
    <w:p w14:paraId="14E0AD3B" w14:textId="77777777"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A626DF4" w14:textId="741D2A65"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LML </w:t>
      </w:r>
      <w:proofErr w:type="spellStart"/>
      <w:r w:rsidRPr="00975CA4">
        <w:rPr>
          <w:rFonts w:ascii="Times New Roman" w:eastAsia="SimSun" w:hAnsi="Times New Roman" w:cs="Times New Roman"/>
          <w:iCs/>
          <w:color w:val="000000"/>
          <w:lang w:eastAsia="ar-SA"/>
        </w:rPr>
        <w:t>mieloidinių</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faze sirgusių pacientų, kurie buvo gydomi 140</w:t>
      </w:r>
      <w:r w:rsidR="00374125"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doze kartą per parą, </w:t>
      </w:r>
      <w:proofErr w:type="spellStart"/>
      <w:r w:rsidRPr="00975CA4">
        <w:rPr>
          <w:rFonts w:ascii="Times New Roman" w:eastAsia="SimSun" w:hAnsi="Times New Roman" w:cs="Times New Roman"/>
          <w:iCs/>
          <w:color w:val="000000"/>
          <w:lang w:eastAsia="ar-SA"/>
        </w:rPr>
        <w:t>MaHR</w:t>
      </w:r>
      <w:proofErr w:type="spellEnd"/>
      <w:r w:rsidRPr="00975CA4">
        <w:rPr>
          <w:rFonts w:ascii="Times New Roman" w:eastAsia="SimSun" w:hAnsi="Times New Roman" w:cs="Times New Roman"/>
          <w:iCs/>
          <w:color w:val="000000"/>
          <w:lang w:eastAsia="ar-SA"/>
        </w:rPr>
        <w:t xml:space="preserve"> trukmės mediana buvo 8 mėnesiai. Be ligos progresavimo išgyvento laiko mediana buvo 4 mėnesiai, bendro išgyvento laikotarpio mediana – 8 mėnesiai. LML </w:t>
      </w:r>
      <w:proofErr w:type="spellStart"/>
      <w:r w:rsidRPr="00975CA4">
        <w:rPr>
          <w:rFonts w:ascii="Times New Roman" w:eastAsia="SimSun" w:hAnsi="Times New Roman" w:cs="Times New Roman"/>
          <w:iCs/>
          <w:color w:val="000000"/>
          <w:lang w:eastAsia="ar-SA"/>
        </w:rPr>
        <w:t>limfoidinių</w:t>
      </w:r>
      <w:proofErr w:type="spellEnd"/>
      <w:r w:rsidRPr="00975CA4">
        <w:rPr>
          <w:rFonts w:ascii="Times New Roman" w:eastAsia="SimSun" w:hAnsi="Times New Roman" w:cs="Times New Roman"/>
          <w:iCs/>
          <w:color w:val="000000"/>
          <w:lang w:eastAsia="ar-SA"/>
        </w:rPr>
        <w:t xml:space="preserve"> </w:t>
      </w:r>
      <w:proofErr w:type="spellStart"/>
      <w:r w:rsidRPr="00975CA4">
        <w:rPr>
          <w:rFonts w:ascii="Times New Roman" w:eastAsia="SimSun" w:hAnsi="Times New Roman" w:cs="Times New Roman"/>
          <w:iCs/>
          <w:color w:val="000000"/>
          <w:lang w:eastAsia="ar-SA"/>
        </w:rPr>
        <w:t>blastų</w:t>
      </w:r>
      <w:proofErr w:type="spellEnd"/>
      <w:r w:rsidRPr="00975CA4">
        <w:rPr>
          <w:rFonts w:ascii="Times New Roman" w:eastAsia="SimSun" w:hAnsi="Times New Roman" w:cs="Times New Roman"/>
          <w:iCs/>
          <w:color w:val="000000"/>
          <w:lang w:eastAsia="ar-SA"/>
        </w:rPr>
        <w:t xml:space="preserve"> faze sirgusių pacientų, kurie buvo gydomi 140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doze kartą per parą, </w:t>
      </w:r>
      <w:proofErr w:type="spellStart"/>
      <w:r w:rsidRPr="00975CA4">
        <w:rPr>
          <w:rFonts w:ascii="Times New Roman" w:eastAsia="SimSun" w:hAnsi="Times New Roman" w:cs="Times New Roman"/>
          <w:iCs/>
          <w:color w:val="000000"/>
          <w:lang w:eastAsia="ar-SA"/>
        </w:rPr>
        <w:t>MaHR</w:t>
      </w:r>
      <w:proofErr w:type="spellEnd"/>
      <w:r w:rsidRPr="00975CA4">
        <w:rPr>
          <w:rFonts w:ascii="Times New Roman" w:eastAsia="SimSun" w:hAnsi="Times New Roman" w:cs="Times New Roman"/>
          <w:iCs/>
          <w:color w:val="000000"/>
          <w:lang w:eastAsia="ar-SA"/>
        </w:rPr>
        <w:t xml:space="preserve"> trukmės mediana buvo 5 mėnesiai. Be ligos progresavimo išgyvento laiko mediana buvo 5 mėnesiai, bendro išgyvento laiko mediana – 11 mėnesių.</w:t>
      </w:r>
    </w:p>
    <w:p w14:paraId="7D20E1FC" w14:textId="77777777"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18A7129" w14:textId="1DF059CF"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roofErr w:type="spellStart"/>
      <w:r w:rsidRPr="00975CA4">
        <w:rPr>
          <w:rFonts w:ascii="Times New Roman" w:eastAsia="SimSun" w:hAnsi="Times New Roman" w:cs="Times New Roman"/>
          <w:iCs/>
          <w:color w:val="000000"/>
          <w:lang w:eastAsia="ar-SA"/>
        </w:rPr>
        <w:t>Ph</w:t>
      </w:r>
      <w:proofErr w:type="spellEnd"/>
      <w:r w:rsidRPr="00975CA4">
        <w:rPr>
          <w:rFonts w:ascii="Times New Roman" w:eastAsia="SimSun" w:hAnsi="Times New Roman" w:cs="Times New Roman"/>
          <w:iCs/>
          <w:color w:val="000000"/>
          <w:lang w:eastAsia="ar-SA"/>
        </w:rPr>
        <w:t>+ ŪLL sirgusių pacientų, gydytų 140</w:t>
      </w:r>
      <w:r w:rsidR="00374125"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doze kartą per parą, </w:t>
      </w:r>
      <w:proofErr w:type="spellStart"/>
      <w:r w:rsidRPr="00975CA4">
        <w:rPr>
          <w:rFonts w:ascii="Times New Roman" w:eastAsia="SimSun" w:hAnsi="Times New Roman" w:cs="Times New Roman"/>
          <w:iCs/>
          <w:color w:val="000000"/>
          <w:lang w:eastAsia="ar-SA"/>
        </w:rPr>
        <w:t>MaHR</w:t>
      </w:r>
      <w:proofErr w:type="spellEnd"/>
      <w:r w:rsidRPr="00975CA4">
        <w:rPr>
          <w:rFonts w:ascii="Times New Roman" w:eastAsia="SimSun" w:hAnsi="Times New Roman" w:cs="Times New Roman"/>
          <w:iCs/>
          <w:color w:val="000000"/>
          <w:lang w:eastAsia="ar-SA"/>
        </w:rPr>
        <w:t xml:space="preserve"> trukmės mediana buvo 5 mėnesiai, ligai neprogresuojant išgyvento laiko mediana – 4 mėnesiai, o bendro išgyvento laiko mediana – 7 mėnesiai.</w:t>
      </w:r>
    </w:p>
    <w:p w14:paraId="67243265" w14:textId="77777777"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2AE3A4F" w14:textId="77777777"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
          <w:iCs/>
          <w:color w:val="000000"/>
          <w:lang w:eastAsia="ar-SA"/>
        </w:rPr>
      </w:pPr>
      <w:r w:rsidRPr="00975CA4">
        <w:rPr>
          <w:rFonts w:ascii="Times New Roman" w:eastAsia="SimSun" w:hAnsi="Times New Roman" w:cs="Times New Roman"/>
          <w:iCs/>
          <w:color w:val="000000"/>
          <w:u w:val="single"/>
          <w:lang w:eastAsia="ar-SA"/>
        </w:rPr>
        <w:t>Vaikų populiacija</w:t>
      </w:r>
    </w:p>
    <w:p w14:paraId="20FFDEF0" w14:textId="77777777"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u w:val="single"/>
          <w:lang w:eastAsia="ar-SA"/>
        </w:rPr>
      </w:pPr>
      <w:r w:rsidRPr="00975CA4">
        <w:rPr>
          <w:rFonts w:ascii="Times New Roman" w:eastAsia="SimSun" w:hAnsi="Times New Roman" w:cs="Times New Roman"/>
          <w:i/>
          <w:iCs/>
          <w:color w:val="000000"/>
          <w:u w:val="single"/>
          <w:lang w:eastAsia="ar-SA"/>
        </w:rPr>
        <w:t>LML sergantys vaikai</w:t>
      </w:r>
    </w:p>
    <w:p w14:paraId="131868F1" w14:textId="51397DBA"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 xml:space="preserve">Iš 130 pacientų, dalyvavusių 2 pediatriniuose tyrimuose (I fazės atvirame </w:t>
      </w:r>
      <w:proofErr w:type="spellStart"/>
      <w:r w:rsidRPr="00975CA4">
        <w:rPr>
          <w:rFonts w:ascii="Times New Roman" w:eastAsia="SimSun" w:hAnsi="Times New Roman" w:cs="Times New Roman"/>
          <w:iCs/>
          <w:color w:val="000000"/>
          <w:lang w:eastAsia="ar-SA"/>
        </w:rPr>
        <w:t>nerandomizuotame</w:t>
      </w:r>
      <w:proofErr w:type="spellEnd"/>
      <w:r w:rsidRPr="00975CA4">
        <w:rPr>
          <w:rFonts w:ascii="Times New Roman" w:eastAsia="SimSun" w:hAnsi="Times New Roman" w:cs="Times New Roman"/>
          <w:iCs/>
          <w:color w:val="000000"/>
          <w:lang w:eastAsia="ar-SA"/>
        </w:rPr>
        <w:t xml:space="preserve"> dozės diapazono nustatymo ir II fazės atvirame </w:t>
      </w:r>
      <w:proofErr w:type="spellStart"/>
      <w:r w:rsidRPr="00975CA4">
        <w:rPr>
          <w:rFonts w:ascii="Times New Roman" w:eastAsia="SimSun" w:hAnsi="Times New Roman" w:cs="Times New Roman"/>
          <w:iCs/>
          <w:color w:val="000000"/>
          <w:lang w:eastAsia="ar-SA"/>
        </w:rPr>
        <w:t>nerandomizuotame</w:t>
      </w:r>
      <w:proofErr w:type="spellEnd"/>
      <w:r w:rsidRPr="00975CA4">
        <w:rPr>
          <w:rFonts w:ascii="Times New Roman" w:eastAsia="SimSun" w:hAnsi="Times New Roman" w:cs="Times New Roman"/>
          <w:iCs/>
          <w:color w:val="000000"/>
          <w:lang w:eastAsia="ar-SA"/>
        </w:rPr>
        <w:t xml:space="preserve">), 84 (visi dalyvavo II fazės tyrime) sirgo naujai diagnozuota LML LF, o 46 (17 dalyvavusių I fazės tyrime ir 29 dalyvavusiems II fazės tyrime) anksčiau buvo pasireiškęs atsparumas </w:t>
      </w:r>
      <w:proofErr w:type="spellStart"/>
      <w:r w:rsidRPr="00975CA4">
        <w:rPr>
          <w:rFonts w:ascii="Times New Roman" w:eastAsia="SimSun" w:hAnsi="Times New Roman" w:cs="Times New Roman"/>
          <w:iCs/>
          <w:color w:val="000000"/>
          <w:lang w:eastAsia="ar-SA"/>
        </w:rPr>
        <w:t>imatinibui</w:t>
      </w:r>
      <w:proofErr w:type="spellEnd"/>
      <w:r w:rsidRPr="00975CA4">
        <w:rPr>
          <w:rFonts w:ascii="Times New Roman" w:eastAsia="SimSun" w:hAnsi="Times New Roman" w:cs="Times New Roman"/>
          <w:iCs/>
          <w:color w:val="000000"/>
          <w:lang w:eastAsia="ar-SA"/>
        </w:rPr>
        <w:t xml:space="preserve"> arba jo netoleravimas. 97 iš 130 LML LF sirgusių vaikų buvo gydomi </w:t>
      </w:r>
      <w:proofErr w:type="spellStart"/>
      <w:r w:rsidRPr="00975CA4">
        <w:rPr>
          <w:rFonts w:ascii="Times New Roman" w:eastAsia="SimSun" w:hAnsi="Times New Roman" w:cs="Times New Roman"/>
          <w:iCs/>
          <w:color w:val="000000"/>
          <w:lang w:eastAsia="ar-SA"/>
        </w:rPr>
        <w:t>dazatinibo</w:t>
      </w:r>
      <w:proofErr w:type="spellEnd"/>
      <w:r w:rsidRPr="00975CA4">
        <w:rPr>
          <w:rFonts w:ascii="Times New Roman" w:eastAsia="SimSun" w:hAnsi="Times New Roman" w:cs="Times New Roman"/>
          <w:iCs/>
          <w:color w:val="000000"/>
          <w:lang w:eastAsia="ar-SA"/>
        </w:rPr>
        <w:t xml:space="preserve"> tabletėmis (60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mg/m</w:t>
      </w:r>
      <w:r w:rsidRPr="00975CA4">
        <w:rPr>
          <w:rFonts w:ascii="Times New Roman" w:eastAsia="SimSun" w:hAnsi="Times New Roman" w:cs="Times New Roman"/>
          <w:iCs/>
          <w:color w:val="000000"/>
          <w:vertAlign w:val="superscript"/>
          <w:lang w:eastAsia="ar-SA"/>
        </w:rPr>
        <w:t xml:space="preserve">2 </w:t>
      </w:r>
      <w:r w:rsidRPr="00975CA4">
        <w:rPr>
          <w:rFonts w:ascii="Times New Roman" w:eastAsia="SimSun" w:hAnsi="Times New Roman" w:cs="Times New Roman"/>
          <w:iCs/>
          <w:color w:val="000000"/>
          <w:lang w:eastAsia="ar-SA"/>
        </w:rPr>
        <w:t>1 kartą per parą; tiems, kurių kūno paviršaus plotas didelis, didžiausia dozė buvo 100</w:t>
      </w:r>
      <w:r w:rsidR="003C3022" w:rsidRPr="00975CA4">
        <w:rPr>
          <w:rFonts w:ascii="Times New Roman" w:eastAsia="SimSun" w:hAnsi="Times New Roman" w:cs="Times New Roman"/>
          <w:iCs/>
          <w:color w:val="000000"/>
          <w:lang w:eastAsia="ar-SA"/>
        </w:rPr>
        <w:t> </w:t>
      </w:r>
      <w:r w:rsidRPr="00975CA4">
        <w:rPr>
          <w:rFonts w:ascii="Times New Roman" w:eastAsia="SimSun" w:hAnsi="Times New Roman" w:cs="Times New Roman"/>
          <w:iCs/>
          <w:color w:val="000000"/>
          <w:lang w:eastAsia="ar-SA"/>
        </w:rPr>
        <w:t xml:space="preserve">mg 1 kartą per parą). Gydymas tęstas tol, kol liga pradės progresuoti arba pasireikš nepriimtinas toksinis poveikis. </w:t>
      </w:r>
    </w:p>
    <w:p w14:paraId="2A7EB188" w14:textId="77777777"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96D68ED" w14:textId="77777777"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r w:rsidRPr="00975CA4">
        <w:rPr>
          <w:rFonts w:ascii="Times New Roman" w:eastAsia="SimSun" w:hAnsi="Times New Roman" w:cs="Times New Roman"/>
          <w:iCs/>
          <w:color w:val="000000"/>
          <w:lang w:eastAsia="ar-SA"/>
        </w:rPr>
        <w:t>Pagrindinės veiksmingumo vertinamosios baigtys buvo visiškas citogenetinis atsakas (</w:t>
      </w:r>
      <w:proofErr w:type="spellStart"/>
      <w:r w:rsidRPr="00975CA4">
        <w:rPr>
          <w:rFonts w:ascii="Times New Roman" w:eastAsia="SimSun" w:hAnsi="Times New Roman" w:cs="Times New Roman"/>
          <w:iCs/>
          <w:color w:val="000000"/>
          <w:lang w:eastAsia="ar-SA"/>
        </w:rPr>
        <w:t>CCyR</w:t>
      </w:r>
      <w:proofErr w:type="spellEnd"/>
      <w:r w:rsidRPr="00975CA4">
        <w:rPr>
          <w:rFonts w:ascii="Times New Roman" w:eastAsia="SimSun" w:hAnsi="Times New Roman" w:cs="Times New Roman"/>
          <w:iCs/>
          <w:color w:val="000000"/>
          <w:lang w:eastAsia="ar-SA"/>
        </w:rPr>
        <w:t>), didysis citogenetinis atsakas (</w:t>
      </w:r>
      <w:proofErr w:type="spellStart"/>
      <w:r w:rsidRPr="00975CA4">
        <w:rPr>
          <w:rFonts w:ascii="Times New Roman" w:eastAsia="SimSun" w:hAnsi="Times New Roman" w:cs="Times New Roman"/>
          <w:iCs/>
          <w:color w:val="000000"/>
          <w:lang w:eastAsia="ar-SA"/>
        </w:rPr>
        <w:t>MCyR</w:t>
      </w:r>
      <w:proofErr w:type="spellEnd"/>
      <w:r w:rsidRPr="00975CA4">
        <w:rPr>
          <w:rFonts w:ascii="Times New Roman" w:eastAsia="SimSun" w:hAnsi="Times New Roman" w:cs="Times New Roman"/>
          <w:iCs/>
          <w:color w:val="000000"/>
          <w:lang w:eastAsia="ar-SA"/>
        </w:rPr>
        <w:t xml:space="preserve">) ir didysis molekulinis atsakas (MMR). Rezultatai yra pateikti 15 lentelėje. </w:t>
      </w:r>
    </w:p>
    <w:p w14:paraId="555F209E" w14:textId="77777777" w:rsidR="00703720" w:rsidRPr="00975CA4" w:rsidRDefault="00703720" w:rsidP="00703720">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D73230B" w14:textId="77777777" w:rsidR="00703720" w:rsidRPr="00975CA4" w:rsidRDefault="00703720" w:rsidP="002D3411">
      <w:pPr>
        <w:keepNext/>
        <w:tabs>
          <w:tab w:val="left" w:pos="567"/>
        </w:tabs>
        <w:suppressAutoHyphens/>
        <w:spacing w:after="0" w:line="240" w:lineRule="auto"/>
        <w:ind w:left="992" w:hanging="992"/>
        <w:rPr>
          <w:rFonts w:ascii="Times New Roman" w:eastAsia="SimSun" w:hAnsi="Times New Roman" w:cs="Times New Roman"/>
          <w:b/>
          <w:bCs/>
          <w:iCs/>
          <w:color w:val="000000"/>
          <w:lang w:eastAsia="ar-SA"/>
        </w:rPr>
      </w:pPr>
      <w:r w:rsidRPr="00975CA4">
        <w:rPr>
          <w:rFonts w:ascii="Times New Roman" w:eastAsia="SimSun" w:hAnsi="Times New Roman" w:cs="Times New Roman"/>
          <w:b/>
          <w:iCs/>
          <w:color w:val="000000"/>
          <w:lang w:eastAsia="ar-SA"/>
        </w:rPr>
        <w:lastRenderedPageBreak/>
        <w:t>1</w:t>
      </w:r>
      <w:r w:rsidRPr="00975CA4">
        <w:rPr>
          <w:rFonts w:ascii="Times New Roman" w:eastAsia="SimSun" w:hAnsi="Times New Roman" w:cs="Times New Roman"/>
          <w:b/>
          <w:bCs/>
          <w:iCs/>
          <w:color w:val="000000"/>
          <w:lang w:eastAsia="ar-SA"/>
        </w:rPr>
        <w:t xml:space="preserve">5 lentelė. </w:t>
      </w:r>
      <w:proofErr w:type="spellStart"/>
      <w:r w:rsidRPr="00975CA4">
        <w:rPr>
          <w:rFonts w:ascii="Times New Roman" w:eastAsia="SimSun" w:hAnsi="Times New Roman" w:cs="Times New Roman"/>
          <w:b/>
          <w:bCs/>
          <w:iCs/>
          <w:color w:val="000000"/>
          <w:lang w:eastAsia="ar-SA"/>
        </w:rPr>
        <w:t>Dazatinibo</w:t>
      </w:r>
      <w:proofErr w:type="spellEnd"/>
      <w:r w:rsidRPr="00975CA4">
        <w:rPr>
          <w:rFonts w:ascii="Times New Roman" w:eastAsia="SimSun" w:hAnsi="Times New Roman" w:cs="Times New Roman"/>
          <w:b/>
          <w:bCs/>
          <w:iCs/>
          <w:color w:val="000000"/>
          <w:lang w:eastAsia="ar-SA"/>
        </w:rPr>
        <w:t xml:space="preserve"> veiksmingumas LML LF sergantiems vaikams. Bendrasis atsakas per laiką minimaliu stebėjimo laikotarpiu. </w:t>
      </w:r>
    </w:p>
    <w:p w14:paraId="05142814" w14:textId="77777777" w:rsidR="00703720" w:rsidRPr="00975CA4" w:rsidRDefault="00703720" w:rsidP="00703720">
      <w:pPr>
        <w:widowControl w:val="0"/>
        <w:tabs>
          <w:tab w:val="left" w:pos="567"/>
        </w:tabs>
        <w:suppressAutoHyphens/>
        <w:spacing w:after="0" w:line="240" w:lineRule="auto"/>
        <w:ind w:left="993" w:hanging="993"/>
        <w:rPr>
          <w:rFonts w:ascii="Times New Roman" w:eastAsia="SimSun" w:hAnsi="Times New Roman" w:cs="Times New Roman"/>
          <w:iCs/>
          <w:color w:val="000000"/>
          <w:lang w:eastAsia="ar-SA"/>
        </w:rPr>
      </w:pPr>
    </w:p>
    <w:tbl>
      <w:tblPr>
        <w:tblStyle w:val="Lentelstinklelis"/>
        <w:tblW w:w="0" w:type="auto"/>
        <w:jc w:val="center"/>
        <w:tblLayout w:type="fixed"/>
        <w:tblLook w:val="04A0" w:firstRow="1" w:lastRow="0" w:firstColumn="1" w:lastColumn="0" w:noHBand="0" w:noVBand="1"/>
      </w:tblPr>
      <w:tblGrid>
        <w:gridCol w:w="2547"/>
        <w:gridCol w:w="1531"/>
        <w:gridCol w:w="1531"/>
        <w:gridCol w:w="1531"/>
        <w:gridCol w:w="1502"/>
      </w:tblGrid>
      <w:tr w:rsidR="00703720" w:rsidRPr="00975CA4" w14:paraId="53D9AE7A" w14:textId="77777777" w:rsidTr="00266648">
        <w:trPr>
          <w:trHeight w:val="283"/>
          <w:jc w:val="center"/>
        </w:trPr>
        <w:tc>
          <w:tcPr>
            <w:tcW w:w="2547" w:type="dxa"/>
            <w:tcBorders>
              <w:top w:val="single" w:sz="4" w:space="0" w:color="000000"/>
              <w:left w:val="single" w:sz="4" w:space="0" w:color="000000"/>
              <w:bottom w:val="single" w:sz="4" w:space="0" w:color="000000"/>
              <w:right w:val="single" w:sz="4" w:space="0" w:color="000000"/>
            </w:tcBorders>
          </w:tcPr>
          <w:p w14:paraId="71523AE3" w14:textId="77777777" w:rsidR="00703720" w:rsidRPr="00975CA4" w:rsidRDefault="00703720">
            <w:pPr>
              <w:ind w:right="-93"/>
              <w:rPr>
                <w:sz w:val="22"/>
                <w:szCs w:val="22"/>
              </w:rPr>
            </w:pPr>
          </w:p>
        </w:tc>
        <w:tc>
          <w:tcPr>
            <w:tcW w:w="1531" w:type="dxa"/>
            <w:tcBorders>
              <w:top w:val="single" w:sz="4" w:space="0" w:color="000000"/>
              <w:left w:val="single" w:sz="4" w:space="0" w:color="000000"/>
              <w:bottom w:val="single" w:sz="4" w:space="0" w:color="000000"/>
              <w:right w:val="single" w:sz="4" w:space="0" w:color="000000"/>
            </w:tcBorders>
            <w:hideMark/>
          </w:tcPr>
          <w:p w14:paraId="7AAA1C6F" w14:textId="77777777" w:rsidR="00703720" w:rsidRPr="00975CA4" w:rsidRDefault="00703720">
            <w:pPr>
              <w:ind w:right="-93"/>
              <w:jc w:val="center"/>
              <w:rPr>
                <w:b/>
                <w:sz w:val="22"/>
                <w:szCs w:val="22"/>
              </w:rPr>
            </w:pPr>
            <w:r w:rsidRPr="00975CA4">
              <w:rPr>
                <w:b/>
                <w:sz w:val="22"/>
                <w:szCs w:val="22"/>
              </w:rPr>
              <w:t>3 mėnesiai</w:t>
            </w:r>
          </w:p>
        </w:tc>
        <w:tc>
          <w:tcPr>
            <w:tcW w:w="1531" w:type="dxa"/>
            <w:tcBorders>
              <w:top w:val="single" w:sz="4" w:space="0" w:color="000000"/>
              <w:left w:val="single" w:sz="4" w:space="0" w:color="000000"/>
              <w:bottom w:val="single" w:sz="4" w:space="0" w:color="000000"/>
              <w:right w:val="single" w:sz="4" w:space="0" w:color="000000"/>
            </w:tcBorders>
            <w:hideMark/>
          </w:tcPr>
          <w:p w14:paraId="6B11C5D5" w14:textId="77777777" w:rsidR="00703720" w:rsidRPr="00975CA4" w:rsidRDefault="00703720">
            <w:pPr>
              <w:ind w:right="-93"/>
              <w:jc w:val="center"/>
              <w:rPr>
                <w:b/>
                <w:sz w:val="22"/>
                <w:szCs w:val="22"/>
              </w:rPr>
            </w:pPr>
            <w:r w:rsidRPr="00975CA4">
              <w:rPr>
                <w:b/>
                <w:sz w:val="22"/>
                <w:szCs w:val="22"/>
              </w:rPr>
              <w:t>6 mėnesiai</w:t>
            </w:r>
          </w:p>
        </w:tc>
        <w:tc>
          <w:tcPr>
            <w:tcW w:w="1531" w:type="dxa"/>
            <w:tcBorders>
              <w:top w:val="single" w:sz="4" w:space="0" w:color="000000"/>
              <w:left w:val="single" w:sz="4" w:space="0" w:color="000000"/>
              <w:bottom w:val="single" w:sz="4" w:space="0" w:color="000000"/>
              <w:right w:val="single" w:sz="4" w:space="0" w:color="000000"/>
            </w:tcBorders>
            <w:hideMark/>
          </w:tcPr>
          <w:p w14:paraId="23DF71CB" w14:textId="77777777" w:rsidR="00703720" w:rsidRPr="00975CA4" w:rsidRDefault="00703720">
            <w:pPr>
              <w:ind w:right="-93"/>
              <w:jc w:val="center"/>
              <w:rPr>
                <w:b/>
                <w:sz w:val="22"/>
                <w:szCs w:val="22"/>
              </w:rPr>
            </w:pPr>
            <w:r w:rsidRPr="00975CA4">
              <w:rPr>
                <w:b/>
                <w:sz w:val="22"/>
                <w:szCs w:val="22"/>
              </w:rPr>
              <w:t>12 mėnesių</w:t>
            </w:r>
          </w:p>
        </w:tc>
        <w:tc>
          <w:tcPr>
            <w:tcW w:w="1502" w:type="dxa"/>
            <w:tcBorders>
              <w:top w:val="single" w:sz="4" w:space="0" w:color="000000"/>
              <w:left w:val="single" w:sz="4" w:space="0" w:color="000000"/>
              <w:bottom w:val="single" w:sz="4" w:space="0" w:color="000000"/>
              <w:right w:val="single" w:sz="4" w:space="0" w:color="000000"/>
            </w:tcBorders>
            <w:hideMark/>
          </w:tcPr>
          <w:p w14:paraId="4E1D4480" w14:textId="77777777" w:rsidR="00703720" w:rsidRPr="00975CA4" w:rsidRDefault="00703720">
            <w:pPr>
              <w:ind w:right="-93"/>
              <w:jc w:val="center"/>
              <w:rPr>
                <w:b/>
                <w:sz w:val="22"/>
                <w:szCs w:val="22"/>
              </w:rPr>
            </w:pPr>
            <w:r w:rsidRPr="00975CA4">
              <w:rPr>
                <w:b/>
                <w:sz w:val="22"/>
                <w:szCs w:val="22"/>
              </w:rPr>
              <w:t>24 mėnesiai</w:t>
            </w:r>
          </w:p>
        </w:tc>
      </w:tr>
      <w:tr w:rsidR="00703720" w:rsidRPr="00975CA4" w14:paraId="6E97C10F" w14:textId="77777777" w:rsidTr="00266648">
        <w:trPr>
          <w:trHeight w:val="283"/>
          <w:jc w:val="center"/>
        </w:trPr>
        <w:tc>
          <w:tcPr>
            <w:tcW w:w="2547" w:type="dxa"/>
            <w:tcBorders>
              <w:top w:val="single" w:sz="4" w:space="0" w:color="000000"/>
              <w:left w:val="single" w:sz="4" w:space="0" w:color="000000"/>
              <w:bottom w:val="single" w:sz="4" w:space="0" w:color="000000"/>
              <w:right w:val="single" w:sz="4" w:space="0" w:color="000000"/>
            </w:tcBorders>
            <w:hideMark/>
          </w:tcPr>
          <w:p w14:paraId="61075F33" w14:textId="77777777" w:rsidR="00703720" w:rsidRPr="00975CA4" w:rsidRDefault="00703720">
            <w:pPr>
              <w:ind w:left="-57" w:right="-91"/>
              <w:rPr>
                <w:rFonts w:eastAsia="Times New Roman"/>
                <w:b/>
                <w:bCs/>
                <w:w w:val="103"/>
                <w:sz w:val="22"/>
                <w:szCs w:val="22"/>
              </w:rPr>
            </w:pPr>
            <w:proofErr w:type="spellStart"/>
            <w:r w:rsidRPr="00975CA4">
              <w:rPr>
                <w:rFonts w:eastAsia="Times New Roman"/>
                <w:b/>
                <w:bCs/>
                <w:w w:val="103"/>
                <w:sz w:val="22"/>
                <w:szCs w:val="22"/>
              </w:rPr>
              <w:t>CC</w:t>
            </w:r>
            <w:r w:rsidRPr="00975CA4">
              <w:rPr>
                <w:rFonts w:eastAsia="Times New Roman"/>
                <w:b/>
                <w:bCs/>
                <w:spacing w:val="1"/>
                <w:w w:val="103"/>
                <w:sz w:val="22"/>
                <w:szCs w:val="22"/>
              </w:rPr>
              <w:t>y</w:t>
            </w:r>
            <w:r w:rsidRPr="00975CA4">
              <w:rPr>
                <w:rFonts w:eastAsia="Times New Roman"/>
                <w:b/>
                <w:bCs/>
                <w:w w:val="103"/>
                <w:sz w:val="22"/>
                <w:szCs w:val="22"/>
              </w:rPr>
              <w:t>R</w:t>
            </w:r>
            <w:proofErr w:type="spellEnd"/>
            <w:r w:rsidRPr="00975CA4">
              <w:rPr>
                <w:rFonts w:eastAsia="Times New Roman"/>
                <w:b/>
                <w:bCs/>
                <w:w w:val="103"/>
                <w:sz w:val="22"/>
                <w:szCs w:val="22"/>
              </w:rPr>
              <w:t xml:space="preserve"> </w:t>
            </w:r>
            <w:r w:rsidRPr="00975CA4">
              <w:rPr>
                <w:rFonts w:eastAsia="Times New Roman"/>
                <w:b/>
                <w:bCs/>
                <w:sz w:val="22"/>
                <w:szCs w:val="22"/>
              </w:rPr>
              <w:t>(9</w:t>
            </w:r>
            <w:r w:rsidRPr="00975CA4">
              <w:rPr>
                <w:rFonts w:eastAsia="Times New Roman"/>
                <w:b/>
                <w:bCs/>
                <w:spacing w:val="1"/>
                <w:sz w:val="22"/>
                <w:szCs w:val="22"/>
              </w:rPr>
              <w:t>5</w:t>
            </w:r>
            <w:r w:rsidR="003C3022" w:rsidRPr="00975CA4">
              <w:rPr>
                <w:rFonts w:eastAsia="Times New Roman"/>
                <w:b/>
                <w:bCs/>
                <w:spacing w:val="1"/>
                <w:sz w:val="22"/>
                <w:szCs w:val="22"/>
              </w:rPr>
              <w:t> </w:t>
            </w:r>
            <w:r w:rsidRPr="00975CA4">
              <w:rPr>
                <w:rFonts w:eastAsia="Times New Roman"/>
                <w:b/>
                <w:bCs/>
                <w:sz w:val="22"/>
                <w:szCs w:val="22"/>
              </w:rPr>
              <w:t>%</w:t>
            </w:r>
            <w:r w:rsidRPr="00975CA4">
              <w:rPr>
                <w:rFonts w:eastAsia="Times New Roman"/>
                <w:b/>
                <w:bCs/>
                <w:spacing w:val="15"/>
                <w:sz w:val="22"/>
                <w:szCs w:val="22"/>
              </w:rPr>
              <w:t xml:space="preserve"> P</w:t>
            </w:r>
            <w:r w:rsidRPr="00975CA4">
              <w:rPr>
                <w:rFonts w:eastAsia="Times New Roman"/>
                <w:b/>
                <w:bCs/>
                <w:w w:val="103"/>
                <w:sz w:val="22"/>
                <w:szCs w:val="22"/>
              </w:rPr>
              <w:t>I)</w:t>
            </w:r>
          </w:p>
        </w:tc>
        <w:tc>
          <w:tcPr>
            <w:tcW w:w="1531" w:type="dxa"/>
            <w:tcBorders>
              <w:top w:val="single" w:sz="4" w:space="0" w:color="000000"/>
              <w:left w:val="single" w:sz="4" w:space="0" w:color="000000"/>
              <w:bottom w:val="single" w:sz="4" w:space="0" w:color="000000"/>
              <w:right w:val="single" w:sz="4" w:space="0" w:color="000000"/>
            </w:tcBorders>
          </w:tcPr>
          <w:p w14:paraId="72DC2268" w14:textId="77777777" w:rsidR="00703720" w:rsidRPr="00975CA4" w:rsidRDefault="00703720">
            <w:pPr>
              <w:ind w:left="-57" w:right="-93"/>
              <w:rPr>
                <w:rFonts w:eastAsia="Times New Roman"/>
                <w:spacing w:val="-1"/>
                <w:w w:val="103"/>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0220EBCB" w14:textId="77777777" w:rsidR="00703720" w:rsidRPr="00975CA4" w:rsidRDefault="00703720">
            <w:pPr>
              <w:ind w:left="-57" w:right="-93"/>
              <w:jc w:val="center"/>
              <w:rPr>
                <w:rFonts w:eastAsia="Times New Roman"/>
                <w:w w:val="103"/>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44026F89" w14:textId="77777777" w:rsidR="00703720" w:rsidRPr="00975CA4" w:rsidRDefault="00703720">
            <w:pPr>
              <w:ind w:right="-93"/>
              <w:jc w:val="center"/>
              <w:rPr>
                <w:rFonts w:eastAsia="Times New Roman"/>
                <w:w w:val="103"/>
                <w:sz w:val="22"/>
                <w:szCs w:val="22"/>
              </w:rPr>
            </w:pPr>
          </w:p>
        </w:tc>
        <w:tc>
          <w:tcPr>
            <w:tcW w:w="1502" w:type="dxa"/>
            <w:tcBorders>
              <w:top w:val="single" w:sz="4" w:space="0" w:color="000000"/>
              <w:left w:val="single" w:sz="4" w:space="0" w:color="000000"/>
              <w:bottom w:val="single" w:sz="4" w:space="0" w:color="000000"/>
              <w:right w:val="single" w:sz="4" w:space="0" w:color="000000"/>
            </w:tcBorders>
          </w:tcPr>
          <w:p w14:paraId="2C7DBBBB" w14:textId="77777777" w:rsidR="00703720" w:rsidRPr="00975CA4" w:rsidRDefault="00703720">
            <w:pPr>
              <w:ind w:right="-93"/>
              <w:jc w:val="center"/>
              <w:rPr>
                <w:rFonts w:eastAsia="Times New Roman"/>
                <w:spacing w:val="-1"/>
                <w:w w:val="103"/>
                <w:sz w:val="22"/>
                <w:szCs w:val="22"/>
              </w:rPr>
            </w:pPr>
          </w:p>
        </w:tc>
      </w:tr>
      <w:tr w:rsidR="00703720" w:rsidRPr="00975CA4" w14:paraId="5FC14034" w14:textId="77777777" w:rsidTr="00266648">
        <w:trPr>
          <w:trHeight w:val="567"/>
          <w:jc w:val="center"/>
        </w:trPr>
        <w:tc>
          <w:tcPr>
            <w:tcW w:w="2547" w:type="dxa"/>
            <w:tcBorders>
              <w:top w:val="single" w:sz="4" w:space="0" w:color="000000"/>
              <w:left w:val="single" w:sz="4" w:space="0" w:color="000000"/>
              <w:bottom w:val="single" w:sz="4" w:space="0" w:color="000000"/>
              <w:right w:val="single" w:sz="4" w:space="0" w:color="000000"/>
            </w:tcBorders>
            <w:hideMark/>
          </w:tcPr>
          <w:p w14:paraId="4ED64B45" w14:textId="77777777" w:rsidR="00703720" w:rsidRPr="00975CA4" w:rsidRDefault="00703720">
            <w:pPr>
              <w:ind w:left="-57" w:right="-93"/>
              <w:rPr>
                <w:rFonts w:eastAsia="Times New Roman"/>
                <w:sz w:val="22"/>
                <w:szCs w:val="22"/>
              </w:rPr>
            </w:pPr>
            <w:r w:rsidRPr="00975CA4">
              <w:rPr>
                <w:rFonts w:eastAsia="Times New Roman"/>
                <w:sz w:val="22"/>
                <w:szCs w:val="22"/>
              </w:rPr>
              <w:t>Nauja diagnozė</w:t>
            </w:r>
          </w:p>
          <w:p w14:paraId="0E12626C" w14:textId="7F9E9E3E" w:rsidR="00703720" w:rsidRPr="00975CA4" w:rsidRDefault="00703720">
            <w:pPr>
              <w:ind w:left="-57" w:right="-93"/>
              <w:rPr>
                <w:rFonts w:eastAsia="Times New Roman"/>
                <w:sz w:val="22"/>
                <w:szCs w:val="22"/>
              </w:rPr>
            </w:pPr>
            <w:r w:rsidRPr="00975CA4">
              <w:rPr>
                <w:rFonts w:eastAsia="Times New Roman"/>
                <w:sz w:val="22"/>
                <w:szCs w:val="22"/>
              </w:rPr>
              <w:t>(n</w:t>
            </w:r>
            <w:r w:rsidR="003C3022" w:rsidRPr="00975CA4">
              <w:rPr>
                <w:rFonts w:eastAsia="Times New Roman"/>
                <w:sz w:val="22"/>
                <w:szCs w:val="22"/>
              </w:rPr>
              <w:t> </w:t>
            </w:r>
            <w:r w:rsidRPr="00975CA4">
              <w:rPr>
                <w:rFonts w:eastAsia="Times New Roman"/>
                <w:sz w:val="22"/>
                <w:szCs w:val="22"/>
              </w:rPr>
              <w:t>=</w:t>
            </w:r>
            <w:r w:rsidR="003C3022" w:rsidRPr="00975CA4">
              <w:rPr>
                <w:rFonts w:eastAsia="Times New Roman"/>
                <w:sz w:val="22"/>
                <w:szCs w:val="22"/>
              </w:rPr>
              <w:t> </w:t>
            </w:r>
            <w:r w:rsidRPr="00975CA4">
              <w:rPr>
                <w:rFonts w:eastAsia="Times New Roman"/>
                <w:sz w:val="22"/>
                <w:szCs w:val="22"/>
              </w:rPr>
              <w:t>51)</w:t>
            </w:r>
            <w:r w:rsidRPr="00975CA4">
              <w:rPr>
                <w:rFonts w:eastAsia="Times New Roman"/>
                <w:sz w:val="22"/>
                <w:szCs w:val="22"/>
                <w:vertAlign w:val="superscript"/>
              </w:rPr>
              <w:t>a</w:t>
            </w:r>
          </w:p>
        </w:tc>
        <w:tc>
          <w:tcPr>
            <w:tcW w:w="1531" w:type="dxa"/>
            <w:tcBorders>
              <w:top w:val="single" w:sz="4" w:space="0" w:color="000000"/>
              <w:left w:val="single" w:sz="4" w:space="0" w:color="000000"/>
              <w:bottom w:val="single" w:sz="4" w:space="0" w:color="000000"/>
              <w:right w:val="single" w:sz="4" w:space="0" w:color="000000"/>
            </w:tcBorders>
            <w:hideMark/>
          </w:tcPr>
          <w:p w14:paraId="7256803B" w14:textId="77777777" w:rsidR="00703720" w:rsidRPr="00975CA4" w:rsidRDefault="00703720">
            <w:pPr>
              <w:ind w:left="-57" w:right="-57"/>
              <w:jc w:val="center"/>
              <w:rPr>
                <w:rFonts w:eastAsia="Times New Roman"/>
                <w:w w:val="103"/>
                <w:sz w:val="22"/>
                <w:szCs w:val="22"/>
              </w:rPr>
            </w:pPr>
            <w:r w:rsidRPr="00975CA4">
              <w:rPr>
                <w:rFonts w:eastAsia="Times New Roman"/>
                <w:spacing w:val="-1"/>
                <w:w w:val="103"/>
                <w:sz w:val="22"/>
                <w:szCs w:val="22"/>
              </w:rPr>
              <w:t>4</w:t>
            </w:r>
            <w:r w:rsidRPr="00975CA4">
              <w:rPr>
                <w:rFonts w:eastAsia="Times New Roman"/>
                <w:w w:val="103"/>
                <w:sz w:val="22"/>
                <w:szCs w:val="22"/>
              </w:rPr>
              <w:t>3,</w:t>
            </w:r>
            <w:r w:rsidRPr="00975CA4">
              <w:rPr>
                <w:rFonts w:eastAsia="Times New Roman"/>
                <w:spacing w:val="1"/>
                <w:w w:val="103"/>
                <w:sz w:val="22"/>
                <w:szCs w:val="22"/>
              </w:rPr>
              <w:t>1</w:t>
            </w:r>
            <w:r w:rsidR="003C3022" w:rsidRPr="00975CA4">
              <w:rPr>
                <w:rFonts w:eastAsia="Times New Roman"/>
                <w:spacing w:val="1"/>
                <w:w w:val="103"/>
                <w:sz w:val="22"/>
                <w:szCs w:val="22"/>
              </w:rPr>
              <w:t> </w:t>
            </w:r>
            <w:r w:rsidRPr="00975CA4">
              <w:rPr>
                <w:rFonts w:eastAsia="Times New Roman"/>
                <w:w w:val="103"/>
                <w:sz w:val="22"/>
                <w:szCs w:val="22"/>
              </w:rPr>
              <w:t>%</w:t>
            </w:r>
          </w:p>
          <w:p w14:paraId="7B823DB5" w14:textId="77777777" w:rsidR="00703720" w:rsidRPr="00975CA4" w:rsidRDefault="00703720">
            <w:pPr>
              <w:ind w:left="-57" w:right="-57"/>
              <w:jc w:val="center"/>
              <w:rPr>
                <w:rFonts w:eastAsia="Times New Roman"/>
                <w:sz w:val="22"/>
                <w:szCs w:val="22"/>
              </w:rPr>
            </w:pPr>
            <w:r w:rsidRPr="00975CA4">
              <w:rPr>
                <w:rFonts w:eastAsia="Times New Roman"/>
                <w:sz w:val="22"/>
                <w:szCs w:val="22"/>
              </w:rPr>
              <w:t>(</w:t>
            </w:r>
            <w:r w:rsidRPr="00975CA4">
              <w:rPr>
                <w:rFonts w:eastAsia="Times New Roman"/>
                <w:spacing w:val="-1"/>
                <w:sz w:val="22"/>
                <w:szCs w:val="22"/>
              </w:rPr>
              <w:t>2</w:t>
            </w:r>
            <w:r w:rsidRPr="00975CA4">
              <w:rPr>
                <w:rFonts w:eastAsia="Times New Roman"/>
                <w:sz w:val="22"/>
                <w:szCs w:val="22"/>
              </w:rPr>
              <w:t xml:space="preserve">9,3 ‒ </w:t>
            </w:r>
            <w:r w:rsidRPr="00975CA4">
              <w:rPr>
                <w:rFonts w:eastAsia="Times New Roman"/>
                <w:spacing w:val="1"/>
                <w:w w:val="103"/>
                <w:sz w:val="22"/>
                <w:szCs w:val="22"/>
              </w:rPr>
              <w:t>5</w:t>
            </w:r>
            <w:r w:rsidRPr="00975CA4">
              <w:rPr>
                <w:rFonts w:eastAsia="Times New Roman"/>
                <w:spacing w:val="-1"/>
                <w:w w:val="103"/>
                <w:sz w:val="22"/>
                <w:szCs w:val="22"/>
              </w:rPr>
              <w:t>7,8</w:t>
            </w:r>
            <w:r w:rsidRPr="00975CA4">
              <w:rPr>
                <w:rFonts w:eastAsia="Times New Roman"/>
                <w:w w:val="103"/>
                <w:sz w:val="22"/>
                <w:szCs w:val="22"/>
              </w:rPr>
              <w:t>)</w:t>
            </w:r>
          </w:p>
        </w:tc>
        <w:tc>
          <w:tcPr>
            <w:tcW w:w="1531" w:type="dxa"/>
            <w:tcBorders>
              <w:top w:val="single" w:sz="4" w:space="0" w:color="000000"/>
              <w:left w:val="single" w:sz="4" w:space="0" w:color="000000"/>
              <w:bottom w:val="single" w:sz="4" w:space="0" w:color="000000"/>
              <w:right w:val="single" w:sz="4" w:space="0" w:color="000000"/>
            </w:tcBorders>
            <w:hideMark/>
          </w:tcPr>
          <w:p w14:paraId="4E8646B5" w14:textId="77777777" w:rsidR="00703720" w:rsidRPr="00975CA4" w:rsidRDefault="00703720">
            <w:pPr>
              <w:ind w:left="-57" w:right="-57"/>
              <w:jc w:val="center"/>
              <w:rPr>
                <w:rFonts w:eastAsia="Times New Roman"/>
                <w:w w:val="103"/>
                <w:sz w:val="22"/>
                <w:szCs w:val="22"/>
              </w:rPr>
            </w:pPr>
            <w:r w:rsidRPr="00975CA4">
              <w:rPr>
                <w:rFonts w:eastAsia="Times New Roman"/>
                <w:w w:val="103"/>
                <w:sz w:val="22"/>
                <w:szCs w:val="22"/>
              </w:rPr>
              <w:t>66,7</w:t>
            </w:r>
            <w:r w:rsidR="003C3022" w:rsidRPr="00975CA4">
              <w:rPr>
                <w:rFonts w:eastAsia="Times New Roman"/>
                <w:w w:val="103"/>
                <w:sz w:val="22"/>
                <w:szCs w:val="22"/>
              </w:rPr>
              <w:t> </w:t>
            </w:r>
            <w:r w:rsidRPr="00975CA4">
              <w:rPr>
                <w:rFonts w:eastAsia="Times New Roman"/>
                <w:w w:val="103"/>
                <w:sz w:val="22"/>
                <w:szCs w:val="22"/>
              </w:rPr>
              <w:t>%</w:t>
            </w:r>
          </w:p>
          <w:p w14:paraId="105374A2" w14:textId="77777777" w:rsidR="00703720" w:rsidRPr="00975CA4" w:rsidRDefault="00703720">
            <w:pPr>
              <w:ind w:left="-57" w:right="-57"/>
              <w:jc w:val="center"/>
              <w:rPr>
                <w:rFonts w:eastAsia="Times New Roman"/>
                <w:sz w:val="22"/>
                <w:szCs w:val="22"/>
              </w:rPr>
            </w:pPr>
            <w:r w:rsidRPr="00975CA4">
              <w:rPr>
                <w:rFonts w:eastAsia="Times New Roman"/>
                <w:sz w:val="22"/>
                <w:szCs w:val="22"/>
              </w:rPr>
              <w:t>(5</w:t>
            </w:r>
            <w:r w:rsidRPr="00975CA4">
              <w:rPr>
                <w:rFonts w:eastAsia="Times New Roman"/>
                <w:spacing w:val="-1"/>
                <w:sz w:val="22"/>
                <w:szCs w:val="22"/>
              </w:rPr>
              <w:t>2,1</w:t>
            </w:r>
            <w:r w:rsidRPr="00975CA4">
              <w:rPr>
                <w:rFonts w:eastAsia="Times New Roman"/>
                <w:bCs/>
                <w:sz w:val="22"/>
                <w:szCs w:val="22"/>
              </w:rPr>
              <w:t xml:space="preserve"> ‒ </w:t>
            </w:r>
            <w:r w:rsidRPr="00975CA4">
              <w:rPr>
                <w:rFonts w:eastAsia="Times New Roman"/>
                <w:w w:val="103"/>
                <w:sz w:val="22"/>
                <w:szCs w:val="22"/>
              </w:rPr>
              <w:t>79,2)</w:t>
            </w:r>
          </w:p>
        </w:tc>
        <w:tc>
          <w:tcPr>
            <w:tcW w:w="1531" w:type="dxa"/>
            <w:tcBorders>
              <w:top w:val="single" w:sz="4" w:space="0" w:color="000000"/>
              <w:left w:val="single" w:sz="4" w:space="0" w:color="000000"/>
              <w:bottom w:val="single" w:sz="4" w:space="0" w:color="000000"/>
              <w:right w:val="single" w:sz="4" w:space="0" w:color="000000"/>
            </w:tcBorders>
            <w:hideMark/>
          </w:tcPr>
          <w:p w14:paraId="6CAE2D63" w14:textId="77777777" w:rsidR="00703720" w:rsidRPr="00975CA4" w:rsidRDefault="00703720">
            <w:pPr>
              <w:ind w:left="-57" w:right="-57"/>
              <w:jc w:val="center"/>
              <w:rPr>
                <w:rFonts w:eastAsia="Times New Roman"/>
                <w:w w:val="103"/>
                <w:sz w:val="22"/>
                <w:szCs w:val="22"/>
              </w:rPr>
            </w:pPr>
            <w:r w:rsidRPr="00975CA4">
              <w:rPr>
                <w:rFonts w:eastAsia="Times New Roman"/>
                <w:w w:val="103"/>
                <w:sz w:val="22"/>
                <w:szCs w:val="22"/>
              </w:rPr>
              <w:t>9</w:t>
            </w:r>
            <w:r w:rsidRPr="00975CA4">
              <w:rPr>
                <w:rFonts w:eastAsia="Times New Roman"/>
                <w:spacing w:val="-1"/>
                <w:w w:val="103"/>
                <w:sz w:val="22"/>
                <w:szCs w:val="22"/>
              </w:rPr>
              <w:t>6,</w:t>
            </w:r>
            <w:r w:rsidRPr="00975CA4">
              <w:rPr>
                <w:rFonts w:eastAsia="Times New Roman"/>
                <w:spacing w:val="1"/>
                <w:w w:val="103"/>
                <w:sz w:val="22"/>
                <w:szCs w:val="22"/>
              </w:rPr>
              <w:t>1</w:t>
            </w:r>
            <w:r w:rsidR="003C3022" w:rsidRPr="00975CA4">
              <w:rPr>
                <w:rFonts w:eastAsia="Times New Roman"/>
                <w:spacing w:val="1"/>
                <w:w w:val="103"/>
                <w:sz w:val="22"/>
                <w:szCs w:val="22"/>
              </w:rPr>
              <w:t> </w:t>
            </w:r>
            <w:r w:rsidRPr="00975CA4">
              <w:rPr>
                <w:rFonts w:eastAsia="Times New Roman"/>
                <w:w w:val="103"/>
                <w:sz w:val="22"/>
                <w:szCs w:val="22"/>
              </w:rPr>
              <w:t>%</w:t>
            </w:r>
          </w:p>
          <w:p w14:paraId="71101431" w14:textId="77777777" w:rsidR="00703720" w:rsidRPr="00975CA4" w:rsidRDefault="00703720">
            <w:pPr>
              <w:ind w:left="-57" w:right="-57"/>
              <w:jc w:val="center"/>
              <w:rPr>
                <w:rFonts w:eastAsia="Times New Roman"/>
                <w:sz w:val="22"/>
                <w:szCs w:val="22"/>
              </w:rPr>
            </w:pPr>
            <w:r w:rsidRPr="00975CA4">
              <w:rPr>
                <w:rFonts w:eastAsia="Times New Roman"/>
                <w:sz w:val="22"/>
                <w:szCs w:val="22"/>
              </w:rPr>
              <w:t>(</w:t>
            </w:r>
            <w:r w:rsidRPr="00975CA4">
              <w:rPr>
                <w:rFonts w:eastAsia="Times New Roman"/>
                <w:spacing w:val="-1"/>
                <w:sz w:val="22"/>
                <w:szCs w:val="22"/>
              </w:rPr>
              <w:t>8</w:t>
            </w:r>
            <w:r w:rsidRPr="00975CA4">
              <w:rPr>
                <w:rFonts w:eastAsia="Times New Roman"/>
                <w:sz w:val="22"/>
                <w:szCs w:val="22"/>
              </w:rPr>
              <w:t>6,5</w:t>
            </w:r>
            <w:r w:rsidRPr="00975CA4">
              <w:rPr>
                <w:rFonts w:eastAsia="Times New Roman"/>
                <w:bCs/>
                <w:sz w:val="22"/>
                <w:szCs w:val="22"/>
              </w:rPr>
              <w:t xml:space="preserve"> ‒ </w:t>
            </w:r>
            <w:r w:rsidRPr="00975CA4">
              <w:rPr>
                <w:rFonts w:eastAsia="Times New Roman"/>
                <w:spacing w:val="1"/>
                <w:w w:val="103"/>
                <w:sz w:val="22"/>
                <w:szCs w:val="22"/>
              </w:rPr>
              <w:t>9</w:t>
            </w:r>
            <w:r w:rsidRPr="00975CA4">
              <w:rPr>
                <w:rFonts w:eastAsia="Times New Roman"/>
                <w:spacing w:val="-1"/>
                <w:w w:val="103"/>
                <w:sz w:val="22"/>
                <w:szCs w:val="22"/>
              </w:rPr>
              <w:t>9,5</w:t>
            </w:r>
            <w:r w:rsidRPr="00975CA4">
              <w:rPr>
                <w:rFonts w:eastAsia="Times New Roman"/>
                <w:w w:val="103"/>
                <w:sz w:val="22"/>
                <w:szCs w:val="22"/>
              </w:rPr>
              <w:t>)</w:t>
            </w:r>
          </w:p>
        </w:tc>
        <w:tc>
          <w:tcPr>
            <w:tcW w:w="1502" w:type="dxa"/>
            <w:tcBorders>
              <w:top w:val="single" w:sz="4" w:space="0" w:color="000000"/>
              <w:left w:val="single" w:sz="4" w:space="0" w:color="000000"/>
              <w:bottom w:val="single" w:sz="4" w:space="0" w:color="000000"/>
              <w:right w:val="single" w:sz="4" w:space="0" w:color="000000"/>
            </w:tcBorders>
            <w:hideMark/>
          </w:tcPr>
          <w:p w14:paraId="10E384EE" w14:textId="77777777" w:rsidR="00703720" w:rsidRPr="00975CA4" w:rsidRDefault="00703720">
            <w:pPr>
              <w:ind w:left="-57" w:right="-57"/>
              <w:jc w:val="center"/>
              <w:rPr>
                <w:rFonts w:eastAsia="Times New Roman"/>
                <w:w w:val="103"/>
                <w:sz w:val="22"/>
                <w:szCs w:val="22"/>
              </w:rPr>
            </w:pPr>
            <w:r w:rsidRPr="00975CA4">
              <w:rPr>
                <w:rFonts w:eastAsia="Times New Roman"/>
                <w:spacing w:val="-1"/>
                <w:w w:val="103"/>
                <w:sz w:val="22"/>
                <w:szCs w:val="22"/>
              </w:rPr>
              <w:t>9</w:t>
            </w:r>
            <w:r w:rsidRPr="00975CA4">
              <w:rPr>
                <w:rFonts w:eastAsia="Times New Roman"/>
                <w:w w:val="103"/>
                <w:sz w:val="22"/>
                <w:szCs w:val="22"/>
              </w:rPr>
              <w:t>6,</w:t>
            </w:r>
            <w:r w:rsidRPr="00975CA4">
              <w:rPr>
                <w:rFonts w:eastAsia="Times New Roman"/>
                <w:spacing w:val="1"/>
                <w:w w:val="103"/>
                <w:sz w:val="22"/>
                <w:szCs w:val="22"/>
              </w:rPr>
              <w:t>1</w:t>
            </w:r>
            <w:r w:rsidR="003C3022" w:rsidRPr="00975CA4">
              <w:rPr>
                <w:rFonts w:eastAsia="Times New Roman"/>
                <w:spacing w:val="1"/>
                <w:w w:val="103"/>
                <w:sz w:val="22"/>
                <w:szCs w:val="22"/>
              </w:rPr>
              <w:t> </w:t>
            </w:r>
            <w:r w:rsidRPr="00975CA4">
              <w:rPr>
                <w:rFonts w:eastAsia="Times New Roman"/>
                <w:w w:val="103"/>
                <w:sz w:val="22"/>
                <w:szCs w:val="22"/>
              </w:rPr>
              <w:t>%</w:t>
            </w:r>
          </w:p>
          <w:p w14:paraId="036F4BF2" w14:textId="77777777" w:rsidR="00703720" w:rsidRPr="00975CA4" w:rsidRDefault="00703720">
            <w:pPr>
              <w:ind w:left="-57" w:right="-57"/>
              <w:jc w:val="center"/>
              <w:rPr>
                <w:rFonts w:eastAsia="Times New Roman"/>
                <w:sz w:val="22"/>
                <w:szCs w:val="22"/>
              </w:rPr>
            </w:pPr>
            <w:r w:rsidRPr="00975CA4">
              <w:rPr>
                <w:rFonts w:eastAsia="Times New Roman"/>
                <w:sz w:val="22"/>
                <w:szCs w:val="22"/>
              </w:rPr>
              <w:t>(8</w:t>
            </w:r>
            <w:r w:rsidRPr="00975CA4">
              <w:rPr>
                <w:rFonts w:eastAsia="Times New Roman"/>
                <w:spacing w:val="-1"/>
                <w:sz w:val="22"/>
                <w:szCs w:val="22"/>
              </w:rPr>
              <w:t>6,5</w:t>
            </w:r>
            <w:r w:rsidRPr="00975CA4">
              <w:rPr>
                <w:rFonts w:eastAsia="Times New Roman"/>
                <w:bCs/>
                <w:sz w:val="22"/>
                <w:szCs w:val="22"/>
              </w:rPr>
              <w:t xml:space="preserve"> ‒ </w:t>
            </w:r>
            <w:r w:rsidRPr="00975CA4">
              <w:rPr>
                <w:rFonts w:eastAsia="Times New Roman"/>
                <w:w w:val="103"/>
                <w:sz w:val="22"/>
                <w:szCs w:val="22"/>
              </w:rPr>
              <w:t>99,5)</w:t>
            </w:r>
          </w:p>
        </w:tc>
      </w:tr>
      <w:tr w:rsidR="00703720" w:rsidRPr="00975CA4" w14:paraId="3A86F276" w14:textId="77777777" w:rsidTr="00266648">
        <w:trPr>
          <w:trHeight w:val="567"/>
          <w:jc w:val="center"/>
        </w:trPr>
        <w:tc>
          <w:tcPr>
            <w:tcW w:w="2547" w:type="dxa"/>
            <w:tcBorders>
              <w:top w:val="single" w:sz="4" w:space="0" w:color="000000"/>
              <w:left w:val="single" w:sz="4" w:space="0" w:color="000000"/>
              <w:bottom w:val="single" w:sz="4" w:space="0" w:color="000000"/>
              <w:right w:val="single" w:sz="4" w:space="0" w:color="000000"/>
            </w:tcBorders>
            <w:hideMark/>
          </w:tcPr>
          <w:p w14:paraId="13C8FB10" w14:textId="77777777" w:rsidR="00703720" w:rsidRPr="00975CA4" w:rsidRDefault="00703720">
            <w:pPr>
              <w:ind w:left="-57" w:right="-93"/>
              <w:rPr>
                <w:rFonts w:eastAsia="Times New Roman"/>
                <w:spacing w:val="1"/>
                <w:w w:val="103"/>
                <w:sz w:val="22"/>
                <w:szCs w:val="22"/>
              </w:rPr>
            </w:pPr>
            <w:r w:rsidRPr="00975CA4">
              <w:rPr>
                <w:rFonts w:eastAsia="Times New Roman"/>
                <w:sz w:val="22"/>
                <w:szCs w:val="22"/>
              </w:rPr>
              <w:t xml:space="preserve">Anksčiau vartoję </w:t>
            </w:r>
            <w:proofErr w:type="spellStart"/>
            <w:r w:rsidRPr="00975CA4">
              <w:rPr>
                <w:rFonts w:eastAsia="Times New Roman"/>
                <w:sz w:val="22"/>
                <w:szCs w:val="22"/>
              </w:rPr>
              <w:t>imatinibo</w:t>
            </w:r>
            <w:proofErr w:type="spellEnd"/>
          </w:p>
          <w:p w14:paraId="20544512" w14:textId="71A71EBA" w:rsidR="00703720" w:rsidRPr="00975CA4" w:rsidRDefault="00703720">
            <w:pPr>
              <w:ind w:left="-57" w:right="-93"/>
              <w:rPr>
                <w:rFonts w:eastAsia="Times New Roman"/>
                <w:sz w:val="22"/>
                <w:szCs w:val="22"/>
              </w:rPr>
            </w:pPr>
            <w:r w:rsidRPr="00975CA4">
              <w:rPr>
                <w:rFonts w:eastAsia="Times New Roman"/>
                <w:sz w:val="22"/>
                <w:szCs w:val="22"/>
              </w:rPr>
              <w:t>(n</w:t>
            </w:r>
            <w:r w:rsidR="003C3022" w:rsidRPr="00975CA4">
              <w:rPr>
                <w:rFonts w:eastAsia="Times New Roman"/>
                <w:spacing w:val="8"/>
                <w:sz w:val="22"/>
                <w:szCs w:val="22"/>
              </w:rPr>
              <w:t> </w:t>
            </w:r>
            <w:r w:rsidRPr="00975CA4">
              <w:rPr>
                <w:rFonts w:eastAsia="Times New Roman"/>
                <w:sz w:val="22"/>
                <w:szCs w:val="22"/>
              </w:rPr>
              <w:t>=</w:t>
            </w:r>
            <w:r w:rsidR="003C3022" w:rsidRPr="00975CA4">
              <w:rPr>
                <w:rFonts w:eastAsia="Times New Roman"/>
                <w:spacing w:val="5"/>
                <w:sz w:val="22"/>
                <w:szCs w:val="22"/>
              </w:rPr>
              <w:t> </w:t>
            </w:r>
            <w:r w:rsidRPr="00975CA4">
              <w:rPr>
                <w:rFonts w:eastAsia="Times New Roman"/>
                <w:spacing w:val="1"/>
                <w:w w:val="103"/>
                <w:sz w:val="22"/>
                <w:szCs w:val="22"/>
              </w:rPr>
              <w:t>4</w:t>
            </w:r>
            <w:r w:rsidRPr="00975CA4">
              <w:rPr>
                <w:rFonts w:eastAsia="Times New Roman"/>
                <w:spacing w:val="-1"/>
                <w:w w:val="103"/>
                <w:sz w:val="22"/>
                <w:szCs w:val="22"/>
              </w:rPr>
              <w:t>6</w:t>
            </w:r>
            <w:r w:rsidRPr="00975CA4">
              <w:rPr>
                <w:rFonts w:eastAsia="Times New Roman"/>
                <w:spacing w:val="1"/>
                <w:w w:val="103"/>
                <w:sz w:val="22"/>
                <w:szCs w:val="22"/>
              </w:rPr>
              <w:t>)</w:t>
            </w:r>
            <w:r w:rsidRPr="00975CA4">
              <w:rPr>
                <w:sz w:val="22"/>
                <w:szCs w:val="22"/>
                <w:vertAlign w:val="superscript"/>
              </w:rPr>
              <w:t>b</w:t>
            </w:r>
          </w:p>
        </w:tc>
        <w:tc>
          <w:tcPr>
            <w:tcW w:w="1531" w:type="dxa"/>
            <w:tcBorders>
              <w:top w:val="single" w:sz="4" w:space="0" w:color="000000"/>
              <w:left w:val="single" w:sz="4" w:space="0" w:color="000000"/>
              <w:bottom w:val="single" w:sz="4" w:space="0" w:color="000000"/>
              <w:right w:val="single" w:sz="4" w:space="0" w:color="000000"/>
            </w:tcBorders>
            <w:hideMark/>
          </w:tcPr>
          <w:p w14:paraId="5BEA761D" w14:textId="77777777" w:rsidR="00703720" w:rsidRPr="00975CA4" w:rsidRDefault="00703720">
            <w:pPr>
              <w:ind w:left="-57" w:right="-57"/>
              <w:jc w:val="center"/>
              <w:rPr>
                <w:rFonts w:eastAsia="Times New Roman"/>
                <w:w w:val="103"/>
                <w:sz w:val="22"/>
                <w:szCs w:val="22"/>
              </w:rPr>
            </w:pPr>
            <w:r w:rsidRPr="00975CA4">
              <w:rPr>
                <w:rFonts w:eastAsia="Times New Roman"/>
                <w:spacing w:val="-1"/>
                <w:w w:val="103"/>
                <w:sz w:val="22"/>
                <w:szCs w:val="22"/>
              </w:rPr>
              <w:t>4</w:t>
            </w:r>
            <w:r w:rsidRPr="00975CA4">
              <w:rPr>
                <w:rFonts w:eastAsia="Times New Roman"/>
                <w:w w:val="103"/>
                <w:sz w:val="22"/>
                <w:szCs w:val="22"/>
              </w:rPr>
              <w:t>5,</w:t>
            </w:r>
            <w:r w:rsidRPr="00975CA4">
              <w:rPr>
                <w:rFonts w:eastAsia="Times New Roman"/>
                <w:spacing w:val="1"/>
                <w:w w:val="103"/>
                <w:sz w:val="22"/>
                <w:szCs w:val="22"/>
              </w:rPr>
              <w:t>7</w:t>
            </w:r>
            <w:r w:rsidR="003C3022" w:rsidRPr="00975CA4">
              <w:rPr>
                <w:rFonts w:eastAsia="Times New Roman"/>
                <w:spacing w:val="1"/>
                <w:w w:val="103"/>
                <w:sz w:val="22"/>
                <w:szCs w:val="22"/>
              </w:rPr>
              <w:t> </w:t>
            </w:r>
            <w:r w:rsidRPr="00975CA4">
              <w:rPr>
                <w:rFonts w:eastAsia="Times New Roman"/>
                <w:w w:val="103"/>
                <w:sz w:val="22"/>
                <w:szCs w:val="22"/>
              </w:rPr>
              <w:t>%</w:t>
            </w:r>
          </w:p>
          <w:p w14:paraId="4CC227AD" w14:textId="77777777" w:rsidR="00703720" w:rsidRPr="00975CA4" w:rsidRDefault="00703720">
            <w:pPr>
              <w:ind w:left="-57" w:right="-57"/>
              <w:jc w:val="center"/>
              <w:rPr>
                <w:rFonts w:eastAsia="Times New Roman"/>
                <w:sz w:val="22"/>
                <w:szCs w:val="22"/>
              </w:rPr>
            </w:pPr>
            <w:r w:rsidRPr="00975CA4">
              <w:rPr>
                <w:rFonts w:eastAsia="Times New Roman"/>
                <w:sz w:val="22"/>
                <w:szCs w:val="22"/>
              </w:rPr>
              <w:t>(</w:t>
            </w:r>
            <w:r w:rsidRPr="00975CA4">
              <w:rPr>
                <w:rFonts w:eastAsia="Times New Roman"/>
                <w:spacing w:val="-1"/>
                <w:sz w:val="22"/>
                <w:szCs w:val="22"/>
              </w:rPr>
              <w:t>30,</w:t>
            </w:r>
            <w:r w:rsidRPr="00975CA4">
              <w:rPr>
                <w:rFonts w:eastAsia="Times New Roman"/>
                <w:sz w:val="22"/>
                <w:szCs w:val="22"/>
              </w:rPr>
              <w:t>9</w:t>
            </w:r>
            <w:r w:rsidRPr="00975CA4">
              <w:rPr>
                <w:rFonts w:eastAsia="Times New Roman"/>
                <w:bCs/>
                <w:sz w:val="22"/>
                <w:szCs w:val="22"/>
              </w:rPr>
              <w:t xml:space="preserve"> ‒ </w:t>
            </w:r>
            <w:r w:rsidRPr="00975CA4">
              <w:rPr>
                <w:rFonts w:eastAsia="Times New Roman"/>
                <w:spacing w:val="1"/>
                <w:w w:val="103"/>
                <w:sz w:val="22"/>
                <w:szCs w:val="22"/>
              </w:rPr>
              <w:t>6</w:t>
            </w:r>
            <w:r w:rsidRPr="00975CA4">
              <w:rPr>
                <w:rFonts w:eastAsia="Times New Roman"/>
                <w:spacing w:val="-1"/>
                <w:w w:val="103"/>
                <w:sz w:val="22"/>
                <w:szCs w:val="22"/>
              </w:rPr>
              <w:t>1,0</w:t>
            </w:r>
            <w:r w:rsidRPr="00975CA4">
              <w:rPr>
                <w:rFonts w:eastAsia="Times New Roman"/>
                <w:w w:val="103"/>
                <w:sz w:val="22"/>
                <w:szCs w:val="22"/>
              </w:rPr>
              <w:t>)</w:t>
            </w:r>
          </w:p>
        </w:tc>
        <w:tc>
          <w:tcPr>
            <w:tcW w:w="1531" w:type="dxa"/>
            <w:tcBorders>
              <w:top w:val="single" w:sz="4" w:space="0" w:color="000000"/>
              <w:left w:val="single" w:sz="4" w:space="0" w:color="000000"/>
              <w:bottom w:val="single" w:sz="4" w:space="0" w:color="000000"/>
              <w:right w:val="single" w:sz="4" w:space="0" w:color="000000"/>
            </w:tcBorders>
            <w:hideMark/>
          </w:tcPr>
          <w:p w14:paraId="4F78FC53" w14:textId="77777777" w:rsidR="00703720" w:rsidRPr="00975CA4" w:rsidRDefault="00703720">
            <w:pPr>
              <w:ind w:left="-57" w:right="-57"/>
              <w:jc w:val="center"/>
              <w:rPr>
                <w:rFonts w:eastAsia="Times New Roman"/>
                <w:w w:val="103"/>
                <w:sz w:val="22"/>
                <w:szCs w:val="22"/>
              </w:rPr>
            </w:pPr>
            <w:r w:rsidRPr="00975CA4">
              <w:rPr>
                <w:rFonts w:eastAsia="Times New Roman"/>
                <w:w w:val="103"/>
                <w:sz w:val="22"/>
                <w:szCs w:val="22"/>
              </w:rPr>
              <w:t>71,7</w:t>
            </w:r>
            <w:r w:rsidR="003C3022" w:rsidRPr="00975CA4">
              <w:rPr>
                <w:rFonts w:eastAsia="Times New Roman"/>
                <w:w w:val="103"/>
                <w:sz w:val="22"/>
                <w:szCs w:val="22"/>
              </w:rPr>
              <w:t> </w:t>
            </w:r>
            <w:r w:rsidRPr="00975CA4">
              <w:rPr>
                <w:rFonts w:eastAsia="Times New Roman"/>
                <w:w w:val="103"/>
                <w:sz w:val="22"/>
                <w:szCs w:val="22"/>
              </w:rPr>
              <w:t>%</w:t>
            </w:r>
          </w:p>
          <w:p w14:paraId="6F74EC3E" w14:textId="77777777" w:rsidR="00703720" w:rsidRPr="00975CA4" w:rsidRDefault="00703720">
            <w:pPr>
              <w:ind w:left="-57" w:right="-57"/>
              <w:jc w:val="center"/>
              <w:rPr>
                <w:rFonts w:eastAsia="Times New Roman"/>
                <w:sz w:val="22"/>
                <w:szCs w:val="22"/>
              </w:rPr>
            </w:pPr>
            <w:r w:rsidRPr="00975CA4">
              <w:rPr>
                <w:rFonts w:eastAsia="Times New Roman"/>
                <w:sz w:val="22"/>
                <w:szCs w:val="22"/>
              </w:rPr>
              <w:t>(5</w:t>
            </w:r>
            <w:r w:rsidRPr="00975CA4">
              <w:rPr>
                <w:rFonts w:eastAsia="Times New Roman"/>
                <w:spacing w:val="-1"/>
                <w:sz w:val="22"/>
                <w:szCs w:val="22"/>
              </w:rPr>
              <w:t>6,5</w:t>
            </w:r>
            <w:r w:rsidRPr="00975CA4">
              <w:rPr>
                <w:rFonts w:eastAsia="Times New Roman"/>
                <w:bCs/>
                <w:sz w:val="22"/>
                <w:szCs w:val="22"/>
              </w:rPr>
              <w:t xml:space="preserve"> ‒ </w:t>
            </w:r>
            <w:r w:rsidRPr="00975CA4">
              <w:rPr>
                <w:rFonts w:eastAsia="Times New Roman"/>
                <w:w w:val="103"/>
                <w:sz w:val="22"/>
                <w:szCs w:val="22"/>
              </w:rPr>
              <w:t>84,0)</w:t>
            </w:r>
          </w:p>
        </w:tc>
        <w:tc>
          <w:tcPr>
            <w:tcW w:w="1531" w:type="dxa"/>
            <w:tcBorders>
              <w:top w:val="single" w:sz="4" w:space="0" w:color="000000"/>
              <w:left w:val="single" w:sz="4" w:space="0" w:color="000000"/>
              <w:bottom w:val="single" w:sz="4" w:space="0" w:color="000000"/>
              <w:right w:val="single" w:sz="4" w:space="0" w:color="000000"/>
            </w:tcBorders>
            <w:hideMark/>
          </w:tcPr>
          <w:p w14:paraId="7397FC88" w14:textId="77777777" w:rsidR="00703720" w:rsidRPr="00975CA4" w:rsidRDefault="00703720">
            <w:pPr>
              <w:ind w:left="-57" w:right="-57"/>
              <w:jc w:val="center"/>
              <w:rPr>
                <w:rFonts w:eastAsia="Times New Roman"/>
                <w:w w:val="103"/>
                <w:sz w:val="22"/>
                <w:szCs w:val="22"/>
              </w:rPr>
            </w:pPr>
            <w:r w:rsidRPr="00975CA4">
              <w:rPr>
                <w:rFonts w:eastAsia="Times New Roman"/>
                <w:w w:val="103"/>
                <w:sz w:val="22"/>
                <w:szCs w:val="22"/>
              </w:rPr>
              <w:t>7</w:t>
            </w:r>
            <w:r w:rsidRPr="00975CA4">
              <w:rPr>
                <w:rFonts w:eastAsia="Times New Roman"/>
                <w:spacing w:val="-1"/>
                <w:w w:val="103"/>
                <w:sz w:val="22"/>
                <w:szCs w:val="22"/>
              </w:rPr>
              <w:t>8,</w:t>
            </w:r>
            <w:r w:rsidRPr="00975CA4">
              <w:rPr>
                <w:rFonts w:eastAsia="Times New Roman"/>
                <w:spacing w:val="1"/>
                <w:w w:val="103"/>
                <w:sz w:val="22"/>
                <w:szCs w:val="22"/>
              </w:rPr>
              <w:t>3</w:t>
            </w:r>
            <w:r w:rsidR="003C3022" w:rsidRPr="00975CA4">
              <w:rPr>
                <w:rFonts w:eastAsia="Times New Roman"/>
                <w:spacing w:val="1"/>
                <w:w w:val="103"/>
                <w:sz w:val="22"/>
                <w:szCs w:val="22"/>
              </w:rPr>
              <w:t> </w:t>
            </w:r>
            <w:r w:rsidRPr="00975CA4">
              <w:rPr>
                <w:rFonts w:eastAsia="Times New Roman"/>
                <w:w w:val="103"/>
                <w:sz w:val="22"/>
                <w:szCs w:val="22"/>
              </w:rPr>
              <w:t>%</w:t>
            </w:r>
          </w:p>
          <w:p w14:paraId="28BFF0E8" w14:textId="77777777" w:rsidR="00703720" w:rsidRPr="00975CA4" w:rsidRDefault="00703720">
            <w:pPr>
              <w:ind w:left="-57" w:right="-57"/>
              <w:jc w:val="center"/>
              <w:rPr>
                <w:rFonts w:eastAsia="Times New Roman"/>
                <w:sz w:val="22"/>
                <w:szCs w:val="22"/>
              </w:rPr>
            </w:pPr>
            <w:r w:rsidRPr="00975CA4">
              <w:rPr>
                <w:rFonts w:eastAsia="Times New Roman"/>
                <w:sz w:val="22"/>
                <w:szCs w:val="22"/>
              </w:rPr>
              <w:t>(</w:t>
            </w:r>
            <w:r w:rsidRPr="00975CA4">
              <w:rPr>
                <w:rFonts w:eastAsia="Times New Roman"/>
                <w:spacing w:val="-1"/>
                <w:sz w:val="22"/>
                <w:szCs w:val="22"/>
              </w:rPr>
              <w:t>6</w:t>
            </w:r>
            <w:r w:rsidRPr="00975CA4">
              <w:rPr>
                <w:rFonts w:eastAsia="Times New Roman"/>
                <w:sz w:val="22"/>
                <w:szCs w:val="22"/>
              </w:rPr>
              <w:t>3,6</w:t>
            </w:r>
            <w:r w:rsidRPr="00975CA4">
              <w:rPr>
                <w:rFonts w:eastAsia="Times New Roman"/>
                <w:bCs/>
                <w:sz w:val="22"/>
                <w:szCs w:val="22"/>
              </w:rPr>
              <w:t xml:space="preserve"> ‒ </w:t>
            </w:r>
            <w:r w:rsidRPr="00975CA4">
              <w:rPr>
                <w:rFonts w:eastAsia="Times New Roman"/>
                <w:spacing w:val="1"/>
                <w:w w:val="103"/>
                <w:sz w:val="22"/>
                <w:szCs w:val="22"/>
              </w:rPr>
              <w:t>8</w:t>
            </w:r>
            <w:r w:rsidRPr="00975CA4">
              <w:rPr>
                <w:rFonts w:eastAsia="Times New Roman"/>
                <w:spacing w:val="-1"/>
                <w:w w:val="103"/>
                <w:sz w:val="22"/>
                <w:szCs w:val="22"/>
              </w:rPr>
              <w:t>9,1</w:t>
            </w:r>
            <w:r w:rsidRPr="00975CA4">
              <w:rPr>
                <w:rFonts w:eastAsia="Times New Roman"/>
                <w:w w:val="103"/>
                <w:sz w:val="22"/>
                <w:szCs w:val="22"/>
              </w:rPr>
              <w:t>)</w:t>
            </w:r>
          </w:p>
        </w:tc>
        <w:tc>
          <w:tcPr>
            <w:tcW w:w="1502" w:type="dxa"/>
            <w:tcBorders>
              <w:top w:val="single" w:sz="4" w:space="0" w:color="000000"/>
              <w:left w:val="single" w:sz="4" w:space="0" w:color="000000"/>
              <w:bottom w:val="single" w:sz="4" w:space="0" w:color="000000"/>
              <w:right w:val="single" w:sz="4" w:space="0" w:color="000000"/>
            </w:tcBorders>
            <w:hideMark/>
          </w:tcPr>
          <w:p w14:paraId="6689C5BA" w14:textId="77777777" w:rsidR="00703720" w:rsidRPr="00975CA4" w:rsidRDefault="00703720">
            <w:pPr>
              <w:ind w:left="-57" w:right="-57"/>
              <w:jc w:val="center"/>
              <w:rPr>
                <w:rFonts w:eastAsia="Times New Roman"/>
                <w:w w:val="103"/>
                <w:sz w:val="22"/>
                <w:szCs w:val="22"/>
              </w:rPr>
            </w:pPr>
            <w:r w:rsidRPr="00975CA4">
              <w:rPr>
                <w:rFonts w:eastAsia="Times New Roman"/>
                <w:spacing w:val="-1"/>
                <w:w w:val="103"/>
                <w:sz w:val="22"/>
                <w:szCs w:val="22"/>
              </w:rPr>
              <w:t>8</w:t>
            </w:r>
            <w:r w:rsidRPr="00975CA4">
              <w:rPr>
                <w:rFonts w:eastAsia="Times New Roman"/>
                <w:w w:val="103"/>
                <w:sz w:val="22"/>
                <w:szCs w:val="22"/>
              </w:rPr>
              <w:t>2,</w:t>
            </w:r>
            <w:r w:rsidRPr="00975CA4">
              <w:rPr>
                <w:rFonts w:eastAsia="Times New Roman"/>
                <w:spacing w:val="1"/>
                <w:w w:val="103"/>
                <w:sz w:val="22"/>
                <w:szCs w:val="22"/>
              </w:rPr>
              <w:t>6</w:t>
            </w:r>
            <w:r w:rsidR="003C3022" w:rsidRPr="00975CA4">
              <w:rPr>
                <w:rFonts w:eastAsia="Times New Roman"/>
                <w:spacing w:val="1"/>
                <w:w w:val="103"/>
                <w:sz w:val="22"/>
                <w:szCs w:val="22"/>
              </w:rPr>
              <w:t> </w:t>
            </w:r>
            <w:r w:rsidRPr="00975CA4">
              <w:rPr>
                <w:rFonts w:eastAsia="Times New Roman"/>
                <w:w w:val="103"/>
                <w:sz w:val="22"/>
                <w:szCs w:val="22"/>
              </w:rPr>
              <w:t>%</w:t>
            </w:r>
          </w:p>
          <w:p w14:paraId="4E735B6B" w14:textId="77777777" w:rsidR="00703720" w:rsidRPr="00975CA4" w:rsidRDefault="00703720">
            <w:pPr>
              <w:ind w:left="-57" w:right="-57"/>
              <w:jc w:val="center"/>
              <w:rPr>
                <w:rFonts w:eastAsia="Times New Roman"/>
                <w:sz w:val="22"/>
                <w:szCs w:val="22"/>
              </w:rPr>
            </w:pPr>
            <w:r w:rsidRPr="00975CA4">
              <w:rPr>
                <w:rFonts w:eastAsia="Times New Roman"/>
                <w:sz w:val="22"/>
                <w:szCs w:val="22"/>
              </w:rPr>
              <w:t>(6</w:t>
            </w:r>
            <w:r w:rsidRPr="00975CA4">
              <w:rPr>
                <w:rFonts w:eastAsia="Times New Roman"/>
                <w:spacing w:val="-1"/>
                <w:sz w:val="22"/>
                <w:szCs w:val="22"/>
              </w:rPr>
              <w:t>8,6</w:t>
            </w:r>
            <w:r w:rsidRPr="00975CA4">
              <w:rPr>
                <w:rFonts w:eastAsia="Times New Roman"/>
                <w:sz w:val="22"/>
                <w:szCs w:val="22"/>
              </w:rPr>
              <w:t xml:space="preserve"> ‒</w:t>
            </w:r>
            <w:r w:rsidRPr="00975CA4">
              <w:rPr>
                <w:rFonts w:eastAsia="Times New Roman"/>
                <w:spacing w:val="17"/>
                <w:sz w:val="22"/>
                <w:szCs w:val="22"/>
              </w:rPr>
              <w:t xml:space="preserve"> </w:t>
            </w:r>
            <w:r w:rsidRPr="00975CA4">
              <w:rPr>
                <w:rFonts w:eastAsia="Times New Roman"/>
                <w:w w:val="103"/>
                <w:sz w:val="22"/>
                <w:szCs w:val="22"/>
              </w:rPr>
              <w:t>92,2)</w:t>
            </w:r>
          </w:p>
        </w:tc>
      </w:tr>
      <w:tr w:rsidR="00703720" w:rsidRPr="00975CA4" w14:paraId="71C20490" w14:textId="77777777" w:rsidTr="00266648">
        <w:trPr>
          <w:trHeight w:val="283"/>
          <w:jc w:val="center"/>
        </w:trPr>
        <w:tc>
          <w:tcPr>
            <w:tcW w:w="2547" w:type="dxa"/>
            <w:tcBorders>
              <w:top w:val="single" w:sz="4" w:space="0" w:color="000000"/>
              <w:left w:val="single" w:sz="4" w:space="0" w:color="000000"/>
              <w:bottom w:val="single" w:sz="4" w:space="0" w:color="000000"/>
              <w:right w:val="single" w:sz="4" w:space="0" w:color="000000"/>
            </w:tcBorders>
            <w:hideMark/>
          </w:tcPr>
          <w:p w14:paraId="6610637E" w14:textId="77777777" w:rsidR="00703720" w:rsidRPr="00975CA4" w:rsidRDefault="00703720">
            <w:pPr>
              <w:ind w:left="-57" w:right="-224"/>
              <w:rPr>
                <w:rFonts w:eastAsia="Times New Roman"/>
                <w:sz w:val="22"/>
                <w:szCs w:val="22"/>
              </w:rPr>
            </w:pPr>
            <w:proofErr w:type="spellStart"/>
            <w:r w:rsidRPr="00975CA4">
              <w:rPr>
                <w:rFonts w:eastAsia="Times New Roman"/>
                <w:b/>
                <w:bCs/>
                <w:w w:val="103"/>
                <w:sz w:val="22"/>
                <w:szCs w:val="22"/>
              </w:rPr>
              <w:t>M</w:t>
            </w:r>
            <w:r w:rsidRPr="00975CA4">
              <w:rPr>
                <w:rFonts w:eastAsia="Times New Roman"/>
                <w:b/>
                <w:bCs/>
                <w:spacing w:val="1"/>
                <w:w w:val="103"/>
                <w:sz w:val="22"/>
                <w:szCs w:val="22"/>
              </w:rPr>
              <w:t>C</w:t>
            </w:r>
            <w:r w:rsidRPr="00975CA4">
              <w:rPr>
                <w:rFonts w:eastAsia="Times New Roman"/>
                <w:b/>
                <w:bCs/>
                <w:w w:val="103"/>
                <w:sz w:val="22"/>
                <w:szCs w:val="22"/>
              </w:rPr>
              <w:t>yR</w:t>
            </w:r>
            <w:proofErr w:type="spellEnd"/>
            <w:r w:rsidRPr="00975CA4">
              <w:rPr>
                <w:rFonts w:eastAsia="Times New Roman"/>
                <w:b/>
                <w:bCs/>
                <w:w w:val="103"/>
                <w:sz w:val="22"/>
                <w:szCs w:val="22"/>
              </w:rPr>
              <w:t xml:space="preserve"> </w:t>
            </w:r>
            <w:r w:rsidRPr="00975CA4">
              <w:rPr>
                <w:rFonts w:eastAsia="Times New Roman"/>
                <w:b/>
                <w:bCs/>
                <w:sz w:val="22"/>
                <w:szCs w:val="22"/>
              </w:rPr>
              <w:t>(9</w:t>
            </w:r>
            <w:r w:rsidRPr="00975CA4">
              <w:rPr>
                <w:rFonts w:eastAsia="Times New Roman"/>
                <w:b/>
                <w:bCs/>
                <w:spacing w:val="1"/>
                <w:sz w:val="22"/>
                <w:szCs w:val="22"/>
              </w:rPr>
              <w:t>5</w:t>
            </w:r>
            <w:r w:rsidR="00374125" w:rsidRPr="00975CA4">
              <w:rPr>
                <w:rFonts w:eastAsia="Times New Roman"/>
                <w:b/>
                <w:bCs/>
                <w:spacing w:val="1"/>
                <w:sz w:val="22"/>
                <w:szCs w:val="22"/>
              </w:rPr>
              <w:t> </w:t>
            </w:r>
            <w:r w:rsidRPr="00975CA4">
              <w:rPr>
                <w:rFonts w:eastAsia="Times New Roman"/>
                <w:b/>
                <w:bCs/>
                <w:sz w:val="22"/>
                <w:szCs w:val="22"/>
              </w:rPr>
              <w:t>%</w:t>
            </w:r>
            <w:r w:rsidRPr="00975CA4">
              <w:rPr>
                <w:rFonts w:eastAsia="Times New Roman"/>
                <w:b/>
                <w:bCs/>
                <w:spacing w:val="15"/>
                <w:sz w:val="22"/>
                <w:szCs w:val="22"/>
              </w:rPr>
              <w:t xml:space="preserve"> </w:t>
            </w:r>
            <w:r w:rsidRPr="00975CA4">
              <w:rPr>
                <w:rFonts w:eastAsia="Times New Roman"/>
                <w:b/>
                <w:bCs/>
                <w:w w:val="103"/>
                <w:sz w:val="22"/>
                <w:szCs w:val="22"/>
              </w:rPr>
              <w:t>PI)</w:t>
            </w:r>
          </w:p>
        </w:tc>
        <w:tc>
          <w:tcPr>
            <w:tcW w:w="1531" w:type="dxa"/>
            <w:tcBorders>
              <w:top w:val="single" w:sz="4" w:space="0" w:color="000000"/>
              <w:left w:val="single" w:sz="4" w:space="0" w:color="000000"/>
              <w:bottom w:val="single" w:sz="4" w:space="0" w:color="000000"/>
              <w:right w:val="single" w:sz="4" w:space="0" w:color="000000"/>
            </w:tcBorders>
          </w:tcPr>
          <w:p w14:paraId="1DC5D5AE" w14:textId="77777777" w:rsidR="00703720" w:rsidRPr="00975CA4" w:rsidRDefault="00703720">
            <w:pPr>
              <w:ind w:left="-57" w:right="-57"/>
              <w:jc w:val="center"/>
              <w:rPr>
                <w:rFonts w:eastAsia="Times New Roman"/>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49A3462F" w14:textId="77777777" w:rsidR="00703720" w:rsidRPr="00975CA4" w:rsidRDefault="00703720">
            <w:pPr>
              <w:ind w:left="-57" w:right="-93"/>
              <w:jc w:val="center"/>
              <w:rPr>
                <w:rFonts w:eastAsia="Times New Roman"/>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17C847FA" w14:textId="77777777" w:rsidR="00703720" w:rsidRPr="00975CA4" w:rsidRDefault="00703720">
            <w:pPr>
              <w:ind w:right="-93"/>
              <w:jc w:val="center"/>
              <w:rPr>
                <w:rFonts w:eastAsia="Times New Roman"/>
                <w:sz w:val="22"/>
                <w:szCs w:val="22"/>
              </w:rPr>
            </w:pPr>
          </w:p>
        </w:tc>
        <w:tc>
          <w:tcPr>
            <w:tcW w:w="1502" w:type="dxa"/>
            <w:tcBorders>
              <w:top w:val="single" w:sz="4" w:space="0" w:color="000000"/>
              <w:left w:val="single" w:sz="4" w:space="0" w:color="000000"/>
              <w:bottom w:val="single" w:sz="4" w:space="0" w:color="000000"/>
              <w:right w:val="single" w:sz="4" w:space="0" w:color="000000"/>
            </w:tcBorders>
          </w:tcPr>
          <w:p w14:paraId="797DFF8F" w14:textId="77777777" w:rsidR="00703720" w:rsidRPr="00975CA4" w:rsidRDefault="00703720">
            <w:pPr>
              <w:ind w:right="-93"/>
              <w:jc w:val="center"/>
              <w:rPr>
                <w:rFonts w:eastAsia="Times New Roman"/>
                <w:sz w:val="22"/>
                <w:szCs w:val="22"/>
              </w:rPr>
            </w:pPr>
          </w:p>
        </w:tc>
      </w:tr>
      <w:tr w:rsidR="00703720" w:rsidRPr="00975CA4" w14:paraId="0E192B94" w14:textId="77777777" w:rsidTr="00266648">
        <w:trPr>
          <w:trHeight w:val="567"/>
          <w:jc w:val="center"/>
        </w:trPr>
        <w:tc>
          <w:tcPr>
            <w:tcW w:w="2547" w:type="dxa"/>
            <w:tcBorders>
              <w:top w:val="single" w:sz="4" w:space="0" w:color="000000"/>
              <w:left w:val="single" w:sz="4" w:space="0" w:color="000000"/>
              <w:bottom w:val="single" w:sz="4" w:space="0" w:color="000000"/>
              <w:right w:val="single" w:sz="4" w:space="0" w:color="000000"/>
            </w:tcBorders>
            <w:hideMark/>
          </w:tcPr>
          <w:p w14:paraId="3B35ECA4" w14:textId="77777777" w:rsidR="00703720" w:rsidRPr="00975CA4" w:rsidRDefault="00703720" w:rsidP="00703720">
            <w:pPr>
              <w:ind w:left="-57" w:right="-93"/>
              <w:rPr>
                <w:rFonts w:eastAsia="Times New Roman"/>
                <w:sz w:val="22"/>
                <w:szCs w:val="22"/>
              </w:rPr>
            </w:pPr>
            <w:r w:rsidRPr="00975CA4">
              <w:rPr>
                <w:rFonts w:eastAsia="Times New Roman"/>
                <w:sz w:val="22"/>
                <w:szCs w:val="22"/>
              </w:rPr>
              <w:t>Nauja diagnozė</w:t>
            </w:r>
          </w:p>
          <w:p w14:paraId="1EC431D0" w14:textId="0999C443" w:rsidR="00703720" w:rsidRPr="00975CA4" w:rsidRDefault="00703720" w:rsidP="00703720">
            <w:pPr>
              <w:ind w:left="-57" w:right="-93"/>
              <w:rPr>
                <w:rFonts w:eastAsia="Times New Roman"/>
                <w:sz w:val="22"/>
                <w:szCs w:val="22"/>
              </w:rPr>
            </w:pPr>
            <w:r w:rsidRPr="00975CA4">
              <w:rPr>
                <w:rFonts w:eastAsia="Times New Roman"/>
                <w:sz w:val="22"/>
                <w:szCs w:val="22"/>
              </w:rPr>
              <w:t xml:space="preserve"> (n</w:t>
            </w:r>
            <w:r w:rsidR="003C3022" w:rsidRPr="00975CA4">
              <w:rPr>
                <w:rFonts w:eastAsia="Times New Roman"/>
                <w:sz w:val="22"/>
                <w:szCs w:val="22"/>
              </w:rPr>
              <w:t> </w:t>
            </w:r>
            <w:r w:rsidRPr="00975CA4">
              <w:rPr>
                <w:rFonts w:eastAsia="Times New Roman"/>
                <w:sz w:val="22"/>
                <w:szCs w:val="22"/>
              </w:rPr>
              <w:t>=</w:t>
            </w:r>
            <w:r w:rsidR="003C3022" w:rsidRPr="00975CA4">
              <w:rPr>
                <w:rFonts w:eastAsia="Times New Roman"/>
                <w:sz w:val="22"/>
                <w:szCs w:val="22"/>
              </w:rPr>
              <w:t> </w:t>
            </w:r>
            <w:r w:rsidRPr="00975CA4">
              <w:rPr>
                <w:rFonts w:eastAsia="Times New Roman"/>
                <w:sz w:val="22"/>
                <w:szCs w:val="22"/>
              </w:rPr>
              <w:t>51)</w:t>
            </w:r>
            <w:r w:rsidRPr="00975CA4">
              <w:rPr>
                <w:rFonts w:eastAsia="Times New Roman"/>
                <w:sz w:val="22"/>
                <w:szCs w:val="22"/>
                <w:vertAlign w:val="superscript"/>
              </w:rPr>
              <w:t>a</w:t>
            </w:r>
          </w:p>
        </w:tc>
        <w:tc>
          <w:tcPr>
            <w:tcW w:w="1531" w:type="dxa"/>
            <w:tcBorders>
              <w:top w:val="single" w:sz="4" w:space="0" w:color="000000"/>
              <w:left w:val="single" w:sz="4" w:space="0" w:color="000000"/>
              <w:bottom w:val="single" w:sz="4" w:space="0" w:color="000000"/>
              <w:right w:val="single" w:sz="4" w:space="0" w:color="000000"/>
            </w:tcBorders>
            <w:hideMark/>
          </w:tcPr>
          <w:p w14:paraId="67B7B10E" w14:textId="77777777" w:rsidR="00703720" w:rsidRPr="00975CA4" w:rsidRDefault="00703720">
            <w:pPr>
              <w:ind w:left="-57" w:right="-57"/>
              <w:jc w:val="center"/>
              <w:rPr>
                <w:rFonts w:eastAsia="Times New Roman"/>
                <w:w w:val="103"/>
                <w:sz w:val="22"/>
                <w:szCs w:val="22"/>
              </w:rPr>
            </w:pPr>
            <w:r w:rsidRPr="00975CA4">
              <w:rPr>
                <w:rFonts w:eastAsia="Times New Roman"/>
                <w:spacing w:val="-1"/>
                <w:w w:val="103"/>
                <w:sz w:val="22"/>
                <w:szCs w:val="22"/>
              </w:rPr>
              <w:t>6</w:t>
            </w:r>
            <w:r w:rsidRPr="00975CA4">
              <w:rPr>
                <w:rFonts w:eastAsia="Times New Roman"/>
                <w:w w:val="103"/>
                <w:sz w:val="22"/>
                <w:szCs w:val="22"/>
              </w:rPr>
              <w:t>0,</w:t>
            </w:r>
            <w:r w:rsidRPr="00975CA4">
              <w:rPr>
                <w:rFonts w:eastAsia="Times New Roman"/>
                <w:spacing w:val="1"/>
                <w:w w:val="103"/>
                <w:sz w:val="22"/>
                <w:szCs w:val="22"/>
              </w:rPr>
              <w:t>8</w:t>
            </w:r>
            <w:r w:rsidR="003C3022" w:rsidRPr="00975CA4">
              <w:rPr>
                <w:rFonts w:eastAsia="Times New Roman"/>
                <w:spacing w:val="1"/>
                <w:w w:val="103"/>
                <w:sz w:val="22"/>
                <w:szCs w:val="22"/>
              </w:rPr>
              <w:t> </w:t>
            </w:r>
            <w:r w:rsidRPr="00975CA4">
              <w:rPr>
                <w:rFonts w:eastAsia="Times New Roman"/>
                <w:w w:val="103"/>
                <w:sz w:val="22"/>
                <w:szCs w:val="22"/>
              </w:rPr>
              <w:t>%</w:t>
            </w:r>
          </w:p>
          <w:p w14:paraId="0D1064A5" w14:textId="77777777" w:rsidR="00703720" w:rsidRPr="00975CA4" w:rsidRDefault="00703720">
            <w:pPr>
              <w:ind w:left="-57" w:right="-57"/>
              <w:jc w:val="center"/>
              <w:rPr>
                <w:rFonts w:eastAsia="Times New Roman"/>
                <w:sz w:val="22"/>
                <w:szCs w:val="22"/>
              </w:rPr>
            </w:pPr>
            <w:r w:rsidRPr="00975CA4">
              <w:rPr>
                <w:rFonts w:eastAsia="Times New Roman"/>
                <w:sz w:val="22"/>
                <w:szCs w:val="22"/>
              </w:rPr>
              <w:t>(</w:t>
            </w:r>
            <w:r w:rsidRPr="00975CA4">
              <w:rPr>
                <w:rFonts w:eastAsia="Times New Roman"/>
                <w:spacing w:val="-1"/>
                <w:sz w:val="22"/>
                <w:szCs w:val="22"/>
              </w:rPr>
              <w:t>4</w:t>
            </w:r>
            <w:r w:rsidRPr="00975CA4">
              <w:rPr>
                <w:rFonts w:eastAsia="Times New Roman"/>
                <w:sz w:val="22"/>
                <w:szCs w:val="22"/>
              </w:rPr>
              <w:t>6,1</w:t>
            </w:r>
            <w:r w:rsidRPr="00975CA4">
              <w:rPr>
                <w:rFonts w:eastAsia="Times New Roman"/>
                <w:bCs/>
                <w:sz w:val="22"/>
                <w:szCs w:val="22"/>
              </w:rPr>
              <w:t xml:space="preserve"> ‒ </w:t>
            </w:r>
            <w:r w:rsidRPr="00975CA4">
              <w:rPr>
                <w:rFonts w:eastAsia="Times New Roman"/>
                <w:spacing w:val="1"/>
                <w:w w:val="103"/>
                <w:sz w:val="22"/>
                <w:szCs w:val="22"/>
              </w:rPr>
              <w:t>7</w:t>
            </w:r>
            <w:r w:rsidRPr="00975CA4">
              <w:rPr>
                <w:rFonts w:eastAsia="Times New Roman"/>
                <w:spacing w:val="-1"/>
                <w:w w:val="103"/>
                <w:sz w:val="22"/>
                <w:szCs w:val="22"/>
              </w:rPr>
              <w:t>4,2</w:t>
            </w:r>
            <w:r w:rsidRPr="00975CA4">
              <w:rPr>
                <w:rFonts w:eastAsia="Times New Roman"/>
                <w:w w:val="103"/>
                <w:sz w:val="22"/>
                <w:szCs w:val="22"/>
              </w:rPr>
              <w:t>)</w:t>
            </w:r>
          </w:p>
        </w:tc>
        <w:tc>
          <w:tcPr>
            <w:tcW w:w="1531" w:type="dxa"/>
            <w:tcBorders>
              <w:top w:val="single" w:sz="4" w:space="0" w:color="000000"/>
              <w:left w:val="single" w:sz="4" w:space="0" w:color="000000"/>
              <w:bottom w:val="single" w:sz="4" w:space="0" w:color="000000"/>
              <w:right w:val="single" w:sz="4" w:space="0" w:color="000000"/>
            </w:tcBorders>
            <w:hideMark/>
          </w:tcPr>
          <w:p w14:paraId="48F1B966" w14:textId="77777777" w:rsidR="00703720" w:rsidRPr="00975CA4" w:rsidRDefault="00703720">
            <w:pPr>
              <w:ind w:left="-57" w:right="-57"/>
              <w:jc w:val="center"/>
              <w:rPr>
                <w:rFonts w:eastAsia="Times New Roman"/>
                <w:w w:val="103"/>
                <w:sz w:val="22"/>
                <w:szCs w:val="22"/>
              </w:rPr>
            </w:pPr>
            <w:r w:rsidRPr="00975CA4">
              <w:rPr>
                <w:rFonts w:eastAsia="Times New Roman"/>
                <w:w w:val="103"/>
                <w:sz w:val="22"/>
                <w:szCs w:val="22"/>
              </w:rPr>
              <w:t>90,2</w:t>
            </w:r>
            <w:r w:rsidR="003C3022" w:rsidRPr="00975CA4">
              <w:rPr>
                <w:rFonts w:eastAsia="Times New Roman"/>
                <w:w w:val="103"/>
                <w:sz w:val="22"/>
                <w:szCs w:val="22"/>
              </w:rPr>
              <w:t> </w:t>
            </w:r>
            <w:r w:rsidRPr="00975CA4">
              <w:rPr>
                <w:rFonts w:eastAsia="Times New Roman"/>
                <w:w w:val="103"/>
                <w:sz w:val="22"/>
                <w:szCs w:val="22"/>
              </w:rPr>
              <w:t>%</w:t>
            </w:r>
          </w:p>
          <w:p w14:paraId="7C626561" w14:textId="77777777" w:rsidR="00703720" w:rsidRPr="00975CA4" w:rsidRDefault="00703720">
            <w:pPr>
              <w:ind w:left="-57" w:right="-57"/>
              <w:jc w:val="center"/>
              <w:rPr>
                <w:rFonts w:eastAsia="Times New Roman"/>
                <w:sz w:val="22"/>
                <w:szCs w:val="22"/>
              </w:rPr>
            </w:pPr>
            <w:r w:rsidRPr="00975CA4">
              <w:rPr>
                <w:rFonts w:eastAsia="Times New Roman"/>
                <w:sz w:val="22"/>
                <w:szCs w:val="22"/>
              </w:rPr>
              <w:t>(7</w:t>
            </w:r>
            <w:r w:rsidRPr="00975CA4">
              <w:rPr>
                <w:rFonts w:eastAsia="Times New Roman"/>
                <w:spacing w:val="-1"/>
                <w:sz w:val="22"/>
                <w:szCs w:val="22"/>
              </w:rPr>
              <w:t>8,6</w:t>
            </w:r>
            <w:r w:rsidRPr="00975CA4">
              <w:rPr>
                <w:rFonts w:eastAsia="Times New Roman"/>
                <w:bCs/>
                <w:sz w:val="22"/>
                <w:szCs w:val="22"/>
              </w:rPr>
              <w:t xml:space="preserve"> ‒ </w:t>
            </w:r>
            <w:r w:rsidRPr="00975CA4">
              <w:rPr>
                <w:rFonts w:eastAsia="Times New Roman"/>
                <w:w w:val="103"/>
                <w:sz w:val="22"/>
                <w:szCs w:val="22"/>
              </w:rPr>
              <w:t>96,7)</w:t>
            </w:r>
          </w:p>
        </w:tc>
        <w:tc>
          <w:tcPr>
            <w:tcW w:w="1531" w:type="dxa"/>
            <w:tcBorders>
              <w:top w:val="single" w:sz="4" w:space="0" w:color="000000"/>
              <w:left w:val="single" w:sz="4" w:space="0" w:color="000000"/>
              <w:bottom w:val="single" w:sz="4" w:space="0" w:color="000000"/>
              <w:right w:val="single" w:sz="4" w:space="0" w:color="000000"/>
            </w:tcBorders>
            <w:hideMark/>
          </w:tcPr>
          <w:p w14:paraId="65D82695" w14:textId="77777777" w:rsidR="00703720" w:rsidRPr="00975CA4" w:rsidRDefault="00703720">
            <w:pPr>
              <w:ind w:left="-57" w:right="-57"/>
              <w:jc w:val="center"/>
              <w:rPr>
                <w:rFonts w:eastAsia="Times New Roman"/>
                <w:w w:val="103"/>
                <w:sz w:val="22"/>
                <w:szCs w:val="22"/>
              </w:rPr>
            </w:pPr>
            <w:r w:rsidRPr="00975CA4">
              <w:rPr>
                <w:rFonts w:eastAsia="Times New Roman"/>
                <w:w w:val="103"/>
                <w:sz w:val="22"/>
                <w:szCs w:val="22"/>
              </w:rPr>
              <w:t>9</w:t>
            </w:r>
            <w:r w:rsidRPr="00975CA4">
              <w:rPr>
                <w:rFonts w:eastAsia="Times New Roman"/>
                <w:spacing w:val="-1"/>
                <w:w w:val="103"/>
                <w:sz w:val="22"/>
                <w:szCs w:val="22"/>
              </w:rPr>
              <w:t>8,</w:t>
            </w:r>
            <w:r w:rsidRPr="00975CA4">
              <w:rPr>
                <w:rFonts w:eastAsia="Times New Roman"/>
                <w:spacing w:val="1"/>
                <w:w w:val="103"/>
                <w:sz w:val="22"/>
                <w:szCs w:val="22"/>
              </w:rPr>
              <w:t>0</w:t>
            </w:r>
            <w:r w:rsidR="003C3022" w:rsidRPr="00975CA4">
              <w:rPr>
                <w:rFonts w:eastAsia="Times New Roman"/>
                <w:spacing w:val="1"/>
                <w:w w:val="103"/>
                <w:sz w:val="22"/>
                <w:szCs w:val="22"/>
              </w:rPr>
              <w:t> </w:t>
            </w:r>
            <w:r w:rsidRPr="00975CA4">
              <w:rPr>
                <w:rFonts w:eastAsia="Times New Roman"/>
                <w:w w:val="103"/>
                <w:sz w:val="22"/>
                <w:szCs w:val="22"/>
              </w:rPr>
              <w:t>%</w:t>
            </w:r>
          </w:p>
          <w:p w14:paraId="304D1525" w14:textId="77777777" w:rsidR="00703720" w:rsidRPr="00975CA4" w:rsidRDefault="00703720">
            <w:pPr>
              <w:ind w:left="-57" w:right="-57"/>
              <w:jc w:val="center"/>
              <w:rPr>
                <w:rFonts w:eastAsia="Times New Roman"/>
                <w:sz w:val="22"/>
                <w:szCs w:val="22"/>
              </w:rPr>
            </w:pPr>
            <w:r w:rsidRPr="00975CA4">
              <w:rPr>
                <w:rFonts w:eastAsia="Times New Roman"/>
                <w:sz w:val="22"/>
                <w:szCs w:val="22"/>
              </w:rPr>
              <w:t>(89,</w:t>
            </w:r>
            <w:r w:rsidRPr="00975CA4">
              <w:rPr>
                <w:rFonts w:eastAsia="Times New Roman"/>
                <w:spacing w:val="-1"/>
                <w:sz w:val="22"/>
                <w:szCs w:val="22"/>
              </w:rPr>
              <w:t>6</w:t>
            </w:r>
            <w:r w:rsidRPr="00975CA4">
              <w:rPr>
                <w:rFonts w:eastAsia="Times New Roman"/>
                <w:bCs/>
                <w:sz w:val="22"/>
                <w:szCs w:val="22"/>
              </w:rPr>
              <w:t xml:space="preserve"> ‒ </w:t>
            </w:r>
            <w:r w:rsidRPr="00975CA4">
              <w:rPr>
                <w:rFonts w:eastAsia="Times New Roman"/>
                <w:spacing w:val="1"/>
                <w:w w:val="103"/>
                <w:sz w:val="22"/>
                <w:szCs w:val="22"/>
              </w:rPr>
              <w:t>1</w:t>
            </w:r>
            <w:r w:rsidRPr="00975CA4">
              <w:rPr>
                <w:rFonts w:eastAsia="Times New Roman"/>
                <w:w w:val="103"/>
                <w:sz w:val="22"/>
                <w:szCs w:val="22"/>
              </w:rPr>
              <w:t>00)</w:t>
            </w:r>
          </w:p>
        </w:tc>
        <w:tc>
          <w:tcPr>
            <w:tcW w:w="1502" w:type="dxa"/>
            <w:tcBorders>
              <w:top w:val="single" w:sz="4" w:space="0" w:color="000000"/>
              <w:left w:val="single" w:sz="4" w:space="0" w:color="000000"/>
              <w:bottom w:val="single" w:sz="4" w:space="0" w:color="000000"/>
              <w:right w:val="single" w:sz="4" w:space="0" w:color="000000"/>
            </w:tcBorders>
            <w:hideMark/>
          </w:tcPr>
          <w:p w14:paraId="1830FF51" w14:textId="77777777" w:rsidR="00703720" w:rsidRPr="00975CA4" w:rsidRDefault="00703720">
            <w:pPr>
              <w:ind w:left="-57" w:right="-57"/>
              <w:jc w:val="center"/>
              <w:rPr>
                <w:rFonts w:eastAsia="Times New Roman"/>
                <w:w w:val="103"/>
                <w:sz w:val="22"/>
                <w:szCs w:val="22"/>
              </w:rPr>
            </w:pPr>
            <w:r w:rsidRPr="00975CA4">
              <w:rPr>
                <w:rFonts w:eastAsia="Times New Roman"/>
                <w:spacing w:val="-1"/>
                <w:w w:val="103"/>
                <w:sz w:val="22"/>
                <w:szCs w:val="22"/>
              </w:rPr>
              <w:t>9</w:t>
            </w:r>
            <w:r w:rsidRPr="00975CA4">
              <w:rPr>
                <w:rFonts w:eastAsia="Times New Roman"/>
                <w:w w:val="103"/>
                <w:sz w:val="22"/>
                <w:szCs w:val="22"/>
              </w:rPr>
              <w:t>8,</w:t>
            </w:r>
            <w:r w:rsidRPr="00975CA4">
              <w:rPr>
                <w:rFonts w:eastAsia="Times New Roman"/>
                <w:spacing w:val="1"/>
                <w:w w:val="103"/>
                <w:sz w:val="22"/>
                <w:szCs w:val="22"/>
              </w:rPr>
              <w:t>0</w:t>
            </w:r>
            <w:r w:rsidR="003C3022" w:rsidRPr="00975CA4">
              <w:rPr>
                <w:rFonts w:eastAsia="Times New Roman"/>
                <w:spacing w:val="1"/>
                <w:w w:val="103"/>
                <w:sz w:val="22"/>
                <w:szCs w:val="22"/>
              </w:rPr>
              <w:t> </w:t>
            </w:r>
            <w:r w:rsidRPr="00975CA4">
              <w:rPr>
                <w:rFonts w:eastAsia="Times New Roman"/>
                <w:w w:val="103"/>
                <w:sz w:val="22"/>
                <w:szCs w:val="22"/>
              </w:rPr>
              <w:t>%</w:t>
            </w:r>
          </w:p>
          <w:p w14:paraId="2ABF75DB" w14:textId="77777777" w:rsidR="00703720" w:rsidRPr="00975CA4" w:rsidRDefault="00703720">
            <w:pPr>
              <w:ind w:left="-57" w:right="-57"/>
              <w:jc w:val="center"/>
              <w:rPr>
                <w:rFonts w:eastAsia="Times New Roman"/>
                <w:sz w:val="22"/>
                <w:szCs w:val="22"/>
              </w:rPr>
            </w:pPr>
            <w:r w:rsidRPr="00975CA4">
              <w:rPr>
                <w:rFonts w:eastAsia="Times New Roman"/>
                <w:spacing w:val="-1"/>
                <w:sz w:val="22"/>
                <w:szCs w:val="22"/>
              </w:rPr>
              <w:t>(89,6</w:t>
            </w:r>
            <w:r w:rsidRPr="00975CA4">
              <w:rPr>
                <w:rFonts w:eastAsia="Times New Roman"/>
                <w:bCs/>
                <w:sz w:val="22"/>
                <w:szCs w:val="22"/>
              </w:rPr>
              <w:t xml:space="preserve"> ‒ </w:t>
            </w:r>
            <w:r w:rsidRPr="00975CA4">
              <w:rPr>
                <w:rFonts w:eastAsia="Times New Roman"/>
                <w:w w:val="103"/>
                <w:sz w:val="22"/>
                <w:szCs w:val="22"/>
              </w:rPr>
              <w:t>1</w:t>
            </w:r>
            <w:r w:rsidRPr="00975CA4">
              <w:rPr>
                <w:rFonts w:eastAsia="Times New Roman"/>
                <w:spacing w:val="1"/>
                <w:w w:val="103"/>
                <w:sz w:val="22"/>
                <w:szCs w:val="22"/>
              </w:rPr>
              <w:t>0</w:t>
            </w:r>
            <w:r w:rsidRPr="00975CA4">
              <w:rPr>
                <w:rFonts w:eastAsia="Times New Roman"/>
                <w:spacing w:val="-1"/>
                <w:w w:val="103"/>
                <w:sz w:val="22"/>
                <w:szCs w:val="22"/>
              </w:rPr>
              <w:t>0</w:t>
            </w:r>
            <w:r w:rsidRPr="00975CA4">
              <w:rPr>
                <w:rFonts w:eastAsia="Times New Roman"/>
                <w:w w:val="103"/>
                <w:sz w:val="22"/>
                <w:szCs w:val="22"/>
              </w:rPr>
              <w:t>)</w:t>
            </w:r>
          </w:p>
        </w:tc>
      </w:tr>
      <w:tr w:rsidR="00703720" w:rsidRPr="00975CA4" w14:paraId="5D663979" w14:textId="77777777" w:rsidTr="00266648">
        <w:trPr>
          <w:trHeight w:val="567"/>
          <w:jc w:val="center"/>
        </w:trPr>
        <w:tc>
          <w:tcPr>
            <w:tcW w:w="2547" w:type="dxa"/>
            <w:tcBorders>
              <w:top w:val="single" w:sz="4" w:space="0" w:color="000000"/>
              <w:left w:val="single" w:sz="4" w:space="0" w:color="000000"/>
              <w:bottom w:val="single" w:sz="4" w:space="0" w:color="000000"/>
              <w:right w:val="single" w:sz="4" w:space="0" w:color="000000"/>
            </w:tcBorders>
            <w:hideMark/>
          </w:tcPr>
          <w:p w14:paraId="76A97825" w14:textId="77777777" w:rsidR="00266648" w:rsidRPr="00975CA4" w:rsidRDefault="00266648" w:rsidP="00266648">
            <w:pPr>
              <w:ind w:left="-57" w:right="-93"/>
              <w:rPr>
                <w:rFonts w:eastAsia="Times New Roman"/>
                <w:spacing w:val="1"/>
                <w:w w:val="103"/>
                <w:sz w:val="22"/>
                <w:szCs w:val="22"/>
              </w:rPr>
            </w:pPr>
            <w:r w:rsidRPr="00975CA4">
              <w:rPr>
                <w:rFonts w:eastAsia="Times New Roman"/>
                <w:sz w:val="22"/>
                <w:szCs w:val="22"/>
              </w:rPr>
              <w:t xml:space="preserve">Anksčiau vartoję </w:t>
            </w:r>
            <w:proofErr w:type="spellStart"/>
            <w:r w:rsidRPr="00975CA4">
              <w:rPr>
                <w:rFonts w:eastAsia="Times New Roman"/>
                <w:sz w:val="22"/>
                <w:szCs w:val="22"/>
              </w:rPr>
              <w:t>imatinibo</w:t>
            </w:r>
            <w:proofErr w:type="spellEnd"/>
          </w:p>
          <w:p w14:paraId="5E732A29" w14:textId="1C7EA106" w:rsidR="00703720" w:rsidRPr="00975CA4" w:rsidRDefault="00703720" w:rsidP="003C3022">
            <w:pPr>
              <w:ind w:left="-57" w:right="-93"/>
              <w:rPr>
                <w:rFonts w:eastAsia="Times New Roman"/>
                <w:sz w:val="22"/>
                <w:szCs w:val="22"/>
              </w:rPr>
            </w:pPr>
            <w:r w:rsidRPr="00975CA4">
              <w:rPr>
                <w:rFonts w:eastAsia="Times New Roman"/>
                <w:sz w:val="22"/>
                <w:szCs w:val="22"/>
              </w:rPr>
              <w:t>(n</w:t>
            </w:r>
            <w:r w:rsidR="003C3022" w:rsidRPr="00975CA4">
              <w:rPr>
                <w:rFonts w:eastAsia="Times New Roman"/>
                <w:spacing w:val="8"/>
                <w:sz w:val="22"/>
                <w:szCs w:val="22"/>
              </w:rPr>
              <w:t> </w:t>
            </w:r>
            <w:r w:rsidRPr="00975CA4">
              <w:rPr>
                <w:rFonts w:eastAsia="Times New Roman"/>
                <w:sz w:val="22"/>
                <w:szCs w:val="22"/>
              </w:rPr>
              <w:t>=</w:t>
            </w:r>
            <w:r w:rsidR="003C3022" w:rsidRPr="002D3411">
              <w:rPr>
                <w:spacing w:val="5"/>
              </w:rPr>
              <w:t> </w:t>
            </w:r>
            <w:r w:rsidRPr="00975CA4">
              <w:rPr>
                <w:rFonts w:eastAsia="Times New Roman"/>
                <w:spacing w:val="1"/>
                <w:w w:val="103"/>
                <w:sz w:val="22"/>
                <w:szCs w:val="22"/>
              </w:rPr>
              <w:t>4</w:t>
            </w:r>
            <w:r w:rsidRPr="00975CA4">
              <w:rPr>
                <w:rFonts w:eastAsia="Times New Roman"/>
                <w:spacing w:val="-1"/>
                <w:w w:val="103"/>
                <w:sz w:val="22"/>
                <w:szCs w:val="22"/>
              </w:rPr>
              <w:t>6</w:t>
            </w:r>
            <w:r w:rsidRPr="00975CA4">
              <w:rPr>
                <w:rFonts w:eastAsia="Times New Roman"/>
                <w:spacing w:val="1"/>
                <w:w w:val="103"/>
                <w:sz w:val="22"/>
                <w:szCs w:val="22"/>
              </w:rPr>
              <w:t>)</w:t>
            </w:r>
            <w:r w:rsidRPr="00975CA4">
              <w:rPr>
                <w:sz w:val="22"/>
                <w:szCs w:val="22"/>
                <w:vertAlign w:val="superscript"/>
              </w:rPr>
              <w:t>b</w:t>
            </w:r>
          </w:p>
        </w:tc>
        <w:tc>
          <w:tcPr>
            <w:tcW w:w="1531" w:type="dxa"/>
            <w:tcBorders>
              <w:top w:val="single" w:sz="4" w:space="0" w:color="000000"/>
              <w:left w:val="single" w:sz="4" w:space="0" w:color="000000"/>
              <w:bottom w:val="single" w:sz="4" w:space="0" w:color="000000"/>
              <w:right w:val="single" w:sz="4" w:space="0" w:color="000000"/>
            </w:tcBorders>
            <w:hideMark/>
          </w:tcPr>
          <w:p w14:paraId="03255784" w14:textId="77777777" w:rsidR="00703720" w:rsidRPr="00975CA4" w:rsidRDefault="00703720">
            <w:pPr>
              <w:ind w:left="-57" w:right="-57"/>
              <w:jc w:val="center"/>
              <w:rPr>
                <w:rFonts w:eastAsia="Times New Roman"/>
                <w:w w:val="103"/>
                <w:sz w:val="22"/>
                <w:szCs w:val="22"/>
              </w:rPr>
            </w:pPr>
            <w:r w:rsidRPr="00975CA4">
              <w:rPr>
                <w:rFonts w:eastAsia="Times New Roman"/>
                <w:spacing w:val="-1"/>
                <w:w w:val="103"/>
                <w:sz w:val="22"/>
                <w:szCs w:val="22"/>
              </w:rPr>
              <w:t>6</w:t>
            </w:r>
            <w:r w:rsidRPr="00975CA4">
              <w:rPr>
                <w:rFonts w:eastAsia="Times New Roman"/>
                <w:w w:val="103"/>
                <w:sz w:val="22"/>
                <w:szCs w:val="22"/>
              </w:rPr>
              <w:t>0,</w:t>
            </w:r>
            <w:r w:rsidRPr="00975CA4">
              <w:rPr>
                <w:rFonts w:eastAsia="Times New Roman"/>
                <w:spacing w:val="1"/>
                <w:w w:val="103"/>
                <w:sz w:val="22"/>
                <w:szCs w:val="22"/>
              </w:rPr>
              <w:t>9</w:t>
            </w:r>
            <w:r w:rsidR="003C3022" w:rsidRPr="00975CA4">
              <w:rPr>
                <w:rFonts w:eastAsia="Times New Roman"/>
                <w:spacing w:val="1"/>
                <w:w w:val="103"/>
                <w:sz w:val="22"/>
                <w:szCs w:val="22"/>
              </w:rPr>
              <w:t> </w:t>
            </w:r>
            <w:r w:rsidRPr="00975CA4">
              <w:rPr>
                <w:rFonts w:eastAsia="Times New Roman"/>
                <w:w w:val="103"/>
                <w:sz w:val="22"/>
                <w:szCs w:val="22"/>
              </w:rPr>
              <w:t>%</w:t>
            </w:r>
          </w:p>
          <w:p w14:paraId="4A9B16A7" w14:textId="77777777" w:rsidR="00703720" w:rsidRPr="00975CA4" w:rsidRDefault="00703720">
            <w:pPr>
              <w:ind w:left="-57" w:right="-57"/>
              <w:jc w:val="center"/>
              <w:rPr>
                <w:rFonts w:eastAsia="Times New Roman"/>
                <w:sz w:val="22"/>
                <w:szCs w:val="22"/>
              </w:rPr>
            </w:pPr>
            <w:r w:rsidRPr="00975CA4">
              <w:rPr>
                <w:rFonts w:eastAsia="Times New Roman"/>
                <w:sz w:val="22"/>
                <w:szCs w:val="22"/>
              </w:rPr>
              <w:t>(</w:t>
            </w:r>
            <w:r w:rsidRPr="00975CA4">
              <w:rPr>
                <w:rFonts w:eastAsia="Times New Roman"/>
                <w:spacing w:val="-1"/>
                <w:sz w:val="22"/>
                <w:szCs w:val="22"/>
              </w:rPr>
              <w:t>4</w:t>
            </w:r>
            <w:r w:rsidRPr="00975CA4">
              <w:rPr>
                <w:rFonts w:eastAsia="Times New Roman"/>
                <w:sz w:val="22"/>
                <w:szCs w:val="22"/>
              </w:rPr>
              <w:t>5,4</w:t>
            </w:r>
            <w:r w:rsidRPr="00975CA4">
              <w:rPr>
                <w:rFonts w:eastAsia="Times New Roman"/>
                <w:bCs/>
                <w:sz w:val="22"/>
                <w:szCs w:val="22"/>
              </w:rPr>
              <w:t xml:space="preserve"> ‒ </w:t>
            </w:r>
            <w:r w:rsidRPr="00975CA4">
              <w:rPr>
                <w:rFonts w:eastAsia="Times New Roman"/>
                <w:spacing w:val="1"/>
                <w:w w:val="103"/>
                <w:sz w:val="22"/>
                <w:szCs w:val="22"/>
              </w:rPr>
              <w:t>7</w:t>
            </w:r>
            <w:r w:rsidRPr="00975CA4">
              <w:rPr>
                <w:rFonts w:eastAsia="Times New Roman"/>
                <w:spacing w:val="-1"/>
                <w:w w:val="103"/>
                <w:sz w:val="22"/>
                <w:szCs w:val="22"/>
              </w:rPr>
              <w:t>4,9</w:t>
            </w:r>
            <w:r w:rsidRPr="00975CA4">
              <w:rPr>
                <w:rFonts w:eastAsia="Times New Roman"/>
                <w:w w:val="103"/>
                <w:sz w:val="22"/>
                <w:szCs w:val="22"/>
              </w:rPr>
              <w:t>)</w:t>
            </w:r>
          </w:p>
        </w:tc>
        <w:tc>
          <w:tcPr>
            <w:tcW w:w="1531" w:type="dxa"/>
            <w:tcBorders>
              <w:top w:val="single" w:sz="4" w:space="0" w:color="000000"/>
              <w:left w:val="single" w:sz="4" w:space="0" w:color="000000"/>
              <w:bottom w:val="single" w:sz="4" w:space="0" w:color="000000"/>
              <w:right w:val="single" w:sz="4" w:space="0" w:color="000000"/>
            </w:tcBorders>
            <w:hideMark/>
          </w:tcPr>
          <w:p w14:paraId="3AC0EB3F" w14:textId="77777777" w:rsidR="00703720" w:rsidRPr="00975CA4" w:rsidRDefault="00703720">
            <w:pPr>
              <w:ind w:left="-57" w:right="-57"/>
              <w:jc w:val="center"/>
              <w:rPr>
                <w:rFonts w:eastAsia="Times New Roman"/>
                <w:w w:val="103"/>
                <w:sz w:val="22"/>
                <w:szCs w:val="22"/>
              </w:rPr>
            </w:pPr>
            <w:r w:rsidRPr="00975CA4">
              <w:rPr>
                <w:rFonts w:eastAsia="Times New Roman"/>
                <w:w w:val="103"/>
                <w:sz w:val="22"/>
                <w:szCs w:val="22"/>
              </w:rPr>
              <w:t>82,6</w:t>
            </w:r>
            <w:r w:rsidR="003C3022" w:rsidRPr="00975CA4">
              <w:rPr>
                <w:rFonts w:eastAsia="Times New Roman"/>
                <w:w w:val="103"/>
                <w:sz w:val="22"/>
                <w:szCs w:val="22"/>
              </w:rPr>
              <w:t> </w:t>
            </w:r>
            <w:r w:rsidRPr="00975CA4">
              <w:rPr>
                <w:rFonts w:eastAsia="Times New Roman"/>
                <w:w w:val="103"/>
                <w:sz w:val="22"/>
                <w:szCs w:val="22"/>
              </w:rPr>
              <w:t>%</w:t>
            </w:r>
          </w:p>
          <w:p w14:paraId="160DB3EB" w14:textId="77777777" w:rsidR="00703720" w:rsidRPr="00975CA4" w:rsidRDefault="00703720">
            <w:pPr>
              <w:ind w:left="-57" w:right="-57"/>
              <w:jc w:val="center"/>
              <w:rPr>
                <w:rFonts w:eastAsia="Times New Roman"/>
                <w:sz w:val="22"/>
                <w:szCs w:val="22"/>
              </w:rPr>
            </w:pPr>
            <w:r w:rsidRPr="00975CA4">
              <w:rPr>
                <w:rFonts w:eastAsia="Times New Roman"/>
                <w:sz w:val="22"/>
                <w:szCs w:val="22"/>
              </w:rPr>
              <w:t>(6</w:t>
            </w:r>
            <w:r w:rsidRPr="00975CA4">
              <w:rPr>
                <w:rFonts w:eastAsia="Times New Roman"/>
                <w:spacing w:val="-1"/>
                <w:sz w:val="22"/>
                <w:szCs w:val="22"/>
              </w:rPr>
              <w:t>8,6</w:t>
            </w:r>
            <w:r w:rsidRPr="00975CA4">
              <w:rPr>
                <w:rFonts w:eastAsia="Times New Roman"/>
                <w:bCs/>
                <w:sz w:val="22"/>
                <w:szCs w:val="22"/>
              </w:rPr>
              <w:t xml:space="preserve"> ‒ </w:t>
            </w:r>
            <w:r w:rsidRPr="00975CA4">
              <w:rPr>
                <w:rFonts w:eastAsia="Times New Roman"/>
                <w:w w:val="103"/>
                <w:sz w:val="22"/>
                <w:szCs w:val="22"/>
              </w:rPr>
              <w:t>92,2)</w:t>
            </w:r>
          </w:p>
        </w:tc>
        <w:tc>
          <w:tcPr>
            <w:tcW w:w="1531" w:type="dxa"/>
            <w:tcBorders>
              <w:top w:val="single" w:sz="4" w:space="0" w:color="000000"/>
              <w:left w:val="single" w:sz="4" w:space="0" w:color="000000"/>
              <w:bottom w:val="single" w:sz="4" w:space="0" w:color="000000"/>
              <w:right w:val="single" w:sz="4" w:space="0" w:color="000000"/>
            </w:tcBorders>
            <w:hideMark/>
          </w:tcPr>
          <w:p w14:paraId="26BC04A8" w14:textId="77777777" w:rsidR="00703720" w:rsidRPr="00975CA4" w:rsidRDefault="00703720">
            <w:pPr>
              <w:ind w:left="-57" w:right="-57"/>
              <w:jc w:val="center"/>
              <w:rPr>
                <w:rFonts w:eastAsia="Times New Roman"/>
                <w:w w:val="103"/>
                <w:sz w:val="22"/>
                <w:szCs w:val="22"/>
              </w:rPr>
            </w:pPr>
            <w:r w:rsidRPr="00975CA4">
              <w:rPr>
                <w:rFonts w:eastAsia="Times New Roman"/>
                <w:w w:val="103"/>
                <w:sz w:val="22"/>
                <w:szCs w:val="22"/>
              </w:rPr>
              <w:t>8</w:t>
            </w:r>
            <w:r w:rsidRPr="00975CA4">
              <w:rPr>
                <w:rFonts w:eastAsia="Times New Roman"/>
                <w:spacing w:val="-1"/>
                <w:w w:val="103"/>
                <w:sz w:val="22"/>
                <w:szCs w:val="22"/>
              </w:rPr>
              <w:t>9,</w:t>
            </w:r>
            <w:r w:rsidRPr="00975CA4">
              <w:rPr>
                <w:rFonts w:eastAsia="Times New Roman"/>
                <w:spacing w:val="1"/>
                <w:w w:val="103"/>
                <w:sz w:val="22"/>
                <w:szCs w:val="22"/>
              </w:rPr>
              <w:t>1</w:t>
            </w:r>
            <w:r w:rsidR="003C3022" w:rsidRPr="00975CA4">
              <w:rPr>
                <w:rFonts w:eastAsia="Times New Roman"/>
                <w:spacing w:val="1"/>
                <w:w w:val="103"/>
                <w:sz w:val="22"/>
                <w:szCs w:val="22"/>
              </w:rPr>
              <w:t> </w:t>
            </w:r>
            <w:r w:rsidRPr="00975CA4">
              <w:rPr>
                <w:rFonts w:eastAsia="Times New Roman"/>
                <w:w w:val="103"/>
                <w:sz w:val="22"/>
                <w:szCs w:val="22"/>
              </w:rPr>
              <w:t>%</w:t>
            </w:r>
          </w:p>
          <w:p w14:paraId="160B630C" w14:textId="77777777" w:rsidR="00703720" w:rsidRPr="00975CA4" w:rsidRDefault="00703720">
            <w:pPr>
              <w:ind w:left="-57" w:right="-57"/>
              <w:jc w:val="center"/>
              <w:rPr>
                <w:rFonts w:eastAsia="Times New Roman"/>
                <w:sz w:val="22"/>
                <w:szCs w:val="22"/>
              </w:rPr>
            </w:pPr>
            <w:r w:rsidRPr="00975CA4">
              <w:rPr>
                <w:rFonts w:eastAsia="Times New Roman"/>
                <w:sz w:val="22"/>
                <w:szCs w:val="22"/>
              </w:rPr>
              <w:t>(</w:t>
            </w:r>
            <w:r w:rsidRPr="00975CA4">
              <w:rPr>
                <w:rFonts w:eastAsia="Times New Roman"/>
                <w:spacing w:val="-1"/>
                <w:sz w:val="22"/>
                <w:szCs w:val="22"/>
              </w:rPr>
              <w:t>7</w:t>
            </w:r>
            <w:r w:rsidRPr="00975CA4">
              <w:rPr>
                <w:rFonts w:eastAsia="Times New Roman"/>
                <w:sz w:val="22"/>
                <w:szCs w:val="22"/>
              </w:rPr>
              <w:t>6,4</w:t>
            </w:r>
            <w:r w:rsidRPr="00975CA4">
              <w:rPr>
                <w:rFonts w:eastAsia="Times New Roman"/>
                <w:bCs/>
                <w:sz w:val="22"/>
                <w:szCs w:val="22"/>
              </w:rPr>
              <w:t xml:space="preserve"> ‒ </w:t>
            </w:r>
            <w:r w:rsidRPr="00975CA4">
              <w:rPr>
                <w:rFonts w:eastAsia="Times New Roman"/>
                <w:spacing w:val="1"/>
                <w:w w:val="103"/>
                <w:sz w:val="22"/>
                <w:szCs w:val="22"/>
              </w:rPr>
              <w:t>9</w:t>
            </w:r>
            <w:r w:rsidRPr="00975CA4">
              <w:rPr>
                <w:rFonts w:eastAsia="Times New Roman"/>
                <w:spacing w:val="-1"/>
                <w:w w:val="103"/>
                <w:sz w:val="22"/>
                <w:szCs w:val="22"/>
              </w:rPr>
              <w:t>6,4</w:t>
            </w:r>
            <w:r w:rsidRPr="00975CA4">
              <w:rPr>
                <w:rFonts w:eastAsia="Times New Roman"/>
                <w:w w:val="103"/>
                <w:sz w:val="22"/>
                <w:szCs w:val="22"/>
              </w:rPr>
              <w:t>)</w:t>
            </w:r>
          </w:p>
        </w:tc>
        <w:tc>
          <w:tcPr>
            <w:tcW w:w="1502" w:type="dxa"/>
            <w:tcBorders>
              <w:top w:val="single" w:sz="4" w:space="0" w:color="000000"/>
              <w:left w:val="single" w:sz="4" w:space="0" w:color="000000"/>
              <w:bottom w:val="single" w:sz="4" w:space="0" w:color="000000"/>
              <w:right w:val="single" w:sz="4" w:space="0" w:color="000000"/>
            </w:tcBorders>
            <w:hideMark/>
          </w:tcPr>
          <w:p w14:paraId="4DE377CF" w14:textId="77777777" w:rsidR="00703720" w:rsidRPr="00975CA4" w:rsidRDefault="00703720">
            <w:pPr>
              <w:ind w:left="-57" w:right="-57"/>
              <w:jc w:val="center"/>
              <w:rPr>
                <w:rFonts w:eastAsia="Times New Roman"/>
                <w:w w:val="103"/>
                <w:sz w:val="22"/>
                <w:szCs w:val="22"/>
              </w:rPr>
            </w:pPr>
            <w:r w:rsidRPr="00975CA4">
              <w:rPr>
                <w:rFonts w:eastAsia="Times New Roman"/>
                <w:spacing w:val="-1"/>
                <w:w w:val="103"/>
                <w:sz w:val="22"/>
                <w:szCs w:val="22"/>
              </w:rPr>
              <w:t>8</w:t>
            </w:r>
            <w:r w:rsidRPr="00975CA4">
              <w:rPr>
                <w:rFonts w:eastAsia="Times New Roman"/>
                <w:w w:val="103"/>
                <w:sz w:val="22"/>
                <w:szCs w:val="22"/>
              </w:rPr>
              <w:t>9,</w:t>
            </w:r>
            <w:r w:rsidRPr="00975CA4">
              <w:rPr>
                <w:rFonts w:eastAsia="Times New Roman"/>
                <w:spacing w:val="1"/>
                <w:w w:val="103"/>
                <w:sz w:val="22"/>
                <w:szCs w:val="22"/>
              </w:rPr>
              <w:t>1</w:t>
            </w:r>
            <w:r w:rsidR="003C3022" w:rsidRPr="00975CA4">
              <w:rPr>
                <w:rFonts w:eastAsia="Times New Roman"/>
                <w:spacing w:val="1"/>
                <w:w w:val="103"/>
                <w:sz w:val="22"/>
                <w:szCs w:val="22"/>
              </w:rPr>
              <w:t> </w:t>
            </w:r>
            <w:r w:rsidRPr="00975CA4">
              <w:rPr>
                <w:rFonts w:eastAsia="Times New Roman"/>
                <w:w w:val="103"/>
                <w:sz w:val="22"/>
                <w:szCs w:val="22"/>
              </w:rPr>
              <w:t>%</w:t>
            </w:r>
          </w:p>
          <w:p w14:paraId="2A781FBC" w14:textId="77777777" w:rsidR="00703720" w:rsidRPr="00975CA4" w:rsidRDefault="00703720">
            <w:pPr>
              <w:ind w:left="-57" w:right="-57"/>
              <w:jc w:val="center"/>
              <w:rPr>
                <w:rFonts w:eastAsia="Times New Roman"/>
                <w:sz w:val="22"/>
                <w:szCs w:val="22"/>
              </w:rPr>
            </w:pPr>
            <w:r w:rsidRPr="00975CA4">
              <w:rPr>
                <w:rFonts w:eastAsia="Times New Roman"/>
                <w:sz w:val="22"/>
                <w:szCs w:val="22"/>
              </w:rPr>
              <w:t>(</w:t>
            </w:r>
            <w:r w:rsidRPr="00975CA4">
              <w:rPr>
                <w:rFonts w:eastAsia="Times New Roman"/>
                <w:spacing w:val="-1"/>
                <w:sz w:val="22"/>
                <w:szCs w:val="22"/>
              </w:rPr>
              <w:t>7</w:t>
            </w:r>
            <w:r w:rsidRPr="00975CA4">
              <w:rPr>
                <w:rFonts w:eastAsia="Times New Roman"/>
                <w:sz w:val="22"/>
                <w:szCs w:val="22"/>
              </w:rPr>
              <w:t>6,4</w:t>
            </w:r>
            <w:r w:rsidRPr="00975CA4">
              <w:rPr>
                <w:rFonts w:eastAsia="Times New Roman"/>
                <w:bCs/>
                <w:sz w:val="22"/>
                <w:szCs w:val="22"/>
              </w:rPr>
              <w:t xml:space="preserve"> ‒ </w:t>
            </w:r>
            <w:r w:rsidRPr="00975CA4">
              <w:rPr>
                <w:rFonts w:eastAsia="Times New Roman"/>
                <w:spacing w:val="1"/>
                <w:w w:val="103"/>
                <w:sz w:val="22"/>
                <w:szCs w:val="22"/>
              </w:rPr>
              <w:t>9</w:t>
            </w:r>
            <w:r w:rsidRPr="00975CA4">
              <w:rPr>
                <w:rFonts w:eastAsia="Times New Roman"/>
                <w:w w:val="103"/>
                <w:sz w:val="22"/>
                <w:szCs w:val="22"/>
              </w:rPr>
              <w:t>6,4)</w:t>
            </w:r>
          </w:p>
        </w:tc>
      </w:tr>
      <w:tr w:rsidR="00703720" w:rsidRPr="00975CA4" w14:paraId="4D7ABC62" w14:textId="77777777" w:rsidTr="00266648">
        <w:trPr>
          <w:trHeight w:val="283"/>
          <w:jc w:val="center"/>
        </w:trPr>
        <w:tc>
          <w:tcPr>
            <w:tcW w:w="2547" w:type="dxa"/>
            <w:tcBorders>
              <w:top w:val="single" w:sz="4" w:space="0" w:color="000000"/>
              <w:left w:val="single" w:sz="4" w:space="0" w:color="000000"/>
              <w:bottom w:val="single" w:sz="4" w:space="0" w:color="000000"/>
              <w:right w:val="single" w:sz="4" w:space="0" w:color="000000"/>
            </w:tcBorders>
            <w:hideMark/>
          </w:tcPr>
          <w:p w14:paraId="35B7D06B" w14:textId="77777777" w:rsidR="00703720" w:rsidRPr="00975CA4" w:rsidRDefault="00703720">
            <w:pPr>
              <w:ind w:left="-57" w:right="-93"/>
              <w:rPr>
                <w:rFonts w:eastAsia="Times New Roman"/>
                <w:sz w:val="22"/>
                <w:szCs w:val="22"/>
              </w:rPr>
            </w:pPr>
            <w:r w:rsidRPr="00975CA4">
              <w:rPr>
                <w:rFonts w:eastAsia="Times New Roman"/>
                <w:b/>
                <w:bCs/>
                <w:w w:val="103"/>
                <w:sz w:val="22"/>
                <w:szCs w:val="22"/>
              </w:rPr>
              <w:t>M</w:t>
            </w:r>
            <w:r w:rsidRPr="00975CA4">
              <w:rPr>
                <w:rFonts w:eastAsia="Times New Roman"/>
                <w:b/>
                <w:bCs/>
                <w:spacing w:val="-1"/>
                <w:w w:val="103"/>
                <w:sz w:val="22"/>
                <w:szCs w:val="22"/>
              </w:rPr>
              <w:t>M</w:t>
            </w:r>
            <w:r w:rsidRPr="00975CA4">
              <w:rPr>
                <w:rFonts w:eastAsia="Times New Roman"/>
                <w:b/>
                <w:bCs/>
                <w:w w:val="103"/>
                <w:sz w:val="22"/>
                <w:szCs w:val="22"/>
              </w:rPr>
              <w:t xml:space="preserve">R </w:t>
            </w:r>
            <w:r w:rsidRPr="00975CA4">
              <w:rPr>
                <w:rFonts w:eastAsia="Times New Roman"/>
                <w:b/>
                <w:bCs/>
                <w:sz w:val="22"/>
                <w:szCs w:val="22"/>
              </w:rPr>
              <w:t>(9</w:t>
            </w:r>
            <w:r w:rsidRPr="00975CA4">
              <w:rPr>
                <w:rFonts w:eastAsia="Times New Roman"/>
                <w:b/>
                <w:bCs/>
                <w:spacing w:val="1"/>
                <w:sz w:val="22"/>
                <w:szCs w:val="22"/>
              </w:rPr>
              <w:t>5</w:t>
            </w:r>
            <w:r w:rsidR="00374125" w:rsidRPr="00975CA4">
              <w:rPr>
                <w:rFonts w:eastAsia="Times New Roman"/>
                <w:b/>
                <w:bCs/>
                <w:spacing w:val="1"/>
                <w:sz w:val="22"/>
                <w:szCs w:val="22"/>
              </w:rPr>
              <w:t> </w:t>
            </w:r>
            <w:r w:rsidRPr="00975CA4">
              <w:rPr>
                <w:rFonts w:eastAsia="Times New Roman"/>
                <w:b/>
                <w:bCs/>
                <w:sz w:val="22"/>
                <w:szCs w:val="22"/>
              </w:rPr>
              <w:t>%</w:t>
            </w:r>
            <w:r w:rsidRPr="00975CA4">
              <w:rPr>
                <w:rFonts w:eastAsia="Times New Roman"/>
                <w:b/>
                <w:bCs/>
                <w:spacing w:val="15"/>
                <w:sz w:val="22"/>
                <w:szCs w:val="22"/>
              </w:rPr>
              <w:t xml:space="preserve"> </w:t>
            </w:r>
            <w:r w:rsidR="00F07BD5" w:rsidRPr="00975CA4">
              <w:rPr>
                <w:rFonts w:eastAsia="Times New Roman"/>
                <w:b/>
                <w:bCs/>
                <w:spacing w:val="15"/>
                <w:sz w:val="22"/>
                <w:szCs w:val="22"/>
              </w:rPr>
              <w:t>P</w:t>
            </w:r>
            <w:r w:rsidRPr="00975CA4">
              <w:rPr>
                <w:rFonts w:eastAsia="Times New Roman"/>
                <w:b/>
                <w:bCs/>
                <w:w w:val="103"/>
                <w:sz w:val="22"/>
                <w:szCs w:val="22"/>
              </w:rPr>
              <w:t>I)</w:t>
            </w:r>
          </w:p>
        </w:tc>
        <w:tc>
          <w:tcPr>
            <w:tcW w:w="1531" w:type="dxa"/>
            <w:tcBorders>
              <w:top w:val="single" w:sz="4" w:space="0" w:color="000000"/>
              <w:left w:val="single" w:sz="4" w:space="0" w:color="000000"/>
              <w:bottom w:val="single" w:sz="4" w:space="0" w:color="000000"/>
              <w:right w:val="single" w:sz="4" w:space="0" w:color="000000"/>
            </w:tcBorders>
          </w:tcPr>
          <w:p w14:paraId="67C35D34" w14:textId="77777777" w:rsidR="00703720" w:rsidRPr="00975CA4" w:rsidRDefault="00703720">
            <w:pPr>
              <w:ind w:left="-57" w:right="-57"/>
              <w:rPr>
                <w:rFonts w:eastAsia="Times New Roman"/>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4CDB86E8" w14:textId="77777777" w:rsidR="00703720" w:rsidRPr="00975CA4" w:rsidRDefault="00703720">
            <w:pPr>
              <w:ind w:left="-57" w:right="-93"/>
              <w:jc w:val="center"/>
              <w:rPr>
                <w:rFonts w:eastAsia="Times New Roman"/>
                <w:sz w:val="22"/>
                <w:szCs w:val="22"/>
              </w:rPr>
            </w:pPr>
          </w:p>
        </w:tc>
        <w:tc>
          <w:tcPr>
            <w:tcW w:w="1531" w:type="dxa"/>
            <w:tcBorders>
              <w:top w:val="single" w:sz="4" w:space="0" w:color="000000"/>
              <w:left w:val="single" w:sz="4" w:space="0" w:color="000000"/>
              <w:bottom w:val="single" w:sz="4" w:space="0" w:color="000000"/>
              <w:right w:val="single" w:sz="4" w:space="0" w:color="000000"/>
            </w:tcBorders>
          </w:tcPr>
          <w:p w14:paraId="1CD34528" w14:textId="77777777" w:rsidR="00703720" w:rsidRPr="00975CA4" w:rsidRDefault="00703720">
            <w:pPr>
              <w:ind w:right="-93"/>
              <w:jc w:val="center"/>
              <w:rPr>
                <w:rFonts w:eastAsia="Times New Roman"/>
                <w:sz w:val="22"/>
                <w:szCs w:val="22"/>
              </w:rPr>
            </w:pPr>
          </w:p>
        </w:tc>
        <w:tc>
          <w:tcPr>
            <w:tcW w:w="1502" w:type="dxa"/>
            <w:tcBorders>
              <w:top w:val="single" w:sz="4" w:space="0" w:color="000000"/>
              <w:left w:val="single" w:sz="4" w:space="0" w:color="000000"/>
              <w:bottom w:val="single" w:sz="4" w:space="0" w:color="000000"/>
              <w:right w:val="single" w:sz="4" w:space="0" w:color="000000"/>
            </w:tcBorders>
          </w:tcPr>
          <w:p w14:paraId="7010BEF5" w14:textId="77777777" w:rsidR="00703720" w:rsidRPr="00975CA4" w:rsidRDefault="00703720">
            <w:pPr>
              <w:ind w:right="-93"/>
              <w:jc w:val="center"/>
              <w:rPr>
                <w:rFonts w:eastAsia="Times New Roman"/>
                <w:sz w:val="22"/>
                <w:szCs w:val="22"/>
              </w:rPr>
            </w:pPr>
          </w:p>
        </w:tc>
      </w:tr>
      <w:tr w:rsidR="00703720" w:rsidRPr="00975CA4" w14:paraId="043BE413" w14:textId="77777777" w:rsidTr="00266648">
        <w:trPr>
          <w:trHeight w:val="567"/>
          <w:jc w:val="center"/>
        </w:trPr>
        <w:tc>
          <w:tcPr>
            <w:tcW w:w="2547" w:type="dxa"/>
            <w:tcBorders>
              <w:top w:val="single" w:sz="4" w:space="0" w:color="000000"/>
              <w:left w:val="single" w:sz="4" w:space="0" w:color="000000"/>
              <w:bottom w:val="single" w:sz="4" w:space="0" w:color="000000"/>
              <w:right w:val="single" w:sz="4" w:space="0" w:color="000000"/>
            </w:tcBorders>
            <w:hideMark/>
          </w:tcPr>
          <w:p w14:paraId="7899CD58" w14:textId="77777777" w:rsidR="00703720" w:rsidRPr="00975CA4" w:rsidRDefault="00703720" w:rsidP="00703720">
            <w:pPr>
              <w:ind w:left="-57" w:right="-93"/>
              <w:rPr>
                <w:rFonts w:eastAsia="Times New Roman"/>
                <w:sz w:val="22"/>
                <w:szCs w:val="22"/>
              </w:rPr>
            </w:pPr>
            <w:r w:rsidRPr="00975CA4">
              <w:rPr>
                <w:rFonts w:eastAsia="Times New Roman"/>
                <w:sz w:val="22"/>
                <w:szCs w:val="22"/>
              </w:rPr>
              <w:t>Nauja diagnozė</w:t>
            </w:r>
          </w:p>
          <w:p w14:paraId="3F67AFB1" w14:textId="72B952CC" w:rsidR="00703720" w:rsidRPr="00975CA4" w:rsidRDefault="00703720">
            <w:pPr>
              <w:ind w:left="-57" w:right="-93"/>
              <w:rPr>
                <w:rFonts w:eastAsia="Times New Roman"/>
                <w:sz w:val="22"/>
                <w:szCs w:val="22"/>
              </w:rPr>
            </w:pPr>
            <w:r w:rsidRPr="00975CA4">
              <w:rPr>
                <w:rFonts w:eastAsia="Times New Roman"/>
                <w:sz w:val="22"/>
                <w:szCs w:val="22"/>
              </w:rPr>
              <w:t>(n</w:t>
            </w:r>
            <w:r w:rsidR="003C3022" w:rsidRPr="00975CA4">
              <w:rPr>
                <w:rFonts w:eastAsia="Times New Roman"/>
                <w:sz w:val="22"/>
                <w:szCs w:val="22"/>
              </w:rPr>
              <w:t> </w:t>
            </w:r>
            <w:r w:rsidRPr="00975CA4">
              <w:rPr>
                <w:rFonts w:eastAsia="Times New Roman"/>
                <w:sz w:val="22"/>
                <w:szCs w:val="22"/>
              </w:rPr>
              <w:t>=</w:t>
            </w:r>
            <w:r w:rsidR="003C3022" w:rsidRPr="00975CA4">
              <w:rPr>
                <w:rFonts w:eastAsia="Times New Roman"/>
                <w:sz w:val="22"/>
                <w:szCs w:val="22"/>
              </w:rPr>
              <w:t> </w:t>
            </w:r>
            <w:r w:rsidRPr="00975CA4">
              <w:rPr>
                <w:rFonts w:eastAsia="Times New Roman"/>
                <w:sz w:val="22"/>
                <w:szCs w:val="22"/>
              </w:rPr>
              <w:t>51)</w:t>
            </w:r>
            <w:r w:rsidRPr="00975CA4">
              <w:rPr>
                <w:rFonts w:eastAsia="Times New Roman"/>
                <w:sz w:val="22"/>
                <w:szCs w:val="22"/>
                <w:vertAlign w:val="superscript"/>
              </w:rPr>
              <w:t>a</w:t>
            </w:r>
          </w:p>
        </w:tc>
        <w:tc>
          <w:tcPr>
            <w:tcW w:w="1531" w:type="dxa"/>
            <w:tcBorders>
              <w:top w:val="single" w:sz="4" w:space="0" w:color="000000"/>
              <w:left w:val="single" w:sz="4" w:space="0" w:color="000000"/>
              <w:bottom w:val="single" w:sz="4" w:space="0" w:color="000000"/>
              <w:right w:val="single" w:sz="4" w:space="0" w:color="000000"/>
            </w:tcBorders>
            <w:hideMark/>
          </w:tcPr>
          <w:p w14:paraId="07CBE38F" w14:textId="77777777" w:rsidR="00703720" w:rsidRPr="00975CA4" w:rsidRDefault="00703720">
            <w:pPr>
              <w:ind w:left="-57" w:right="-57"/>
              <w:jc w:val="center"/>
              <w:rPr>
                <w:rFonts w:eastAsia="Times New Roman"/>
                <w:w w:val="103"/>
                <w:sz w:val="22"/>
                <w:szCs w:val="22"/>
              </w:rPr>
            </w:pPr>
            <w:r w:rsidRPr="00975CA4">
              <w:rPr>
                <w:rFonts w:eastAsia="Times New Roman"/>
                <w:w w:val="103"/>
                <w:sz w:val="22"/>
                <w:szCs w:val="22"/>
              </w:rPr>
              <w:t>7,</w:t>
            </w:r>
            <w:r w:rsidRPr="00975CA4">
              <w:rPr>
                <w:rFonts w:eastAsia="Times New Roman"/>
                <w:spacing w:val="1"/>
                <w:w w:val="103"/>
                <w:sz w:val="22"/>
                <w:szCs w:val="22"/>
              </w:rPr>
              <w:t>8</w:t>
            </w:r>
            <w:r w:rsidR="003C3022" w:rsidRPr="00975CA4">
              <w:rPr>
                <w:rFonts w:eastAsia="Times New Roman"/>
                <w:spacing w:val="1"/>
                <w:w w:val="103"/>
                <w:sz w:val="22"/>
                <w:szCs w:val="22"/>
              </w:rPr>
              <w:t> </w:t>
            </w:r>
            <w:r w:rsidRPr="00975CA4">
              <w:rPr>
                <w:rFonts w:eastAsia="Times New Roman"/>
                <w:w w:val="103"/>
                <w:sz w:val="22"/>
                <w:szCs w:val="22"/>
              </w:rPr>
              <w:t>%</w:t>
            </w:r>
          </w:p>
          <w:p w14:paraId="33E598A7" w14:textId="77777777" w:rsidR="00703720" w:rsidRPr="00975CA4" w:rsidRDefault="00703720">
            <w:pPr>
              <w:ind w:left="-57" w:right="-57"/>
              <w:jc w:val="center"/>
              <w:rPr>
                <w:rFonts w:eastAsia="Times New Roman"/>
                <w:sz w:val="22"/>
                <w:szCs w:val="22"/>
              </w:rPr>
            </w:pPr>
            <w:r w:rsidRPr="00975CA4">
              <w:rPr>
                <w:rFonts w:eastAsia="Times New Roman"/>
                <w:spacing w:val="1"/>
                <w:sz w:val="22"/>
                <w:szCs w:val="22"/>
              </w:rPr>
              <w:t>(</w:t>
            </w:r>
            <w:r w:rsidRPr="00975CA4">
              <w:rPr>
                <w:rFonts w:eastAsia="Times New Roman"/>
                <w:spacing w:val="-1"/>
                <w:sz w:val="22"/>
                <w:szCs w:val="22"/>
              </w:rPr>
              <w:t>2,2</w:t>
            </w:r>
            <w:r w:rsidRPr="00975CA4">
              <w:rPr>
                <w:rFonts w:eastAsia="Times New Roman"/>
                <w:bCs/>
                <w:sz w:val="22"/>
                <w:szCs w:val="22"/>
              </w:rPr>
              <w:t xml:space="preserve"> ‒ </w:t>
            </w:r>
            <w:r w:rsidRPr="00975CA4">
              <w:rPr>
                <w:rFonts w:eastAsia="Times New Roman"/>
                <w:spacing w:val="-1"/>
                <w:w w:val="103"/>
                <w:sz w:val="22"/>
                <w:szCs w:val="22"/>
              </w:rPr>
              <w:t>1</w:t>
            </w:r>
            <w:r w:rsidRPr="00975CA4">
              <w:rPr>
                <w:rFonts w:eastAsia="Times New Roman"/>
                <w:w w:val="103"/>
                <w:sz w:val="22"/>
                <w:szCs w:val="22"/>
              </w:rPr>
              <w:t>8,9)</w:t>
            </w:r>
          </w:p>
        </w:tc>
        <w:tc>
          <w:tcPr>
            <w:tcW w:w="1531" w:type="dxa"/>
            <w:tcBorders>
              <w:top w:val="single" w:sz="4" w:space="0" w:color="000000"/>
              <w:left w:val="single" w:sz="4" w:space="0" w:color="000000"/>
              <w:bottom w:val="single" w:sz="4" w:space="0" w:color="000000"/>
              <w:right w:val="single" w:sz="4" w:space="0" w:color="000000"/>
            </w:tcBorders>
            <w:hideMark/>
          </w:tcPr>
          <w:p w14:paraId="0A1DFEE3" w14:textId="77777777" w:rsidR="00703720" w:rsidRPr="00975CA4" w:rsidRDefault="00703720">
            <w:pPr>
              <w:ind w:left="-57" w:right="-57"/>
              <w:jc w:val="center"/>
              <w:rPr>
                <w:rFonts w:eastAsia="Times New Roman"/>
                <w:spacing w:val="-1"/>
                <w:w w:val="103"/>
                <w:sz w:val="22"/>
                <w:szCs w:val="22"/>
              </w:rPr>
            </w:pPr>
            <w:r w:rsidRPr="00975CA4">
              <w:rPr>
                <w:rFonts w:eastAsia="Times New Roman"/>
                <w:spacing w:val="-1"/>
                <w:w w:val="103"/>
                <w:sz w:val="22"/>
                <w:szCs w:val="22"/>
              </w:rPr>
              <w:t>31,4</w:t>
            </w:r>
            <w:r w:rsidR="003C3022" w:rsidRPr="00975CA4">
              <w:rPr>
                <w:rFonts w:eastAsia="Times New Roman"/>
                <w:spacing w:val="-1"/>
                <w:w w:val="103"/>
                <w:sz w:val="22"/>
                <w:szCs w:val="22"/>
              </w:rPr>
              <w:t> </w:t>
            </w:r>
            <w:r w:rsidRPr="00975CA4">
              <w:rPr>
                <w:rFonts w:eastAsia="Times New Roman"/>
                <w:spacing w:val="-1"/>
                <w:w w:val="103"/>
                <w:sz w:val="22"/>
                <w:szCs w:val="22"/>
              </w:rPr>
              <w:t>%</w:t>
            </w:r>
          </w:p>
          <w:p w14:paraId="3BC7F121" w14:textId="77777777" w:rsidR="00703720" w:rsidRPr="00975CA4" w:rsidRDefault="00703720">
            <w:pPr>
              <w:ind w:left="-57" w:right="-57"/>
              <w:jc w:val="center"/>
              <w:rPr>
                <w:rFonts w:eastAsia="Times New Roman"/>
                <w:spacing w:val="-1"/>
                <w:w w:val="103"/>
                <w:sz w:val="22"/>
                <w:szCs w:val="22"/>
              </w:rPr>
            </w:pPr>
            <w:r w:rsidRPr="00975CA4">
              <w:rPr>
                <w:rFonts w:eastAsia="Times New Roman"/>
                <w:spacing w:val="-1"/>
                <w:w w:val="103"/>
                <w:sz w:val="22"/>
                <w:szCs w:val="22"/>
              </w:rPr>
              <w:t>(19,1 ‒ 45,9)</w:t>
            </w:r>
          </w:p>
        </w:tc>
        <w:tc>
          <w:tcPr>
            <w:tcW w:w="1531" w:type="dxa"/>
            <w:tcBorders>
              <w:top w:val="single" w:sz="4" w:space="0" w:color="000000"/>
              <w:left w:val="single" w:sz="4" w:space="0" w:color="000000"/>
              <w:bottom w:val="single" w:sz="4" w:space="0" w:color="000000"/>
              <w:right w:val="single" w:sz="4" w:space="0" w:color="000000"/>
            </w:tcBorders>
            <w:hideMark/>
          </w:tcPr>
          <w:p w14:paraId="007A4E57" w14:textId="77777777" w:rsidR="00703720" w:rsidRPr="00975CA4" w:rsidRDefault="00703720">
            <w:pPr>
              <w:ind w:left="-57" w:right="-57"/>
              <w:jc w:val="center"/>
              <w:rPr>
                <w:rFonts w:eastAsia="Times New Roman"/>
                <w:spacing w:val="-1"/>
                <w:w w:val="103"/>
                <w:sz w:val="22"/>
                <w:szCs w:val="22"/>
              </w:rPr>
            </w:pPr>
            <w:r w:rsidRPr="00975CA4">
              <w:rPr>
                <w:rFonts w:eastAsia="Times New Roman"/>
                <w:spacing w:val="-1"/>
                <w:w w:val="103"/>
                <w:sz w:val="22"/>
                <w:szCs w:val="22"/>
              </w:rPr>
              <w:t>56,9</w:t>
            </w:r>
            <w:r w:rsidR="003C3022" w:rsidRPr="00975CA4">
              <w:rPr>
                <w:rFonts w:eastAsia="Times New Roman"/>
                <w:spacing w:val="-1"/>
                <w:w w:val="103"/>
                <w:sz w:val="22"/>
                <w:szCs w:val="22"/>
              </w:rPr>
              <w:t> </w:t>
            </w:r>
            <w:r w:rsidRPr="00975CA4">
              <w:rPr>
                <w:rFonts w:eastAsia="Times New Roman"/>
                <w:spacing w:val="-1"/>
                <w:w w:val="103"/>
                <w:sz w:val="22"/>
                <w:szCs w:val="22"/>
              </w:rPr>
              <w:t>%</w:t>
            </w:r>
          </w:p>
          <w:p w14:paraId="6F1C20CA" w14:textId="77777777" w:rsidR="00703720" w:rsidRPr="00975CA4" w:rsidRDefault="00703720">
            <w:pPr>
              <w:ind w:left="-57" w:right="-57"/>
              <w:jc w:val="center"/>
              <w:rPr>
                <w:rFonts w:eastAsia="Times New Roman"/>
                <w:spacing w:val="-1"/>
                <w:w w:val="103"/>
                <w:sz w:val="22"/>
                <w:szCs w:val="22"/>
              </w:rPr>
            </w:pPr>
            <w:r w:rsidRPr="00975CA4">
              <w:rPr>
                <w:rFonts w:eastAsia="Times New Roman"/>
                <w:spacing w:val="-1"/>
                <w:w w:val="103"/>
                <w:sz w:val="22"/>
                <w:szCs w:val="22"/>
              </w:rPr>
              <w:t>(42,2 ‒ 70,7)</w:t>
            </w:r>
          </w:p>
        </w:tc>
        <w:tc>
          <w:tcPr>
            <w:tcW w:w="1502" w:type="dxa"/>
            <w:tcBorders>
              <w:top w:val="single" w:sz="4" w:space="0" w:color="000000"/>
              <w:left w:val="single" w:sz="4" w:space="0" w:color="000000"/>
              <w:bottom w:val="single" w:sz="4" w:space="0" w:color="000000"/>
              <w:right w:val="single" w:sz="4" w:space="0" w:color="000000"/>
            </w:tcBorders>
            <w:hideMark/>
          </w:tcPr>
          <w:p w14:paraId="2522E6A3" w14:textId="77777777" w:rsidR="00703720" w:rsidRPr="00975CA4" w:rsidRDefault="00703720">
            <w:pPr>
              <w:ind w:left="-57" w:right="-57"/>
              <w:jc w:val="center"/>
              <w:rPr>
                <w:rFonts w:eastAsia="Times New Roman"/>
                <w:spacing w:val="-1"/>
                <w:w w:val="103"/>
                <w:sz w:val="22"/>
                <w:szCs w:val="22"/>
              </w:rPr>
            </w:pPr>
            <w:r w:rsidRPr="00975CA4">
              <w:rPr>
                <w:rFonts w:eastAsia="Times New Roman"/>
                <w:spacing w:val="-1"/>
                <w:w w:val="103"/>
                <w:sz w:val="22"/>
                <w:szCs w:val="22"/>
              </w:rPr>
              <w:t>74.5</w:t>
            </w:r>
            <w:r w:rsidR="003C3022" w:rsidRPr="00975CA4">
              <w:rPr>
                <w:rFonts w:eastAsia="Times New Roman"/>
                <w:spacing w:val="-1"/>
                <w:w w:val="103"/>
                <w:sz w:val="22"/>
                <w:szCs w:val="22"/>
              </w:rPr>
              <w:t> </w:t>
            </w:r>
            <w:r w:rsidRPr="00975CA4">
              <w:rPr>
                <w:rFonts w:eastAsia="Times New Roman"/>
                <w:spacing w:val="-1"/>
                <w:w w:val="103"/>
                <w:sz w:val="22"/>
                <w:szCs w:val="22"/>
              </w:rPr>
              <w:t>%</w:t>
            </w:r>
          </w:p>
          <w:p w14:paraId="46F6C6F8" w14:textId="77777777" w:rsidR="00703720" w:rsidRPr="00975CA4" w:rsidRDefault="00703720">
            <w:pPr>
              <w:ind w:left="-57" w:right="-57"/>
              <w:jc w:val="center"/>
              <w:rPr>
                <w:rFonts w:eastAsia="Times New Roman"/>
                <w:spacing w:val="-1"/>
                <w:w w:val="103"/>
                <w:sz w:val="22"/>
                <w:szCs w:val="22"/>
              </w:rPr>
            </w:pPr>
            <w:r w:rsidRPr="00975CA4">
              <w:rPr>
                <w:rFonts w:eastAsia="Times New Roman"/>
                <w:spacing w:val="-1"/>
                <w:w w:val="103"/>
                <w:sz w:val="22"/>
                <w:szCs w:val="22"/>
              </w:rPr>
              <w:t>(60,4</w:t>
            </w:r>
            <w:r w:rsidRPr="00975CA4">
              <w:rPr>
                <w:rFonts w:eastAsia="Times New Roman"/>
                <w:bCs/>
                <w:sz w:val="22"/>
                <w:szCs w:val="22"/>
              </w:rPr>
              <w:t xml:space="preserve"> ‒ </w:t>
            </w:r>
            <w:r w:rsidRPr="00975CA4">
              <w:rPr>
                <w:rFonts w:eastAsia="Times New Roman"/>
                <w:spacing w:val="-1"/>
                <w:w w:val="103"/>
                <w:sz w:val="22"/>
                <w:szCs w:val="22"/>
              </w:rPr>
              <w:t>85,7)</w:t>
            </w:r>
          </w:p>
        </w:tc>
      </w:tr>
      <w:tr w:rsidR="00703720" w:rsidRPr="00975CA4" w14:paraId="1F8064B7" w14:textId="77777777" w:rsidTr="00266648">
        <w:trPr>
          <w:trHeight w:val="58"/>
          <w:jc w:val="center"/>
        </w:trPr>
        <w:tc>
          <w:tcPr>
            <w:tcW w:w="2547" w:type="dxa"/>
            <w:tcBorders>
              <w:top w:val="single" w:sz="4" w:space="0" w:color="000000"/>
              <w:left w:val="single" w:sz="4" w:space="0" w:color="000000"/>
              <w:bottom w:val="single" w:sz="4" w:space="0" w:color="000000"/>
              <w:right w:val="single" w:sz="4" w:space="0" w:color="000000"/>
            </w:tcBorders>
            <w:hideMark/>
          </w:tcPr>
          <w:p w14:paraId="08A9676D" w14:textId="77777777" w:rsidR="00266648" w:rsidRPr="00975CA4" w:rsidRDefault="00266648" w:rsidP="00266648">
            <w:pPr>
              <w:ind w:left="-57" w:right="-93"/>
              <w:rPr>
                <w:rFonts w:eastAsia="Times New Roman"/>
                <w:spacing w:val="1"/>
                <w:w w:val="103"/>
                <w:sz w:val="22"/>
                <w:szCs w:val="22"/>
              </w:rPr>
            </w:pPr>
            <w:r w:rsidRPr="00975CA4">
              <w:rPr>
                <w:rFonts w:eastAsia="Times New Roman"/>
                <w:sz w:val="22"/>
                <w:szCs w:val="22"/>
              </w:rPr>
              <w:t xml:space="preserve">Anksčiau vartoję </w:t>
            </w:r>
            <w:proofErr w:type="spellStart"/>
            <w:r w:rsidRPr="00975CA4">
              <w:rPr>
                <w:rFonts w:eastAsia="Times New Roman"/>
                <w:sz w:val="22"/>
                <w:szCs w:val="22"/>
              </w:rPr>
              <w:t>imatinibo</w:t>
            </w:r>
            <w:proofErr w:type="spellEnd"/>
          </w:p>
          <w:p w14:paraId="65F16EC0" w14:textId="05B26EA8" w:rsidR="00703720" w:rsidRPr="00975CA4" w:rsidRDefault="00266648" w:rsidP="00266648">
            <w:pPr>
              <w:ind w:right="-93"/>
              <w:rPr>
                <w:rFonts w:eastAsia="Times New Roman"/>
                <w:sz w:val="22"/>
                <w:szCs w:val="22"/>
              </w:rPr>
            </w:pPr>
            <w:r w:rsidRPr="00975CA4">
              <w:rPr>
                <w:rFonts w:eastAsia="Times New Roman"/>
                <w:sz w:val="22"/>
                <w:szCs w:val="22"/>
              </w:rPr>
              <w:t xml:space="preserve"> </w:t>
            </w:r>
            <w:r w:rsidR="00703720" w:rsidRPr="00975CA4">
              <w:rPr>
                <w:rFonts w:eastAsia="Times New Roman"/>
                <w:sz w:val="22"/>
                <w:szCs w:val="22"/>
              </w:rPr>
              <w:t>(n</w:t>
            </w:r>
            <w:r w:rsidR="003C3022" w:rsidRPr="00975CA4">
              <w:rPr>
                <w:rFonts w:eastAsia="Times New Roman"/>
                <w:spacing w:val="8"/>
                <w:sz w:val="22"/>
                <w:szCs w:val="22"/>
              </w:rPr>
              <w:t> </w:t>
            </w:r>
            <w:r w:rsidR="00703720" w:rsidRPr="00975CA4">
              <w:rPr>
                <w:rFonts w:eastAsia="Times New Roman"/>
                <w:sz w:val="22"/>
                <w:szCs w:val="22"/>
              </w:rPr>
              <w:t>=</w:t>
            </w:r>
            <w:r w:rsidR="003C3022" w:rsidRPr="00975CA4">
              <w:rPr>
                <w:rFonts w:eastAsia="Times New Roman"/>
                <w:spacing w:val="5"/>
                <w:sz w:val="22"/>
                <w:szCs w:val="22"/>
              </w:rPr>
              <w:t> </w:t>
            </w:r>
            <w:r w:rsidR="00703720" w:rsidRPr="00975CA4">
              <w:rPr>
                <w:rFonts w:eastAsia="Times New Roman"/>
                <w:spacing w:val="1"/>
                <w:w w:val="103"/>
                <w:sz w:val="22"/>
                <w:szCs w:val="22"/>
              </w:rPr>
              <w:t>4</w:t>
            </w:r>
            <w:r w:rsidR="00703720" w:rsidRPr="00975CA4">
              <w:rPr>
                <w:rFonts w:eastAsia="Times New Roman"/>
                <w:spacing w:val="-1"/>
                <w:w w:val="103"/>
                <w:sz w:val="22"/>
                <w:szCs w:val="22"/>
              </w:rPr>
              <w:t>6</w:t>
            </w:r>
            <w:r w:rsidR="00703720" w:rsidRPr="00975CA4">
              <w:rPr>
                <w:rFonts w:eastAsia="Times New Roman"/>
                <w:spacing w:val="1"/>
                <w:w w:val="103"/>
                <w:sz w:val="22"/>
                <w:szCs w:val="22"/>
              </w:rPr>
              <w:t>)</w:t>
            </w:r>
            <w:r w:rsidR="00703720" w:rsidRPr="00975CA4">
              <w:rPr>
                <w:sz w:val="22"/>
                <w:szCs w:val="22"/>
                <w:vertAlign w:val="superscript"/>
              </w:rPr>
              <w:t>b</w:t>
            </w:r>
          </w:p>
        </w:tc>
        <w:tc>
          <w:tcPr>
            <w:tcW w:w="1531" w:type="dxa"/>
            <w:tcBorders>
              <w:top w:val="single" w:sz="4" w:space="0" w:color="000000"/>
              <w:left w:val="single" w:sz="4" w:space="0" w:color="000000"/>
              <w:bottom w:val="single" w:sz="4" w:space="0" w:color="000000"/>
              <w:right w:val="single" w:sz="4" w:space="0" w:color="000000"/>
            </w:tcBorders>
            <w:hideMark/>
          </w:tcPr>
          <w:p w14:paraId="7A32B7C1" w14:textId="77777777" w:rsidR="00703720" w:rsidRPr="00975CA4" w:rsidRDefault="00703720">
            <w:pPr>
              <w:ind w:left="-57" w:right="-141"/>
              <w:jc w:val="center"/>
              <w:rPr>
                <w:rFonts w:eastAsia="Times New Roman"/>
                <w:w w:val="103"/>
                <w:sz w:val="22"/>
                <w:szCs w:val="22"/>
              </w:rPr>
            </w:pPr>
            <w:r w:rsidRPr="00975CA4">
              <w:rPr>
                <w:rFonts w:eastAsia="Times New Roman"/>
                <w:w w:val="103"/>
                <w:sz w:val="22"/>
                <w:szCs w:val="22"/>
              </w:rPr>
              <w:t>15,2</w:t>
            </w:r>
            <w:r w:rsidR="003C3022" w:rsidRPr="00975CA4">
              <w:rPr>
                <w:rFonts w:eastAsia="Times New Roman"/>
                <w:w w:val="103"/>
                <w:sz w:val="22"/>
                <w:szCs w:val="22"/>
              </w:rPr>
              <w:t> </w:t>
            </w:r>
            <w:r w:rsidRPr="00975CA4">
              <w:rPr>
                <w:rFonts w:eastAsia="Times New Roman"/>
                <w:w w:val="103"/>
                <w:sz w:val="22"/>
                <w:szCs w:val="22"/>
              </w:rPr>
              <w:t>%</w:t>
            </w:r>
          </w:p>
          <w:p w14:paraId="06C0588F" w14:textId="77777777" w:rsidR="00703720" w:rsidRPr="00975CA4" w:rsidRDefault="00703720">
            <w:pPr>
              <w:ind w:left="-57" w:right="-141"/>
              <w:jc w:val="center"/>
              <w:rPr>
                <w:rFonts w:eastAsia="Times New Roman"/>
                <w:w w:val="103"/>
                <w:sz w:val="22"/>
                <w:szCs w:val="22"/>
              </w:rPr>
            </w:pPr>
            <w:r w:rsidRPr="00975CA4">
              <w:rPr>
                <w:rFonts w:eastAsia="Times New Roman"/>
                <w:w w:val="103"/>
                <w:sz w:val="22"/>
                <w:szCs w:val="22"/>
              </w:rPr>
              <w:t>(6,3</w:t>
            </w:r>
            <w:r w:rsidRPr="00975CA4">
              <w:rPr>
                <w:rFonts w:eastAsia="Times New Roman"/>
                <w:bCs/>
                <w:sz w:val="22"/>
                <w:szCs w:val="22"/>
              </w:rPr>
              <w:t xml:space="preserve"> ‒ </w:t>
            </w:r>
            <w:r w:rsidRPr="00975CA4">
              <w:rPr>
                <w:rFonts w:eastAsia="Times New Roman"/>
                <w:w w:val="103"/>
                <w:sz w:val="22"/>
                <w:szCs w:val="22"/>
              </w:rPr>
              <w:t>28,9)</w:t>
            </w:r>
          </w:p>
        </w:tc>
        <w:tc>
          <w:tcPr>
            <w:tcW w:w="1531" w:type="dxa"/>
            <w:tcBorders>
              <w:top w:val="single" w:sz="4" w:space="0" w:color="000000"/>
              <w:left w:val="single" w:sz="4" w:space="0" w:color="000000"/>
              <w:bottom w:val="single" w:sz="4" w:space="0" w:color="000000"/>
              <w:right w:val="single" w:sz="4" w:space="0" w:color="000000"/>
            </w:tcBorders>
            <w:hideMark/>
          </w:tcPr>
          <w:p w14:paraId="1C1219BA" w14:textId="77777777" w:rsidR="00703720" w:rsidRPr="00975CA4" w:rsidRDefault="00703720">
            <w:pPr>
              <w:ind w:left="-57" w:right="-141"/>
              <w:jc w:val="center"/>
              <w:rPr>
                <w:rFonts w:eastAsia="Times New Roman"/>
                <w:w w:val="103"/>
                <w:sz w:val="22"/>
                <w:szCs w:val="22"/>
              </w:rPr>
            </w:pPr>
            <w:r w:rsidRPr="00975CA4">
              <w:rPr>
                <w:rFonts w:eastAsia="Times New Roman"/>
                <w:w w:val="103"/>
                <w:sz w:val="22"/>
                <w:szCs w:val="22"/>
              </w:rPr>
              <w:t>26,1</w:t>
            </w:r>
            <w:r w:rsidR="003C3022" w:rsidRPr="00975CA4">
              <w:rPr>
                <w:rFonts w:eastAsia="Times New Roman"/>
                <w:w w:val="103"/>
                <w:sz w:val="22"/>
                <w:szCs w:val="22"/>
              </w:rPr>
              <w:t> </w:t>
            </w:r>
            <w:r w:rsidRPr="00975CA4">
              <w:rPr>
                <w:rFonts w:eastAsia="Times New Roman"/>
                <w:w w:val="103"/>
                <w:sz w:val="22"/>
                <w:szCs w:val="22"/>
              </w:rPr>
              <w:t>%</w:t>
            </w:r>
          </w:p>
          <w:p w14:paraId="7D71BBC0" w14:textId="77777777" w:rsidR="00703720" w:rsidRPr="00975CA4" w:rsidRDefault="00703720">
            <w:pPr>
              <w:ind w:left="-57" w:right="-141"/>
              <w:jc w:val="center"/>
              <w:rPr>
                <w:rFonts w:eastAsia="Times New Roman"/>
                <w:w w:val="103"/>
                <w:sz w:val="22"/>
                <w:szCs w:val="22"/>
              </w:rPr>
            </w:pPr>
            <w:r w:rsidRPr="00975CA4">
              <w:rPr>
                <w:rFonts w:eastAsia="Times New Roman"/>
                <w:w w:val="103"/>
                <w:sz w:val="22"/>
                <w:szCs w:val="22"/>
              </w:rPr>
              <w:t>(14,3</w:t>
            </w:r>
            <w:r w:rsidRPr="00975CA4">
              <w:rPr>
                <w:rFonts w:eastAsia="Times New Roman"/>
                <w:bCs/>
                <w:sz w:val="22"/>
                <w:szCs w:val="22"/>
              </w:rPr>
              <w:t xml:space="preserve"> ‒ </w:t>
            </w:r>
            <w:r w:rsidRPr="00975CA4">
              <w:rPr>
                <w:rFonts w:eastAsia="Times New Roman"/>
                <w:w w:val="103"/>
                <w:sz w:val="22"/>
                <w:szCs w:val="22"/>
              </w:rPr>
              <w:t>41,1)</w:t>
            </w:r>
          </w:p>
        </w:tc>
        <w:tc>
          <w:tcPr>
            <w:tcW w:w="1531" w:type="dxa"/>
            <w:tcBorders>
              <w:top w:val="single" w:sz="4" w:space="0" w:color="000000"/>
              <w:left w:val="single" w:sz="4" w:space="0" w:color="000000"/>
              <w:bottom w:val="single" w:sz="4" w:space="0" w:color="000000"/>
              <w:right w:val="single" w:sz="4" w:space="0" w:color="000000"/>
            </w:tcBorders>
            <w:hideMark/>
          </w:tcPr>
          <w:p w14:paraId="0F3CA406" w14:textId="77777777" w:rsidR="00703720" w:rsidRPr="00975CA4" w:rsidRDefault="00703720">
            <w:pPr>
              <w:ind w:left="-57" w:right="-141"/>
              <w:jc w:val="center"/>
              <w:rPr>
                <w:rFonts w:eastAsia="Times New Roman"/>
                <w:w w:val="103"/>
                <w:sz w:val="22"/>
                <w:szCs w:val="22"/>
              </w:rPr>
            </w:pPr>
            <w:r w:rsidRPr="00975CA4">
              <w:rPr>
                <w:rFonts w:eastAsia="Times New Roman"/>
                <w:w w:val="103"/>
                <w:sz w:val="22"/>
                <w:szCs w:val="22"/>
              </w:rPr>
              <w:t>39,1</w:t>
            </w:r>
            <w:r w:rsidR="003C3022" w:rsidRPr="00975CA4">
              <w:rPr>
                <w:rFonts w:eastAsia="Times New Roman"/>
                <w:w w:val="103"/>
                <w:sz w:val="22"/>
                <w:szCs w:val="22"/>
              </w:rPr>
              <w:t> </w:t>
            </w:r>
            <w:r w:rsidRPr="00975CA4">
              <w:rPr>
                <w:rFonts w:eastAsia="Times New Roman"/>
                <w:w w:val="103"/>
                <w:sz w:val="22"/>
                <w:szCs w:val="22"/>
              </w:rPr>
              <w:t>%</w:t>
            </w:r>
          </w:p>
          <w:p w14:paraId="246D239E" w14:textId="77777777" w:rsidR="00703720" w:rsidRPr="00975CA4" w:rsidRDefault="00703720">
            <w:pPr>
              <w:ind w:left="-57" w:right="-141"/>
              <w:jc w:val="center"/>
              <w:rPr>
                <w:rFonts w:eastAsia="Times New Roman"/>
                <w:w w:val="103"/>
                <w:sz w:val="22"/>
                <w:szCs w:val="22"/>
              </w:rPr>
            </w:pPr>
            <w:r w:rsidRPr="00975CA4">
              <w:rPr>
                <w:rFonts w:eastAsia="Times New Roman"/>
                <w:w w:val="103"/>
                <w:sz w:val="22"/>
                <w:szCs w:val="22"/>
              </w:rPr>
              <w:t>(25,1</w:t>
            </w:r>
            <w:r w:rsidRPr="00975CA4">
              <w:rPr>
                <w:rFonts w:eastAsia="Times New Roman"/>
                <w:bCs/>
                <w:sz w:val="22"/>
                <w:szCs w:val="22"/>
              </w:rPr>
              <w:t xml:space="preserve"> ‒ </w:t>
            </w:r>
            <w:r w:rsidRPr="00975CA4">
              <w:rPr>
                <w:rFonts w:eastAsia="Times New Roman"/>
                <w:w w:val="103"/>
                <w:sz w:val="22"/>
                <w:szCs w:val="22"/>
              </w:rPr>
              <w:t>54,6)</w:t>
            </w:r>
          </w:p>
        </w:tc>
        <w:tc>
          <w:tcPr>
            <w:tcW w:w="1502" w:type="dxa"/>
            <w:tcBorders>
              <w:top w:val="single" w:sz="4" w:space="0" w:color="000000"/>
              <w:left w:val="single" w:sz="4" w:space="0" w:color="000000"/>
              <w:bottom w:val="single" w:sz="4" w:space="0" w:color="000000"/>
              <w:right w:val="single" w:sz="4" w:space="0" w:color="000000"/>
            </w:tcBorders>
            <w:hideMark/>
          </w:tcPr>
          <w:p w14:paraId="09FC2909" w14:textId="77777777" w:rsidR="00703720" w:rsidRPr="00975CA4" w:rsidRDefault="00703720">
            <w:pPr>
              <w:ind w:left="-57" w:right="-141"/>
              <w:jc w:val="center"/>
              <w:rPr>
                <w:rFonts w:eastAsia="Times New Roman"/>
                <w:w w:val="103"/>
                <w:sz w:val="22"/>
                <w:szCs w:val="22"/>
              </w:rPr>
            </w:pPr>
            <w:r w:rsidRPr="00975CA4">
              <w:rPr>
                <w:rFonts w:eastAsia="Times New Roman"/>
                <w:w w:val="103"/>
                <w:sz w:val="22"/>
                <w:szCs w:val="22"/>
              </w:rPr>
              <w:t>52,2</w:t>
            </w:r>
            <w:r w:rsidR="003C3022" w:rsidRPr="00975CA4">
              <w:rPr>
                <w:rFonts w:eastAsia="Times New Roman"/>
                <w:w w:val="103"/>
                <w:sz w:val="22"/>
                <w:szCs w:val="22"/>
              </w:rPr>
              <w:t> </w:t>
            </w:r>
            <w:r w:rsidRPr="00975CA4">
              <w:rPr>
                <w:rFonts w:eastAsia="Times New Roman"/>
                <w:w w:val="103"/>
                <w:sz w:val="22"/>
                <w:szCs w:val="22"/>
              </w:rPr>
              <w:t>%</w:t>
            </w:r>
          </w:p>
          <w:p w14:paraId="29BF006F" w14:textId="77777777" w:rsidR="00703720" w:rsidRPr="00975CA4" w:rsidRDefault="00703720">
            <w:pPr>
              <w:ind w:left="-57" w:right="-141"/>
              <w:jc w:val="center"/>
              <w:rPr>
                <w:rFonts w:eastAsia="Times New Roman"/>
                <w:w w:val="103"/>
                <w:sz w:val="22"/>
                <w:szCs w:val="22"/>
              </w:rPr>
            </w:pPr>
            <w:r w:rsidRPr="00975CA4">
              <w:rPr>
                <w:rFonts w:eastAsia="Times New Roman"/>
                <w:w w:val="103"/>
                <w:sz w:val="22"/>
                <w:szCs w:val="22"/>
              </w:rPr>
              <w:t>(36,9</w:t>
            </w:r>
            <w:r w:rsidRPr="00975CA4">
              <w:rPr>
                <w:rFonts w:eastAsia="Times New Roman"/>
                <w:bCs/>
                <w:sz w:val="22"/>
                <w:szCs w:val="22"/>
              </w:rPr>
              <w:t xml:space="preserve"> ‒ </w:t>
            </w:r>
            <w:r w:rsidRPr="00975CA4">
              <w:rPr>
                <w:rFonts w:eastAsia="Times New Roman"/>
                <w:w w:val="103"/>
                <w:sz w:val="22"/>
                <w:szCs w:val="22"/>
              </w:rPr>
              <w:t>67,1)</w:t>
            </w:r>
          </w:p>
        </w:tc>
      </w:tr>
    </w:tbl>
    <w:p w14:paraId="1BA47169" w14:textId="77777777" w:rsidR="00F07BD5" w:rsidRPr="002D3411" w:rsidRDefault="00F07BD5" w:rsidP="00F07BD5">
      <w:pPr>
        <w:widowControl w:val="0"/>
        <w:tabs>
          <w:tab w:val="left" w:pos="567"/>
        </w:tabs>
        <w:suppressAutoHyphens/>
        <w:spacing w:after="0" w:line="240" w:lineRule="auto"/>
        <w:rPr>
          <w:rFonts w:ascii="Times New Roman" w:hAnsi="Times New Roman"/>
          <w:color w:val="000000"/>
          <w:vertAlign w:val="superscript"/>
        </w:rPr>
      </w:pPr>
      <w:r w:rsidRPr="002D3411">
        <w:rPr>
          <w:rFonts w:ascii="Times New Roman" w:hAnsi="Times New Roman"/>
          <w:color w:val="000000"/>
          <w:vertAlign w:val="superscript"/>
        </w:rPr>
        <w:t xml:space="preserve">a </w:t>
      </w:r>
      <w:r w:rsidRPr="002D3411">
        <w:rPr>
          <w:rFonts w:ascii="Times New Roman" w:hAnsi="Times New Roman"/>
          <w:color w:val="000000"/>
        </w:rPr>
        <w:t xml:space="preserve">Naujai diagnozuota LML LF sirgę pacientai, kurie vartojo tablečių per burną II fazės pediatrinio tyrimo metu. </w:t>
      </w:r>
    </w:p>
    <w:p w14:paraId="0E9F9413" w14:textId="77777777" w:rsidR="00F07BD5" w:rsidRPr="002D3411" w:rsidRDefault="00F07BD5" w:rsidP="00F07BD5">
      <w:pPr>
        <w:widowControl w:val="0"/>
        <w:tabs>
          <w:tab w:val="left" w:pos="567"/>
        </w:tabs>
        <w:suppressAutoHyphens/>
        <w:spacing w:after="0" w:line="240" w:lineRule="auto"/>
        <w:rPr>
          <w:rFonts w:ascii="Times New Roman" w:hAnsi="Times New Roman"/>
          <w:color w:val="000000"/>
        </w:rPr>
      </w:pPr>
      <w:r w:rsidRPr="002D3411">
        <w:rPr>
          <w:rFonts w:ascii="Times New Roman" w:hAnsi="Times New Roman"/>
          <w:color w:val="000000"/>
          <w:vertAlign w:val="superscript"/>
        </w:rPr>
        <w:t xml:space="preserve">b </w:t>
      </w:r>
      <w:r w:rsidRPr="002D3411">
        <w:rPr>
          <w:rFonts w:ascii="Times New Roman" w:hAnsi="Times New Roman"/>
          <w:color w:val="000000"/>
        </w:rPr>
        <w:t xml:space="preserve">Atsparumą </w:t>
      </w:r>
      <w:proofErr w:type="spellStart"/>
      <w:r w:rsidRPr="002D3411">
        <w:rPr>
          <w:rFonts w:ascii="Times New Roman" w:hAnsi="Times New Roman"/>
          <w:color w:val="000000"/>
        </w:rPr>
        <w:t>imatinibui</w:t>
      </w:r>
      <w:proofErr w:type="spellEnd"/>
      <w:r w:rsidRPr="002D3411">
        <w:rPr>
          <w:rFonts w:ascii="Times New Roman" w:hAnsi="Times New Roman"/>
          <w:color w:val="000000"/>
        </w:rPr>
        <w:t xml:space="preserve"> arba jo netoleravimą anksčiau patyrę LML LF sirgę pacientai, kurie vartojo tablečių per burną I fazės ir II fazės </w:t>
      </w:r>
      <w:r w:rsidRPr="00975CA4">
        <w:rPr>
          <w:rFonts w:ascii="Times New Roman" w:eastAsia="SimSun" w:hAnsi="Times New Roman" w:cs="Times New Roman"/>
          <w:iCs/>
          <w:color w:val="000000"/>
          <w:lang w:eastAsia="ar-SA"/>
        </w:rPr>
        <w:t>vaikų populiacijos</w:t>
      </w:r>
      <w:r w:rsidRPr="002D3411">
        <w:rPr>
          <w:rFonts w:ascii="Times New Roman" w:hAnsi="Times New Roman"/>
          <w:color w:val="000000"/>
        </w:rPr>
        <w:t xml:space="preserve"> tyrimų metu. </w:t>
      </w:r>
    </w:p>
    <w:p w14:paraId="1B0068F5" w14:textId="77777777" w:rsidR="00F07BD5" w:rsidRPr="002D3411" w:rsidRDefault="00F07BD5" w:rsidP="00F07BD5">
      <w:pPr>
        <w:widowControl w:val="0"/>
        <w:tabs>
          <w:tab w:val="left" w:pos="567"/>
        </w:tabs>
        <w:suppressAutoHyphens/>
        <w:spacing w:after="0" w:line="240" w:lineRule="auto"/>
        <w:rPr>
          <w:rFonts w:ascii="Times New Roman" w:hAnsi="Times New Roman"/>
          <w:color w:val="000000"/>
        </w:rPr>
      </w:pPr>
    </w:p>
    <w:p w14:paraId="79C7407D" w14:textId="5DDB661D" w:rsidR="00F07BD5" w:rsidRPr="002D3411" w:rsidRDefault="00F07BD5" w:rsidP="00F07BD5">
      <w:pPr>
        <w:widowControl w:val="0"/>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I fazės </w:t>
      </w:r>
      <w:r w:rsidRPr="00975CA4">
        <w:rPr>
          <w:rFonts w:ascii="Times New Roman" w:eastAsia="SimSun" w:hAnsi="Times New Roman" w:cs="Times New Roman"/>
          <w:iCs/>
          <w:color w:val="000000"/>
          <w:lang w:eastAsia="ar-SA"/>
        </w:rPr>
        <w:t>tyrimo</w:t>
      </w:r>
      <w:r w:rsidRPr="002D3411">
        <w:rPr>
          <w:rFonts w:ascii="Times New Roman" w:hAnsi="Times New Roman"/>
          <w:color w:val="000000"/>
        </w:rPr>
        <w:t xml:space="preserve"> </w:t>
      </w:r>
      <w:r w:rsidRPr="00975CA4">
        <w:rPr>
          <w:rFonts w:ascii="Times New Roman" w:eastAsia="SimSun" w:hAnsi="Times New Roman" w:cs="Times New Roman"/>
          <w:iCs/>
          <w:color w:val="000000"/>
          <w:lang w:eastAsia="ar-SA"/>
        </w:rPr>
        <w:t xml:space="preserve">vaikų </w:t>
      </w:r>
      <w:proofErr w:type="spellStart"/>
      <w:r w:rsidRPr="00975CA4">
        <w:rPr>
          <w:rFonts w:ascii="Times New Roman" w:eastAsia="SimSun" w:hAnsi="Times New Roman" w:cs="Times New Roman"/>
          <w:iCs/>
          <w:color w:val="000000"/>
          <w:lang w:eastAsia="ar-SA"/>
        </w:rPr>
        <w:t>popliacijoje</w:t>
      </w:r>
      <w:proofErr w:type="spellEnd"/>
      <w:r w:rsidRPr="002D3411">
        <w:rPr>
          <w:rFonts w:ascii="Times New Roman" w:hAnsi="Times New Roman"/>
          <w:color w:val="000000"/>
        </w:rPr>
        <w:t xml:space="preserve"> metu 17 LML LF sirgusių pacientų, anksčiau patyrusių atsparumą </w:t>
      </w:r>
      <w:proofErr w:type="spellStart"/>
      <w:r w:rsidRPr="002D3411">
        <w:rPr>
          <w:rFonts w:ascii="Times New Roman" w:hAnsi="Times New Roman"/>
          <w:color w:val="000000"/>
        </w:rPr>
        <w:t>imatinibui</w:t>
      </w:r>
      <w:proofErr w:type="spellEnd"/>
      <w:r w:rsidRPr="002D3411">
        <w:rPr>
          <w:rFonts w:ascii="Times New Roman" w:hAnsi="Times New Roman"/>
          <w:color w:val="000000"/>
        </w:rPr>
        <w:t xml:space="preserve"> arba jo netoleravimą, PFS mediana per bent 7 stebėjimo metus buvo 53,6</w:t>
      </w:r>
      <w:r w:rsidR="00A05C99" w:rsidRPr="002D3411">
        <w:rPr>
          <w:rFonts w:ascii="Times New Roman" w:hAnsi="Times New Roman"/>
          <w:color w:val="000000"/>
        </w:rPr>
        <w:t> </w:t>
      </w:r>
      <w:r w:rsidRPr="002D3411">
        <w:rPr>
          <w:rFonts w:ascii="Times New Roman" w:hAnsi="Times New Roman"/>
          <w:color w:val="000000"/>
        </w:rPr>
        <w:t>mėn., o OS dažnis – 82,4</w:t>
      </w:r>
      <w:r w:rsidR="00A05C99" w:rsidRPr="002D3411">
        <w:rPr>
          <w:rFonts w:ascii="Times New Roman" w:hAnsi="Times New Roman"/>
          <w:color w:val="000000"/>
        </w:rPr>
        <w:t> </w:t>
      </w:r>
      <w:r w:rsidRPr="002D3411">
        <w:rPr>
          <w:rFonts w:ascii="Times New Roman" w:hAnsi="Times New Roman"/>
          <w:color w:val="000000"/>
        </w:rPr>
        <w:t xml:space="preserve">%. </w:t>
      </w:r>
    </w:p>
    <w:p w14:paraId="6C01F22B" w14:textId="77777777" w:rsidR="00F07BD5" w:rsidRPr="002D3411" w:rsidRDefault="00F07BD5" w:rsidP="00F07BD5">
      <w:pPr>
        <w:widowControl w:val="0"/>
        <w:tabs>
          <w:tab w:val="left" w:pos="567"/>
        </w:tabs>
        <w:suppressAutoHyphens/>
        <w:spacing w:after="0" w:line="240" w:lineRule="auto"/>
        <w:rPr>
          <w:rFonts w:ascii="Times New Roman" w:hAnsi="Times New Roman"/>
          <w:color w:val="000000"/>
        </w:rPr>
      </w:pPr>
    </w:p>
    <w:p w14:paraId="21B45814" w14:textId="260E60A8" w:rsidR="003346B4" w:rsidRPr="002D3411" w:rsidRDefault="00F07BD5" w:rsidP="00F07BD5">
      <w:pPr>
        <w:widowControl w:val="0"/>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II fazės </w:t>
      </w:r>
      <w:r w:rsidRPr="00975CA4">
        <w:rPr>
          <w:rFonts w:ascii="Times New Roman" w:eastAsia="SimSun" w:hAnsi="Times New Roman" w:cs="Times New Roman"/>
          <w:iCs/>
          <w:color w:val="000000"/>
          <w:lang w:eastAsia="ar-SA"/>
        </w:rPr>
        <w:t>tyrimo vaikų populiacijoje</w:t>
      </w:r>
      <w:r w:rsidRPr="002D3411">
        <w:rPr>
          <w:rFonts w:ascii="Times New Roman" w:hAnsi="Times New Roman"/>
          <w:color w:val="000000"/>
        </w:rPr>
        <w:t xml:space="preserve"> duomenimis, apskaičiuotas 24</w:t>
      </w:r>
      <w:r w:rsidR="00A05C99" w:rsidRPr="002D3411">
        <w:rPr>
          <w:rFonts w:ascii="Times New Roman" w:hAnsi="Times New Roman"/>
          <w:color w:val="000000"/>
        </w:rPr>
        <w:t> </w:t>
      </w:r>
      <w:r w:rsidRPr="002D3411">
        <w:rPr>
          <w:rFonts w:ascii="Times New Roman" w:hAnsi="Times New Roman"/>
          <w:color w:val="000000"/>
        </w:rPr>
        <w:t>mėn. PFS dažnis 51 pacientui, sirgusiam naujai diagnozuota LML LF ir vartojusiam tablečių per burną, buvo 94</w:t>
      </w:r>
      <w:r w:rsidR="00A05C99" w:rsidRPr="002D3411">
        <w:rPr>
          <w:rFonts w:ascii="Times New Roman" w:hAnsi="Times New Roman"/>
          <w:color w:val="000000"/>
        </w:rPr>
        <w:t> </w:t>
      </w:r>
      <w:r w:rsidRPr="002D3411">
        <w:rPr>
          <w:rFonts w:ascii="Times New Roman" w:hAnsi="Times New Roman"/>
          <w:color w:val="000000"/>
        </w:rPr>
        <w:t xml:space="preserve">% (82,6-98,0), o 29 LML LF sirgusiems pacientams, anksčiau patyrusiems atsparumą </w:t>
      </w:r>
      <w:proofErr w:type="spellStart"/>
      <w:r w:rsidRPr="002D3411">
        <w:rPr>
          <w:rFonts w:ascii="Times New Roman" w:hAnsi="Times New Roman"/>
          <w:color w:val="000000"/>
        </w:rPr>
        <w:t>imatinibui</w:t>
      </w:r>
      <w:proofErr w:type="spellEnd"/>
      <w:r w:rsidRPr="002D3411">
        <w:rPr>
          <w:rFonts w:ascii="Times New Roman" w:hAnsi="Times New Roman"/>
          <w:color w:val="000000"/>
        </w:rPr>
        <w:t xml:space="preserve"> arba jo netoleravimą – 81,7</w:t>
      </w:r>
      <w:r w:rsidR="00A05C99" w:rsidRPr="002D3411">
        <w:rPr>
          <w:rFonts w:ascii="Times New Roman" w:hAnsi="Times New Roman"/>
          <w:color w:val="000000"/>
        </w:rPr>
        <w:t> </w:t>
      </w:r>
      <w:r w:rsidRPr="002D3411">
        <w:rPr>
          <w:rFonts w:ascii="Times New Roman" w:hAnsi="Times New Roman"/>
          <w:color w:val="000000"/>
        </w:rPr>
        <w:t>% (61,4-92,0). Po 24 stebėjimo mėnesių naujai diagnozuota liga sirgusių pacientų OS buvo 100</w:t>
      </w:r>
      <w:r w:rsidR="00A05C99" w:rsidRPr="002D3411">
        <w:rPr>
          <w:rFonts w:ascii="Times New Roman" w:hAnsi="Times New Roman"/>
          <w:color w:val="000000"/>
        </w:rPr>
        <w:t> </w:t>
      </w:r>
      <w:r w:rsidRPr="002D3411">
        <w:rPr>
          <w:rFonts w:ascii="Times New Roman" w:hAnsi="Times New Roman"/>
          <w:color w:val="000000"/>
        </w:rPr>
        <w:t xml:space="preserve">%, o anksčiau patyrusių atsparumą </w:t>
      </w:r>
      <w:proofErr w:type="spellStart"/>
      <w:r w:rsidRPr="002D3411">
        <w:rPr>
          <w:rFonts w:ascii="Times New Roman" w:hAnsi="Times New Roman"/>
          <w:color w:val="000000"/>
        </w:rPr>
        <w:t>imatinibui</w:t>
      </w:r>
      <w:proofErr w:type="spellEnd"/>
      <w:r w:rsidRPr="002D3411">
        <w:rPr>
          <w:rFonts w:ascii="Times New Roman" w:hAnsi="Times New Roman"/>
          <w:color w:val="000000"/>
        </w:rPr>
        <w:t xml:space="preserve"> arba jo netoleravimą – 96,6</w:t>
      </w:r>
      <w:r w:rsidR="00A05C99" w:rsidRPr="002D3411">
        <w:rPr>
          <w:rFonts w:ascii="Times New Roman" w:hAnsi="Times New Roman"/>
          <w:color w:val="000000"/>
        </w:rPr>
        <w:t> </w:t>
      </w:r>
      <w:r w:rsidRPr="002D3411">
        <w:rPr>
          <w:rFonts w:ascii="Times New Roman" w:hAnsi="Times New Roman"/>
          <w:color w:val="000000"/>
        </w:rPr>
        <w:t>%.</w:t>
      </w:r>
    </w:p>
    <w:p w14:paraId="1EA3C5DE" w14:textId="77777777" w:rsidR="003346B4" w:rsidRPr="002D3411" w:rsidRDefault="003346B4" w:rsidP="00F07BD5">
      <w:pPr>
        <w:widowControl w:val="0"/>
        <w:tabs>
          <w:tab w:val="left" w:pos="567"/>
        </w:tabs>
        <w:suppressAutoHyphens/>
        <w:spacing w:after="0" w:line="240" w:lineRule="auto"/>
        <w:rPr>
          <w:rFonts w:ascii="Times New Roman" w:hAnsi="Times New Roman"/>
          <w:color w:val="000000"/>
        </w:rPr>
      </w:pPr>
    </w:p>
    <w:p w14:paraId="19476AB7" w14:textId="793A1E20" w:rsidR="00F07BD5" w:rsidRPr="002D3411" w:rsidRDefault="00F07BD5" w:rsidP="00F07BD5">
      <w:pPr>
        <w:widowControl w:val="0"/>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II fazės </w:t>
      </w:r>
      <w:r w:rsidRPr="00975CA4">
        <w:rPr>
          <w:rFonts w:ascii="Times New Roman" w:eastAsia="SimSun" w:hAnsi="Times New Roman" w:cs="Times New Roman"/>
          <w:iCs/>
          <w:color w:val="000000"/>
          <w:lang w:eastAsia="ar-SA"/>
        </w:rPr>
        <w:t>tyrimo vaikų populiacijoje</w:t>
      </w:r>
      <w:r w:rsidRPr="002D3411">
        <w:rPr>
          <w:rFonts w:ascii="Times New Roman" w:hAnsi="Times New Roman"/>
          <w:color w:val="000000"/>
        </w:rPr>
        <w:t xml:space="preserve"> metu vieno paciento, sirgusio naujai diagnozuota liga, ir dviejų pacientų, anksčiau patyrusių atsparumą </w:t>
      </w:r>
      <w:proofErr w:type="spellStart"/>
      <w:r w:rsidRPr="002D3411">
        <w:rPr>
          <w:rFonts w:ascii="Times New Roman" w:hAnsi="Times New Roman"/>
          <w:color w:val="000000"/>
        </w:rPr>
        <w:t>imatinibui</w:t>
      </w:r>
      <w:proofErr w:type="spellEnd"/>
      <w:r w:rsidRPr="002D3411">
        <w:rPr>
          <w:rFonts w:ascii="Times New Roman" w:hAnsi="Times New Roman"/>
          <w:color w:val="000000"/>
        </w:rPr>
        <w:t xml:space="preserve"> arba jo netoleravimą, liga progresavo į LML </w:t>
      </w:r>
      <w:proofErr w:type="spellStart"/>
      <w:r w:rsidRPr="002D3411">
        <w:rPr>
          <w:rFonts w:ascii="Times New Roman" w:hAnsi="Times New Roman"/>
          <w:color w:val="000000"/>
        </w:rPr>
        <w:t>blastų</w:t>
      </w:r>
      <w:proofErr w:type="spellEnd"/>
      <w:r w:rsidRPr="002D3411">
        <w:rPr>
          <w:rFonts w:ascii="Times New Roman" w:hAnsi="Times New Roman"/>
          <w:color w:val="000000"/>
        </w:rPr>
        <w:t xml:space="preserve"> fazę. 33 naujai diagnozuota LML LF sirgę </w:t>
      </w:r>
      <w:r w:rsidRPr="00975CA4">
        <w:rPr>
          <w:rFonts w:ascii="Times New Roman" w:eastAsia="SimSun" w:hAnsi="Times New Roman" w:cs="Times New Roman"/>
          <w:iCs/>
          <w:color w:val="000000"/>
          <w:lang w:eastAsia="ar-SA"/>
        </w:rPr>
        <w:t>vaikai</w:t>
      </w:r>
      <w:r w:rsidRPr="002D3411">
        <w:rPr>
          <w:rFonts w:ascii="Times New Roman" w:hAnsi="Times New Roman"/>
          <w:color w:val="000000"/>
        </w:rPr>
        <w:t xml:space="preserve"> vartojo 72</w:t>
      </w:r>
      <w:r w:rsidR="003346B4" w:rsidRPr="002D3411">
        <w:rPr>
          <w:rFonts w:ascii="Times New Roman" w:hAnsi="Times New Roman"/>
          <w:color w:val="000000"/>
        </w:rPr>
        <w:t> </w:t>
      </w:r>
      <w:r w:rsidRPr="002D3411">
        <w:rPr>
          <w:rFonts w:ascii="Times New Roman" w:hAnsi="Times New Roman"/>
          <w:color w:val="000000"/>
        </w:rPr>
        <w:t>mg/m</w:t>
      </w:r>
      <w:r w:rsidRPr="002D3411">
        <w:rPr>
          <w:rFonts w:ascii="Times New Roman" w:hAnsi="Times New Roman"/>
          <w:color w:val="000000"/>
          <w:vertAlign w:val="superscript"/>
        </w:rPr>
        <w:t>2</w:t>
      </w:r>
      <w:r w:rsidRPr="002D3411">
        <w:rPr>
          <w:rFonts w:ascii="Times New Roman" w:hAnsi="Times New Roman"/>
          <w:color w:val="000000"/>
        </w:rPr>
        <w:t xml:space="preserve"> </w:t>
      </w:r>
      <w:proofErr w:type="spellStart"/>
      <w:r w:rsidRPr="00975CA4">
        <w:rPr>
          <w:rFonts w:ascii="Times New Roman" w:eastAsia="SimSun" w:hAnsi="Times New Roman" w:cs="Times New Roman"/>
          <w:iCs/>
          <w:color w:val="000000"/>
          <w:lang w:eastAsia="ar-SA"/>
        </w:rPr>
        <w:t>dazanitibo</w:t>
      </w:r>
      <w:proofErr w:type="spellEnd"/>
      <w:r w:rsidRPr="002D3411">
        <w:rPr>
          <w:rFonts w:ascii="Times New Roman" w:hAnsi="Times New Roman"/>
          <w:color w:val="000000"/>
        </w:rPr>
        <w:t xml:space="preserve"> miltelių geriamajai suspensijai doz</w:t>
      </w:r>
      <w:r w:rsidRPr="00975CA4">
        <w:rPr>
          <w:rFonts w:ascii="Times New Roman" w:eastAsia="SimSun" w:hAnsi="Times New Roman" w:cs="Times New Roman"/>
          <w:iCs/>
          <w:color w:val="000000"/>
          <w:lang w:eastAsia="ar-SA"/>
        </w:rPr>
        <w:t>ę</w:t>
      </w:r>
      <w:r w:rsidRPr="002D3411">
        <w:rPr>
          <w:rFonts w:ascii="Times New Roman" w:hAnsi="Times New Roman"/>
          <w:color w:val="000000"/>
        </w:rPr>
        <w:t>. Jų ekspozicija buvo 30</w:t>
      </w:r>
      <w:r w:rsidR="00A05C99" w:rsidRPr="002D3411">
        <w:rPr>
          <w:rFonts w:ascii="Times New Roman" w:hAnsi="Times New Roman"/>
          <w:color w:val="000000"/>
        </w:rPr>
        <w:t> </w:t>
      </w:r>
      <w:r w:rsidRPr="002D3411">
        <w:rPr>
          <w:rFonts w:ascii="Times New Roman" w:hAnsi="Times New Roman"/>
          <w:color w:val="000000"/>
        </w:rPr>
        <w:t xml:space="preserve">% mažesnė negu vartojant rekomenduojamą dozę. Šiems pacientams </w:t>
      </w:r>
      <w:r w:rsidRPr="00975CA4">
        <w:rPr>
          <w:rFonts w:ascii="Times New Roman" w:eastAsia="SimSun" w:hAnsi="Times New Roman" w:cs="Times New Roman"/>
          <w:iCs/>
          <w:color w:val="000000"/>
          <w:lang w:eastAsia="ar-SA"/>
        </w:rPr>
        <w:t xml:space="preserve">po </w:t>
      </w:r>
      <w:r w:rsidRPr="002D3411">
        <w:rPr>
          <w:rFonts w:ascii="Times New Roman" w:hAnsi="Times New Roman"/>
          <w:color w:val="000000"/>
        </w:rPr>
        <w:t xml:space="preserve">12 </w:t>
      </w:r>
      <w:r w:rsidRPr="00975CA4">
        <w:rPr>
          <w:rFonts w:ascii="Times New Roman" w:eastAsia="SimSun" w:hAnsi="Times New Roman" w:cs="Times New Roman"/>
          <w:iCs/>
          <w:color w:val="000000"/>
          <w:lang w:eastAsia="ar-SA"/>
        </w:rPr>
        <w:t xml:space="preserve">mėnesių </w:t>
      </w:r>
      <w:proofErr w:type="spellStart"/>
      <w:r w:rsidRPr="002D3411">
        <w:rPr>
          <w:rFonts w:ascii="Times New Roman" w:hAnsi="Times New Roman"/>
          <w:color w:val="000000"/>
        </w:rPr>
        <w:t>CCyR</w:t>
      </w:r>
      <w:proofErr w:type="spellEnd"/>
      <w:r w:rsidRPr="002D3411">
        <w:rPr>
          <w:rFonts w:ascii="Times New Roman" w:hAnsi="Times New Roman"/>
          <w:color w:val="000000"/>
        </w:rPr>
        <w:t xml:space="preserve"> buvo 87,9</w:t>
      </w:r>
      <w:r w:rsidR="00A05C99" w:rsidRPr="002D3411">
        <w:rPr>
          <w:rFonts w:ascii="Times New Roman" w:hAnsi="Times New Roman"/>
          <w:color w:val="000000"/>
        </w:rPr>
        <w:t> </w:t>
      </w:r>
      <w:r w:rsidRPr="002D3411">
        <w:rPr>
          <w:rFonts w:ascii="Times New Roman" w:hAnsi="Times New Roman"/>
          <w:color w:val="000000"/>
        </w:rPr>
        <w:t>% (95</w:t>
      </w:r>
      <w:r w:rsidR="00A05C99" w:rsidRPr="002D3411">
        <w:rPr>
          <w:rFonts w:ascii="Times New Roman" w:hAnsi="Times New Roman"/>
          <w:color w:val="000000"/>
        </w:rPr>
        <w:t> </w:t>
      </w:r>
      <w:r w:rsidRPr="002D3411">
        <w:rPr>
          <w:rFonts w:ascii="Times New Roman" w:hAnsi="Times New Roman"/>
          <w:color w:val="000000"/>
        </w:rPr>
        <w:t>% PI</w:t>
      </w:r>
      <w:r w:rsidR="003346B4" w:rsidRPr="002D3411">
        <w:rPr>
          <w:rFonts w:ascii="Times New Roman" w:hAnsi="Times New Roman"/>
          <w:color w:val="000000"/>
        </w:rPr>
        <w:t>:</w:t>
      </w:r>
      <w:r w:rsidRPr="002D3411">
        <w:rPr>
          <w:rFonts w:ascii="Times New Roman" w:hAnsi="Times New Roman"/>
          <w:color w:val="000000"/>
        </w:rPr>
        <w:t xml:space="preserve"> 71,8</w:t>
      </w:r>
      <w:r w:rsidR="003346B4" w:rsidRPr="002D3411">
        <w:rPr>
          <w:rFonts w:ascii="Times New Roman" w:hAnsi="Times New Roman"/>
          <w:color w:val="000000"/>
        </w:rPr>
        <w:t>-</w:t>
      </w:r>
      <w:r w:rsidRPr="002D3411">
        <w:rPr>
          <w:rFonts w:ascii="Times New Roman" w:hAnsi="Times New Roman"/>
          <w:color w:val="000000"/>
        </w:rPr>
        <w:t>96,6), o MMR – 45,5</w:t>
      </w:r>
      <w:r w:rsidR="00A05C99" w:rsidRPr="002D3411">
        <w:rPr>
          <w:rFonts w:ascii="Times New Roman" w:hAnsi="Times New Roman"/>
          <w:color w:val="000000"/>
        </w:rPr>
        <w:t> </w:t>
      </w:r>
      <w:r w:rsidRPr="002D3411">
        <w:rPr>
          <w:rFonts w:ascii="Times New Roman" w:hAnsi="Times New Roman"/>
          <w:color w:val="000000"/>
        </w:rPr>
        <w:t>% (95</w:t>
      </w:r>
      <w:r w:rsidR="00A05C99" w:rsidRPr="002D3411">
        <w:rPr>
          <w:rFonts w:ascii="Times New Roman" w:hAnsi="Times New Roman"/>
          <w:color w:val="000000"/>
        </w:rPr>
        <w:t> </w:t>
      </w:r>
      <w:r w:rsidRPr="002D3411">
        <w:rPr>
          <w:rFonts w:ascii="Times New Roman" w:hAnsi="Times New Roman"/>
          <w:color w:val="000000"/>
        </w:rPr>
        <w:t>% PI</w:t>
      </w:r>
      <w:r w:rsidR="003346B4" w:rsidRPr="002D3411">
        <w:rPr>
          <w:rFonts w:ascii="Times New Roman" w:hAnsi="Times New Roman"/>
          <w:color w:val="000000"/>
        </w:rPr>
        <w:t>:</w:t>
      </w:r>
      <w:r w:rsidRPr="002D3411">
        <w:rPr>
          <w:rFonts w:ascii="Times New Roman" w:hAnsi="Times New Roman"/>
          <w:color w:val="000000"/>
        </w:rPr>
        <w:t xml:space="preserve"> 28,1</w:t>
      </w:r>
      <w:r w:rsidR="003346B4" w:rsidRPr="002D3411">
        <w:rPr>
          <w:rFonts w:ascii="Times New Roman" w:hAnsi="Times New Roman"/>
          <w:color w:val="000000"/>
        </w:rPr>
        <w:t>-</w:t>
      </w:r>
      <w:r w:rsidRPr="002D3411">
        <w:rPr>
          <w:rFonts w:ascii="Times New Roman" w:hAnsi="Times New Roman"/>
          <w:color w:val="000000"/>
        </w:rPr>
        <w:t xml:space="preserve">63,6). </w:t>
      </w:r>
    </w:p>
    <w:p w14:paraId="63D5B164" w14:textId="77777777" w:rsidR="00F07BD5" w:rsidRPr="002D3411" w:rsidRDefault="00F07BD5" w:rsidP="00F07BD5">
      <w:pPr>
        <w:widowControl w:val="0"/>
        <w:tabs>
          <w:tab w:val="left" w:pos="567"/>
        </w:tabs>
        <w:suppressAutoHyphens/>
        <w:spacing w:after="0" w:line="240" w:lineRule="auto"/>
        <w:rPr>
          <w:rFonts w:ascii="Times New Roman" w:hAnsi="Times New Roman"/>
          <w:color w:val="000000"/>
        </w:rPr>
      </w:pPr>
    </w:p>
    <w:p w14:paraId="18032B0A" w14:textId="77777777" w:rsidR="00F07BD5" w:rsidRPr="002D3411" w:rsidRDefault="00F07BD5" w:rsidP="00F07BD5">
      <w:pPr>
        <w:widowControl w:val="0"/>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LML LF sirgusiems </w:t>
      </w:r>
      <w:r w:rsidRPr="00975CA4">
        <w:rPr>
          <w:rFonts w:ascii="Times New Roman" w:eastAsia="SimSun" w:hAnsi="Times New Roman" w:cs="Times New Roman"/>
          <w:iCs/>
          <w:color w:val="000000"/>
          <w:lang w:eastAsia="ar-SA"/>
        </w:rPr>
        <w:t>vaikams</w:t>
      </w:r>
      <w:r w:rsidRPr="002D3411">
        <w:rPr>
          <w:rFonts w:ascii="Times New Roman" w:hAnsi="Times New Roman"/>
          <w:color w:val="000000"/>
        </w:rPr>
        <w:t xml:space="preserve">, kurie vartojo </w:t>
      </w:r>
      <w:proofErr w:type="spellStart"/>
      <w:r w:rsidRPr="002D3411">
        <w:rPr>
          <w:rFonts w:ascii="Times New Roman" w:hAnsi="Times New Roman"/>
          <w:color w:val="000000"/>
        </w:rPr>
        <w:t>dazatinibą</w:t>
      </w:r>
      <w:proofErr w:type="spellEnd"/>
      <w:r w:rsidRPr="002D3411">
        <w:rPr>
          <w:rFonts w:ascii="Times New Roman" w:hAnsi="Times New Roman"/>
          <w:color w:val="000000"/>
        </w:rPr>
        <w:t xml:space="preserve"> po </w:t>
      </w:r>
      <w:proofErr w:type="spellStart"/>
      <w:r w:rsidRPr="002D3411">
        <w:rPr>
          <w:rFonts w:ascii="Times New Roman" w:hAnsi="Times New Roman"/>
          <w:color w:val="000000"/>
        </w:rPr>
        <w:t>imatinibo</w:t>
      </w:r>
      <w:proofErr w:type="spellEnd"/>
      <w:r w:rsidRPr="002D3411">
        <w:rPr>
          <w:rFonts w:ascii="Times New Roman" w:hAnsi="Times New Roman"/>
          <w:color w:val="000000"/>
        </w:rPr>
        <w:t xml:space="preserve">, gydymo pabaigoje </w:t>
      </w:r>
      <w:r w:rsidRPr="00975CA4">
        <w:rPr>
          <w:rFonts w:ascii="Times New Roman" w:eastAsia="SimSun" w:hAnsi="Times New Roman" w:cs="Times New Roman"/>
          <w:iCs/>
          <w:color w:val="000000"/>
          <w:lang w:eastAsia="ar-SA"/>
        </w:rPr>
        <w:t>aptikta</w:t>
      </w:r>
      <w:r w:rsidRPr="002D3411">
        <w:rPr>
          <w:rFonts w:ascii="Times New Roman" w:hAnsi="Times New Roman"/>
          <w:color w:val="000000"/>
        </w:rPr>
        <w:t xml:space="preserve"> T315A, E255K ir F317L mutacij</w:t>
      </w:r>
      <w:r w:rsidRPr="00975CA4">
        <w:rPr>
          <w:rFonts w:ascii="Times New Roman" w:eastAsia="SimSun" w:hAnsi="Times New Roman" w:cs="Times New Roman"/>
          <w:iCs/>
          <w:color w:val="000000"/>
          <w:lang w:eastAsia="ar-SA"/>
        </w:rPr>
        <w:t>ų</w:t>
      </w:r>
      <w:r w:rsidRPr="002D3411">
        <w:rPr>
          <w:rFonts w:ascii="Times New Roman" w:hAnsi="Times New Roman"/>
          <w:color w:val="000000"/>
        </w:rPr>
        <w:t xml:space="preserve">, bet E255K ir F317L mutacijų buvo ir prieš pradedant gydyti. Naujai diagnozuota LML LF sirgusiems pacientams gydymo pabaigoje mutacijų </w:t>
      </w:r>
      <w:r w:rsidRPr="00975CA4">
        <w:rPr>
          <w:rFonts w:ascii="Times New Roman" w:eastAsia="SimSun" w:hAnsi="Times New Roman" w:cs="Times New Roman"/>
          <w:iCs/>
          <w:color w:val="000000"/>
          <w:lang w:eastAsia="ar-SA"/>
        </w:rPr>
        <w:t>neaptikta</w:t>
      </w:r>
      <w:r w:rsidRPr="002D3411">
        <w:rPr>
          <w:rFonts w:ascii="Times New Roman" w:hAnsi="Times New Roman"/>
          <w:color w:val="000000"/>
        </w:rPr>
        <w:t xml:space="preserve">. </w:t>
      </w:r>
    </w:p>
    <w:p w14:paraId="4C96CCB7" w14:textId="77777777" w:rsidR="00F07BD5" w:rsidRPr="002D3411" w:rsidRDefault="00F07BD5" w:rsidP="00F07BD5">
      <w:pPr>
        <w:widowControl w:val="0"/>
        <w:tabs>
          <w:tab w:val="left" w:pos="567"/>
        </w:tabs>
        <w:suppressAutoHyphens/>
        <w:spacing w:after="0" w:line="240" w:lineRule="auto"/>
        <w:rPr>
          <w:rFonts w:ascii="Times New Roman" w:hAnsi="Times New Roman"/>
          <w:color w:val="000000"/>
        </w:rPr>
      </w:pPr>
    </w:p>
    <w:p w14:paraId="50385728" w14:textId="77777777" w:rsidR="00F07BD5" w:rsidRPr="00975CA4" w:rsidRDefault="00F07BD5" w:rsidP="00F07BD5">
      <w:pPr>
        <w:widowControl w:val="0"/>
        <w:tabs>
          <w:tab w:val="left" w:pos="567"/>
        </w:tabs>
        <w:suppressAutoHyphens/>
        <w:spacing w:after="0" w:line="240" w:lineRule="auto"/>
        <w:rPr>
          <w:rFonts w:ascii="Times New Roman" w:eastAsia="SimSun" w:hAnsi="Times New Roman" w:cs="Times New Roman"/>
          <w:iCs/>
          <w:color w:val="000000"/>
          <w:u w:val="single"/>
          <w:lang w:eastAsia="ar-SA"/>
        </w:rPr>
      </w:pPr>
      <w:r w:rsidRPr="002D3411">
        <w:rPr>
          <w:rFonts w:ascii="Times New Roman" w:hAnsi="Times New Roman"/>
          <w:i/>
          <w:color w:val="000000"/>
          <w:u w:val="single"/>
        </w:rPr>
        <w:t xml:space="preserve">ŪLL sergantys </w:t>
      </w:r>
      <w:r w:rsidRPr="00975CA4">
        <w:rPr>
          <w:rFonts w:ascii="Times New Roman" w:eastAsia="SimSun" w:hAnsi="Times New Roman" w:cs="Times New Roman"/>
          <w:i/>
          <w:iCs/>
          <w:color w:val="000000"/>
          <w:u w:val="single"/>
          <w:lang w:eastAsia="ar-SA"/>
        </w:rPr>
        <w:t>vaika</w:t>
      </w:r>
      <w:r w:rsidRPr="002D3411">
        <w:rPr>
          <w:rFonts w:ascii="Times New Roman" w:hAnsi="Times New Roman"/>
          <w:i/>
          <w:color w:val="000000"/>
          <w:u w:val="single"/>
        </w:rPr>
        <w:t xml:space="preserve">i </w:t>
      </w:r>
    </w:p>
    <w:p w14:paraId="1C7468BC" w14:textId="45A29D26" w:rsidR="00F07BD5" w:rsidRPr="002D3411" w:rsidRDefault="00F07BD5" w:rsidP="00F07BD5">
      <w:pPr>
        <w:widowControl w:val="0"/>
        <w:tabs>
          <w:tab w:val="left" w:pos="567"/>
        </w:tabs>
        <w:suppressAutoHyphens/>
        <w:spacing w:after="0" w:line="240" w:lineRule="auto"/>
        <w:rPr>
          <w:rFonts w:ascii="Times New Roman" w:hAnsi="Times New Roman"/>
          <w:color w:val="000000"/>
        </w:rPr>
      </w:pPr>
      <w:proofErr w:type="spellStart"/>
      <w:r w:rsidRPr="00975CA4">
        <w:rPr>
          <w:rFonts w:ascii="Times New Roman" w:eastAsia="SimSun" w:hAnsi="Times New Roman" w:cs="Times New Roman"/>
          <w:iCs/>
          <w:color w:val="000000"/>
          <w:lang w:eastAsia="ar-SA"/>
        </w:rPr>
        <w:t>Dazanitibo</w:t>
      </w:r>
      <w:proofErr w:type="spellEnd"/>
      <w:r w:rsidRPr="00975CA4">
        <w:rPr>
          <w:rFonts w:ascii="Times New Roman" w:eastAsia="SimSun" w:hAnsi="Times New Roman" w:cs="Times New Roman"/>
          <w:iCs/>
          <w:color w:val="000000"/>
          <w:lang w:eastAsia="ar-SA"/>
        </w:rPr>
        <w:t xml:space="preserve"> </w:t>
      </w:r>
      <w:r w:rsidRPr="002D3411">
        <w:rPr>
          <w:rFonts w:ascii="Times New Roman" w:hAnsi="Times New Roman"/>
          <w:color w:val="000000"/>
        </w:rPr>
        <w:t xml:space="preserve">derinio su chemoterapija veiksmingumas vyresniems kaip 1 metų </w:t>
      </w:r>
      <w:r w:rsidRPr="00975CA4">
        <w:rPr>
          <w:rFonts w:ascii="Times New Roman" w:eastAsia="SimSun" w:hAnsi="Times New Roman" w:cs="Times New Roman"/>
          <w:iCs/>
          <w:color w:val="000000"/>
          <w:lang w:eastAsia="ar-SA"/>
        </w:rPr>
        <w:t>vaikams</w:t>
      </w:r>
      <w:r w:rsidRPr="002D3411">
        <w:rPr>
          <w:rFonts w:ascii="Times New Roman" w:hAnsi="Times New Roman"/>
          <w:color w:val="000000"/>
        </w:rPr>
        <w:t xml:space="preserve">, sergantiems naujai diagnozuota </w:t>
      </w:r>
      <w:proofErr w:type="spellStart"/>
      <w:r w:rsidRPr="002D3411">
        <w:rPr>
          <w:rFonts w:ascii="Times New Roman" w:hAnsi="Times New Roman"/>
          <w:color w:val="000000"/>
        </w:rPr>
        <w:t>Ph</w:t>
      </w:r>
      <w:proofErr w:type="spellEnd"/>
      <w:r w:rsidRPr="002D3411">
        <w:rPr>
          <w:rFonts w:ascii="Times New Roman" w:hAnsi="Times New Roman"/>
          <w:color w:val="000000"/>
        </w:rPr>
        <w:t xml:space="preserve">+ ŪLL, tirtas </w:t>
      </w:r>
      <w:r w:rsidRPr="00975CA4">
        <w:rPr>
          <w:rFonts w:ascii="Times New Roman" w:eastAsia="SimSun" w:hAnsi="Times New Roman" w:cs="Times New Roman"/>
          <w:iCs/>
          <w:color w:val="000000"/>
          <w:lang w:eastAsia="ar-SA"/>
        </w:rPr>
        <w:t>pagrindinio</w:t>
      </w:r>
      <w:r w:rsidRPr="002D3411">
        <w:rPr>
          <w:rFonts w:ascii="Times New Roman" w:hAnsi="Times New Roman"/>
          <w:color w:val="000000"/>
        </w:rPr>
        <w:t xml:space="preserve"> pediatrinio </w:t>
      </w:r>
      <w:r w:rsidRPr="00975CA4">
        <w:rPr>
          <w:rFonts w:ascii="Times New Roman" w:eastAsia="SimSun" w:hAnsi="Times New Roman" w:cs="Times New Roman"/>
          <w:iCs/>
          <w:color w:val="000000"/>
          <w:lang w:eastAsia="ar-SA"/>
        </w:rPr>
        <w:t>tyrimo</w:t>
      </w:r>
      <w:r w:rsidRPr="002D3411">
        <w:rPr>
          <w:rFonts w:ascii="Times New Roman" w:hAnsi="Times New Roman"/>
          <w:color w:val="000000"/>
        </w:rPr>
        <w:t xml:space="preserve"> metu. </w:t>
      </w:r>
    </w:p>
    <w:p w14:paraId="38E2A78C" w14:textId="77777777" w:rsidR="00F07BD5" w:rsidRPr="002D3411" w:rsidRDefault="00F07BD5" w:rsidP="00F07BD5">
      <w:pPr>
        <w:widowControl w:val="0"/>
        <w:tabs>
          <w:tab w:val="left" w:pos="567"/>
        </w:tabs>
        <w:suppressAutoHyphens/>
        <w:spacing w:after="0" w:line="240" w:lineRule="auto"/>
        <w:rPr>
          <w:rFonts w:ascii="Times New Roman" w:hAnsi="Times New Roman"/>
          <w:color w:val="000000"/>
        </w:rPr>
      </w:pPr>
    </w:p>
    <w:p w14:paraId="6A4288FD" w14:textId="4B324F8F" w:rsidR="00F07BD5" w:rsidRPr="002D3411" w:rsidRDefault="00A76078" w:rsidP="00F07BD5">
      <w:pPr>
        <w:widowControl w:val="0"/>
        <w:tabs>
          <w:tab w:val="left" w:pos="567"/>
        </w:tabs>
        <w:suppressAutoHyphens/>
        <w:spacing w:after="0" w:line="240" w:lineRule="auto"/>
        <w:rPr>
          <w:rFonts w:ascii="Times New Roman" w:hAnsi="Times New Roman"/>
          <w:color w:val="000000"/>
        </w:rPr>
      </w:pPr>
      <w:r w:rsidRPr="00975CA4">
        <w:rPr>
          <w:rFonts w:ascii="Times New Roman" w:eastAsia="SimSun" w:hAnsi="Times New Roman" w:cs="Times New Roman"/>
          <w:iCs/>
          <w:color w:val="000000"/>
          <w:lang w:eastAsia="ar-SA"/>
        </w:rPr>
        <w:t xml:space="preserve">Šio </w:t>
      </w:r>
      <w:proofErr w:type="spellStart"/>
      <w:r w:rsidRPr="002D3411">
        <w:rPr>
          <w:rFonts w:ascii="Times New Roman" w:hAnsi="Times New Roman"/>
          <w:color w:val="000000"/>
        </w:rPr>
        <w:t>d</w:t>
      </w:r>
      <w:r w:rsidR="00F07BD5" w:rsidRPr="002D3411">
        <w:rPr>
          <w:rFonts w:ascii="Times New Roman" w:hAnsi="Times New Roman"/>
          <w:color w:val="000000"/>
        </w:rPr>
        <w:t>aug</w:t>
      </w:r>
      <w:r w:rsidRPr="002D3411">
        <w:rPr>
          <w:rFonts w:ascii="Times New Roman" w:hAnsi="Times New Roman"/>
          <w:color w:val="000000"/>
        </w:rPr>
        <w:t>ia</w:t>
      </w:r>
      <w:r w:rsidR="00F07BD5" w:rsidRPr="002D3411">
        <w:rPr>
          <w:rFonts w:ascii="Times New Roman" w:hAnsi="Times New Roman"/>
          <w:color w:val="000000"/>
        </w:rPr>
        <w:t>centr</w:t>
      </w:r>
      <w:r w:rsidRPr="002D3411">
        <w:rPr>
          <w:rFonts w:ascii="Times New Roman" w:hAnsi="Times New Roman"/>
          <w:color w:val="000000"/>
        </w:rPr>
        <w:t>io</w:t>
      </w:r>
      <w:proofErr w:type="spellEnd"/>
      <w:r w:rsidR="00F07BD5" w:rsidRPr="002D3411">
        <w:rPr>
          <w:rFonts w:ascii="Times New Roman" w:hAnsi="Times New Roman"/>
          <w:color w:val="000000"/>
        </w:rPr>
        <w:t xml:space="preserve">, ankstesniais duomenimis kontroliuoto, II fazės tyrimo metu 106 </w:t>
      </w:r>
      <w:r w:rsidR="00F07BD5" w:rsidRPr="00975CA4">
        <w:rPr>
          <w:rFonts w:ascii="Times New Roman" w:eastAsia="SimSun" w:hAnsi="Times New Roman" w:cs="Times New Roman"/>
          <w:iCs/>
          <w:color w:val="000000"/>
          <w:lang w:eastAsia="ar-SA"/>
        </w:rPr>
        <w:t>vaikai</w:t>
      </w:r>
      <w:r w:rsidR="00F07BD5" w:rsidRPr="002D3411">
        <w:rPr>
          <w:rFonts w:ascii="Times New Roman" w:hAnsi="Times New Roman"/>
          <w:color w:val="000000"/>
        </w:rPr>
        <w:t xml:space="preserve">, sirgę naujai </w:t>
      </w:r>
      <w:r w:rsidR="00F07BD5" w:rsidRPr="002D3411">
        <w:rPr>
          <w:rFonts w:ascii="Times New Roman" w:hAnsi="Times New Roman"/>
          <w:color w:val="000000"/>
        </w:rPr>
        <w:lastRenderedPageBreak/>
        <w:t xml:space="preserve">diagnozuota </w:t>
      </w:r>
      <w:proofErr w:type="spellStart"/>
      <w:r w:rsidR="00F07BD5" w:rsidRPr="002D3411">
        <w:rPr>
          <w:rFonts w:ascii="Times New Roman" w:hAnsi="Times New Roman"/>
          <w:color w:val="000000"/>
        </w:rPr>
        <w:t>Ph</w:t>
      </w:r>
      <w:proofErr w:type="spellEnd"/>
      <w:r w:rsidR="00F07BD5" w:rsidRPr="002D3411">
        <w:rPr>
          <w:rFonts w:ascii="Times New Roman" w:hAnsi="Times New Roman"/>
          <w:color w:val="000000"/>
        </w:rPr>
        <w:t xml:space="preserve">+ ŪLL (iš jų 104 </w:t>
      </w:r>
      <w:proofErr w:type="spellStart"/>
      <w:r w:rsidR="00F07BD5" w:rsidRPr="002D3411">
        <w:rPr>
          <w:rFonts w:ascii="Times New Roman" w:hAnsi="Times New Roman"/>
          <w:color w:val="000000"/>
        </w:rPr>
        <w:t>Ph</w:t>
      </w:r>
      <w:proofErr w:type="spellEnd"/>
      <w:r w:rsidR="00F07BD5" w:rsidRPr="002D3411">
        <w:rPr>
          <w:rFonts w:ascii="Times New Roman" w:hAnsi="Times New Roman"/>
          <w:color w:val="000000"/>
        </w:rPr>
        <w:t>+ ŪLL buvo patvirtinta), iki 24</w:t>
      </w:r>
      <w:r w:rsidRPr="002D3411">
        <w:rPr>
          <w:rFonts w:ascii="Times New Roman" w:hAnsi="Times New Roman"/>
          <w:color w:val="000000"/>
        </w:rPr>
        <w:t> </w:t>
      </w:r>
      <w:r w:rsidR="00F07BD5" w:rsidRPr="002D3411">
        <w:rPr>
          <w:rFonts w:ascii="Times New Roman" w:hAnsi="Times New Roman"/>
          <w:color w:val="000000"/>
        </w:rPr>
        <w:t xml:space="preserve">mėn. nepertraukiamai </w:t>
      </w:r>
      <w:r w:rsidR="00F07BD5" w:rsidRPr="00975CA4">
        <w:rPr>
          <w:rFonts w:ascii="Times New Roman" w:eastAsia="SimSun" w:hAnsi="Times New Roman" w:cs="Times New Roman"/>
          <w:iCs/>
          <w:color w:val="000000"/>
          <w:lang w:eastAsia="ar-SA"/>
        </w:rPr>
        <w:t xml:space="preserve">kasdien </w:t>
      </w:r>
      <w:r w:rsidR="00F07BD5" w:rsidRPr="002D3411">
        <w:rPr>
          <w:rFonts w:ascii="Times New Roman" w:hAnsi="Times New Roman"/>
          <w:color w:val="000000"/>
        </w:rPr>
        <w:t>vartojo 60</w:t>
      </w:r>
      <w:r w:rsidR="00A05C99" w:rsidRPr="002D3411">
        <w:rPr>
          <w:rFonts w:ascii="Times New Roman" w:hAnsi="Times New Roman"/>
          <w:color w:val="000000"/>
        </w:rPr>
        <w:t> </w:t>
      </w:r>
      <w:r w:rsidR="00F07BD5" w:rsidRPr="002D3411">
        <w:rPr>
          <w:rFonts w:ascii="Times New Roman" w:hAnsi="Times New Roman"/>
          <w:color w:val="000000"/>
        </w:rPr>
        <w:t>mg/m</w:t>
      </w:r>
      <w:r w:rsidR="00F07BD5" w:rsidRPr="002D3411">
        <w:rPr>
          <w:rFonts w:ascii="Times New Roman" w:hAnsi="Times New Roman"/>
          <w:color w:val="000000"/>
          <w:vertAlign w:val="superscript"/>
        </w:rPr>
        <w:t>2</w:t>
      </w:r>
      <w:r w:rsidR="00F07BD5" w:rsidRPr="002D3411">
        <w:rPr>
          <w:rFonts w:ascii="Times New Roman" w:hAnsi="Times New Roman"/>
          <w:color w:val="000000"/>
        </w:rPr>
        <w:t xml:space="preserve"> </w:t>
      </w:r>
      <w:proofErr w:type="spellStart"/>
      <w:r w:rsidR="00F07BD5" w:rsidRPr="002D3411">
        <w:rPr>
          <w:rFonts w:ascii="Times New Roman" w:hAnsi="Times New Roman"/>
          <w:color w:val="000000"/>
        </w:rPr>
        <w:t>dazatinibo</w:t>
      </w:r>
      <w:proofErr w:type="spellEnd"/>
      <w:r w:rsidR="00F07BD5" w:rsidRPr="002D3411">
        <w:rPr>
          <w:rFonts w:ascii="Times New Roman" w:hAnsi="Times New Roman"/>
          <w:color w:val="000000"/>
        </w:rPr>
        <w:t xml:space="preserve"> </w:t>
      </w:r>
      <w:r w:rsidR="00F07BD5" w:rsidRPr="00975CA4">
        <w:rPr>
          <w:rFonts w:ascii="Times New Roman" w:eastAsia="SimSun" w:hAnsi="Times New Roman" w:cs="Times New Roman"/>
          <w:iCs/>
          <w:color w:val="000000"/>
          <w:lang w:eastAsia="ar-SA"/>
        </w:rPr>
        <w:t xml:space="preserve">dozę </w:t>
      </w:r>
      <w:r w:rsidR="00F07BD5" w:rsidRPr="002D3411">
        <w:rPr>
          <w:rFonts w:ascii="Times New Roman" w:hAnsi="Times New Roman"/>
          <w:color w:val="000000"/>
        </w:rPr>
        <w:t xml:space="preserve">derinyje </w:t>
      </w:r>
      <w:r w:rsidR="00F07BD5" w:rsidRPr="00975CA4">
        <w:rPr>
          <w:rFonts w:ascii="Times New Roman" w:eastAsia="SimSun" w:hAnsi="Times New Roman" w:cs="Times New Roman"/>
          <w:iCs/>
          <w:color w:val="000000"/>
          <w:lang w:eastAsia="ar-SA"/>
        </w:rPr>
        <w:t>su taikoma</w:t>
      </w:r>
      <w:r w:rsidR="00F07BD5" w:rsidRPr="002D3411">
        <w:rPr>
          <w:rFonts w:ascii="Times New Roman" w:hAnsi="Times New Roman"/>
          <w:color w:val="000000"/>
        </w:rPr>
        <w:t xml:space="preserve"> chemoterapij</w:t>
      </w:r>
      <w:r w:rsidR="00F07BD5" w:rsidRPr="00975CA4">
        <w:rPr>
          <w:rFonts w:ascii="Times New Roman" w:eastAsia="SimSun" w:hAnsi="Times New Roman" w:cs="Times New Roman"/>
          <w:iCs/>
          <w:color w:val="000000"/>
          <w:lang w:eastAsia="ar-SA"/>
        </w:rPr>
        <w:t>a</w:t>
      </w:r>
      <w:r w:rsidR="00F07BD5" w:rsidRPr="002D3411">
        <w:rPr>
          <w:rFonts w:ascii="Times New Roman" w:hAnsi="Times New Roman"/>
          <w:color w:val="000000"/>
        </w:rPr>
        <w:t xml:space="preserve">. 82 pacientai gėrė vien </w:t>
      </w:r>
      <w:proofErr w:type="spellStart"/>
      <w:r w:rsidR="00F07BD5" w:rsidRPr="002D3411">
        <w:rPr>
          <w:rFonts w:ascii="Times New Roman" w:hAnsi="Times New Roman"/>
          <w:color w:val="000000"/>
        </w:rPr>
        <w:t>dazatinibo</w:t>
      </w:r>
      <w:proofErr w:type="spellEnd"/>
      <w:r w:rsidR="00F07BD5" w:rsidRPr="002D3411">
        <w:rPr>
          <w:rFonts w:ascii="Times New Roman" w:hAnsi="Times New Roman"/>
          <w:color w:val="000000"/>
        </w:rPr>
        <w:t xml:space="preserve"> table</w:t>
      </w:r>
      <w:r w:rsidR="00F07BD5" w:rsidRPr="00975CA4">
        <w:rPr>
          <w:rFonts w:ascii="Times New Roman" w:eastAsia="SimSun" w:hAnsi="Times New Roman" w:cs="Times New Roman"/>
          <w:iCs/>
          <w:color w:val="000000"/>
          <w:lang w:eastAsia="ar-SA"/>
        </w:rPr>
        <w:t>čių</w:t>
      </w:r>
      <w:r w:rsidR="00F07BD5" w:rsidRPr="002D3411">
        <w:rPr>
          <w:rFonts w:ascii="Times New Roman" w:hAnsi="Times New Roman"/>
          <w:color w:val="000000"/>
        </w:rPr>
        <w:t xml:space="preserve">, o 24 pavartojo bent vieną </w:t>
      </w:r>
      <w:proofErr w:type="spellStart"/>
      <w:r w:rsidR="00F07BD5" w:rsidRPr="002D3411">
        <w:rPr>
          <w:rFonts w:ascii="Times New Roman" w:hAnsi="Times New Roman"/>
          <w:color w:val="000000"/>
        </w:rPr>
        <w:t>dazatinibo</w:t>
      </w:r>
      <w:proofErr w:type="spellEnd"/>
      <w:r w:rsidR="00F07BD5" w:rsidRPr="002D3411">
        <w:rPr>
          <w:rFonts w:ascii="Times New Roman" w:hAnsi="Times New Roman"/>
          <w:color w:val="000000"/>
        </w:rPr>
        <w:t xml:space="preserve"> miltelių geriamajai suspensijai dozę (8 iš jų vartojo tik miltelius geriamajai suspensijai). Bazinės chemoterapijos schema buvo tokia kaip AIEOP-BFM ALL 2000 tyrimo metu (taikytas standartinis sudėtinės chemoterapijos protokolas). Pirminė veiksmingumo vertinamoji baigtis buvo 3 metų išgyvenimas be nustatytų įvykių (angl. </w:t>
      </w:r>
      <w:r w:rsidR="00F07BD5" w:rsidRPr="002D3411">
        <w:rPr>
          <w:rFonts w:ascii="Times New Roman" w:hAnsi="Times New Roman"/>
          <w:i/>
          <w:color w:val="000000"/>
        </w:rPr>
        <w:t xml:space="preserve">3-year </w:t>
      </w:r>
      <w:proofErr w:type="spellStart"/>
      <w:r w:rsidR="00F07BD5" w:rsidRPr="002D3411">
        <w:rPr>
          <w:rFonts w:ascii="Times New Roman" w:hAnsi="Times New Roman"/>
          <w:i/>
          <w:color w:val="000000"/>
        </w:rPr>
        <w:t>event-free</w:t>
      </w:r>
      <w:proofErr w:type="spellEnd"/>
      <w:r w:rsidR="00F07BD5" w:rsidRPr="002D3411">
        <w:rPr>
          <w:rFonts w:ascii="Times New Roman" w:hAnsi="Times New Roman"/>
          <w:i/>
          <w:color w:val="000000"/>
        </w:rPr>
        <w:t xml:space="preserve"> </w:t>
      </w:r>
      <w:proofErr w:type="spellStart"/>
      <w:r w:rsidR="00F07BD5" w:rsidRPr="002D3411">
        <w:rPr>
          <w:rFonts w:ascii="Times New Roman" w:hAnsi="Times New Roman"/>
          <w:i/>
          <w:color w:val="000000"/>
        </w:rPr>
        <w:t>survival</w:t>
      </w:r>
      <w:proofErr w:type="spellEnd"/>
      <w:r w:rsidR="00F07BD5" w:rsidRPr="002D3411">
        <w:rPr>
          <w:rFonts w:ascii="Times New Roman" w:hAnsi="Times New Roman"/>
          <w:color w:val="000000"/>
        </w:rPr>
        <w:t>, EFS), kuris buvo 65,5</w:t>
      </w:r>
      <w:r w:rsidR="00A05C99" w:rsidRPr="002D3411">
        <w:rPr>
          <w:rFonts w:ascii="Times New Roman" w:hAnsi="Times New Roman"/>
          <w:color w:val="000000"/>
        </w:rPr>
        <w:t> </w:t>
      </w:r>
      <w:r w:rsidR="00F07BD5" w:rsidRPr="002D3411">
        <w:rPr>
          <w:rFonts w:ascii="Times New Roman" w:hAnsi="Times New Roman"/>
          <w:color w:val="000000"/>
        </w:rPr>
        <w:t>% (55,5</w:t>
      </w:r>
      <w:r w:rsidR="0005410E" w:rsidRPr="002D3411">
        <w:rPr>
          <w:rFonts w:ascii="Times New Roman" w:hAnsi="Times New Roman"/>
          <w:color w:val="000000"/>
        </w:rPr>
        <w:t>-</w:t>
      </w:r>
      <w:r w:rsidR="00F07BD5" w:rsidRPr="002D3411">
        <w:rPr>
          <w:rFonts w:ascii="Times New Roman" w:hAnsi="Times New Roman"/>
          <w:color w:val="000000"/>
        </w:rPr>
        <w:t xml:space="preserve">73,7). </w:t>
      </w:r>
    </w:p>
    <w:p w14:paraId="158E37AA" w14:textId="77777777" w:rsidR="00F07BD5" w:rsidRPr="002D3411" w:rsidRDefault="00F07BD5" w:rsidP="00F07BD5">
      <w:pPr>
        <w:widowControl w:val="0"/>
        <w:tabs>
          <w:tab w:val="left" w:pos="567"/>
        </w:tabs>
        <w:suppressAutoHyphens/>
        <w:spacing w:after="0" w:line="240" w:lineRule="auto"/>
        <w:rPr>
          <w:rFonts w:ascii="Times New Roman" w:hAnsi="Times New Roman"/>
          <w:color w:val="000000"/>
        </w:rPr>
      </w:pPr>
    </w:p>
    <w:p w14:paraId="0BFA41DD" w14:textId="174E5EE0" w:rsidR="00F07BD5" w:rsidRPr="002D3411" w:rsidRDefault="00F07BD5" w:rsidP="00F07BD5">
      <w:pPr>
        <w:widowControl w:val="0"/>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Ištyrus </w:t>
      </w:r>
      <w:proofErr w:type="spellStart"/>
      <w:r w:rsidRPr="002D3411">
        <w:rPr>
          <w:rFonts w:ascii="Times New Roman" w:hAnsi="Times New Roman"/>
          <w:color w:val="000000"/>
        </w:rPr>
        <w:t>Ig</w:t>
      </w:r>
      <w:proofErr w:type="spellEnd"/>
      <w:r w:rsidRPr="002D3411">
        <w:rPr>
          <w:rFonts w:ascii="Times New Roman" w:hAnsi="Times New Roman"/>
          <w:color w:val="000000"/>
        </w:rPr>
        <w:t xml:space="preserve">/TCR persitvarkymą, minimalios liekamosios ligos (angl. </w:t>
      </w:r>
      <w:proofErr w:type="spellStart"/>
      <w:r w:rsidRPr="002D3411">
        <w:rPr>
          <w:rFonts w:ascii="Times New Roman" w:hAnsi="Times New Roman"/>
          <w:i/>
          <w:color w:val="000000"/>
        </w:rPr>
        <w:t>minimal</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residual</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disease</w:t>
      </w:r>
      <w:proofErr w:type="spellEnd"/>
      <w:r w:rsidRPr="002D3411">
        <w:rPr>
          <w:rFonts w:ascii="Times New Roman" w:hAnsi="Times New Roman"/>
          <w:color w:val="000000"/>
        </w:rPr>
        <w:t>, MRD) konsoliduojamosios chemoterapijos pabaigoje nerasta 71,7</w:t>
      </w:r>
      <w:r w:rsidR="00A05C99" w:rsidRPr="002D3411">
        <w:rPr>
          <w:rFonts w:ascii="Times New Roman" w:hAnsi="Times New Roman"/>
          <w:color w:val="000000"/>
        </w:rPr>
        <w:t> </w:t>
      </w:r>
      <w:r w:rsidRPr="002D3411">
        <w:rPr>
          <w:rFonts w:ascii="Times New Roman" w:hAnsi="Times New Roman"/>
          <w:color w:val="000000"/>
        </w:rPr>
        <w:t xml:space="preserve">% visų pacientų. Paėmus 85 pacientus, kurių </w:t>
      </w:r>
      <w:proofErr w:type="spellStart"/>
      <w:r w:rsidRPr="002D3411">
        <w:rPr>
          <w:rFonts w:ascii="Times New Roman" w:hAnsi="Times New Roman"/>
          <w:color w:val="000000"/>
        </w:rPr>
        <w:t>Ig</w:t>
      </w:r>
      <w:proofErr w:type="spellEnd"/>
      <w:r w:rsidRPr="002D3411">
        <w:rPr>
          <w:rFonts w:ascii="Times New Roman" w:hAnsi="Times New Roman"/>
          <w:color w:val="000000"/>
        </w:rPr>
        <w:t>/TCR duomenis buvo galima įvertinti, jos nerasta 89,4</w:t>
      </w:r>
      <w:r w:rsidR="00A05C99" w:rsidRPr="002D3411">
        <w:rPr>
          <w:rFonts w:ascii="Times New Roman" w:hAnsi="Times New Roman"/>
          <w:color w:val="000000"/>
        </w:rPr>
        <w:t> </w:t>
      </w:r>
      <w:r w:rsidRPr="002D3411">
        <w:rPr>
          <w:rFonts w:ascii="Times New Roman" w:hAnsi="Times New Roman"/>
          <w:color w:val="000000"/>
        </w:rPr>
        <w:t xml:space="preserve">%. Tėkmės </w:t>
      </w:r>
      <w:proofErr w:type="spellStart"/>
      <w:r w:rsidRPr="002D3411">
        <w:rPr>
          <w:rFonts w:ascii="Times New Roman" w:hAnsi="Times New Roman"/>
          <w:color w:val="000000"/>
        </w:rPr>
        <w:t>citometrijos</w:t>
      </w:r>
      <w:proofErr w:type="spellEnd"/>
      <w:r w:rsidRPr="002D3411">
        <w:rPr>
          <w:rFonts w:ascii="Times New Roman" w:hAnsi="Times New Roman"/>
          <w:color w:val="000000"/>
        </w:rPr>
        <w:t xml:space="preserve"> būdu indukcijos ir konsoliduojamosios chemoterapijos pabaigoje MRD nerasta atitinkamai 66,0</w:t>
      </w:r>
      <w:r w:rsidR="00A05C99" w:rsidRPr="002D3411">
        <w:rPr>
          <w:rFonts w:ascii="Times New Roman" w:hAnsi="Times New Roman"/>
          <w:color w:val="000000"/>
        </w:rPr>
        <w:t> </w:t>
      </w:r>
      <w:r w:rsidRPr="002D3411">
        <w:rPr>
          <w:rFonts w:ascii="Times New Roman" w:hAnsi="Times New Roman"/>
          <w:color w:val="000000"/>
        </w:rPr>
        <w:t>% ir 84,0</w:t>
      </w:r>
      <w:r w:rsidR="00A05C99" w:rsidRPr="002D3411">
        <w:rPr>
          <w:rFonts w:ascii="Times New Roman" w:hAnsi="Times New Roman"/>
          <w:color w:val="000000"/>
        </w:rPr>
        <w:t> </w:t>
      </w:r>
      <w:r w:rsidRPr="002D3411">
        <w:rPr>
          <w:rFonts w:ascii="Times New Roman" w:hAnsi="Times New Roman"/>
          <w:color w:val="000000"/>
        </w:rPr>
        <w:t xml:space="preserve">% pacientų. </w:t>
      </w:r>
    </w:p>
    <w:p w14:paraId="1ABD6B3E"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6FC7E696" w14:textId="77777777" w:rsidR="00F07BD5" w:rsidRPr="002D3411" w:rsidRDefault="00F07BD5" w:rsidP="00F07BD5">
      <w:pPr>
        <w:suppressAutoHyphens/>
        <w:spacing w:after="0" w:line="240" w:lineRule="auto"/>
        <w:rPr>
          <w:rFonts w:ascii="Times New Roman" w:hAnsi="Times New Roman"/>
          <w:color w:val="000000"/>
        </w:rPr>
      </w:pPr>
      <w:r w:rsidRPr="002D3411">
        <w:rPr>
          <w:rFonts w:ascii="Times New Roman" w:hAnsi="Times New Roman"/>
          <w:b/>
          <w:color w:val="000000"/>
        </w:rPr>
        <w:t>5.2</w:t>
      </w:r>
      <w:r w:rsidRPr="002D3411">
        <w:rPr>
          <w:rFonts w:ascii="Times New Roman" w:hAnsi="Times New Roman"/>
          <w:b/>
          <w:color w:val="000000"/>
        </w:rPr>
        <w:tab/>
      </w:r>
      <w:proofErr w:type="spellStart"/>
      <w:r w:rsidRPr="002D3411">
        <w:rPr>
          <w:rFonts w:ascii="Times New Roman" w:hAnsi="Times New Roman"/>
          <w:b/>
          <w:color w:val="000000"/>
        </w:rPr>
        <w:t>Farmakokinetinės</w:t>
      </w:r>
      <w:proofErr w:type="spellEnd"/>
      <w:r w:rsidRPr="002D3411">
        <w:rPr>
          <w:rFonts w:ascii="Times New Roman" w:hAnsi="Times New Roman"/>
          <w:b/>
          <w:color w:val="000000"/>
        </w:rPr>
        <w:t xml:space="preserve"> savybės</w:t>
      </w:r>
    </w:p>
    <w:p w14:paraId="62E60A1E"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2E1F0408" w14:textId="77777777" w:rsidR="00F07BD5" w:rsidRPr="002D3411" w:rsidRDefault="00F07BD5" w:rsidP="00F07BD5">
      <w:pPr>
        <w:tabs>
          <w:tab w:val="left" w:pos="567"/>
        </w:tabs>
        <w:suppressAutoHyphens/>
        <w:spacing w:after="0" w:line="240" w:lineRule="auto"/>
        <w:rPr>
          <w:rFonts w:ascii="Times New Roman" w:hAnsi="Times New Roman"/>
          <w:color w:val="000000"/>
          <w:u w:val="single"/>
        </w:rPr>
      </w:pP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farmakokinetika buvo įvertinta 229 suaugusiems sveikiems asmenims ir 84 pacientams.</w:t>
      </w:r>
    </w:p>
    <w:p w14:paraId="76EA664B" w14:textId="77777777" w:rsidR="00F07BD5" w:rsidRPr="002D3411" w:rsidRDefault="00F07BD5" w:rsidP="00F07BD5">
      <w:pPr>
        <w:tabs>
          <w:tab w:val="left" w:pos="567"/>
        </w:tabs>
        <w:suppressAutoHyphens/>
        <w:spacing w:after="0" w:line="240" w:lineRule="auto"/>
        <w:rPr>
          <w:rFonts w:ascii="Times New Roman" w:hAnsi="Times New Roman"/>
          <w:color w:val="000000"/>
          <w:u w:val="single"/>
        </w:rPr>
      </w:pPr>
    </w:p>
    <w:p w14:paraId="19633EB7" w14:textId="77777777"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u w:val="single"/>
        </w:rPr>
        <w:t>Absorbcija</w:t>
      </w:r>
    </w:p>
    <w:p w14:paraId="0F69A283" w14:textId="6B174B8F"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Paciento išgertas </w:t>
      </w:r>
      <w:proofErr w:type="spellStart"/>
      <w:r w:rsidRPr="002D3411">
        <w:rPr>
          <w:rFonts w:ascii="Times New Roman" w:hAnsi="Times New Roman"/>
          <w:color w:val="000000"/>
        </w:rPr>
        <w:t>dazatinibas</w:t>
      </w:r>
      <w:proofErr w:type="spellEnd"/>
      <w:r w:rsidRPr="002D3411">
        <w:rPr>
          <w:rFonts w:ascii="Times New Roman" w:hAnsi="Times New Roman"/>
          <w:color w:val="000000"/>
        </w:rPr>
        <w:t xml:space="preserve"> greitas absorbuojamas, didžiausia koncentracija atsiranda po 0,5-3</w:t>
      </w:r>
      <w:r w:rsidR="00A05C99" w:rsidRPr="002D3411">
        <w:rPr>
          <w:rFonts w:ascii="Times New Roman" w:hAnsi="Times New Roman"/>
          <w:color w:val="000000"/>
        </w:rPr>
        <w:t> </w:t>
      </w:r>
      <w:r w:rsidRPr="002D3411">
        <w:rPr>
          <w:rFonts w:ascii="Times New Roman" w:hAnsi="Times New Roman"/>
          <w:color w:val="000000"/>
        </w:rPr>
        <w:t>val. 25-120</w:t>
      </w:r>
      <w:r w:rsidR="00A05C99" w:rsidRPr="002D3411">
        <w:rPr>
          <w:rFonts w:ascii="Times New Roman" w:hAnsi="Times New Roman"/>
          <w:color w:val="000000"/>
        </w:rPr>
        <w:t> </w:t>
      </w:r>
      <w:r w:rsidRPr="002D3411">
        <w:rPr>
          <w:rFonts w:ascii="Times New Roman" w:hAnsi="Times New Roman"/>
          <w:color w:val="000000"/>
        </w:rPr>
        <w:t>mg dozių, vartojamų 2 kartus per parą, diapazone vidutinės ekspozicijos (AUC</w:t>
      </w:r>
      <w:r w:rsidR="002E08F1" w:rsidRPr="002D3411">
        <w:rPr>
          <w:rFonts w:ascii="Times New Roman" w:hAnsi="Times New Roman"/>
          <w:color w:val="000000"/>
          <w:vertAlign w:val="subscript"/>
        </w:rPr>
        <w:t>Ʈ</w:t>
      </w:r>
      <w:r w:rsidRPr="002D3411">
        <w:rPr>
          <w:rFonts w:ascii="Times New Roman" w:hAnsi="Times New Roman"/>
          <w:color w:val="000000"/>
        </w:rPr>
        <w:t xml:space="preserve">) padidėjimas būna maždaug proporcingas dozės padidinimui.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bendras vidutinis galutinis pusinio gyvavimo laikas pacientų organizme yra maždaug 5-6</w:t>
      </w:r>
      <w:r w:rsidR="00A05C99" w:rsidRPr="002D3411">
        <w:rPr>
          <w:rFonts w:ascii="Times New Roman" w:hAnsi="Times New Roman"/>
          <w:color w:val="000000"/>
        </w:rPr>
        <w:t> </w:t>
      </w:r>
      <w:r w:rsidRPr="002D3411">
        <w:rPr>
          <w:rFonts w:ascii="Times New Roman" w:hAnsi="Times New Roman"/>
          <w:color w:val="000000"/>
        </w:rPr>
        <w:t>val.</w:t>
      </w:r>
    </w:p>
    <w:p w14:paraId="628C3F9F"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3971B444" w14:textId="3C7A03F6" w:rsidR="002E08F1" w:rsidRPr="002D3411" w:rsidRDefault="00F07BD5" w:rsidP="002E08F1">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Tiriant sveikus asmenis, išgėrusius vieną 100</w:t>
      </w:r>
      <w:r w:rsidR="00A05C99" w:rsidRPr="002D3411">
        <w:rPr>
          <w:rFonts w:ascii="Times New Roman" w:hAnsi="Times New Roman"/>
          <w:color w:val="000000"/>
        </w:rPr>
        <w:t> </w:t>
      </w:r>
      <w:r w:rsidRPr="002D3411">
        <w:rPr>
          <w:rFonts w:ascii="Times New Roman" w:hAnsi="Times New Roman"/>
          <w:color w:val="000000"/>
        </w:rPr>
        <w:t xml:space="preserve">mg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dozę 30</w:t>
      </w:r>
      <w:r w:rsidR="00A05C99" w:rsidRPr="002D3411">
        <w:rPr>
          <w:rFonts w:ascii="Times New Roman" w:hAnsi="Times New Roman"/>
          <w:color w:val="000000"/>
        </w:rPr>
        <w:t> </w:t>
      </w:r>
      <w:r w:rsidRPr="002D3411">
        <w:rPr>
          <w:rFonts w:ascii="Times New Roman" w:hAnsi="Times New Roman"/>
          <w:color w:val="000000"/>
        </w:rPr>
        <w:t xml:space="preserve">min. po riebaus valgio, nustatytas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vidutinio AUC padidėjimas 14</w:t>
      </w:r>
      <w:r w:rsidR="00A05C99" w:rsidRPr="002D3411">
        <w:rPr>
          <w:rFonts w:ascii="Times New Roman" w:hAnsi="Times New Roman"/>
          <w:color w:val="000000"/>
        </w:rPr>
        <w:t> </w:t>
      </w:r>
      <w:r w:rsidRPr="002D3411">
        <w:rPr>
          <w:rFonts w:ascii="Times New Roman" w:hAnsi="Times New Roman"/>
          <w:color w:val="000000"/>
        </w:rPr>
        <w:t xml:space="preserve">%. Išgėrus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30</w:t>
      </w:r>
      <w:r w:rsidR="00A05C99" w:rsidRPr="002D3411">
        <w:rPr>
          <w:rFonts w:ascii="Times New Roman" w:hAnsi="Times New Roman"/>
          <w:color w:val="000000"/>
        </w:rPr>
        <w:t> </w:t>
      </w:r>
      <w:r w:rsidRPr="002D3411">
        <w:rPr>
          <w:rFonts w:ascii="Times New Roman" w:hAnsi="Times New Roman"/>
          <w:color w:val="000000"/>
        </w:rPr>
        <w:t xml:space="preserve">min. po lieso valgio, vidutinis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AUC buvo didesnis 21</w:t>
      </w:r>
      <w:r w:rsidR="00A05C99" w:rsidRPr="002D3411">
        <w:rPr>
          <w:rFonts w:ascii="Times New Roman" w:hAnsi="Times New Roman"/>
          <w:color w:val="000000"/>
        </w:rPr>
        <w:t> </w:t>
      </w:r>
      <w:r w:rsidRPr="002D3411">
        <w:rPr>
          <w:rFonts w:ascii="Times New Roman" w:hAnsi="Times New Roman"/>
          <w:color w:val="000000"/>
        </w:rPr>
        <w:t>%. Šis maisto poveikis kliniškai reikšmingos įtakos vaistinio preparato ekspozicijai nedaro.</w:t>
      </w:r>
      <w:r w:rsidR="002E08F1" w:rsidRPr="002D3411">
        <w:rPr>
          <w:rFonts w:ascii="Times New Roman" w:hAnsi="Times New Roman"/>
          <w:color w:val="000000"/>
        </w:rPr>
        <w:t xml:space="preserve"> </w:t>
      </w:r>
      <w:proofErr w:type="spellStart"/>
      <w:r w:rsidR="002E08F1" w:rsidRPr="002D3411">
        <w:rPr>
          <w:rFonts w:ascii="Times New Roman" w:hAnsi="Times New Roman"/>
          <w:color w:val="000000"/>
        </w:rPr>
        <w:t>Dazatinibo</w:t>
      </w:r>
      <w:proofErr w:type="spellEnd"/>
      <w:r w:rsidR="002E08F1" w:rsidRPr="002D3411">
        <w:rPr>
          <w:rFonts w:ascii="Times New Roman" w:hAnsi="Times New Roman"/>
          <w:color w:val="000000"/>
        </w:rPr>
        <w:t xml:space="preserve"> ekspozicijos </w:t>
      </w:r>
      <w:proofErr w:type="spellStart"/>
      <w:r w:rsidR="002E08F1" w:rsidRPr="002D3411">
        <w:rPr>
          <w:rFonts w:ascii="Times New Roman" w:hAnsi="Times New Roman"/>
          <w:color w:val="000000"/>
        </w:rPr>
        <w:t>variabiliškum</w:t>
      </w:r>
      <w:r w:rsidR="00043461" w:rsidRPr="002D3411">
        <w:rPr>
          <w:rFonts w:ascii="Times New Roman" w:hAnsi="Times New Roman"/>
          <w:color w:val="000000"/>
        </w:rPr>
        <w:t>as</w:t>
      </w:r>
      <w:proofErr w:type="spellEnd"/>
      <w:r w:rsidR="002E08F1" w:rsidRPr="002D3411">
        <w:rPr>
          <w:rFonts w:ascii="Times New Roman" w:hAnsi="Times New Roman"/>
          <w:color w:val="000000"/>
        </w:rPr>
        <w:t xml:space="preserve"> nevalgius </w:t>
      </w:r>
      <w:r w:rsidR="00FF1C0D" w:rsidRPr="002D3411">
        <w:rPr>
          <w:rFonts w:ascii="Times New Roman" w:hAnsi="Times New Roman"/>
          <w:color w:val="000000"/>
        </w:rPr>
        <w:t xml:space="preserve">yra didesnis (VK 47 %) </w:t>
      </w:r>
      <w:r w:rsidR="002E08F1" w:rsidRPr="002D3411">
        <w:rPr>
          <w:rFonts w:ascii="Times New Roman" w:hAnsi="Times New Roman"/>
          <w:color w:val="000000"/>
        </w:rPr>
        <w:t>palyginus su po lieso</w:t>
      </w:r>
      <w:r w:rsidR="0015572F" w:rsidRPr="002D3411">
        <w:rPr>
          <w:rFonts w:ascii="Times New Roman" w:hAnsi="Times New Roman"/>
          <w:color w:val="000000"/>
        </w:rPr>
        <w:t xml:space="preserve"> valgio</w:t>
      </w:r>
      <w:r w:rsidR="00FF1C0D" w:rsidRPr="002D3411">
        <w:rPr>
          <w:rFonts w:ascii="Times New Roman" w:hAnsi="Times New Roman"/>
          <w:color w:val="000000"/>
        </w:rPr>
        <w:t xml:space="preserve"> (VK 39 %)</w:t>
      </w:r>
      <w:r w:rsidR="0015572F" w:rsidRPr="002D3411">
        <w:rPr>
          <w:rFonts w:ascii="Times New Roman" w:hAnsi="Times New Roman"/>
          <w:color w:val="000000"/>
        </w:rPr>
        <w:t xml:space="preserve"> ir</w:t>
      </w:r>
      <w:r w:rsidR="002E08F1" w:rsidRPr="002D3411">
        <w:rPr>
          <w:rFonts w:ascii="Times New Roman" w:hAnsi="Times New Roman"/>
          <w:color w:val="000000"/>
        </w:rPr>
        <w:t xml:space="preserve"> </w:t>
      </w:r>
      <w:r w:rsidR="00043461" w:rsidRPr="002D3411">
        <w:rPr>
          <w:rFonts w:ascii="Times New Roman" w:hAnsi="Times New Roman"/>
          <w:color w:val="000000"/>
        </w:rPr>
        <w:t xml:space="preserve">po </w:t>
      </w:r>
      <w:r w:rsidR="002E08F1" w:rsidRPr="002D3411">
        <w:rPr>
          <w:rFonts w:ascii="Times New Roman" w:hAnsi="Times New Roman"/>
          <w:color w:val="000000"/>
        </w:rPr>
        <w:t xml:space="preserve">riebaus valgio </w:t>
      </w:r>
      <w:r w:rsidR="00FF1C0D" w:rsidRPr="002D3411">
        <w:rPr>
          <w:rFonts w:ascii="Times New Roman" w:hAnsi="Times New Roman"/>
          <w:color w:val="000000"/>
        </w:rPr>
        <w:t>(VK</w:t>
      </w:r>
      <w:r w:rsidR="002E08F1" w:rsidRPr="002D3411">
        <w:rPr>
          <w:rFonts w:ascii="Times New Roman" w:hAnsi="Times New Roman"/>
          <w:color w:val="000000"/>
        </w:rPr>
        <w:t xml:space="preserve"> 32 %</w:t>
      </w:r>
      <w:r w:rsidR="00FF1C0D" w:rsidRPr="002D3411">
        <w:rPr>
          <w:rFonts w:ascii="Times New Roman" w:hAnsi="Times New Roman"/>
          <w:color w:val="000000"/>
        </w:rPr>
        <w:t>).</w:t>
      </w:r>
    </w:p>
    <w:p w14:paraId="3793ABBF"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37307F20" w14:textId="6F36D16C"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Remiantis pacientų populiacijos </w:t>
      </w:r>
      <w:proofErr w:type="spellStart"/>
      <w:r w:rsidRPr="002D3411">
        <w:rPr>
          <w:rFonts w:ascii="Times New Roman" w:hAnsi="Times New Roman"/>
          <w:color w:val="000000"/>
        </w:rPr>
        <w:t>farmakokinetine</w:t>
      </w:r>
      <w:proofErr w:type="spellEnd"/>
      <w:r w:rsidRPr="002D3411">
        <w:rPr>
          <w:rFonts w:ascii="Times New Roman" w:hAnsi="Times New Roman"/>
          <w:color w:val="000000"/>
        </w:rPr>
        <w:t xml:space="preserve"> analize, buvo įvertinta, kad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ekspozicijos</w:t>
      </w:r>
      <w:r w:rsidR="00C01840" w:rsidRPr="002D3411">
        <w:rPr>
          <w:rFonts w:ascii="Times New Roman" w:hAnsi="Times New Roman"/>
          <w:color w:val="000000"/>
        </w:rPr>
        <w:t xml:space="preserve"> </w:t>
      </w:r>
      <w:r w:rsidRPr="002D3411">
        <w:rPr>
          <w:rFonts w:ascii="Times New Roman" w:hAnsi="Times New Roman"/>
          <w:color w:val="000000"/>
        </w:rPr>
        <w:t xml:space="preserve">kintamumas daugiausiai yra dėl biologinio prieinamumo tarp-atvejo kintamumo (variacijos </w:t>
      </w:r>
      <w:proofErr w:type="spellStart"/>
      <w:r w:rsidRPr="002D3411">
        <w:rPr>
          <w:rFonts w:ascii="Times New Roman" w:hAnsi="Times New Roman"/>
          <w:color w:val="000000"/>
        </w:rPr>
        <w:t>koficientas</w:t>
      </w:r>
      <w:proofErr w:type="spellEnd"/>
      <w:r w:rsidR="00C01840" w:rsidRPr="002D3411">
        <w:rPr>
          <w:rFonts w:ascii="Times New Roman" w:hAnsi="Times New Roman"/>
          <w:color w:val="000000"/>
        </w:rPr>
        <w:t xml:space="preserve"> </w:t>
      </w:r>
      <w:r w:rsidRPr="002D3411">
        <w:rPr>
          <w:rFonts w:ascii="Times New Roman" w:hAnsi="Times New Roman"/>
          <w:color w:val="000000"/>
        </w:rPr>
        <w:t>44</w:t>
      </w:r>
      <w:r w:rsidR="00A05C99" w:rsidRPr="002D3411">
        <w:rPr>
          <w:rFonts w:ascii="Times New Roman" w:hAnsi="Times New Roman"/>
          <w:color w:val="000000"/>
        </w:rPr>
        <w:t> </w:t>
      </w:r>
      <w:r w:rsidRPr="002D3411">
        <w:rPr>
          <w:rFonts w:ascii="Times New Roman" w:hAnsi="Times New Roman"/>
          <w:color w:val="000000"/>
        </w:rPr>
        <w:t>%), ir mažiau, dėl biologinio prieinamumo kintamumo tarp atskirų individų, bei klirenso</w:t>
      </w:r>
      <w:r w:rsidR="00C01840" w:rsidRPr="002D3411">
        <w:rPr>
          <w:rFonts w:ascii="Times New Roman" w:hAnsi="Times New Roman"/>
          <w:color w:val="000000"/>
        </w:rPr>
        <w:t xml:space="preserve"> </w:t>
      </w:r>
      <w:r w:rsidRPr="002D3411">
        <w:rPr>
          <w:rFonts w:ascii="Times New Roman" w:hAnsi="Times New Roman"/>
          <w:color w:val="000000"/>
        </w:rPr>
        <w:t>kintamumo tarp atskirų individų (</w:t>
      </w:r>
      <w:r w:rsidR="007D3BC4" w:rsidRPr="002D3411">
        <w:rPr>
          <w:rFonts w:ascii="Times New Roman" w:hAnsi="Times New Roman"/>
          <w:color w:val="000000"/>
        </w:rPr>
        <w:t xml:space="preserve">VK </w:t>
      </w:r>
      <w:r w:rsidRPr="002D3411">
        <w:rPr>
          <w:rFonts w:ascii="Times New Roman" w:hAnsi="Times New Roman"/>
          <w:color w:val="000000"/>
        </w:rPr>
        <w:t>atitinkamai 30</w:t>
      </w:r>
      <w:r w:rsidR="00A05C99" w:rsidRPr="002D3411">
        <w:rPr>
          <w:rFonts w:ascii="Times New Roman" w:hAnsi="Times New Roman"/>
          <w:color w:val="000000"/>
        </w:rPr>
        <w:t> </w:t>
      </w:r>
      <w:r w:rsidRPr="002D3411">
        <w:rPr>
          <w:rFonts w:ascii="Times New Roman" w:hAnsi="Times New Roman"/>
          <w:color w:val="000000"/>
        </w:rPr>
        <w:t>% ir 32</w:t>
      </w:r>
      <w:r w:rsidR="00A05C99" w:rsidRPr="002D3411">
        <w:rPr>
          <w:rFonts w:ascii="Times New Roman" w:hAnsi="Times New Roman"/>
          <w:color w:val="000000"/>
        </w:rPr>
        <w:t> </w:t>
      </w:r>
      <w:r w:rsidRPr="002D3411">
        <w:rPr>
          <w:rFonts w:ascii="Times New Roman" w:hAnsi="Times New Roman"/>
          <w:color w:val="000000"/>
        </w:rPr>
        <w:t>%). Nėra tikėtina,</w:t>
      </w:r>
      <w:r w:rsidR="00C01840" w:rsidRPr="002D3411">
        <w:rPr>
          <w:rFonts w:ascii="Times New Roman" w:hAnsi="Times New Roman"/>
          <w:color w:val="000000"/>
        </w:rPr>
        <w:t xml:space="preserve"> </w:t>
      </w:r>
      <w:r w:rsidRPr="002D3411">
        <w:rPr>
          <w:rFonts w:ascii="Times New Roman" w:hAnsi="Times New Roman"/>
          <w:color w:val="000000"/>
        </w:rPr>
        <w:t xml:space="preserve">kad atsitiktinis tarp-atvejų ekspozicijos kintamumas daro poveikį </w:t>
      </w:r>
      <w:r w:rsidR="00C0161B" w:rsidRPr="002D3411">
        <w:rPr>
          <w:rFonts w:ascii="Times New Roman" w:hAnsi="Times New Roman"/>
          <w:color w:val="000000"/>
        </w:rPr>
        <w:t xml:space="preserve">suminei </w:t>
      </w:r>
      <w:r w:rsidRPr="002D3411">
        <w:rPr>
          <w:rFonts w:ascii="Times New Roman" w:hAnsi="Times New Roman"/>
          <w:color w:val="000000"/>
        </w:rPr>
        <w:t>ekspozicijai, bei</w:t>
      </w:r>
      <w:r w:rsidR="00C01840" w:rsidRPr="002D3411">
        <w:rPr>
          <w:rFonts w:ascii="Times New Roman" w:hAnsi="Times New Roman"/>
          <w:color w:val="000000"/>
        </w:rPr>
        <w:t xml:space="preserve"> </w:t>
      </w:r>
      <w:r w:rsidRPr="002D3411">
        <w:rPr>
          <w:rFonts w:ascii="Times New Roman" w:hAnsi="Times New Roman"/>
          <w:color w:val="000000"/>
        </w:rPr>
        <w:t>veiksmingumui ar saugumui.</w:t>
      </w:r>
    </w:p>
    <w:p w14:paraId="5A89C611"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7280530A" w14:textId="77777777"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u w:val="single"/>
        </w:rPr>
        <w:t>Pasiskirstymas</w:t>
      </w:r>
    </w:p>
    <w:p w14:paraId="3FFE90CE" w14:textId="1537B3E0"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Pacientų organizme didelis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tariamasis pasiskirstymo tūris (</w:t>
      </w:r>
      <w:r w:rsidRPr="00975CA4">
        <w:rPr>
          <w:rFonts w:ascii="Times New Roman" w:eastAsia="SimSun" w:hAnsi="Times New Roman" w:cs="Times New Roman"/>
          <w:color w:val="000000"/>
          <w:lang w:eastAsia="ar-SA"/>
        </w:rPr>
        <w:t>2505 litrai, variacijos koeficientas – 93</w:t>
      </w:r>
      <w:r w:rsidR="00A05C99" w:rsidRPr="00975CA4">
        <w:rPr>
          <w:rFonts w:ascii="Times New Roman" w:eastAsia="SimSun" w:hAnsi="Times New Roman" w:cs="Times New Roman"/>
          <w:color w:val="000000"/>
          <w:lang w:eastAsia="ar-SA"/>
        </w:rPr>
        <w:t> </w:t>
      </w:r>
      <w:r w:rsidRPr="00975CA4">
        <w:rPr>
          <w:rFonts w:ascii="Times New Roman" w:eastAsia="SimSun" w:hAnsi="Times New Roman" w:cs="Times New Roman"/>
          <w:color w:val="000000"/>
          <w:lang w:eastAsia="ar-SA"/>
        </w:rPr>
        <w:t xml:space="preserve">%), </w:t>
      </w:r>
      <w:r w:rsidRPr="002D3411">
        <w:rPr>
          <w:rFonts w:ascii="Times New Roman" w:hAnsi="Times New Roman"/>
          <w:color w:val="000000"/>
        </w:rPr>
        <w:t xml:space="preserve">rodo, kad šis vaistinis preparatas ekstensyviai pasiskirsto </w:t>
      </w:r>
      <w:proofErr w:type="spellStart"/>
      <w:r w:rsidR="00CA6F65" w:rsidRPr="002D3411">
        <w:rPr>
          <w:rFonts w:ascii="Times New Roman" w:hAnsi="Times New Roman"/>
          <w:color w:val="000000"/>
        </w:rPr>
        <w:t>ekstravaskuliniuose</w:t>
      </w:r>
      <w:proofErr w:type="spellEnd"/>
      <w:r w:rsidR="00CA6F65" w:rsidRPr="002D3411">
        <w:rPr>
          <w:rFonts w:ascii="Times New Roman" w:hAnsi="Times New Roman"/>
          <w:color w:val="000000"/>
        </w:rPr>
        <w:t xml:space="preserve"> audiniuose</w:t>
      </w:r>
      <w:r w:rsidRPr="002D3411">
        <w:rPr>
          <w:rFonts w:ascii="Times New Roman" w:hAnsi="Times New Roman"/>
          <w:color w:val="000000"/>
        </w:rPr>
        <w:t xml:space="preserve">.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vitro</w:t>
      </w:r>
      <w:proofErr w:type="spellEnd"/>
      <w:r w:rsidRPr="002D3411">
        <w:rPr>
          <w:rFonts w:ascii="Times New Roman" w:hAnsi="Times New Roman"/>
          <w:color w:val="000000"/>
        </w:rPr>
        <w:t xml:space="preserve"> tyrimų duomenimis, esant kliniškai reikšmingoms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koncentracijoms, maždaug 96</w:t>
      </w:r>
      <w:r w:rsidR="00A05C99" w:rsidRPr="002D3411">
        <w:rPr>
          <w:rFonts w:ascii="Times New Roman" w:hAnsi="Times New Roman"/>
          <w:color w:val="000000"/>
        </w:rPr>
        <w:t> </w:t>
      </w:r>
      <w:r w:rsidRPr="002D3411">
        <w:rPr>
          <w:rFonts w:ascii="Times New Roman" w:hAnsi="Times New Roman"/>
          <w:color w:val="000000"/>
        </w:rPr>
        <w:t>% minėtos veikliosios medžiagos būna prisijungusios prie kraujo plazmos baltymų.</w:t>
      </w:r>
    </w:p>
    <w:p w14:paraId="24061783"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18C0CCEA" w14:textId="77777777" w:rsidR="00F07BD5" w:rsidRPr="002D3411" w:rsidRDefault="00F07BD5" w:rsidP="00F07BD5">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u w:val="single"/>
        </w:rPr>
        <w:t>Biotransformacija</w:t>
      </w:r>
      <w:proofErr w:type="spellEnd"/>
    </w:p>
    <w:p w14:paraId="3781FC0F" w14:textId="2E8C3525"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Žmogaus organizme </w:t>
      </w:r>
      <w:proofErr w:type="spellStart"/>
      <w:r w:rsidRPr="002D3411">
        <w:rPr>
          <w:rFonts w:ascii="Times New Roman" w:hAnsi="Times New Roman"/>
          <w:color w:val="000000"/>
        </w:rPr>
        <w:t>dazatinibas</w:t>
      </w:r>
      <w:proofErr w:type="spellEnd"/>
      <w:r w:rsidRPr="002D3411">
        <w:rPr>
          <w:rFonts w:ascii="Times New Roman" w:hAnsi="Times New Roman"/>
          <w:color w:val="000000"/>
        </w:rPr>
        <w:t xml:space="preserve"> ekstensyviai </w:t>
      </w:r>
      <w:proofErr w:type="spellStart"/>
      <w:r w:rsidRPr="002D3411">
        <w:rPr>
          <w:rFonts w:ascii="Times New Roman" w:hAnsi="Times New Roman"/>
          <w:color w:val="000000"/>
        </w:rPr>
        <w:t>metabolizuojamas</w:t>
      </w:r>
      <w:proofErr w:type="spellEnd"/>
      <w:r w:rsidRPr="002D3411">
        <w:rPr>
          <w:rFonts w:ascii="Times New Roman" w:hAnsi="Times New Roman"/>
          <w:color w:val="000000"/>
        </w:rPr>
        <w:t>. Formuojant metabolitus dalyvauja daug fermentų. Sveikam žmogui išgėrus 100</w:t>
      </w:r>
      <w:r w:rsidR="00A05C99" w:rsidRPr="002D3411">
        <w:rPr>
          <w:rFonts w:ascii="Times New Roman" w:hAnsi="Times New Roman"/>
          <w:color w:val="000000"/>
        </w:rPr>
        <w:t> </w:t>
      </w:r>
      <w:r w:rsidRPr="002D3411">
        <w:rPr>
          <w:rFonts w:ascii="Times New Roman" w:hAnsi="Times New Roman"/>
          <w:color w:val="000000"/>
        </w:rPr>
        <w:t>mg [</w:t>
      </w:r>
      <w:r w:rsidRPr="002D3411">
        <w:rPr>
          <w:rFonts w:ascii="Times New Roman" w:hAnsi="Times New Roman"/>
          <w:color w:val="000000"/>
          <w:vertAlign w:val="superscript"/>
        </w:rPr>
        <w:t>14</w:t>
      </w:r>
      <w:r w:rsidRPr="002D3411">
        <w:rPr>
          <w:rFonts w:ascii="Times New Roman" w:hAnsi="Times New Roman"/>
          <w:color w:val="000000"/>
        </w:rPr>
        <w:t xml:space="preserve">C] žymėtojo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nepakitusį </w:t>
      </w:r>
      <w:proofErr w:type="spellStart"/>
      <w:r w:rsidRPr="002D3411">
        <w:rPr>
          <w:rFonts w:ascii="Times New Roman" w:hAnsi="Times New Roman"/>
          <w:color w:val="000000"/>
        </w:rPr>
        <w:t>dazatinibą</w:t>
      </w:r>
      <w:proofErr w:type="spellEnd"/>
      <w:r w:rsidRPr="002D3411">
        <w:rPr>
          <w:rFonts w:ascii="Times New Roman" w:hAnsi="Times New Roman"/>
          <w:color w:val="000000"/>
        </w:rPr>
        <w:t xml:space="preserve"> atitinka 29</w:t>
      </w:r>
      <w:r w:rsidR="00A05C99" w:rsidRPr="002D3411">
        <w:rPr>
          <w:rFonts w:ascii="Times New Roman" w:hAnsi="Times New Roman"/>
          <w:color w:val="000000"/>
        </w:rPr>
        <w:t> </w:t>
      </w:r>
      <w:r w:rsidRPr="002D3411">
        <w:rPr>
          <w:rFonts w:ascii="Times New Roman" w:hAnsi="Times New Roman"/>
          <w:color w:val="000000"/>
        </w:rPr>
        <w:t xml:space="preserve">% kraujo plazmoje cirkuliuojančio radioaktyvumo. Sprendžiant pagal koncentraciją kraujo plazmoje ir aktyvumą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vitro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metabolitai vargu ar yra svarbūs šio vaistinio preparato farmakologiniam poveikiui. Pagrindinis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metabolizmo fermentas yra CYP3A4.</w:t>
      </w:r>
    </w:p>
    <w:p w14:paraId="10AF9721"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3B4591FF" w14:textId="77777777"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u w:val="single"/>
        </w:rPr>
        <w:t>Eliminacija</w:t>
      </w:r>
    </w:p>
    <w:p w14:paraId="76FEC8A3" w14:textId="75BEB0DC"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Vidutinis terminalinis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w:t>
      </w:r>
      <w:r w:rsidRPr="00975CA4">
        <w:rPr>
          <w:rFonts w:ascii="Times New Roman" w:eastAsia="SimSun" w:hAnsi="Times New Roman" w:cs="Times New Roman"/>
          <w:color w:val="000000"/>
          <w:lang w:eastAsia="ar-SA"/>
        </w:rPr>
        <w:t>pusinės eliminacijos</w:t>
      </w:r>
      <w:r w:rsidRPr="002D3411">
        <w:rPr>
          <w:rFonts w:ascii="Times New Roman" w:hAnsi="Times New Roman"/>
          <w:color w:val="000000"/>
        </w:rPr>
        <w:t xml:space="preserve"> </w:t>
      </w:r>
      <w:r w:rsidRPr="00975CA4">
        <w:rPr>
          <w:rFonts w:ascii="Times New Roman" w:eastAsia="SimSun" w:hAnsi="Times New Roman" w:cs="Times New Roman"/>
          <w:color w:val="000000"/>
          <w:lang w:eastAsia="ar-SA"/>
        </w:rPr>
        <w:t>laikas</w:t>
      </w:r>
      <w:r w:rsidRPr="002D3411">
        <w:rPr>
          <w:rFonts w:ascii="Times New Roman" w:hAnsi="Times New Roman"/>
          <w:color w:val="000000"/>
        </w:rPr>
        <w:t xml:space="preserve"> yra 3-5</w:t>
      </w:r>
      <w:r w:rsidR="00A05C99" w:rsidRPr="002D3411">
        <w:rPr>
          <w:rFonts w:ascii="Times New Roman" w:hAnsi="Times New Roman"/>
          <w:color w:val="000000"/>
        </w:rPr>
        <w:t> </w:t>
      </w:r>
      <w:r w:rsidRPr="002D3411">
        <w:rPr>
          <w:rFonts w:ascii="Times New Roman" w:hAnsi="Times New Roman"/>
          <w:color w:val="000000"/>
        </w:rPr>
        <w:t xml:space="preserve">val., vidutinis tariamasis per burną pavartoto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klirensas – 363,8</w:t>
      </w:r>
      <w:r w:rsidR="00A05C99" w:rsidRPr="002D3411">
        <w:rPr>
          <w:rFonts w:ascii="Times New Roman" w:hAnsi="Times New Roman"/>
          <w:color w:val="000000"/>
        </w:rPr>
        <w:t> </w:t>
      </w:r>
      <w:r w:rsidRPr="002D3411">
        <w:rPr>
          <w:rFonts w:ascii="Times New Roman" w:hAnsi="Times New Roman"/>
          <w:color w:val="000000"/>
        </w:rPr>
        <w:t>l/val. (variacijos koeficientas – 81,3</w:t>
      </w:r>
      <w:r w:rsidR="00A05C99" w:rsidRPr="002D3411">
        <w:rPr>
          <w:rFonts w:ascii="Times New Roman" w:hAnsi="Times New Roman"/>
          <w:color w:val="000000"/>
        </w:rPr>
        <w:t> </w:t>
      </w:r>
      <w:r w:rsidRPr="002D3411">
        <w:rPr>
          <w:rFonts w:ascii="Times New Roman" w:hAnsi="Times New Roman"/>
          <w:color w:val="000000"/>
        </w:rPr>
        <w:t xml:space="preserve">%). </w:t>
      </w:r>
    </w:p>
    <w:p w14:paraId="27640FB9"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7C29CD10" w14:textId="573E184F"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lastRenderedPageBreak/>
        <w:t>Daugiausia vaistinio preparato pašalinama su išmatomis, didžioji dalis – metabolitų pavidalu. Išgėrus vieną [</w:t>
      </w:r>
      <w:r w:rsidRPr="002D3411">
        <w:rPr>
          <w:rFonts w:ascii="Times New Roman" w:hAnsi="Times New Roman"/>
          <w:color w:val="000000"/>
          <w:vertAlign w:val="superscript"/>
        </w:rPr>
        <w:t>14</w:t>
      </w:r>
      <w:r w:rsidRPr="002D3411">
        <w:rPr>
          <w:rFonts w:ascii="Times New Roman" w:hAnsi="Times New Roman"/>
          <w:color w:val="000000"/>
        </w:rPr>
        <w:t xml:space="preserve">C] žymėto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dozę, maždaug 89</w:t>
      </w:r>
      <w:r w:rsidR="00A05C99" w:rsidRPr="002D3411">
        <w:rPr>
          <w:rFonts w:ascii="Times New Roman" w:hAnsi="Times New Roman"/>
          <w:color w:val="000000"/>
        </w:rPr>
        <w:t> </w:t>
      </w:r>
      <w:r w:rsidRPr="002D3411">
        <w:rPr>
          <w:rFonts w:ascii="Times New Roman" w:hAnsi="Times New Roman"/>
          <w:color w:val="000000"/>
        </w:rPr>
        <w:t>% radioaktyvumo buvo pašalinta per 10 parų</w:t>
      </w:r>
      <w:r w:rsidR="0065015F" w:rsidRPr="002D3411">
        <w:rPr>
          <w:rFonts w:ascii="Times New Roman" w:hAnsi="Times New Roman"/>
          <w:color w:val="000000"/>
        </w:rPr>
        <w:t xml:space="preserve"> </w:t>
      </w:r>
      <w:r w:rsidRPr="002D3411">
        <w:rPr>
          <w:rFonts w:ascii="Times New Roman" w:hAnsi="Times New Roman"/>
          <w:color w:val="000000"/>
        </w:rPr>
        <w:t>(šlapime aptikta 4</w:t>
      </w:r>
      <w:r w:rsidR="00A05C99" w:rsidRPr="002D3411">
        <w:rPr>
          <w:rFonts w:ascii="Times New Roman" w:hAnsi="Times New Roman"/>
          <w:color w:val="000000"/>
        </w:rPr>
        <w:t> </w:t>
      </w:r>
      <w:r w:rsidRPr="002D3411">
        <w:rPr>
          <w:rFonts w:ascii="Times New Roman" w:hAnsi="Times New Roman"/>
          <w:color w:val="000000"/>
        </w:rPr>
        <w:t>%, išmatose –- 85</w:t>
      </w:r>
      <w:r w:rsidR="00A05C99" w:rsidRPr="002D3411">
        <w:rPr>
          <w:rFonts w:ascii="Times New Roman" w:hAnsi="Times New Roman"/>
          <w:color w:val="000000"/>
        </w:rPr>
        <w:t> </w:t>
      </w:r>
      <w:r w:rsidRPr="002D3411">
        <w:rPr>
          <w:rFonts w:ascii="Times New Roman" w:hAnsi="Times New Roman"/>
          <w:color w:val="000000"/>
        </w:rPr>
        <w:t xml:space="preserve">% radioaktyvumo). Nepakitusia forma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šlapime nustatyta 0,1</w:t>
      </w:r>
      <w:r w:rsidR="00A05C99" w:rsidRPr="002D3411">
        <w:rPr>
          <w:rFonts w:ascii="Times New Roman" w:hAnsi="Times New Roman"/>
          <w:color w:val="000000"/>
        </w:rPr>
        <w:t> </w:t>
      </w:r>
      <w:r w:rsidRPr="002D3411">
        <w:rPr>
          <w:rFonts w:ascii="Times New Roman" w:hAnsi="Times New Roman"/>
          <w:color w:val="000000"/>
        </w:rPr>
        <w:t>%, išmatose – 19</w:t>
      </w:r>
      <w:r w:rsidR="00A05C99" w:rsidRPr="002D3411">
        <w:rPr>
          <w:rFonts w:ascii="Times New Roman" w:hAnsi="Times New Roman"/>
          <w:color w:val="000000"/>
        </w:rPr>
        <w:t> </w:t>
      </w:r>
      <w:r w:rsidRPr="002D3411">
        <w:rPr>
          <w:rFonts w:ascii="Times New Roman" w:hAnsi="Times New Roman"/>
          <w:color w:val="000000"/>
        </w:rPr>
        <w:t>% dozės. Likusi vaistinio preparato dozės dalis buvo pašalinta metabolitų pavidalu.</w:t>
      </w:r>
    </w:p>
    <w:p w14:paraId="6AACD92B"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0414384B" w14:textId="77777777"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u w:val="single"/>
        </w:rPr>
        <w:t>Sutrikusi kepenų ir inkstų funkcija</w:t>
      </w:r>
    </w:p>
    <w:p w14:paraId="16C0376B" w14:textId="3A802748" w:rsidR="00F07BD5" w:rsidRPr="002D3411" w:rsidRDefault="00F07BD5" w:rsidP="00A05C99">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Kepenų funkcijos sutrikimo įtaka vienkartinės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dozės farmakokinetikai įvertinta 8 vidutinio laipsnio kepenų funkcijos sutrikimu sergantiems asmenims skiriant 50</w:t>
      </w:r>
      <w:r w:rsidR="00A05C99" w:rsidRPr="002D3411">
        <w:rPr>
          <w:rFonts w:ascii="Times New Roman" w:hAnsi="Times New Roman"/>
          <w:color w:val="000000"/>
        </w:rPr>
        <w:t> </w:t>
      </w:r>
      <w:r w:rsidRPr="002D3411">
        <w:rPr>
          <w:rFonts w:ascii="Times New Roman" w:hAnsi="Times New Roman"/>
          <w:color w:val="000000"/>
        </w:rPr>
        <w:t>mg dozę ir 5 sunkaus laipsnio kepenų funkcijos sutrikimu sergantiems asmenims skiriant 20</w:t>
      </w:r>
      <w:r w:rsidR="00A05C99" w:rsidRPr="002D3411">
        <w:rPr>
          <w:rFonts w:ascii="Times New Roman" w:hAnsi="Times New Roman"/>
          <w:color w:val="000000"/>
        </w:rPr>
        <w:t> </w:t>
      </w:r>
      <w:r w:rsidRPr="002D3411">
        <w:rPr>
          <w:rFonts w:ascii="Times New Roman" w:hAnsi="Times New Roman"/>
          <w:color w:val="000000"/>
        </w:rPr>
        <w:t>mg dozę (lyginant su atitinkama sveikų asmenų, vartojusių 70</w:t>
      </w:r>
      <w:r w:rsidR="00A05C99" w:rsidRPr="002D3411">
        <w:rPr>
          <w:rFonts w:ascii="Times New Roman" w:hAnsi="Times New Roman"/>
          <w:color w:val="000000"/>
        </w:rPr>
        <w:t> </w:t>
      </w:r>
      <w:r w:rsidRPr="002D3411">
        <w:rPr>
          <w:rFonts w:ascii="Times New Roman" w:hAnsi="Times New Roman"/>
          <w:color w:val="000000"/>
        </w:rPr>
        <w:t xml:space="preserve">mg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dozę, grupe). Vidutinio laipsnio kepenų funkcijos sutrikimu sergančių asmenų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C</w:t>
      </w:r>
      <w:r w:rsidRPr="002D3411">
        <w:rPr>
          <w:rFonts w:ascii="Times New Roman" w:hAnsi="Times New Roman"/>
          <w:color w:val="000000"/>
          <w:vertAlign w:val="subscript"/>
        </w:rPr>
        <w:t>max</w:t>
      </w:r>
      <w:proofErr w:type="spellEnd"/>
      <w:r w:rsidRPr="002D3411">
        <w:rPr>
          <w:rFonts w:ascii="Times New Roman" w:hAnsi="Times New Roman"/>
          <w:color w:val="000000"/>
        </w:rPr>
        <w:t xml:space="preserve"> ir AUC vidurkiai, koreguoti pagal 70</w:t>
      </w:r>
      <w:r w:rsidR="00A05C99" w:rsidRPr="002D3411">
        <w:rPr>
          <w:rFonts w:ascii="Times New Roman" w:hAnsi="Times New Roman"/>
          <w:color w:val="000000"/>
        </w:rPr>
        <w:t> </w:t>
      </w:r>
      <w:r w:rsidRPr="002D3411">
        <w:rPr>
          <w:rFonts w:ascii="Times New Roman" w:hAnsi="Times New Roman"/>
          <w:color w:val="000000"/>
        </w:rPr>
        <w:t>mg dozę, buvo atitinkamai 47</w:t>
      </w:r>
      <w:r w:rsidR="00A05C99" w:rsidRPr="002D3411">
        <w:rPr>
          <w:rFonts w:ascii="Times New Roman" w:hAnsi="Times New Roman"/>
          <w:color w:val="000000"/>
        </w:rPr>
        <w:t> </w:t>
      </w:r>
      <w:r w:rsidRPr="002D3411">
        <w:rPr>
          <w:rFonts w:ascii="Times New Roman" w:hAnsi="Times New Roman"/>
          <w:color w:val="000000"/>
        </w:rPr>
        <w:t>% ir 8</w:t>
      </w:r>
      <w:r w:rsidR="00A05C99" w:rsidRPr="002D3411">
        <w:rPr>
          <w:rFonts w:ascii="Times New Roman" w:hAnsi="Times New Roman"/>
          <w:color w:val="000000"/>
        </w:rPr>
        <w:t> </w:t>
      </w:r>
      <w:r w:rsidRPr="002D3411">
        <w:rPr>
          <w:rFonts w:ascii="Times New Roman" w:hAnsi="Times New Roman"/>
          <w:color w:val="000000"/>
        </w:rPr>
        <w:t xml:space="preserve">% mažesni negu asmenų, kurių kepenų funkcija normali. Sunkiu kepenų funkcijos sutrikimu sergančių asmenų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C</w:t>
      </w:r>
      <w:r w:rsidRPr="002D3411">
        <w:rPr>
          <w:rFonts w:ascii="Times New Roman" w:hAnsi="Times New Roman"/>
          <w:color w:val="000000"/>
          <w:vertAlign w:val="subscript"/>
        </w:rPr>
        <w:t>max</w:t>
      </w:r>
      <w:proofErr w:type="spellEnd"/>
      <w:r w:rsidRPr="002D3411">
        <w:rPr>
          <w:rFonts w:ascii="Times New Roman" w:hAnsi="Times New Roman"/>
          <w:color w:val="000000"/>
        </w:rPr>
        <w:t xml:space="preserve"> ir AUC vidurkiai, koreguoti pagal 70</w:t>
      </w:r>
      <w:r w:rsidR="00A05C99" w:rsidRPr="002D3411">
        <w:rPr>
          <w:rFonts w:ascii="Times New Roman" w:hAnsi="Times New Roman"/>
          <w:color w:val="000000"/>
        </w:rPr>
        <w:t> </w:t>
      </w:r>
      <w:r w:rsidRPr="002D3411">
        <w:rPr>
          <w:rFonts w:ascii="Times New Roman" w:hAnsi="Times New Roman"/>
          <w:color w:val="000000"/>
        </w:rPr>
        <w:t>mg dozę, buvo atitinkamai 43</w:t>
      </w:r>
      <w:r w:rsidR="00A05C99" w:rsidRPr="002D3411">
        <w:rPr>
          <w:rFonts w:ascii="Times New Roman" w:hAnsi="Times New Roman"/>
          <w:color w:val="000000"/>
        </w:rPr>
        <w:t> </w:t>
      </w:r>
      <w:r w:rsidRPr="002D3411">
        <w:rPr>
          <w:rFonts w:ascii="Times New Roman" w:hAnsi="Times New Roman"/>
          <w:color w:val="000000"/>
        </w:rPr>
        <w:t>% ir 28</w:t>
      </w:r>
      <w:r w:rsidR="00A05C99" w:rsidRPr="002D3411">
        <w:rPr>
          <w:rFonts w:ascii="Times New Roman" w:hAnsi="Times New Roman"/>
          <w:color w:val="000000"/>
        </w:rPr>
        <w:t> </w:t>
      </w:r>
      <w:r w:rsidRPr="002D3411">
        <w:rPr>
          <w:rFonts w:ascii="Times New Roman" w:hAnsi="Times New Roman"/>
          <w:color w:val="000000"/>
        </w:rPr>
        <w:t>% mažesni negu asmenų, kurių kepenų funkcija normali (žr. 4.2 ir 4.4 skyrius).</w:t>
      </w:r>
    </w:p>
    <w:p w14:paraId="671AB0C0"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05FBAE63" w14:textId="77777777"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Per inkstus šalinamas minimalus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ir jo metabolitų kiekis.</w:t>
      </w:r>
    </w:p>
    <w:p w14:paraId="235DD060"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610FC67E" w14:textId="77777777"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u w:val="single"/>
        </w:rPr>
        <w:t>Vaikų populiacija</w:t>
      </w:r>
    </w:p>
    <w:p w14:paraId="353EC4E3" w14:textId="77777777" w:rsidR="00F07BD5" w:rsidRPr="002D3411" w:rsidRDefault="00F07BD5" w:rsidP="00F07BD5">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farmakokinetika vertinta 104 </w:t>
      </w:r>
      <w:r w:rsidRPr="00975CA4">
        <w:rPr>
          <w:rFonts w:ascii="Times New Roman" w:eastAsia="SimSun" w:hAnsi="Times New Roman" w:cs="Times New Roman"/>
          <w:color w:val="000000"/>
          <w:lang w:eastAsia="ar-SA"/>
        </w:rPr>
        <w:t>vaik</w:t>
      </w:r>
      <w:r w:rsidR="00C01840" w:rsidRPr="00975CA4">
        <w:rPr>
          <w:rFonts w:ascii="Times New Roman" w:eastAsia="SimSun" w:hAnsi="Times New Roman" w:cs="Times New Roman"/>
          <w:color w:val="000000"/>
          <w:lang w:eastAsia="ar-SA"/>
        </w:rPr>
        <w:t>a</w:t>
      </w:r>
      <w:r w:rsidRPr="00975CA4">
        <w:rPr>
          <w:rFonts w:ascii="Times New Roman" w:eastAsia="SimSun" w:hAnsi="Times New Roman" w:cs="Times New Roman"/>
          <w:color w:val="000000"/>
          <w:lang w:eastAsia="ar-SA"/>
        </w:rPr>
        <w:t>ms, sergantiems</w:t>
      </w:r>
      <w:r w:rsidRPr="002D3411">
        <w:rPr>
          <w:rFonts w:ascii="Times New Roman" w:hAnsi="Times New Roman"/>
          <w:color w:val="000000"/>
        </w:rPr>
        <w:t xml:space="preserve"> leukemija arba </w:t>
      </w:r>
      <w:proofErr w:type="spellStart"/>
      <w:r w:rsidRPr="002D3411">
        <w:rPr>
          <w:rFonts w:ascii="Times New Roman" w:hAnsi="Times New Roman"/>
          <w:color w:val="000000"/>
        </w:rPr>
        <w:t>solidiniais</w:t>
      </w:r>
      <w:proofErr w:type="spellEnd"/>
      <w:r w:rsidRPr="002D3411">
        <w:rPr>
          <w:rFonts w:ascii="Times New Roman" w:hAnsi="Times New Roman"/>
          <w:color w:val="000000"/>
        </w:rPr>
        <w:t xml:space="preserve"> navikais, organizme (72 vartojo tablečių ir 32 – miltelių geriamajai suspensijai). </w:t>
      </w:r>
    </w:p>
    <w:p w14:paraId="44140EA2"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50823258" w14:textId="77777777"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Farmakokinetikos </w:t>
      </w:r>
      <w:r w:rsidRPr="00975CA4">
        <w:rPr>
          <w:rFonts w:ascii="Times New Roman" w:eastAsia="SimSun" w:hAnsi="Times New Roman" w:cs="Times New Roman"/>
          <w:color w:val="000000"/>
          <w:lang w:eastAsia="ar-SA"/>
        </w:rPr>
        <w:t xml:space="preserve">vaikų </w:t>
      </w:r>
      <w:r w:rsidRPr="002D3411">
        <w:rPr>
          <w:rFonts w:ascii="Times New Roman" w:hAnsi="Times New Roman"/>
          <w:color w:val="000000"/>
        </w:rPr>
        <w:t xml:space="preserve">organizme tyrimo metu 21 LF LML ir 16 </w:t>
      </w:r>
      <w:proofErr w:type="spellStart"/>
      <w:r w:rsidRPr="002D3411">
        <w:rPr>
          <w:rFonts w:ascii="Times New Roman" w:hAnsi="Times New Roman"/>
          <w:color w:val="000000"/>
        </w:rPr>
        <w:t>Ph</w:t>
      </w:r>
      <w:proofErr w:type="spellEnd"/>
      <w:r w:rsidRPr="002D3411">
        <w:rPr>
          <w:rFonts w:ascii="Times New Roman" w:hAnsi="Times New Roman"/>
          <w:color w:val="000000"/>
        </w:rPr>
        <w:t xml:space="preserve">+ ŪLL sirgusių pacientų nustatyta panaši pagal dozę normalizuota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ekspozicija (</w:t>
      </w:r>
      <w:proofErr w:type="spellStart"/>
      <w:r w:rsidRPr="002D3411">
        <w:rPr>
          <w:rFonts w:ascii="Times New Roman" w:hAnsi="Times New Roman"/>
          <w:color w:val="000000"/>
        </w:rPr>
        <w:t>C</w:t>
      </w:r>
      <w:r w:rsidRPr="002D3411">
        <w:rPr>
          <w:rFonts w:ascii="Times New Roman" w:hAnsi="Times New Roman"/>
          <w:color w:val="000000"/>
          <w:vertAlign w:val="subscript"/>
        </w:rPr>
        <w:t>vid</w:t>
      </w:r>
      <w:proofErr w:type="spellEnd"/>
      <w:r w:rsidRPr="002D3411">
        <w:rPr>
          <w:rFonts w:ascii="Times New Roman" w:hAnsi="Times New Roman"/>
          <w:color w:val="000000"/>
          <w:vertAlign w:val="subscript"/>
        </w:rPr>
        <w:t>.</w:t>
      </w:r>
      <w:r w:rsidRPr="002D3411">
        <w:rPr>
          <w:rFonts w:ascii="Times New Roman" w:hAnsi="Times New Roman"/>
          <w:color w:val="000000"/>
        </w:rPr>
        <w:t xml:space="preserve">, </w:t>
      </w:r>
      <w:proofErr w:type="spellStart"/>
      <w:r w:rsidRPr="002D3411">
        <w:rPr>
          <w:rFonts w:ascii="Times New Roman" w:hAnsi="Times New Roman"/>
          <w:color w:val="000000"/>
        </w:rPr>
        <w:t>C</w:t>
      </w:r>
      <w:r w:rsidRPr="002D3411">
        <w:rPr>
          <w:rFonts w:ascii="Times New Roman" w:hAnsi="Times New Roman"/>
          <w:color w:val="000000"/>
          <w:vertAlign w:val="subscript"/>
        </w:rPr>
        <w:t>min</w:t>
      </w:r>
      <w:proofErr w:type="spellEnd"/>
      <w:r w:rsidRPr="002D3411">
        <w:rPr>
          <w:rFonts w:ascii="Times New Roman" w:hAnsi="Times New Roman"/>
          <w:color w:val="000000"/>
        </w:rPr>
        <w:t xml:space="preserve"> ir </w:t>
      </w:r>
      <w:proofErr w:type="spellStart"/>
      <w:r w:rsidRPr="002D3411">
        <w:rPr>
          <w:rFonts w:ascii="Times New Roman" w:hAnsi="Times New Roman"/>
          <w:color w:val="000000"/>
        </w:rPr>
        <w:t>C</w:t>
      </w:r>
      <w:r w:rsidRPr="002D3411">
        <w:rPr>
          <w:rFonts w:ascii="Times New Roman" w:hAnsi="Times New Roman"/>
          <w:color w:val="000000"/>
          <w:vertAlign w:val="subscript"/>
        </w:rPr>
        <w:t>max</w:t>
      </w:r>
      <w:proofErr w:type="spellEnd"/>
      <w:r w:rsidRPr="002D3411">
        <w:rPr>
          <w:rFonts w:ascii="Times New Roman" w:hAnsi="Times New Roman"/>
          <w:color w:val="000000"/>
        </w:rPr>
        <w:t>).</w:t>
      </w:r>
    </w:p>
    <w:p w14:paraId="2DD23D7A"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758D2D2F" w14:textId="18EB88E7" w:rsidR="00F07BD5" w:rsidRPr="002D3411" w:rsidRDefault="00F07BD5" w:rsidP="00F07BD5">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tablečių farmakokinetika vertinta 72 vaikų, </w:t>
      </w:r>
      <w:r w:rsidRPr="00975CA4">
        <w:rPr>
          <w:rFonts w:ascii="Times New Roman" w:eastAsia="SimSun" w:hAnsi="Times New Roman" w:cs="Times New Roman"/>
          <w:color w:val="000000"/>
          <w:lang w:eastAsia="ar-SA"/>
        </w:rPr>
        <w:t>sergančių</w:t>
      </w:r>
      <w:r w:rsidRPr="002D3411">
        <w:rPr>
          <w:rFonts w:ascii="Times New Roman" w:hAnsi="Times New Roman"/>
          <w:color w:val="000000"/>
        </w:rPr>
        <w:t xml:space="preserve"> atsinaujinusia arba atsparia leukemija arba </w:t>
      </w:r>
      <w:proofErr w:type="spellStart"/>
      <w:r w:rsidRPr="002D3411">
        <w:rPr>
          <w:rFonts w:ascii="Times New Roman" w:hAnsi="Times New Roman"/>
          <w:color w:val="000000"/>
        </w:rPr>
        <w:t>solidiniais</w:t>
      </w:r>
      <w:proofErr w:type="spellEnd"/>
      <w:r w:rsidRPr="002D3411">
        <w:rPr>
          <w:rFonts w:ascii="Times New Roman" w:hAnsi="Times New Roman"/>
          <w:color w:val="000000"/>
        </w:rPr>
        <w:t xml:space="preserve"> navikais, organizme. Jie vartojo 60-120</w:t>
      </w:r>
      <w:r w:rsidR="00A05C99" w:rsidRPr="002D3411">
        <w:rPr>
          <w:rFonts w:ascii="Times New Roman" w:hAnsi="Times New Roman"/>
          <w:color w:val="000000"/>
        </w:rPr>
        <w:t> </w:t>
      </w:r>
      <w:r w:rsidRPr="002D3411">
        <w:rPr>
          <w:rFonts w:ascii="Times New Roman" w:hAnsi="Times New Roman"/>
          <w:color w:val="000000"/>
        </w:rPr>
        <w:t>mg/m</w:t>
      </w:r>
      <w:r w:rsidRPr="002D3411">
        <w:rPr>
          <w:rFonts w:ascii="Times New Roman" w:hAnsi="Times New Roman"/>
          <w:color w:val="000000"/>
          <w:vertAlign w:val="superscript"/>
        </w:rPr>
        <w:t>2</w:t>
      </w:r>
      <w:r w:rsidRPr="002D3411">
        <w:rPr>
          <w:rFonts w:ascii="Times New Roman" w:hAnsi="Times New Roman"/>
          <w:color w:val="000000"/>
        </w:rPr>
        <w:t xml:space="preserve"> 1 kartą per parą arba po 50-110</w:t>
      </w:r>
      <w:r w:rsidR="00A05C99" w:rsidRPr="002D3411">
        <w:rPr>
          <w:rFonts w:ascii="Times New Roman" w:hAnsi="Times New Roman"/>
          <w:color w:val="000000"/>
        </w:rPr>
        <w:t> </w:t>
      </w:r>
      <w:r w:rsidRPr="002D3411">
        <w:rPr>
          <w:rFonts w:ascii="Times New Roman" w:hAnsi="Times New Roman"/>
          <w:color w:val="000000"/>
        </w:rPr>
        <w:t>mg/m</w:t>
      </w:r>
      <w:r w:rsidRPr="002D3411">
        <w:rPr>
          <w:rFonts w:ascii="Times New Roman" w:hAnsi="Times New Roman"/>
          <w:color w:val="000000"/>
          <w:vertAlign w:val="superscript"/>
        </w:rPr>
        <w:t xml:space="preserve">2 </w:t>
      </w:r>
      <w:r w:rsidRPr="002D3411">
        <w:rPr>
          <w:rFonts w:ascii="Times New Roman" w:hAnsi="Times New Roman"/>
          <w:color w:val="000000"/>
        </w:rPr>
        <w:t xml:space="preserve">2 kartus per parą per burną. Bendrais abiejų tyrimų duomenimis,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absorbcija yra greita. Vartojant visas dozes visoms amžiaus grupėms, vidutinis </w:t>
      </w:r>
      <w:proofErr w:type="spellStart"/>
      <w:r w:rsidRPr="002D3411">
        <w:rPr>
          <w:rFonts w:ascii="Times New Roman" w:hAnsi="Times New Roman"/>
          <w:color w:val="000000"/>
        </w:rPr>
        <w:t>T</w:t>
      </w:r>
      <w:r w:rsidRPr="002D3411">
        <w:rPr>
          <w:rFonts w:ascii="Times New Roman" w:hAnsi="Times New Roman"/>
          <w:color w:val="000000"/>
          <w:vertAlign w:val="subscript"/>
        </w:rPr>
        <w:t>max</w:t>
      </w:r>
      <w:proofErr w:type="spellEnd"/>
      <w:r w:rsidRPr="002D3411">
        <w:rPr>
          <w:rFonts w:ascii="Times New Roman" w:hAnsi="Times New Roman"/>
          <w:color w:val="000000"/>
        </w:rPr>
        <w:t xml:space="preserve"> buvo 0,5-6</w:t>
      </w:r>
      <w:r w:rsidR="00A05C99" w:rsidRPr="002D3411">
        <w:rPr>
          <w:rFonts w:ascii="Times New Roman" w:hAnsi="Times New Roman"/>
          <w:color w:val="000000"/>
        </w:rPr>
        <w:t> </w:t>
      </w:r>
      <w:r w:rsidRPr="002D3411">
        <w:rPr>
          <w:rFonts w:ascii="Times New Roman" w:hAnsi="Times New Roman"/>
          <w:color w:val="000000"/>
        </w:rPr>
        <w:t xml:space="preserve">val., o vidutinis </w:t>
      </w:r>
      <w:r w:rsidRPr="00975CA4">
        <w:rPr>
          <w:rFonts w:ascii="Times New Roman" w:eastAsia="SimSun" w:hAnsi="Times New Roman" w:cs="Times New Roman"/>
          <w:color w:val="000000"/>
          <w:lang w:eastAsia="ar-SA"/>
        </w:rPr>
        <w:t>pusinės eliminacijos</w:t>
      </w:r>
      <w:r w:rsidRPr="002D3411">
        <w:rPr>
          <w:rFonts w:ascii="Times New Roman" w:hAnsi="Times New Roman"/>
          <w:color w:val="000000"/>
        </w:rPr>
        <w:t xml:space="preserve"> laikas – 2-5</w:t>
      </w:r>
      <w:r w:rsidR="00A05C99" w:rsidRPr="002D3411">
        <w:rPr>
          <w:rFonts w:ascii="Times New Roman" w:hAnsi="Times New Roman"/>
          <w:color w:val="000000"/>
        </w:rPr>
        <w:t> </w:t>
      </w:r>
      <w:r w:rsidRPr="002D3411">
        <w:rPr>
          <w:rFonts w:ascii="Times New Roman" w:hAnsi="Times New Roman"/>
          <w:color w:val="000000"/>
        </w:rPr>
        <w:t xml:space="preserve">val.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farmakokinetikos </w:t>
      </w:r>
      <w:r w:rsidRPr="00975CA4">
        <w:rPr>
          <w:rFonts w:ascii="Times New Roman" w:eastAsia="SimSun" w:hAnsi="Times New Roman" w:cs="Times New Roman"/>
          <w:color w:val="000000"/>
          <w:lang w:eastAsia="ar-SA"/>
        </w:rPr>
        <w:t>rodmenys</w:t>
      </w:r>
      <w:r w:rsidRPr="002D3411">
        <w:rPr>
          <w:rFonts w:ascii="Times New Roman" w:hAnsi="Times New Roman"/>
          <w:color w:val="000000"/>
        </w:rPr>
        <w:t xml:space="preserve"> buvo proporcingi dozei, vaik</w:t>
      </w:r>
      <w:r w:rsidRPr="00975CA4">
        <w:rPr>
          <w:rFonts w:ascii="Times New Roman" w:eastAsia="SimSun" w:hAnsi="Times New Roman" w:cs="Times New Roman"/>
          <w:color w:val="000000"/>
          <w:lang w:eastAsia="ar-SA"/>
        </w:rPr>
        <w:t xml:space="preserve">ams </w:t>
      </w:r>
      <w:r w:rsidRPr="002D3411">
        <w:rPr>
          <w:rFonts w:ascii="Times New Roman" w:hAnsi="Times New Roman"/>
          <w:color w:val="000000"/>
        </w:rPr>
        <w:t xml:space="preserve">ekspozicija didėjo priklausomai nuo dozės.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farmakokinetika vaikų ir paauglių organizme reikšmingai nesiskyrė. Pagal dozę normalizuoti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C</w:t>
      </w:r>
      <w:r w:rsidRPr="002D3411">
        <w:rPr>
          <w:rFonts w:ascii="Times New Roman" w:hAnsi="Times New Roman"/>
          <w:color w:val="000000"/>
          <w:vertAlign w:val="subscript"/>
        </w:rPr>
        <w:t>max</w:t>
      </w:r>
      <w:proofErr w:type="spellEnd"/>
      <w:r w:rsidRPr="002D3411">
        <w:rPr>
          <w:rFonts w:ascii="Times New Roman" w:hAnsi="Times New Roman"/>
          <w:color w:val="000000"/>
        </w:rPr>
        <w:t>, AUC</w:t>
      </w:r>
      <w:r w:rsidRPr="002D3411">
        <w:rPr>
          <w:rFonts w:ascii="Times New Roman" w:hAnsi="Times New Roman"/>
          <w:color w:val="000000"/>
          <w:vertAlign w:val="subscript"/>
        </w:rPr>
        <w:t>0-T</w:t>
      </w:r>
      <w:r w:rsidRPr="002D3411">
        <w:rPr>
          <w:rFonts w:ascii="Times New Roman" w:hAnsi="Times New Roman"/>
          <w:color w:val="000000"/>
        </w:rPr>
        <w:t xml:space="preserve"> ir AUC</w:t>
      </w:r>
      <w:r w:rsidRPr="002D3411">
        <w:rPr>
          <w:rFonts w:ascii="Times New Roman" w:hAnsi="Times New Roman"/>
          <w:color w:val="000000"/>
          <w:vertAlign w:val="subscript"/>
        </w:rPr>
        <w:t>INF</w:t>
      </w:r>
      <w:r w:rsidRPr="002D3411">
        <w:rPr>
          <w:rFonts w:ascii="Times New Roman" w:hAnsi="Times New Roman"/>
          <w:color w:val="000000"/>
        </w:rPr>
        <w:t xml:space="preserve"> geometriniai vidurkiai skirtingas dozes vartojusiems vaikams ir paaugliams buvo panašūs. Naudojant </w:t>
      </w:r>
      <w:proofErr w:type="spellStart"/>
      <w:r w:rsidRPr="002D3411">
        <w:rPr>
          <w:rFonts w:ascii="Times New Roman" w:hAnsi="Times New Roman"/>
          <w:color w:val="000000"/>
        </w:rPr>
        <w:t>populiacinės</w:t>
      </w:r>
      <w:proofErr w:type="spellEnd"/>
      <w:r w:rsidRPr="002D3411">
        <w:rPr>
          <w:rFonts w:ascii="Times New Roman" w:hAnsi="Times New Roman"/>
          <w:color w:val="000000"/>
        </w:rPr>
        <w:t xml:space="preserve"> farmakokinetikos modelį atliktas modeliavimas leidžia numatyti panašią ekspoziciją dozuojant tabletes pagal kūno svorį (žr. 4.2 skyrių) ir vartojant jų 60</w:t>
      </w:r>
      <w:r w:rsidR="00A05C99" w:rsidRPr="002D3411">
        <w:rPr>
          <w:rFonts w:ascii="Times New Roman" w:hAnsi="Times New Roman"/>
          <w:color w:val="000000"/>
        </w:rPr>
        <w:t> </w:t>
      </w:r>
      <w:r w:rsidRPr="002D3411">
        <w:rPr>
          <w:rFonts w:ascii="Times New Roman" w:hAnsi="Times New Roman"/>
          <w:color w:val="000000"/>
        </w:rPr>
        <w:t>mg/m</w:t>
      </w:r>
      <w:r w:rsidRPr="002D3411">
        <w:rPr>
          <w:rFonts w:ascii="Times New Roman" w:hAnsi="Times New Roman"/>
          <w:color w:val="000000"/>
          <w:vertAlign w:val="superscript"/>
        </w:rPr>
        <w:t>2</w:t>
      </w:r>
      <w:r w:rsidRPr="002D3411">
        <w:rPr>
          <w:rFonts w:ascii="Times New Roman" w:hAnsi="Times New Roman"/>
          <w:color w:val="000000"/>
        </w:rPr>
        <w:t xml:space="preserve"> dozę. Į šiuos duomenis būtina atsižvelgti keičiant tabletes milteliais geriamajai suspensijai arba atvirkščiai. </w:t>
      </w:r>
    </w:p>
    <w:p w14:paraId="440B694C" w14:textId="77777777" w:rsidR="00F07BD5" w:rsidRPr="002D3411" w:rsidRDefault="00F07BD5" w:rsidP="00F07BD5">
      <w:pPr>
        <w:tabs>
          <w:tab w:val="left" w:pos="567"/>
        </w:tabs>
        <w:suppressAutoHyphens/>
        <w:spacing w:after="0" w:line="240" w:lineRule="auto"/>
        <w:rPr>
          <w:rFonts w:ascii="Times New Roman" w:hAnsi="Times New Roman"/>
          <w:color w:val="000000"/>
        </w:rPr>
      </w:pPr>
    </w:p>
    <w:p w14:paraId="04D360F4" w14:textId="77777777" w:rsidR="00F07BD5" w:rsidRPr="002D3411" w:rsidRDefault="00F07BD5" w:rsidP="00F07BD5">
      <w:pPr>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5.3</w:t>
      </w:r>
      <w:r w:rsidRPr="002D3411">
        <w:rPr>
          <w:rFonts w:ascii="Times New Roman" w:hAnsi="Times New Roman"/>
          <w:b/>
          <w:color w:val="000000"/>
        </w:rPr>
        <w:tab/>
      </w:r>
      <w:proofErr w:type="spellStart"/>
      <w:r w:rsidRPr="002D3411">
        <w:rPr>
          <w:rFonts w:ascii="Times New Roman" w:hAnsi="Times New Roman"/>
          <w:b/>
          <w:color w:val="000000"/>
        </w:rPr>
        <w:t>Ikiklinikinių</w:t>
      </w:r>
      <w:proofErr w:type="spellEnd"/>
      <w:r w:rsidRPr="002D3411">
        <w:rPr>
          <w:rFonts w:ascii="Times New Roman" w:hAnsi="Times New Roman"/>
          <w:b/>
          <w:color w:val="000000"/>
        </w:rPr>
        <w:t xml:space="preserve"> saugumo tyrimų duomenys</w:t>
      </w:r>
    </w:p>
    <w:p w14:paraId="3C3B2A09" w14:textId="77777777" w:rsidR="00F07BD5" w:rsidRPr="00F414D6" w:rsidRDefault="00F07BD5" w:rsidP="00F07BD5">
      <w:pPr>
        <w:tabs>
          <w:tab w:val="left" w:pos="567"/>
        </w:tabs>
        <w:suppressAutoHyphens/>
        <w:spacing w:after="0" w:line="240" w:lineRule="auto"/>
        <w:rPr>
          <w:rFonts w:ascii="Times New Roman" w:hAnsi="Times New Roman"/>
          <w:color w:val="000000"/>
          <w:sz w:val="16"/>
          <w:szCs w:val="16"/>
        </w:rPr>
      </w:pPr>
    </w:p>
    <w:p w14:paraId="44C87A5B" w14:textId="77777777" w:rsidR="00C01840" w:rsidRPr="002D3411" w:rsidRDefault="00C01840" w:rsidP="00C01840">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ikiklinikinis</w:t>
      </w:r>
      <w:proofErr w:type="spellEnd"/>
      <w:r w:rsidRPr="002D3411">
        <w:rPr>
          <w:rFonts w:ascii="Times New Roman" w:hAnsi="Times New Roman"/>
          <w:color w:val="000000"/>
        </w:rPr>
        <w:t xml:space="preserve"> saugumas įvertintas remiantis daugelio tyrimų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vitro</w:t>
      </w:r>
      <w:proofErr w:type="spellEnd"/>
      <w:r w:rsidRPr="002D3411">
        <w:rPr>
          <w:rFonts w:ascii="Times New Roman" w:hAnsi="Times New Roman"/>
          <w:color w:val="000000"/>
        </w:rPr>
        <w:t xml:space="preserve"> ir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vivo</w:t>
      </w:r>
      <w:proofErr w:type="spellEnd"/>
      <w:r w:rsidRPr="002D3411">
        <w:rPr>
          <w:rFonts w:ascii="Times New Roman" w:hAnsi="Times New Roman"/>
          <w:color w:val="000000"/>
        </w:rPr>
        <w:t xml:space="preserve"> su pelėmis, žiurkėmis, beždžionėmis ir triušiais duomenimis.</w:t>
      </w:r>
    </w:p>
    <w:p w14:paraId="5A0ABBCA" w14:textId="77777777" w:rsidR="00C51E45" w:rsidRPr="002D3411" w:rsidRDefault="00C51E45" w:rsidP="00C01840">
      <w:pPr>
        <w:tabs>
          <w:tab w:val="left" w:pos="567"/>
        </w:tabs>
        <w:suppressAutoHyphens/>
        <w:spacing w:after="0" w:line="240" w:lineRule="auto"/>
        <w:rPr>
          <w:rFonts w:ascii="Times New Roman" w:hAnsi="Times New Roman"/>
          <w:color w:val="000000"/>
        </w:rPr>
      </w:pPr>
    </w:p>
    <w:p w14:paraId="68D32034" w14:textId="1EEFBDAB"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Pirmiausiai toksinis poveikis pasireiškė virškinimo trakte, </w:t>
      </w:r>
      <w:proofErr w:type="spellStart"/>
      <w:r w:rsidRPr="002D3411">
        <w:rPr>
          <w:rFonts w:ascii="Times New Roman" w:hAnsi="Times New Roman"/>
          <w:color w:val="000000"/>
        </w:rPr>
        <w:t>kraujodaros</w:t>
      </w:r>
      <w:proofErr w:type="spellEnd"/>
      <w:r w:rsidRPr="002D3411">
        <w:rPr>
          <w:rFonts w:ascii="Times New Roman" w:hAnsi="Times New Roman"/>
          <w:color w:val="000000"/>
        </w:rPr>
        <w:t xml:space="preserve"> ir </w:t>
      </w:r>
      <w:proofErr w:type="spellStart"/>
      <w:r w:rsidRPr="002D3411">
        <w:rPr>
          <w:rFonts w:ascii="Times New Roman" w:hAnsi="Times New Roman"/>
          <w:color w:val="000000"/>
        </w:rPr>
        <w:t>limfoidinėje</w:t>
      </w:r>
      <w:proofErr w:type="spellEnd"/>
      <w:r w:rsidRPr="002D3411">
        <w:rPr>
          <w:rFonts w:ascii="Times New Roman" w:hAnsi="Times New Roman"/>
          <w:color w:val="000000"/>
        </w:rPr>
        <w:t xml:space="preserve"> sistemose. Dėl toksinio poveikio virškinimo traktui teko riboti dozes žiurkėms ir beždžionėms, kurių žarnynas </w:t>
      </w:r>
      <w:r w:rsidR="00C01A8C" w:rsidRPr="002D3411">
        <w:rPr>
          <w:rFonts w:ascii="Times New Roman" w:hAnsi="Times New Roman"/>
          <w:color w:val="000000"/>
        </w:rPr>
        <w:t xml:space="preserve">nuolat </w:t>
      </w:r>
      <w:r w:rsidRPr="002D3411">
        <w:rPr>
          <w:rFonts w:ascii="Times New Roman" w:hAnsi="Times New Roman"/>
          <w:color w:val="000000"/>
        </w:rPr>
        <w:t xml:space="preserve">būdavo organas taikinys. Žiurkėms nustatytą eritrocitų parametrų sumažėjimą (nuo minimalaus iki lengvo) visada lydėdavo  kaulų čiulpų pokyčiai. Panašių pokyčių nustatyta ir beždžionėms, bet rečiau. Toksinis poveikis žiurkių </w:t>
      </w:r>
      <w:proofErr w:type="spellStart"/>
      <w:r w:rsidRPr="002D3411">
        <w:rPr>
          <w:rFonts w:ascii="Times New Roman" w:hAnsi="Times New Roman"/>
          <w:color w:val="000000"/>
        </w:rPr>
        <w:t>limfoidiniam</w:t>
      </w:r>
      <w:proofErr w:type="spellEnd"/>
      <w:r w:rsidRPr="002D3411">
        <w:rPr>
          <w:rFonts w:ascii="Times New Roman" w:hAnsi="Times New Roman"/>
          <w:color w:val="000000"/>
        </w:rPr>
        <w:t xml:space="preserve"> audiniui pasireiškė jo kiekio limfmazgiuose, blužnyje ir </w:t>
      </w:r>
      <w:proofErr w:type="spellStart"/>
      <w:r w:rsidRPr="002D3411">
        <w:rPr>
          <w:rFonts w:ascii="Times New Roman" w:hAnsi="Times New Roman"/>
          <w:color w:val="000000"/>
        </w:rPr>
        <w:t>užkrūčio</w:t>
      </w:r>
      <w:proofErr w:type="spellEnd"/>
      <w:r w:rsidRPr="002D3411">
        <w:rPr>
          <w:rFonts w:ascii="Times New Roman" w:hAnsi="Times New Roman"/>
          <w:color w:val="000000"/>
        </w:rPr>
        <w:t xml:space="preserve"> liaukoje bei </w:t>
      </w:r>
      <w:proofErr w:type="spellStart"/>
      <w:r w:rsidRPr="002D3411">
        <w:rPr>
          <w:rFonts w:ascii="Times New Roman" w:hAnsi="Times New Roman"/>
          <w:color w:val="000000"/>
        </w:rPr>
        <w:t>limfoidinių</w:t>
      </w:r>
      <w:proofErr w:type="spellEnd"/>
      <w:r w:rsidRPr="002D3411">
        <w:rPr>
          <w:rFonts w:ascii="Times New Roman" w:hAnsi="Times New Roman"/>
          <w:color w:val="000000"/>
        </w:rPr>
        <w:t xml:space="preserve"> organų svorio sumažėjimu. Virškinimo, trakto, </w:t>
      </w:r>
      <w:proofErr w:type="spellStart"/>
      <w:r w:rsidRPr="002D3411">
        <w:rPr>
          <w:rFonts w:ascii="Times New Roman" w:hAnsi="Times New Roman"/>
          <w:color w:val="000000"/>
        </w:rPr>
        <w:t>kraujodaros</w:t>
      </w:r>
      <w:proofErr w:type="spellEnd"/>
      <w:r w:rsidRPr="002D3411">
        <w:rPr>
          <w:rFonts w:ascii="Times New Roman" w:hAnsi="Times New Roman"/>
          <w:color w:val="000000"/>
        </w:rPr>
        <w:t xml:space="preserve"> ir </w:t>
      </w:r>
      <w:proofErr w:type="spellStart"/>
      <w:r w:rsidRPr="002D3411">
        <w:rPr>
          <w:rFonts w:ascii="Times New Roman" w:hAnsi="Times New Roman"/>
          <w:color w:val="000000"/>
        </w:rPr>
        <w:t>limfoidinės</w:t>
      </w:r>
      <w:proofErr w:type="spellEnd"/>
      <w:r w:rsidRPr="002D3411">
        <w:rPr>
          <w:rFonts w:ascii="Times New Roman" w:hAnsi="Times New Roman"/>
          <w:color w:val="000000"/>
        </w:rPr>
        <w:t xml:space="preserve"> sistemos pokyčiai praeidavo nutraukus vaistinio preparato davimą.</w:t>
      </w:r>
    </w:p>
    <w:p w14:paraId="06875358"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10951264" w14:textId="74F541F1"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Beždžionių, kurioms šio vaistinio preparato duota iki 9</w:t>
      </w:r>
      <w:r w:rsidR="00A05C99" w:rsidRPr="002D3411">
        <w:rPr>
          <w:rFonts w:ascii="Times New Roman" w:hAnsi="Times New Roman"/>
          <w:color w:val="000000"/>
        </w:rPr>
        <w:t> </w:t>
      </w:r>
      <w:r w:rsidRPr="002D3411">
        <w:rPr>
          <w:rFonts w:ascii="Times New Roman" w:hAnsi="Times New Roman"/>
          <w:color w:val="000000"/>
        </w:rPr>
        <w:t xml:space="preserve">mėn., inkstų pokyčiai apsiribojo padidėjusia fonine mineralizacija. Su beždžionėmis atlikto ūminio vienos dozės per </w:t>
      </w:r>
      <w:r w:rsidR="006E09F3" w:rsidRPr="002D3411">
        <w:rPr>
          <w:rFonts w:ascii="Times New Roman" w:hAnsi="Times New Roman"/>
          <w:color w:val="000000"/>
        </w:rPr>
        <w:t xml:space="preserve">burną </w:t>
      </w:r>
      <w:r w:rsidRPr="002D3411">
        <w:rPr>
          <w:rFonts w:ascii="Times New Roman" w:hAnsi="Times New Roman"/>
          <w:color w:val="000000"/>
        </w:rPr>
        <w:t xml:space="preserve">toksiškumo tyrimo metu nustatyta odos kraujosruvų, tačiau su beždžionėmis ir žiurkėmis atliktų kartotinų dozių toksiškumo tyrimų metu jų </w:t>
      </w:r>
      <w:r w:rsidRPr="002D3411">
        <w:rPr>
          <w:rFonts w:ascii="Times New Roman" w:hAnsi="Times New Roman"/>
          <w:color w:val="000000"/>
        </w:rPr>
        <w:lastRenderedPageBreak/>
        <w:t xml:space="preserve">neaptikta. Žiurkėms </w:t>
      </w:r>
      <w:proofErr w:type="spellStart"/>
      <w:r w:rsidRPr="002D3411">
        <w:rPr>
          <w:rFonts w:ascii="Times New Roman" w:hAnsi="Times New Roman"/>
          <w:color w:val="000000"/>
        </w:rPr>
        <w:t>dazatinibas</w:t>
      </w:r>
      <w:proofErr w:type="spellEnd"/>
      <w:r w:rsidRPr="002D3411">
        <w:rPr>
          <w:rFonts w:ascii="Times New Roman" w:hAnsi="Times New Roman"/>
          <w:color w:val="000000"/>
        </w:rPr>
        <w:t xml:space="preserve"> slopino trombocitų </w:t>
      </w:r>
      <w:proofErr w:type="spellStart"/>
      <w:r w:rsidRPr="002D3411">
        <w:rPr>
          <w:rFonts w:ascii="Times New Roman" w:hAnsi="Times New Roman"/>
          <w:color w:val="000000"/>
        </w:rPr>
        <w:t>agregaciją</w:t>
      </w:r>
      <w:proofErr w:type="spellEnd"/>
      <w:r w:rsidRPr="002D3411">
        <w:rPr>
          <w:rFonts w:ascii="Times New Roman" w:hAnsi="Times New Roman"/>
          <w:color w:val="000000"/>
        </w:rPr>
        <w:t xml:space="preserve">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vitro</w:t>
      </w:r>
      <w:proofErr w:type="spellEnd"/>
      <w:r w:rsidRPr="002D3411">
        <w:rPr>
          <w:rFonts w:ascii="Times New Roman" w:hAnsi="Times New Roman"/>
          <w:color w:val="000000"/>
        </w:rPr>
        <w:t xml:space="preserve"> ir pailgino epidermio kraujavimo trukmę </w:t>
      </w:r>
      <w:proofErr w:type="spellStart"/>
      <w:r w:rsidRPr="002D3411">
        <w:rPr>
          <w:rFonts w:ascii="Times New Roman" w:hAnsi="Times New Roman"/>
          <w:color w:val="000000"/>
        </w:rPr>
        <w:t>in</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vivo</w:t>
      </w:r>
      <w:proofErr w:type="spellEnd"/>
      <w:r w:rsidRPr="002D3411">
        <w:rPr>
          <w:rFonts w:ascii="Times New Roman" w:hAnsi="Times New Roman"/>
          <w:color w:val="000000"/>
        </w:rPr>
        <w:t>, tačiau savaiminio kraujavimo nesukėlė.</w:t>
      </w:r>
    </w:p>
    <w:p w14:paraId="41EF3B61"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11C5C2CC" w14:textId="77777777" w:rsidR="00C01840" w:rsidRPr="002D3411" w:rsidRDefault="00C01840" w:rsidP="00C01840">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aktyvumas, nustatytas tyrimų su </w:t>
      </w:r>
      <w:proofErr w:type="spellStart"/>
      <w:r w:rsidRPr="002D3411">
        <w:rPr>
          <w:rFonts w:ascii="Times New Roman" w:hAnsi="Times New Roman"/>
          <w:color w:val="000000"/>
        </w:rPr>
        <w:t>hERG</w:t>
      </w:r>
      <w:proofErr w:type="spellEnd"/>
      <w:r w:rsidRPr="002D3411">
        <w:rPr>
          <w:rFonts w:ascii="Times New Roman" w:hAnsi="Times New Roman"/>
          <w:color w:val="000000"/>
        </w:rPr>
        <w:t xml:space="preserve"> ir </w:t>
      </w:r>
      <w:proofErr w:type="spellStart"/>
      <w:r w:rsidRPr="002D3411">
        <w:rPr>
          <w:rFonts w:ascii="Times New Roman" w:hAnsi="Times New Roman"/>
          <w:color w:val="000000"/>
        </w:rPr>
        <w:t>Purkinje</w:t>
      </w:r>
      <w:proofErr w:type="spellEnd"/>
      <w:r w:rsidRPr="002D3411">
        <w:rPr>
          <w:rFonts w:ascii="Times New Roman" w:hAnsi="Times New Roman"/>
          <w:color w:val="000000"/>
        </w:rPr>
        <w:t xml:space="preserve"> skaidulomis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vitro</w:t>
      </w:r>
      <w:proofErr w:type="spellEnd"/>
      <w:r w:rsidRPr="002D3411">
        <w:rPr>
          <w:rFonts w:ascii="Times New Roman" w:hAnsi="Times New Roman"/>
          <w:color w:val="000000"/>
        </w:rPr>
        <w:t xml:space="preserve">, rodo širdies skilvelių </w:t>
      </w:r>
      <w:proofErr w:type="spellStart"/>
      <w:r w:rsidRPr="002D3411">
        <w:rPr>
          <w:rFonts w:ascii="Times New Roman" w:hAnsi="Times New Roman"/>
          <w:color w:val="000000"/>
        </w:rPr>
        <w:t>repoliarizacijos</w:t>
      </w:r>
      <w:proofErr w:type="spellEnd"/>
      <w:r w:rsidRPr="002D3411">
        <w:rPr>
          <w:rFonts w:ascii="Times New Roman" w:hAnsi="Times New Roman"/>
          <w:color w:val="000000"/>
        </w:rPr>
        <w:t xml:space="preserve"> (QT intervalo) pailgėjimo galimybę. Vis dėlto vienos dozės tyrimas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vivo</w:t>
      </w:r>
      <w:proofErr w:type="spellEnd"/>
      <w:r w:rsidRPr="002D3411">
        <w:rPr>
          <w:rFonts w:ascii="Times New Roman" w:hAnsi="Times New Roman"/>
          <w:color w:val="000000"/>
        </w:rPr>
        <w:t xml:space="preserve">, atliktas </w:t>
      </w:r>
      <w:proofErr w:type="spellStart"/>
      <w:r w:rsidRPr="002D3411">
        <w:rPr>
          <w:rFonts w:ascii="Times New Roman" w:hAnsi="Times New Roman"/>
          <w:color w:val="000000"/>
        </w:rPr>
        <w:t>telemetrijos</w:t>
      </w:r>
      <w:proofErr w:type="spellEnd"/>
      <w:r w:rsidRPr="002D3411">
        <w:rPr>
          <w:rFonts w:ascii="Times New Roman" w:hAnsi="Times New Roman"/>
          <w:color w:val="000000"/>
        </w:rPr>
        <w:t xml:space="preserve"> metodu su sąmoningomis beždžionėmis, QT intervalo ar EKG bangų formos pokyčių neparodė.</w:t>
      </w:r>
    </w:p>
    <w:p w14:paraId="6ACEB551"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170EE0E2" w14:textId="77777777"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Atliekant mėginius su bakterijų ląstelėmis (</w:t>
      </w:r>
      <w:proofErr w:type="spellStart"/>
      <w:r w:rsidRPr="002D3411">
        <w:rPr>
          <w:rFonts w:ascii="Times New Roman" w:hAnsi="Times New Roman"/>
          <w:i/>
          <w:color w:val="000000"/>
        </w:rPr>
        <w:t>Ames</w:t>
      </w:r>
      <w:proofErr w:type="spellEnd"/>
      <w:r w:rsidRPr="002D3411">
        <w:rPr>
          <w:rFonts w:ascii="Times New Roman" w:hAnsi="Times New Roman"/>
          <w:color w:val="000000"/>
        </w:rPr>
        <w:t xml:space="preserve"> testą)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vitro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mutageninio poveikio nenustatyta. Atliekant žiurkių </w:t>
      </w:r>
      <w:proofErr w:type="spellStart"/>
      <w:r w:rsidRPr="002D3411">
        <w:rPr>
          <w:rFonts w:ascii="Times New Roman" w:hAnsi="Times New Roman"/>
          <w:color w:val="000000"/>
        </w:rPr>
        <w:t>mikrobranduolių</w:t>
      </w:r>
      <w:proofErr w:type="spellEnd"/>
      <w:r w:rsidRPr="002D3411">
        <w:rPr>
          <w:rFonts w:ascii="Times New Roman" w:hAnsi="Times New Roman"/>
          <w:color w:val="000000"/>
        </w:rPr>
        <w:t xml:space="preserve"> tyrimą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vivo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genotoksinio</w:t>
      </w:r>
      <w:proofErr w:type="spellEnd"/>
      <w:r w:rsidRPr="002D3411">
        <w:rPr>
          <w:rFonts w:ascii="Times New Roman" w:hAnsi="Times New Roman"/>
          <w:color w:val="000000"/>
        </w:rPr>
        <w:t xml:space="preserve"> poveikio nenustatyta. </w:t>
      </w:r>
      <w:proofErr w:type="spellStart"/>
      <w:r w:rsidRPr="002D3411">
        <w:rPr>
          <w:rFonts w:ascii="Times New Roman" w:hAnsi="Times New Roman"/>
          <w:color w:val="000000"/>
        </w:rPr>
        <w:t>Dazatinibas</w:t>
      </w:r>
      <w:proofErr w:type="spellEnd"/>
      <w:r w:rsidRPr="002D3411">
        <w:rPr>
          <w:rFonts w:ascii="Times New Roman" w:hAnsi="Times New Roman"/>
          <w:color w:val="000000"/>
        </w:rPr>
        <w:t xml:space="preserve"> sukėlė </w:t>
      </w:r>
      <w:proofErr w:type="spellStart"/>
      <w:r w:rsidRPr="002D3411">
        <w:rPr>
          <w:rFonts w:ascii="Times New Roman" w:hAnsi="Times New Roman"/>
          <w:color w:val="000000"/>
        </w:rPr>
        <w:t>klastogeninį</w:t>
      </w:r>
      <w:proofErr w:type="spellEnd"/>
      <w:r w:rsidRPr="002D3411">
        <w:rPr>
          <w:rFonts w:ascii="Times New Roman" w:hAnsi="Times New Roman"/>
          <w:color w:val="000000"/>
        </w:rPr>
        <w:t xml:space="preserve"> poveikį besidalijančioms kininio žiurkėno kiaušidžių ląstelėms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vitro</w:t>
      </w:r>
      <w:proofErr w:type="spellEnd"/>
      <w:r w:rsidRPr="002D3411">
        <w:rPr>
          <w:rFonts w:ascii="Times New Roman" w:hAnsi="Times New Roman"/>
          <w:color w:val="000000"/>
        </w:rPr>
        <w:t>.</w:t>
      </w:r>
    </w:p>
    <w:p w14:paraId="30D60CB4" w14:textId="77777777" w:rsidR="00C01840" w:rsidRPr="00F414D6" w:rsidRDefault="00C01840" w:rsidP="00C01840">
      <w:pPr>
        <w:tabs>
          <w:tab w:val="left" w:pos="567"/>
        </w:tabs>
        <w:suppressAutoHyphens/>
        <w:spacing w:after="0" w:line="240" w:lineRule="auto"/>
        <w:rPr>
          <w:rFonts w:ascii="Times New Roman" w:hAnsi="Times New Roman"/>
          <w:color w:val="000000"/>
          <w:sz w:val="16"/>
          <w:szCs w:val="16"/>
        </w:rPr>
      </w:pPr>
    </w:p>
    <w:p w14:paraId="1EB21DA0" w14:textId="77777777"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Tyrimo metu </w:t>
      </w:r>
      <w:proofErr w:type="spellStart"/>
      <w:r w:rsidRPr="002D3411">
        <w:rPr>
          <w:rFonts w:ascii="Times New Roman" w:hAnsi="Times New Roman"/>
          <w:color w:val="000000"/>
        </w:rPr>
        <w:t>dazatinibas</w:t>
      </w:r>
      <w:proofErr w:type="spellEnd"/>
      <w:r w:rsidRPr="002D3411">
        <w:rPr>
          <w:rFonts w:ascii="Times New Roman" w:hAnsi="Times New Roman"/>
          <w:color w:val="000000"/>
        </w:rPr>
        <w:t xml:space="preserve"> neveikė įprasto žiurkių patinų ar patelių vaisingumo ir ankstyvo embriono vystymosi, tačiau sukėlė embrionų žuvimą vartojant dozes, artimas žmogaus klinikinei ekspozicijai. Tiriant poveikį embriono ir vaisiaus vystymuisi nustatyta, kad </w:t>
      </w:r>
      <w:proofErr w:type="spellStart"/>
      <w:r w:rsidRPr="002D3411">
        <w:rPr>
          <w:rFonts w:ascii="Times New Roman" w:hAnsi="Times New Roman"/>
          <w:color w:val="000000"/>
        </w:rPr>
        <w:t>dazatinibas</w:t>
      </w:r>
      <w:proofErr w:type="spellEnd"/>
      <w:r w:rsidRPr="002D3411">
        <w:rPr>
          <w:rFonts w:ascii="Times New Roman" w:hAnsi="Times New Roman"/>
          <w:color w:val="000000"/>
        </w:rPr>
        <w:t xml:space="preserve"> taip pat sukelia embrionų žuvimą, žiurkių palikuonių svorio sumažėjimą ir žiurkių bei triušių vaisiaus skeleto pokyčius. Šis poveikis, kuris pasireiškė nuo dozių, nesukeliančių toksinio poveikio vaikingai patelei, rodo, kad </w:t>
      </w:r>
      <w:proofErr w:type="spellStart"/>
      <w:r w:rsidRPr="002D3411">
        <w:rPr>
          <w:rFonts w:ascii="Times New Roman" w:hAnsi="Times New Roman"/>
          <w:color w:val="000000"/>
        </w:rPr>
        <w:t>dazatinibas</w:t>
      </w:r>
      <w:proofErr w:type="spellEnd"/>
      <w:r w:rsidRPr="002D3411">
        <w:rPr>
          <w:rFonts w:ascii="Times New Roman" w:hAnsi="Times New Roman"/>
          <w:color w:val="000000"/>
        </w:rPr>
        <w:t xml:space="preserve"> yra selektyvus reprodukcinis toksinas nuo implantacijos iki </w:t>
      </w:r>
      <w:proofErr w:type="spellStart"/>
      <w:r w:rsidRPr="002D3411">
        <w:rPr>
          <w:rFonts w:ascii="Times New Roman" w:hAnsi="Times New Roman"/>
          <w:color w:val="000000"/>
        </w:rPr>
        <w:t>organogenezės</w:t>
      </w:r>
      <w:proofErr w:type="spellEnd"/>
      <w:r w:rsidRPr="002D3411">
        <w:rPr>
          <w:rFonts w:ascii="Times New Roman" w:hAnsi="Times New Roman"/>
          <w:color w:val="000000"/>
        </w:rPr>
        <w:t xml:space="preserve"> pabaigos.</w:t>
      </w:r>
    </w:p>
    <w:p w14:paraId="32273A80" w14:textId="77777777" w:rsidR="00C01840" w:rsidRPr="00F414D6" w:rsidRDefault="00C01840" w:rsidP="00C01840">
      <w:pPr>
        <w:tabs>
          <w:tab w:val="left" w:pos="567"/>
        </w:tabs>
        <w:suppressAutoHyphens/>
        <w:spacing w:after="0" w:line="240" w:lineRule="auto"/>
        <w:rPr>
          <w:rFonts w:ascii="Times New Roman" w:hAnsi="Times New Roman"/>
          <w:color w:val="000000"/>
          <w:sz w:val="16"/>
          <w:szCs w:val="16"/>
        </w:rPr>
      </w:pPr>
    </w:p>
    <w:p w14:paraId="25FBFCE5" w14:textId="7FEF9E47"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Pelėms </w:t>
      </w:r>
      <w:proofErr w:type="spellStart"/>
      <w:r w:rsidRPr="002D3411">
        <w:rPr>
          <w:rFonts w:ascii="Times New Roman" w:hAnsi="Times New Roman"/>
          <w:color w:val="000000"/>
        </w:rPr>
        <w:t>dazatinibas</w:t>
      </w:r>
      <w:proofErr w:type="spellEnd"/>
      <w:r w:rsidRPr="002D3411">
        <w:rPr>
          <w:rFonts w:ascii="Times New Roman" w:hAnsi="Times New Roman"/>
          <w:color w:val="000000"/>
        </w:rPr>
        <w:t xml:space="preserve"> sukėlė imuninės sistemos funkcijos susilpnėjimą, kuris buvo susijęs su doze ir buvo veiksmingai koreguojamas ją sumažinant ir (arba) keičiant dozavimo režimą. Atliekant sugertų neutralių raudonų spindulių </w:t>
      </w:r>
      <w:proofErr w:type="spellStart"/>
      <w:r w:rsidRPr="002D3411">
        <w:rPr>
          <w:rFonts w:ascii="Times New Roman" w:hAnsi="Times New Roman"/>
          <w:color w:val="000000"/>
        </w:rPr>
        <w:t>fototoksiškumo</w:t>
      </w:r>
      <w:proofErr w:type="spellEnd"/>
      <w:r w:rsidRPr="002D3411">
        <w:rPr>
          <w:rFonts w:ascii="Times New Roman" w:hAnsi="Times New Roman"/>
          <w:color w:val="000000"/>
        </w:rPr>
        <w:t xml:space="preserve"> mėginį su pelių fibroblastais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vitro</w:t>
      </w:r>
      <w:proofErr w:type="spellEnd"/>
      <w:r w:rsidRPr="002D3411">
        <w:rPr>
          <w:rFonts w:ascii="Times New Roman" w:hAnsi="Times New Roman"/>
          <w:color w:val="000000"/>
        </w:rPr>
        <w:t xml:space="preserve">, nustatyta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fototoksinio</w:t>
      </w:r>
      <w:proofErr w:type="spellEnd"/>
      <w:r w:rsidRPr="002D3411">
        <w:rPr>
          <w:rFonts w:ascii="Times New Roman" w:hAnsi="Times New Roman"/>
          <w:color w:val="000000"/>
        </w:rPr>
        <w:t xml:space="preserve"> poveikio galimybė. Nustatyta, kad sugirdyta vienkartinė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dozė nesukelia </w:t>
      </w:r>
      <w:proofErr w:type="spellStart"/>
      <w:r w:rsidRPr="002D3411">
        <w:rPr>
          <w:rFonts w:ascii="Times New Roman" w:hAnsi="Times New Roman"/>
          <w:color w:val="000000"/>
        </w:rPr>
        <w:t>fototoksinio</w:t>
      </w:r>
      <w:proofErr w:type="spellEnd"/>
      <w:r w:rsidRPr="002D3411">
        <w:rPr>
          <w:rFonts w:ascii="Times New Roman" w:hAnsi="Times New Roman"/>
          <w:color w:val="000000"/>
        </w:rPr>
        <w:t xml:space="preserve"> poveikio plikoms pelių patelėms </w:t>
      </w:r>
      <w:proofErr w:type="spellStart"/>
      <w:r w:rsidRPr="002D3411">
        <w:rPr>
          <w:rFonts w:ascii="Times New Roman" w:hAnsi="Times New Roman"/>
          <w:i/>
          <w:color w:val="000000"/>
        </w:rPr>
        <w:t>in</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vivo</w:t>
      </w:r>
      <w:proofErr w:type="spellEnd"/>
      <w:r w:rsidRPr="002D3411">
        <w:rPr>
          <w:rFonts w:ascii="Times New Roman" w:hAnsi="Times New Roman"/>
          <w:color w:val="000000"/>
        </w:rPr>
        <w:t>, kai pagal AUC apskaičiuota ekspozicija iki 3 kartų viršija ekspoziciją, kuri būna rekomenduojam</w:t>
      </w:r>
      <w:r w:rsidR="000A43F7" w:rsidRPr="002D3411">
        <w:rPr>
          <w:rFonts w:ascii="Times New Roman" w:hAnsi="Times New Roman"/>
          <w:color w:val="000000"/>
        </w:rPr>
        <w:t>a</w:t>
      </w:r>
      <w:r w:rsidRPr="002D3411">
        <w:rPr>
          <w:rFonts w:ascii="Times New Roman" w:hAnsi="Times New Roman"/>
          <w:color w:val="000000"/>
        </w:rPr>
        <w:t xml:space="preserve"> terapinę dozę vartojančiam žmogui.</w:t>
      </w:r>
    </w:p>
    <w:p w14:paraId="4F21A01A" w14:textId="77777777" w:rsidR="00C01840" w:rsidRPr="00F414D6" w:rsidRDefault="00C01840" w:rsidP="00C01840">
      <w:pPr>
        <w:tabs>
          <w:tab w:val="left" w:pos="567"/>
        </w:tabs>
        <w:suppressAutoHyphens/>
        <w:spacing w:after="0" w:line="240" w:lineRule="auto"/>
        <w:rPr>
          <w:rFonts w:ascii="Times New Roman" w:hAnsi="Times New Roman"/>
          <w:color w:val="000000"/>
          <w:sz w:val="16"/>
          <w:szCs w:val="16"/>
        </w:rPr>
      </w:pPr>
    </w:p>
    <w:p w14:paraId="5807E727" w14:textId="11BA61B6"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2 metų trukmės kancerogeninio poveikio tyrimo metu žiurkėms buvo duodama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0,3</w:t>
      </w:r>
      <w:r w:rsidR="00A05C99" w:rsidRPr="002D3411">
        <w:rPr>
          <w:rFonts w:ascii="Times New Roman" w:hAnsi="Times New Roman"/>
          <w:color w:val="000000"/>
        </w:rPr>
        <w:t> </w:t>
      </w:r>
      <w:r w:rsidRPr="002D3411">
        <w:rPr>
          <w:rFonts w:ascii="Times New Roman" w:hAnsi="Times New Roman"/>
          <w:color w:val="000000"/>
        </w:rPr>
        <w:t>mg/kg kūno svorio, 1</w:t>
      </w:r>
      <w:r w:rsidR="00A05C99" w:rsidRPr="002D3411">
        <w:rPr>
          <w:rFonts w:ascii="Times New Roman" w:hAnsi="Times New Roman"/>
          <w:color w:val="000000"/>
        </w:rPr>
        <w:t> </w:t>
      </w:r>
      <w:r w:rsidRPr="002D3411">
        <w:rPr>
          <w:rFonts w:ascii="Times New Roman" w:hAnsi="Times New Roman"/>
          <w:color w:val="000000"/>
        </w:rPr>
        <w:t>mg/kg kūno svorio arba 3</w:t>
      </w:r>
      <w:r w:rsidR="00A05C99" w:rsidRPr="002D3411">
        <w:rPr>
          <w:rFonts w:ascii="Times New Roman" w:hAnsi="Times New Roman"/>
          <w:color w:val="000000"/>
        </w:rPr>
        <w:t> </w:t>
      </w:r>
      <w:r w:rsidRPr="002D3411">
        <w:rPr>
          <w:rFonts w:ascii="Times New Roman" w:hAnsi="Times New Roman"/>
          <w:color w:val="000000"/>
        </w:rPr>
        <w:t>mg/kg kūno svorio paros dozėmis per burną. Didžiausios dozės sukelta ekspozicija kraujo plazmoje (AUC) iš esmės atitiko ekspoziciją, kuri būna žmogui vartojant rekomenduojamo diapazono (100–140</w:t>
      </w:r>
      <w:r w:rsidR="00A05C99" w:rsidRPr="002D3411">
        <w:rPr>
          <w:rFonts w:ascii="Times New Roman" w:hAnsi="Times New Roman"/>
          <w:color w:val="000000"/>
        </w:rPr>
        <w:t> </w:t>
      </w:r>
      <w:r w:rsidRPr="002D3411">
        <w:rPr>
          <w:rFonts w:ascii="Times New Roman" w:hAnsi="Times New Roman"/>
          <w:color w:val="000000"/>
        </w:rPr>
        <w:t xml:space="preserve">mg) pradinę paros dozę. Nustatytas statistiškai reikšmingas bendras </w:t>
      </w:r>
      <w:r w:rsidR="007C5206" w:rsidRPr="002D3411">
        <w:rPr>
          <w:rFonts w:ascii="Times New Roman" w:hAnsi="Times New Roman"/>
          <w:color w:val="000000"/>
        </w:rPr>
        <w:t xml:space="preserve">gimdos ir gimdos kaklelio </w:t>
      </w:r>
      <w:proofErr w:type="spellStart"/>
      <w:r w:rsidR="007C5206" w:rsidRPr="002D3411">
        <w:rPr>
          <w:rFonts w:ascii="Times New Roman" w:hAnsi="Times New Roman"/>
          <w:color w:val="000000"/>
        </w:rPr>
        <w:t>plokščia</w:t>
      </w:r>
      <w:r w:rsidRPr="002D3411">
        <w:rPr>
          <w:rFonts w:ascii="Times New Roman" w:hAnsi="Times New Roman"/>
          <w:color w:val="000000"/>
        </w:rPr>
        <w:t>ląsteli</w:t>
      </w:r>
      <w:r w:rsidR="007C5206" w:rsidRPr="002D3411">
        <w:rPr>
          <w:rFonts w:ascii="Times New Roman" w:hAnsi="Times New Roman"/>
          <w:color w:val="000000"/>
        </w:rPr>
        <w:t>ni</w:t>
      </w:r>
      <w:r w:rsidRPr="002D3411">
        <w:rPr>
          <w:rFonts w:ascii="Times New Roman" w:hAnsi="Times New Roman"/>
          <w:color w:val="000000"/>
        </w:rPr>
        <w:t>ų</w:t>
      </w:r>
      <w:proofErr w:type="spellEnd"/>
      <w:r w:rsidRPr="002D3411">
        <w:rPr>
          <w:rFonts w:ascii="Times New Roman" w:hAnsi="Times New Roman"/>
          <w:color w:val="000000"/>
        </w:rPr>
        <w:t xml:space="preserve"> karcinomų</w:t>
      </w:r>
      <w:r w:rsidR="007C5206" w:rsidRPr="002D3411">
        <w:rPr>
          <w:rFonts w:ascii="Times New Roman" w:hAnsi="Times New Roman"/>
          <w:color w:val="000000"/>
        </w:rPr>
        <w:t xml:space="preserve"> ir papilomų</w:t>
      </w:r>
      <w:r w:rsidRPr="002D3411">
        <w:rPr>
          <w:rFonts w:ascii="Times New Roman" w:hAnsi="Times New Roman"/>
          <w:color w:val="000000"/>
        </w:rPr>
        <w:t xml:space="preserve"> padažnėjimas didelės dozės grupės patelėms bei prostatos adenomų – mažos dozės grupės patinams. Šių kancerogeninio poveikio žiurkėms tyrimo duomenų reikšmė žmonėms nežinoma.</w:t>
      </w:r>
    </w:p>
    <w:p w14:paraId="423B979D" w14:textId="77777777" w:rsidR="00C01840" w:rsidRPr="00F414D6" w:rsidRDefault="00C01840" w:rsidP="00C01840">
      <w:pPr>
        <w:tabs>
          <w:tab w:val="left" w:pos="567"/>
        </w:tabs>
        <w:suppressAutoHyphens/>
        <w:spacing w:after="0" w:line="240" w:lineRule="auto"/>
        <w:rPr>
          <w:rFonts w:ascii="Times New Roman" w:hAnsi="Times New Roman"/>
          <w:color w:val="000000"/>
          <w:sz w:val="16"/>
          <w:szCs w:val="16"/>
        </w:rPr>
      </w:pPr>
    </w:p>
    <w:p w14:paraId="033430B7"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043D8552" w14:textId="77777777" w:rsidR="00C01840" w:rsidRPr="002D3411" w:rsidRDefault="00C01840" w:rsidP="00C01840">
      <w:pPr>
        <w:tabs>
          <w:tab w:val="left" w:pos="567"/>
        </w:tabs>
        <w:suppressAutoHyphens/>
        <w:spacing w:after="0" w:line="240" w:lineRule="auto"/>
        <w:rPr>
          <w:rFonts w:ascii="Times New Roman" w:hAnsi="Times New Roman"/>
          <w:b/>
          <w:color w:val="000000"/>
        </w:rPr>
      </w:pPr>
      <w:r w:rsidRPr="002D3411">
        <w:rPr>
          <w:rFonts w:ascii="Times New Roman" w:hAnsi="Times New Roman"/>
          <w:b/>
          <w:color w:val="000000"/>
        </w:rPr>
        <w:t>6.</w:t>
      </w:r>
      <w:r w:rsidRPr="002D3411">
        <w:rPr>
          <w:rFonts w:ascii="Times New Roman" w:hAnsi="Times New Roman"/>
          <w:b/>
          <w:color w:val="000000"/>
        </w:rPr>
        <w:tab/>
        <w:t>FARMACINĖ INFORMACIJA</w:t>
      </w:r>
    </w:p>
    <w:p w14:paraId="47304E0B" w14:textId="77777777" w:rsidR="00C01840" w:rsidRPr="00F414D6" w:rsidRDefault="00C01840" w:rsidP="00C01840">
      <w:pPr>
        <w:tabs>
          <w:tab w:val="left" w:pos="567"/>
        </w:tabs>
        <w:suppressAutoHyphens/>
        <w:spacing w:after="0" w:line="240" w:lineRule="auto"/>
        <w:rPr>
          <w:rFonts w:ascii="Times New Roman" w:hAnsi="Times New Roman"/>
          <w:b/>
          <w:color w:val="000000"/>
          <w:sz w:val="16"/>
          <w:szCs w:val="16"/>
        </w:rPr>
      </w:pPr>
    </w:p>
    <w:p w14:paraId="232ECFC2" w14:textId="77777777" w:rsidR="00C01840" w:rsidRPr="002D3411" w:rsidRDefault="00C01840" w:rsidP="00C01840">
      <w:pPr>
        <w:tabs>
          <w:tab w:val="left" w:pos="567"/>
        </w:tabs>
        <w:suppressAutoHyphens/>
        <w:spacing w:after="0" w:line="240" w:lineRule="auto"/>
        <w:rPr>
          <w:rFonts w:ascii="Times New Roman" w:hAnsi="Times New Roman"/>
          <w:b/>
          <w:color w:val="000000"/>
        </w:rPr>
      </w:pPr>
      <w:r w:rsidRPr="002D3411">
        <w:rPr>
          <w:rFonts w:ascii="Times New Roman" w:hAnsi="Times New Roman"/>
          <w:b/>
          <w:color w:val="000000"/>
        </w:rPr>
        <w:t>6.1</w:t>
      </w:r>
      <w:r w:rsidRPr="002D3411">
        <w:rPr>
          <w:rFonts w:ascii="Times New Roman" w:hAnsi="Times New Roman"/>
          <w:b/>
          <w:color w:val="000000"/>
        </w:rPr>
        <w:tab/>
        <w:t>Pagalbinių medžiagų sąrašas</w:t>
      </w:r>
    </w:p>
    <w:p w14:paraId="55E512E0" w14:textId="77777777" w:rsidR="00C01840" w:rsidRPr="002D3411" w:rsidRDefault="00C01840" w:rsidP="00C01840">
      <w:pPr>
        <w:tabs>
          <w:tab w:val="left" w:pos="567"/>
        </w:tabs>
        <w:suppressAutoHyphens/>
        <w:spacing w:after="0" w:line="240" w:lineRule="auto"/>
        <w:rPr>
          <w:rFonts w:ascii="Times New Roman" w:hAnsi="Times New Roman"/>
          <w:b/>
          <w:color w:val="000000"/>
        </w:rPr>
      </w:pPr>
    </w:p>
    <w:p w14:paraId="50120D91" w14:textId="77777777"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i/>
          <w:color w:val="000000"/>
        </w:rPr>
        <w:t>Tabletės šerdis</w:t>
      </w:r>
    </w:p>
    <w:p w14:paraId="5F9F469F" w14:textId="734257E8"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Laktozė </w:t>
      </w:r>
      <w:proofErr w:type="spellStart"/>
      <w:r w:rsidRPr="002D3411">
        <w:rPr>
          <w:rFonts w:ascii="Times New Roman" w:hAnsi="Times New Roman"/>
          <w:color w:val="000000"/>
        </w:rPr>
        <w:t>monohidratas</w:t>
      </w:r>
      <w:proofErr w:type="spellEnd"/>
      <w:r w:rsidRPr="002D3411">
        <w:rPr>
          <w:rFonts w:ascii="Times New Roman" w:hAnsi="Times New Roman"/>
          <w:color w:val="000000"/>
        </w:rPr>
        <w:t xml:space="preserve"> </w:t>
      </w:r>
    </w:p>
    <w:p w14:paraId="7C651E85" w14:textId="53334841" w:rsidR="00C01840" w:rsidRPr="002D3411" w:rsidRDefault="00C01840" w:rsidP="00C01840">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Mikrokristalinė</w:t>
      </w:r>
      <w:proofErr w:type="spellEnd"/>
      <w:r w:rsidRPr="002D3411">
        <w:rPr>
          <w:rFonts w:ascii="Times New Roman" w:hAnsi="Times New Roman"/>
          <w:color w:val="000000"/>
        </w:rPr>
        <w:t xml:space="preserve"> celiuliozė </w:t>
      </w:r>
    </w:p>
    <w:p w14:paraId="4E50CF93" w14:textId="77777777" w:rsidR="00C01840" w:rsidRPr="002D3411" w:rsidRDefault="00C01840" w:rsidP="00C01840">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Kroskarmeliozės</w:t>
      </w:r>
      <w:proofErr w:type="spellEnd"/>
      <w:r w:rsidRPr="002D3411">
        <w:rPr>
          <w:rFonts w:ascii="Times New Roman" w:hAnsi="Times New Roman"/>
          <w:color w:val="000000"/>
        </w:rPr>
        <w:t xml:space="preserve"> natrio druska</w:t>
      </w:r>
    </w:p>
    <w:p w14:paraId="0D380C9A" w14:textId="36EBB700" w:rsidR="00C01840" w:rsidRPr="002D3411" w:rsidRDefault="00C01840" w:rsidP="00C01840">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Hidroksipropilceliuliozė</w:t>
      </w:r>
      <w:proofErr w:type="spellEnd"/>
      <w:r w:rsidRPr="002D3411">
        <w:rPr>
          <w:rFonts w:ascii="Times New Roman" w:hAnsi="Times New Roman"/>
          <w:color w:val="000000"/>
        </w:rPr>
        <w:t xml:space="preserve"> </w:t>
      </w:r>
    </w:p>
    <w:p w14:paraId="3A482D63" w14:textId="77777777"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Magnio </w:t>
      </w:r>
      <w:proofErr w:type="spellStart"/>
      <w:r w:rsidRPr="002D3411">
        <w:rPr>
          <w:rFonts w:ascii="Times New Roman" w:hAnsi="Times New Roman"/>
          <w:color w:val="000000"/>
        </w:rPr>
        <w:t>stearatas</w:t>
      </w:r>
      <w:proofErr w:type="spellEnd"/>
    </w:p>
    <w:p w14:paraId="7E0206B4" w14:textId="77777777" w:rsidR="00C01840" w:rsidRPr="00F414D6" w:rsidRDefault="00C01840" w:rsidP="00C01840">
      <w:pPr>
        <w:widowControl w:val="0"/>
        <w:tabs>
          <w:tab w:val="left" w:pos="567"/>
        </w:tabs>
        <w:suppressAutoHyphens/>
        <w:spacing w:after="0" w:line="240" w:lineRule="auto"/>
        <w:rPr>
          <w:rFonts w:ascii="Times New Roman" w:hAnsi="Times New Roman"/>
          <w:color w:val="000000"/>
          <w:sz w:val="16"/>
          <w:szCs w:val="16"/>
        </w:rPr>
      </w:pPr>
    </w:p>
    <w:p w14:paraId="2EC81C21" w14:textId="77777777" w:rsidR="00C01840" w:rsidRPr="002D3411" w:rsidRDefault="00C01840" w:rsidP="00C01840">
      <w:pPr>
        <w:widowControl w:val="0"/>
        <w:tabs>
          <w:tab w:val="left" w:pos="567"/>
        </w:tabs>
        <w:suppressAutoHyphens/>
        <w:spacing w:after="0" w:line="240" w:lineRule="auto"/>
        <w:rPr>
          <w:rFonts w:ascii="Times New Roman" w:hAnsi="Times New Roman"/>
          <w:color w:val="000000"/>
        </w:rPr>
      </w:pPr>
      <w:r w:rsidRPr="002D3411">
        <w:rPr>
          <w:rFonts w:ascii="Times New Roman" w:hAnsi="Times New Roman"/>
          <w:i/>
          <w:color w:val="000000"/>
        </w:rPr>
        <w:t>Tabletės plėvelė</w:t>
      </w:r>
    </w:p>
    <w:p w14:paraId="4DEBF7D4" w14:textId="49D78ACE" w:rsidR="00C01840" w:rsidRPr="002D3411" w:rsidRDefault="00C01840" w:rsidP="00C01840">
      <w:pPr>
        <w:widowControl w:val="0"/>
        <w:tabs>
          <w:tab w:val="left" w:pos="567"/>
        </w:tabs>
        <w:suppressAutoHyphens/>
        <w:spacing w:after="0" w:line="240" w:lineRule="auto"/>
        <w:jc w:val="both"/>
        <w:rPr>
          <w:rFonts w:ascii="Times New Roman" w:hAnsi="Times New Roman"/>
          <w:color w:val="000000"/>
        </w:rPr>
      </w:pPr>
      <w:r w:rsidRPr="002D3411">
        <w:rPr>
          <w:rFonts w:ascii="Times New Roman" w:hAnsi="Times New Roman"/>
          <w:color w:val="000000"/>
        </w:rPr>
        <w:t xml:space="preserve">Laktozė </w:t>
      </w:r>
      <w:proofErr w:type="spellStart"/>
      <w:r w:rsidRPr="002D3411">
        <w:rPr>
          <w:rFonts w:ascii="Times New Roman" w:hAnsi="Times New Roman"/>
          <w:color w:val="000000"/>
        </w:rPr>
        <w:t>monohidratas</w:t>
      </w:r>
      <w:proofErr w:type="spellEnd"/>
    </w:p>
    <w:p w14:paraId="708F51AF" w14:textId="0BD8440F" w:rsidR="00C01840" w:rsidRPr="002D3411" w:rsidRDefault="00C01840" w:rsidP="00C01840">
      <w:pPr>
        <w:widowControl w:val="0"/>
        <w:tabs>
          <w:tab w:val="left" w:pos="567"/>
        </w:tabs>
        <w:suppressAutoHyphens/>
        <w:spacing w:after="0" w:line="240" w:lineRule="auto"/>
        <w:jc w:val="both"/>
        <w:rPr>
          <w:rFonts w:ascii="Times New Roman" w:hAnsi="Times New Roman"/>
          <w:color w:val="000000"/>
        </w:rPr>
      </w:pPr>
      <w:proofErr w:type="spellStart"/>
      <w:r w:rsidRPr="002D3411">
        <w:rPr>
          <w:rFonts w:ascii="Times New Roman" w:hAnsi="Times New Roman"/>
          <w:color w:val="000000"/>
        </w:rPr>
        <w:t>Hipromeliozė</w:t>
      </w:r>
      <w:proofErr w:type="spellEnd"/>
      <w:r w:rsidRPr="002D3411">
        <w:rPr>
          <w:rFonts w:ascii="Times New Roman" w:hAnsi="Times New Roman"/>
          <w:color w:val="000000"/>
        </w:rPr>
        <w:t xml:space="preserve"> </w:t>
      </w:r>
    </w:p>
    <w:p w14:paraId="453DA654" w14:textId="77777777" w:rsidR="00C01840" w:rsidRPr="002D3411" w:rsidRDefault="00C01840" w:rsidP="00C01840">
      <w:pPr>
        <w:widowControl w:val="0"/>
        <w:tabs>
          <w:tab w:val="left" w:pos="567"/>
        </w:tabs>
        <w:suppressAutoHyphens/>
        <w:spacing w:after="0" w:line="240" w:lineRule="auto"/>
        <w:jc w:val="both"/>
        <w:rPr>
          <w:rFonts w:ascii="Times New Roman" w:hAnsi="Times New Roman"/>
          <w:color w:val="000000"/>
        </w:rPr>
      </w:pPr>
      <w:r w:rsidRPr="002D3411">
        <w:rPr>
          <w:rFonts w:ascii="Times New Roman" w:hAnsi="Times New Roman"/>
          <w:color w:val="000000"/>
        </w:rPr>
        <w:t>Titano dioksidas (E171)</w:t>
      </w:r>
    </w:p>
    <w:p w14:paraId="6922B2D0" w14:textId="77777777" w:rsidR="00C01840" w:rsidRPr="002D3411" w:rsidRDefault="00C01840" w:rsidP="00C01840">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Triacetinas</w:t>
      </w:r>
      <w:proofErr w:type="spellEnd"/>
    </w:p>
    <w:p w14:paraId="7332CEA5" w14:textId="77777777" w:rsidR="00C01840" w:rsidRPr="00F414D6" w:rsidRDefault="00C01840" w:rsidP="00C01840">
      <w:pPr>
        <w:tabs>
          <w:tab w:val="left" w:pos="567"/>
        </w:tabs>
        <w:suppressAutoHyphens/>
        <w:spacing w:after="0" w:line="240" w:lineRule="auto"/>
        <w:rPr>
          <w:rFonts w:ascii="Times New Roman" w:hAnsi="Times New Roman"/>
          <w:color w:val="000000"/>
          <w:sz w:val="16"/>
          <w:szCs w:val="16"/>
        </w:rPr>
      </w:pPr>
    </w:p>
    <w:p w14:paraId="7F2E7E28" w14:textId="77777777"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b/>
          <w:color w:val="000000"/>
        </w:rPr>
        <w:t>6.2</w:t>
      </w:r>
      <w:r w:rsidRPr="002D3411">
        <w:rPr>
          <w:rFonts w:ascii="Times New Roman" w:hAnsi="Times New Roman"/>
          <w:b/>
          <w:color w:val="000000"/>
        </w:rPr>
        <w:tab/>
        <w:t>Nesuderinamumas</w:t>
      </w:r>
    </w:p>
    <w:p w14:paraId="35AACC3A"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7469A51C" w14:textId="77777777"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Duomenys nebūtini. </w:t>
      </w:r>
    </w:p>
    <w:p w14:paraId="13F00D6C"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7B3FB196" w14:textId="77777777" w:rsidR="00C01840" w:rsidRPr="002D3411" w:rsidRDefault="00C01840" w:rsidP="00C01840">
      <w:pPr>
        <w:keepNext/>
        <w:tabs>
          <w:tab w:val="left" w:pos="567"/>
        </w:tabs>
        <w:suppressAutoHyphens/>
        <w:spacing w:after="0" w:line="240" w:lineRule="auto"/>
        <w:jc w:val="both"/>
        <w:rPr>
          <w:rFonts w:ascii="Times New Roman" w:hAnsi="Times New Roman"/>
          <w:color w:val="000000"/>
        </w:rPr>
      </w:pPr>
      <w:r w:rsidRPr="002D3411">
        <w:rPr>
          <w:rFonts w:ascii="Times New Roman" w:hAnsi="Times New Roman"/>
          <w:b/>
          <w:color w:val="000000"/>
        </w:rPr>
        <w:t>6.3</w:t>
      </w:r>
      <w:r w:rsidRPr="002D3411">
        <w:rPr>
          <w:rFonts w:ascii="Times New Roman" w:hAnsi="Times New Roman"/>
          <w:b/>
          <w:color w:val="000000"/>
        </w:rPr>
        <w:tab/>
        <w:t>Tinkamumo laikas</w:t>
      </w:r>
    </w:p>
    <w:p w14:paraId="558CC106"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13D5F500" w14:textId="03DCC50E" w:rsidR="00C01840" w:rsidRPr="002D3411" w:rsidRDefault="009200DE"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3</w:t>
      </w:r>
      <w:r w:rsidR="00C01840" w:rsidRPr="002D3411">
        <w:rPr>
          <w:rFonts w:ascii="Times New Roman" w:hAnsi="Times New Roman"/>
          <w:color w:val="000000"/>
        </w:rPr>
        <w:t xml:space="preserve"> metai </w:t>
      </w:r>
    </w:p>
    <w:p w14:paraId="1224B11B"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24AB23D0" w14:textId="77777777" w:rsidR="00C01840" w:rsidRPr="002D3411" w:rsidRDefault="00C01840" w:rsidP="00C01840">
      <w:pPr>
        <w:numPr>
          <w:ilvl w:val="1"/>
          <w:numId w:val="11"/>
        </w:numPr>
        <w:suppressAutoHyphens/>
        <w:spacing w:after="0" w:line="260" w:lineRule="exact"/>
        <w:rPr>
          <w:rFonts w:ascii="Times New Roman" w:hAnsi="Times New Roman"/>
          <w:color w:val="000000"/>
        </w:rPr>
      </w:pPr>
      <w:r w:rsidRPr="002D3411">
        <w:rPr>
          <w:rFonts w:ascii="Times New Roman" w:hAnsi="Times New Roman"/>
          <w:b/>
          <w:color w:val="000000"/>
        </w:rPr>
        <w:t xml:space="preserve">Specialios laikymo sąlygos </w:t>
      </w:r>
    </w:p>
    <w:p w14:paraId="5489B595" w14:textId="77777777" w:rsidR="00C01840" w:rsidRPr="002D3411" w:rsidRDefault="00C01840" w:rsidP="00C01840">
      <w:pPr>
        <w:suppressAutoHyphens/>
        <w:spacing w:after="0" w:line="240" w:lineRule="auto"/>
        <w:rPr>
          <w:rFonts w:ascii="Times New Roman" w:hAnsi="Times New Roman"/>
          <w:color w:val="000000"/>
        </w:rPr>
      </w:pPr>
    </w:p>
    <w:p w14:paraId="4207F8DC" w14:textId="77777777"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Šiam vaistiniam preparatui specialių laikymo sąlygų nereikia. </w:t>
      </w:r>
    </w:p>
    <w:p w14:paraId="46E2E0B2" w14:textId="77777777" w:rsidR="00C01840" w:rsidRPr="002D3411" w:rsidRDefault="00C01840" w:rsidP="00C01840">
      <w:pPr>
        <w:suppressAutoHyphens/>
        <w:spacing w:after="0" w:line="240" w:lineRule="auto"/>
        <w:jc w:val="both"/>
        <w:rPr>
          <w:rFonts w:ascii="Times New Roman" w:hAnsi="Times New Roman"/>
          <w:color w:val="000000"/>
        </w:rPr>
      </w:pPr>
    </w:p>
    <w:p w14:paraId="08D2DF2A" w14:textId="77777777"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b/>
          <w:color w:val="000000"/>
        </w:rPr>
        <w:t>6.5</w:t>
      </w:r>
      <w:r w:rsidRPr="002D3411">
        <w:rPr>
          <w:rFonts w:ascii="Times New Roman" w:hAnsi="Times New Roman"/>
          <w:b/>
          <w:color w:val="000000"/>
        </w:rPr>
        <w:tab/>
      </w:r>
      <w:proofErr w:type="spellStart"/>
      <w:r w:rsidRPr="002D3411">
        <w:rPr>
          <w:rFonts w:ascii="Times New Roman" w:hAnsi="Times New Roman"/>
          <w:b/>
          <w:color w:val="000000"/>
        </w:rPr>
        <w:t>Talpyklės</w:t>
      </w:r>
      <w:proofErr w:type="spellEnd"/>
      <w:r w:rsidRPr="002D3411">
        <w:rPr>
          <w:rFonts w:ascii="Times New Roman" w:hAnsi="Times New Roman"/>
          <w:b/>
          <w:color w:val="000000"/>
        </w:rPr>
        <w:t xml:space="preserve"> pobūdis ir jos turinys</w:t>
      </w:r>
    </w:p>
    <w:p w14:paraId="1CC80136" w14:textId="77777777" w:rsidR="00C01840" w:rsidRPr="002D3411" w:rsidRDefault="00C01840" w:rsidP="00C01840">
      <w:pPr>
        <w:suppressAutoHyphens/>
        <w:spacing w:after="0" w:line="240" w:lineRule="auto"/>
        <w:jc w:val="both"/>
        <w:rPr>
          <w:rFonts w:ascii="Times New Roman" w:hAnsi="Times New Roman"/>
          <w:color w:val="000000"/>
        </w:rPr>
      </w:pPr>
    </w:p>
    <w:p w14:paraId="3FE33BE0" w14:textId="77777777" w:rsidR="00100CF3" w:rsidRPr="002D3411" w:rsidRDefault="00100CF3" w:rsidP="00C01840">
      <w:pPr>
        <w:suppressAutoHyphens/>
        <w:spacing w:after="0" w:line="240" w:lineRule="auto"/>
        <w:jc w:val="both"/>
        <w:rPr>
          <w:rFonts w:ascii="Times New Roman" w:hAnsi="Times New Roman"/>
          <w:color w:val="000000"/>
        </w:rPr>
      </w:pPr>
      <w:r w:rsidRPr="002D3411">
        <w:rPr>
          <w:rFonts w:ascii="Times New Roman" w:hAnsi="Times New Roman"/>
          <w:color w:val="000000"/>
        </w:rPr>
        <w:t>OPA/Al/PVC/Al lizdinės plokštelės.</w:t>
      </w:r>
    </w:p>
    <w:p w14:paraId="0B7CD041" w14:textId="0B83CD59" w:rsidR="00100CF3" w:rsidRPr="002D3411" w:rsidRDefault="00100CF3" w:rsidP="00C01840">
      <w:pPr>
        <w:suppressAutoHyphens/>
        <w:spacing w:after="0" w:line="240" w:lineRule="auto"/>
        <w:jc w:val="both"/>
        <w:rPr>
          <w:rFonts w:ascii="Times New Roman" w:hAnsi="Times New Roman"/>
          <w:color w:val="000000"/>
        </w:rPr>
      </w:pPr>
      <w:r w:rsidRPr="002D3411">
        <w:rPr>
          <w:rFonts w:ascii="Times New Roman" w:hAnsi="Times New Roman"/>
          <w:color w:val="000000"/>
          <w:highlight w:val="lightGray"/>
        </w:rPr>
        <w:t xml:space="preserve">Didelio tankio polietileno (DTPE) </w:t>
      </w:r>
      <w:proofErr w:type="spellStart"/>
      <w:r w:rsidR="00DE290D" w:rsidRPr="002D3411">
        <w:rPr>
          <w:rFonts w:ascii="Times New Roman" w:hAnsi="Times New Roman"/>
          <w:color w:val="000000"/>
          <w:highlight w:val="lightGray"/>
        </w:rPr>
        <w:t>talpyklė</w:t>
      </w:r>
      <w:proofErr w:type="spellEnd"/>
      <w:r w:rsidRPr="002D3411">
        <w:rPr>
          <w:rFonts w:ascii="Times New Roman" w:hAnsi="Times New Roman"/>
          <w:color w:val="000000"/>
          <w:highlight w:val="lightGray"/>
        </w:rPr>
        <w:t xml:space="preserve"> su </w:t>
      </w:r>
      <w:proofErr w:type="spellStart"/>
      <w:r w:rsidRPr="002D3411">
        <w:rPr>
          <w:rFonts w:ascii="Times New Roman" w:hAnsi="Times New Roman"/>
          <w:color w:val="000000"/>
          <w:highlight w:val="lightGray"/>
        </w:rPr>
        <w:t>polipropileniniu</w:t>
      </w:r>
      <w:proofErr w:type="spellEnd"/>
      <w:r w:rsidRPr="002D3411">
        <w:rPr>
          <w:rFonts w:ascii="Times New Roman" w:hAnsi="Times New Roman"/>
          <w:color w:val="000000"/>
          <w:highlight w:val="lightGray"/>
        </w:rPr>
        <w:t xml:space="preserve"> vaikų sunkiai atidaromu uždoriu.</w:t>
      </w:r>
    </w:p>
    <w:p w14:paraId="4E4DF2DA" w14:textId="77777777" w:rsidR="00100CF3" w:rsidRPr="002D3411" w:rsidRDefault="00100CF3" w:rsidP="00C01840">
      <w:pPr>
        <w:suppressAutoHyphens/>
        <w:spacing w:after="0" w:line="240" w:lineRule="auto"/>
        <w:jc w:val="both"/>
        <w:rPr>
          <w:rFonts w:ascii="Times New Roman" w:hAnsi="Times New Roman"/>
          <w:color w:val="000000"/>
        </w:rPr>
      </w:pPr>
    </w:p>
    <w:p w14:paraId="1F6A799A" w14:textId="77777777" w:rsidR="00C01840" w:rsidRPr="002D3411" w:rsidRDefault="00C01840" w:rsidP="00C01840">
      <w:pPr>
        <w:suppressAutoHyphens/>
        <w:spacing w:after="0" w:line="240" w:lineRule="auto"/>
        <w:rPr>
          <w:rFonts w:ascii="Times New Roman" w:hAnsi="Times New Roman"/>
          <w:color w:val="000000"/>
        </w:rPr>
      </w:pPr>
      <w:proofErr w:type="spellStart"/>
      <w:r w:rsidRPr="002D3411">
        <w:rPr>
          <w:rFonts w:ascii="Times New Roman" w:hAnsi="Times New Roman"/>
          <w:color w:val="000000"/>
          <w:u w:val="single"/>
        </w:rPr>
        <w:t>Dasatinib</w:t>
      </w:r>
      <w:proofErr w:type="spellEnd"/>
      <w:r w:rsidRPr="002D3411">
        <w:rPr>
          <w:rFonts w:ascii="Times New Roman" w:hAnsi="Times New Roman"/>
          <w:color w:val="000000"/>
          <w:u w:val="single"/>
        </w:rPr>
        <w:t xml:space="preserve"> </w:t>
      </w:r>
      <w:proofErr w:type="spellStart"/>
      <w:r w:rsidR="00100CF3" w:rsidRPr="002D3411">
        <w:rPr>
          <w:rFonts w:ascii="Times New Roman" w:hAnsi="Times New Roman"/>
          <w:color w:val="000000"/>
          <w:u w:val="single"/>
        </w:rPr>
        <w:t>Zentiva</w:t>
      </w:r>
      <w:proofErr w:type="spellEnd"/>
      <w:r w:rsidRPr="002D3411">
        <w:rPr>
          <w:rFonts w:ascii="Times New Roman" w:hAnsi="Times New Roman"/>
          <w:color w:val="000000"/>
          <w:u w:val="single"/>
        </w:rPr>
        <w:t xml:space="preserve"> 50 mg</w:t>
      </w:r>
      <w:r w:rsidR="00100CF3" w:rsidRPr="002D3411">
        <w:rPr>
          <w:rFonts w:ascii="Times New Roman" w:hAnsi="Times New Roman"/>
          <w:color w:val="000000"/>
          <w:u w:val="single"/>
        </w:rPr>
        <w:t xml:space="preserve"> </w:t>
      </w:r>
      <w:r w:rsidRPr="002D3411">
        <w:rPr>
          <w:rFonts w:ascii="Times New Roman" w:hAnsi="Times New Roman"/>
          <w:color w:val="000000"/>
          <w:u w:val="single"/>
        </w:rPr>
        <w:t xml:space="preserve">plėvele dengtos tabletės </w:t>
      </w:r>
    </w:p>
    <w:p w14:paraId="52C7CBB5" w14:textId="1B7E9FE0"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color w:val="000000"/>
        </w:rPr>
        <w:t xml:space="preserve">Kartono dėžutė, kurioje yra </w:t>
      </w:r>
      <w:r w:rsidR="00100CF3" w:rsidRPr="002D3411">
        <w:rPr>
          <w:rFonts w:ascii="Times New Roman" w:hAnsi="Times New Roman"/>
          <w:color w:val="000000"/>
        </w:rPr>
        <w:t>60</w:t>
      </w:r>
      <w:r w:rsidRPr="002D3411">
        <w:rPr>
          <w:rFonts w:ascii="Times New Roman" w:hAnsi="Times New Roman"/>
          <w:color w:val="000000"/>
        </w:rPr>
        <w:t xml:space="preserve"> plėvele dengt</w:t>
      </w:r>
      <w:r w:rsidR="00100CF3" w:rsidRPr="002D3411">
        <w:rPr>
          <w:rFonts w:ascii="Times New Roman" w:hAnsi="Times New Roman"/>
          <w:color w:val="000000"/>
        </w:rPr>
        <w:t>ų</w:t>
      </w:r>
      <w:r w:rsidRPr="002D3411">
        <w:rPr>
          <w:rFonts w:ascii="Times New Roman" w:hAnsi="Times New Roman"/>
          <w:color w:val="000000"/>
        </w:rPr>
        <w:t xml:space="preserve"> table</w:t>
      </w:r>
      <w:r w:rsidR="00100CF3" w:rsidRPr="002D3411">
        <w:rPr>
          <w:rFonts w:ascii="Times New Roman" w:hAnsi="Times New Roman"/>
          <w:color w:val="000000"/>
        </w:rPr>
        <w:t>čių</w:t>
      </w:r>
      <w:r w:rsidRPr="002D3411">
        <w:rPr>
          <w:rFonts w:ascii="Times New Roman" w:hAnsi="Times New Roman"/>
          <w:color w:val="000000"/>
        </w:rPr>
        <w:t xml:space="preserve"> lizdinėse plokštelėse</w:t>
      </w:r>
      <w:r w:rsidR="00100CF3" w:rsidRPr="002D3411">
        <w:rPr>
          <w:rFonts w:ascii="Times New Roman" w:hAnsi="Times New Roman"/>
          <w:color w:val="000000"/>
        </w:rPr>
        <w:t xml:space="preserve"> arba k</w:t>
      </w:r>
      <w:r w:rsidRPr="002D3411">
        <w:rPr>
          <w:rFonts w:ascii="Times New Roman" w:hAnsi="Times New Roman"/>
          <w:color w:val="000000"/>
        </w:rPr>
        <w:t xml:space="preserve">artono dėžutė, kurioje yra 60 x 1 plėvele dengtų tablečių perforuotose </w:t>
      </w:r>
      <w:proofErr w:type="spellStart"/>
      <w:r w:rsidRPr="002D3411">
        <w:rPr>
          <w:rFonts w:ascii="Times New Roman" w:hAnsi="Times New Roman"/>
          <w:color w:val="000000"/>
        </w:rPr>
        <w:t>dalomosiose</w:t>
      </w:r>
      <w:proofErr w:type="spellEnd"/>
      <w:r w:rsidRPr="002D3411">
        <w:rPr>
          <w:rFonts w:ascii="Times New Roman" w:hAnsi="Times New Roman"/>
          <w:color w:val="000000"/>
        </w:rPr>
        <w:t xml:space="preserve"> lizdinėse plokštelėse.</w:t>
      </w:r>
      <w:r w:rsidR="00100CF3" w:rsidRPr="002D3411">
        <w:rPr>
          <w:rFonts w:ascii="Times New Roman" w:hAnsi="Times New Roman"/>
          <w:color w:val="000000"/>
        </w:rPr>
        <w:t xml:space="preserve"> </w:t>
      </w:r>
      <w:r w:rsidRPr="002D3411">
        <w:rPr>
          <w:rFonts w:ascii="Times New Roman" w:hAnsi="Times New Roman"/>
          <w:color w:val="000000"/>
        </w:rPr>
        <w:t xml:space="preserve">Kartono dėžutė, kurioje yra viena </w:t>
      </w:r>
      <w:proofErr w:type="spellStart"/>
      <w:r w:rsidR="00083F06" w:rsidRPr="002D3411">
        <w:rPr>
          <w:rFonts w:ascii="Times New Roman" w:hAnsi="Times New Roman"/>
          <w:color w:val="000000"/>
        </w:rPr>
        <w:t>talpyklė</w:t>
      </w:r>
      <w:proofErr w:type="spellEnd"/>
      <w:r w:rsidR="00083F06" w:rsidRPr="002D3411">
        <w:rPr>
          <w:rFonts w:ascii="Times New Roman" w:hAnsi="Times New Roman"/>
          <w:color w:val="000000"/>
        </w:rPr>
        <w:t xml:space="preserve"> </w:t>
      </w:r>
      <w:r w:rsidR="00100CF3" w:rsidRPr="002D3411">
        <w:rPr>
          <w:rFonts w:ascii="Times New Roman" w:hAnsi="Times New Roman"/>
          <w:color w:val="000000"/>
        </w:rPr>
        <w:t xml:space="preserve"> su</w:t>
      </w:r>
      <w:r w:rsidRPr="002D3411">
        <w:rPr>
          <w:rFonts w:ascii="Times New Roman" w:hAnsi="Times New Roman"/>
          <w:color w:val="000000"/>
        </w:rPr>
        <w:t xml:space="preserve"> 60 plėvele dengtų tablečių.</w:t>
      </w:r>
    </w:p>
    <w:p w14:paraId="3DE03625" w14:textId="77777777" w:rsidR="00C01840" w:rsidRPr="002D3411" w:rsidRDefault="00C01840" w:rsidP="00C01840">
      <w:pPr>
        <w:suppressAutoHyphens/>
        <w:spacing w:after="0" w:line="240" w:lineRule="auto"/>
        <w:rPr>
          <w:rFonts w:ascii="Times New Roman" w:hAnsi="Times New Roman"/>
          <w:color w:val="000000"/>
        </w:rPr>
      </w:pPr>
    </w:p>
    <w:p w14:paraId="5D8A05FA" w14:textId="77777777"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color w:val="000000"/>
        </w:rPr>
        <w:t>Gali būti tiekiamos ne visų dydžių pakuotės.</w:t>
      </w:r>
    </w:p>
    <w:p w14:paraId="13142E2D"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083C2C79" w14:textId="77777777"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b/>
          <w:color w:val="000000"/>
        </w:rPr>
        <w:t>6.6</w:t>
      </w:r>
      <w:r w:rsidRPr="002D3411">
        <w:rPr>
          <w:rFonts w:ascii="Times New Roman" w:hAnsi="Times New Roman"/>
          <w:b/>
          <w:color w:val="000000"/>
        </w:rPr>
        <w:tab/>
        <w:t>Specialūs reikalavimai atliekoms tvarkyti ir vaistiniam preparatui ruošti</w:t>
      </w:r>
    </w:p>
    <w:p w14:paraId="0782D34F" w14:textId="77777777" w:rsidR="00C01840" w:rsidRPr="002D3411" w:rsidRDefault="00C01840" w:rsidP="00C01840">
      <w:pPr>
        <w:suppressAutoHyphens/>
        <w:spacing w:after="0" w:line="240" w:lineRule="auto"/>
        <w:rPr>
          <w:rFonts w:ascii="Times New Roman" w:hAnsi="Times New Roman"/>
          <w:color w:val="000000"/>
        </w:rPr>
      </w:pPr>
    </w:p>
    <w:p w14:paraId="40F13DC3" w14:textId="77777777"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color w:val="000000"/>
        </w:rPr>
        <w:t xml:space="preserve">Plėvele dengtos tabletės sudarytos iš šerdies ir ją apsupančio </w:t>
      </w:r>
      <w:proofErr w:type="spellStart"/>
      <w:r w:rsidRPr="002D3411">
        <w:rPr>
          <w:rFonts w:ascii="Times New Roman" w:hAnsi="Times New Roman"/>
          <w:color w:val="000000"/>
        </w:rPr>
        <w:t>plėvelinio</w:t>
      </w:r>
      <w:proofErr w:type="spellEnd"/>
      <w:r w:rsidRPr="002D3411">
        <w:rPr>
          <w:rFonts w:ascii="Times New Roman" w:hAnsi="Times New Roman"/>
          <w:color w:val="000000"/>
        </w:rPr>
        <w:t xml:space="preserve"> dangalo, kad sveikatos priežiūros specialistai būtų apsaugoti nuo kontakto su veikliąja medžiaga. Jeigu plėvele dengtos tabletės netyčia sutraiškomos ar sulaužomos, sveikatos priežiūros specialistas turi mūvėti vienkartines </w:t>
      </w:r>
      <w:r w:rsidR="00100CF3" w:rsidRPr="002D3411">
        <w:rPr>
          <w:rFonts w:ascii="Times New Roman" w:hAnsi="Times New Roman"/>
          <w:color w:val="000000"/>
        </w:rPr>
        <w:t xml:space="preserve">lateksines ar </w:t>
      </w:r>
      <w:proofErr w:type="spellStart"/>
      <w:r w:rsidR="00100CF3" w:rsidRPr="002D3411">
        <w:rPr>
          <w:rFonts w:ascii="Times New Roman" w:hAnsi="Times New Roman"/>
          <w:color w:val="000000"/>
        </w:rPr>
        <w:t>nitrilines</w:t>
      </w:r>
      <w:proofErr w:type="spellEnd"/>
      <w:r w:rsidRPr="002D3411">
        <w:rPr>
          <w:rFonts w:ascii="Times New Roman" w:hAnsi="Times New Roman"/>
          <w:color w:val="000000"/>
        </w:rPr>
        <w:t xml:space="preserve"> pirštines, kad tinkamai tvarkant vaistinio preparato atliekas poveikis odai būtų sumažintas iki minimumo.</w:t>
      </w:r>
    </w:p>
    <w:p w14:paraId="01DB474C" w14:textId="77777777" w:rsidR="00C01840" w:rsidRPr="002D3411" w:rsidRDefault="00C01840" w:rsidP="00C01840">
      <w:pPr>
        <w:suppressAutoHyphens/>
        <w:spacing w:after="0" w:line="240" w:lineRule="auto"/>
        <w:rPr>
          <w:rFonts w:ascii="Times New Roman" w:hAnsi="Times New Roman"/>
          <w:color w:val="000000"/>
        </w:rPr>
      </w:pPr>
    </w:p>
    <w:p w14:paraId="544ADFD6" w14:textId="77777777"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color w:val="000000"/>
        </w:rPr>
        <w:t>Nesuvartotą vaistinį preparatą ar atliekas reikia tvarkyti laikantis vietinių reikalavimų.</w:t>
      </w:r>
    </w:p>
    <w:p w14:paraId="5779FB8C" w14:textId="77777777" w:rsidR="00C01840" w:rsidRPr="00F414D6" w:rsidRDefault="00C01840" w:rsidP="00C01840">
      <w:pPr>
        <w:suppressAutoHyphens/>
        <w:spacing w:after="0" w:line="240" w:lineRule="auto"/>
        <w:rPr>
          <w:rFonts w:ascii="Times New Roman" w:hAnsi="Times New Roman"/>
          <w:color w:val="000000"/>
          <w:sz w:val="16"/>
          <w:szCs w:val="16"/>
        </w:rPr>
      </w:pPr>
    </w:p>
    <w:p w14:paraId="7DB3FC6D"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7CE7E83E" w14:textId="77777777"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b/>
          <w:color w:val="000000"/>
        </w:rPr>
        <w:t>7.</w:t>
      </w:r>
      <w:r w:rsidRPr="002D3411">
        <w:rPr>
          <w:rFonts w:ascii="Times New Roman" w:hAnsi="Times New Roman"/>
          <w:b/>
          <w:color w:val="000000"/>
        </w:rPr>
        <w:tab/>
        <w:t>REGISTRUOTOJAS</w:t>
      </w:r>
    </w:p>
    <w:p w14:paraId="67C57C18"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1E36A260" w14:textId="77777777" w:rsidR="00100CF3" w:rsidRPr="00975CA4" w:rsidRDefault="00100CF3" w:rsidP="00100CF3">
      <w:pPr>
        <w:spacing w:after="0" w:line="240" w:lineRule="auto"/>
        <w:rPr>
          <w:rFonts w:ascii="Times New Roman" w:hAnsi="Times New Roman" w:cs="Times New Roman"/>
        </w:rPr>
      </w:pPr>
      <w:bookmarkStart w:id="1" w:name="_Hlk58931515"/>
      <w:proofErr w:type="spellStart"/>
      <w:r w:rsidRPr="00975CA4">
        <w:rPr>
          <w:rFonts w:ascii="Times New Roman" w:hAnsi="Times New Roman" w:cs="Times New Roman"/>
        </w:rPr>
        <w:t>Zentiva</w:t>
      </w:r>
      <w:proofErr w:type="spellEnd"/>
      <w:r w:rsidRPr="00975CA4">
        <w:rPr>
          <w:rFonts w:ascii="Times New Roman" w:hAnsi="Times New Roman" w:cs="Times New Roman"/>
        </w:rPr>
        <w:t xml:space="preserve">, </w:t>
      </w:r>
      <w:proofErr w:type="spellStart"/>
      <w:r w:rsidRPr="00975CA4">
        <w:rPr>
          <w:rFonts w:ascii="Times New Roman" w:hAnsi="Times New Roman" w:cs="Times New Roman"/>
        </w:rPr>
        <w:t>k.s</w:t>
      </w:r>
      <w:proofErr w:type="spellEnd"/>
      <w:r w:rsidRPr="00975CA4">
        <w:rPr>
          <w:rFonts w:ascii="Times New Roman" w:hAnsi="Times New Roman" w:cs="Times New Roman"/>
        </w:rPr>
        <w:t>.</w:t>
      </w:r>
    </w:p>
    <w:p w14:paraId="310007CE" w14:textId="77777777" w:rsidR="00100CF3" w:rsidRPr="00975CA4" w:rsidRDefault="00100CF3" w:rsidP="00100CF3">
      <w:pPr>
        <w:spacing w:after="0" w:line="240" w:lineRule="auto"/>
        <w:rPr>
          <w:rFonts w:ascii="Times New Roman" w:hAnsi="Times New Roman" w:cs="Times New Roman"/>
        </w:rPr>
      </w:pPr>
      <w:r w:rsidRPr="00975CA4">
        <w:rPr>
          <w:rFonts w:ascii="Times New Roman" w:hAnsi="Times New Roman" w:cs="Times New Roman"/>
        </w:rPr>
        <w:t xml:space="preserve">U </w:t>
      </w:r>
      <w:proofErr w:type="spellStart"/>
      <w:r w:rsidRPr="00975CA4">
        <w:rPr>
          <w:rFonts w:ascii="Times New Roman" w:hAnsi="Times New Roman" w:cs="Times New Roman"/>
        </w:rPr>
        <w:t>kabelovny</w:t>
      </w:r>
      <w:proofErr w:type="spellEnd"/>
      <w:r w:rsidRPr="00975CA4">
        <w:rPr>
          <w:rFonts w:ascii="Times New Roman" w:hAnsi="Times New Roman" w:cs="Times New Roman"/>
        </w:rPr>
        <w:t xml:space="preserve"> 130</w:t>
      </w:r>
    </w:p>
    <w:p w14:paraId="693835E3" w14:textId="77777777" w:rsidR="00100CF3" w:rsidRPr="00975CA4" w:rsidRDefault="00100CF3" w:rsidP="00100CF3">
      <w:pPr>
        <w:spacing w:after="0" w:line="240" w:lineRule="auto"/>
        <w:rPr>
          <w:rFonts w:ascii="Times New Roman" w:hAnsi="Times New Roman" w:cs="Times New Roman"/>
        </w:rPr>
      </w:pPr>
      <w:proofErr w:type="spellStart"/>
      <w:r w:rsidRPr="00975CA4">
        <w:rPr>
          <w:rFonts w:ascii="Times New Roman" w:hAnsi="Times New Roman" w:cs="Times New Roman"/>
        </w:rPr>
        <w:t>Dolní</w:t>
      </w:r>
      <w:proofErr w:type="spellEnd"/>
      <w:r w:rsidRPr="00975CA4">
        <w:rPr>
          <w:rFonts w:ascii="Times New Roman" w:hAnsi="Times New Roman" w:cs="Times New Roman"/>
        </w:rPr>
        <w:t xml:space="preserve"> </w:t>
      </w:r>
      <w:proofErr w:type="spellStart"/>
      <w:r w:rsidRPr="00975CA4">
        <w:rPr>
          <w:rFonts w:ascii="Times New Roman" w:hAnsi="Times New Roman" w:cs="Times New Roman"/>
        </w:rPr>
        <w:t>Měcholupy</w:t>
      </w:r>
      <w:proofErr w:type="spellEnd"/>
    </w:p>
    <w:p w14:paraId="2C782D51" w14:textId="77777777" w:rsidR="00100CF3" w:rsidRPr="00975CA4" w:rsidRDefault="00100CF3" w:rsidP="00100CF3">
      <w:pPr>
        <w:spacing w:after="0" w:line="240" w:lineRule="auto"/>
        <w:rPr>
          <w:rFonts w:ascii="Times New Roman" w:hAnsi="Times New Roman" w:cs="Times New Roman"/>
        </w:rPr>
      </w:pPr>
      <w:r w:rsidRPr="00975CA4">
        <w:rPr>
          <w:rFonts w:ascii="Times New Roman" w:hAnsi="Times New Roman" w:cs="Times New Roman"/>
        </w:rPr>
        <w:t>102 37 Praha 10</w:t>
      </w:r>
    </w:p>
    <w:p w14:paraId="196F4CD4" w14:textId="77777777" w:rsidR="00100CF3" w:rsidRPr="00975CA4" w:rsidRDefault="00100CF3" w:rsidP="00100CF3">
      <w:pPr>
        <w:rPr>
          <w:rFonts w:ascii="Times New Roman" w:hAnsi="Times New Roman" w:cs="Times New Roman"/>
        </w:rPr>
      </w:pPr>
      <w:r w:rsidRPr="00975CA4">
        <w:rPr>
          <w:rFonts w:ascii="Times New Roman" w:hAnsi="Times New Roman" w:cs="Times New Roman"/>
        </w:rPr>
        <w:t>Čekija</w:t>
      </w:r>
      <w:bookmarkEnd w:id="1"/>
    </w:p>
    <w:p w14:paraId="6B035E0A"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7B3B9160" w14:textId="77777777"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b/>
          <w:color w:val="000000"/>
        </w:rPr>
        <w:t>8.</w:t>
      </w:r>
      <w:r w:rsidRPr="002D3411">
        <w:rPr>
          <w:rFonts w:ascii="Times New Roman" w:hAnsi="Times New Roman"/>
          <w:b/>
          <w:color w:val="000000"/>
        </w:rPr>
        <w:tab/>
        <w:t xml:space="preserve">REGISTRACIJOS PAŽYMĖJIMO NUMERIS (-IAI) </w:t>
      </w:r>
    </w:p>
    <w:p w14:paraId="374517DF" w14:textId="77777777" w:rsidR="00C01840" w:rsidRPr="002D3411" w:rsidRDefault="00C01840" w:rsidP="00C01840">
      <w:pPr>
        <w:tabs>
          <w:tab w:val="left" w:pos="567"/>
        </w:tabs>
        <w:suppressAutoHyphens/>
        <w:spacing w:after="0" w:line="240" w:lineRule="auto"/>
        <w:rPr>
          <w:rFonts w:ascii="Times New Roman" w:hAnsi="Times New Roman"/>
          <w:color w:val="00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497F39" w:rsidRPr="00975CA4" w14:paraId="230DDEE8" w14:textId="77777777" w:rsidTr="00F414D6">
        <w:tc>
          <w:tcPr>
            <w:tcW w:w="6521" w:type="dxa"/>
          </w:tcPr>
          <w:p w14:paraId="3C081235" w14:textId="77777777" w:rsidR="00497F39" w:rsidRPr="00975CA4" w:rsidRDefault="00497F39" w:rsidP="00031EB0">
            <w:pPr>
              <w:rPr>
                <w:bCs/>
                <w:sz w:val="22"/>
                <w:szCs w:val="22"/>
              </w:rPr>
            </w:pPr>
            <w:r w:rsidRPr="00975CA4">
              <w:rPr>
                <w:sz w:val="22"/>
                <w:szCs w:val="22"/>
              </w:rPr>
              <w:t>LT/1/21/4709/001</w:t>
            </w:r>
            <w:r w:rsidRPr="00975CA4">
              <w:rPr>
                <w:bCs/>
                <w:sz w:val="22"/>
                <w:szCs w:val="22"/>
              </w:rPr>
              <w:t xml:space="preserve"> – lizdinė plokštelė, N60</w:t>
            </w:r>
          </w:p>
          <w:p w14:paraId="1CAF3FBE" w14:textId="5E47E4CA" w:rsidR="00497F39" w:rsidRPr="00975CA4" w:rsidRDefault="00497F39" w:rsidP="00031EB0">
            <w:pPr>
              <w:rPr>
                <w:bCs/>
                <w:sz w:val="22"/>
                <w:szCs w:val="22"/>
              </w:rPr>
            </w:pPr>
            <w:r w:rsidRPr="00975CA4">
              <w:rPr>
                <w:sz w:val="22"/>
                <w:szCs w:val="22"/>
              </w:rPr>
              <w:t>LT/1/21/4709/002</w:t>
            </w:r>
            <w:r w:rsidRPr="00975CA4">
              <w:rPr>
                <w:bCs/>
                <w:sz w:val="22"/>
                <w:szCs w:val="22"/>
              </w:rPr>
              <w:t xml:space="preserve"> – </w:t>
            </w:r>
            <w:proofErr w:type="spellStart"/>
            <w:r w:rsidRPr="00975CA4">
              <w:rPr>
                <w:bCs/>
                <w:sz w:val="22"/>
                <w:szCs w:val="22"/>
              </w:rPr>
              <w:t>dalomoji</w:t>
            </w:r>
            <w:proofErr w:type="spellEnd"/>
            <w:r w:rsidRPr="00975CA4">
              <w:rPr>
                <w:bCs/>
                <w:sz w:val="22"/>
                <w:szCs w:val="22"/>
              </w:rPr>
              <w:t xml:space="preserve"> lizdinė plokštelė, N60</w:t>
            </w:r>
            <w:r w:rsidR="00F414D6">
              <w:rPr>
                <w:bCs/>
                <w:sz w:val="22"/>
                <w:szCs w:val="22"/>
              </w:rPr>
              <w:t>×</w:t>
            </w:r>
            <w:r w:rsidRPr="00975CA4">
              <w:rPr>
                <w:bCs/>
                <w:sz w:val="22"/>
                <w:szCs w:val="22"/>
              </w:rPr>
              <w:t>1</w:t>
            </w:r>
          </w:p>
          <w:p w14:paraId="3ACDE7BE" w14:textId="0A2D1041" w:rsidR="00497F39" w:rsidRPr="002D3411" w:rsidRDefault="00497F39" w:rsidP="00031EB0">
            <w:pPr>
              <w:tabs>
                <w:tab w:val="left" w:pos="567"/>
              </w:tabs>
              <w:suppressAutoHyphens/>
              <w:rPr>
                <w:color w:val="000000"/>
              </w:rPr>
            </w:pPr>
            <w:r w:rsidRPr="00975CA4">
              <w:rPr>
                <w:bCs/>
                <w:sz w:val="22"/>
                <w:szCs w:val="22"/>
              </w:rPr>
              <w:t xml:space="preserve">LT/1/21/4709/003 – </w:t>
            </w:r>
            <w:proofErr w:type="spellStart"/>
            <w:r w:rsidRPr="00975CA4">
              <w:rPr>
                <w:bCs/>
                <w:sz w:val="22"/>
                <w:szCs w:val="22"/>
              </w:rPr>
              <w:t>talpyklė</w:t>
            </w:r>
            <w:proofErr w:type="spellEnd"/>
            <w:r w:rsidRPr="00975CA4">
              <w:rPr>
                <w:bCs/>
                <w:sz w:val="22"/>
                <w:szCs w:val="22"/>
              </w:rPr>
              <w:t>, N60</w:t>
            </w:r>
          </w:p>
        </w:tc>
      </w:tr>
    </w:tbl>
    <w:p w14:paraId="14F6EDBF"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600B639F" w14:textId="77777777" w:rsidR="002938B7" w:rsidRPr="002D3411" w:rsidRDefault="002938B7" w:rsidP="00C01840">
      <w:pPr>
        <w:tabs>
          <w:tab w:val="left" w:pos="567"/>
        </w:tabs>
        <w:suppressAutoHyphens/>
        <w:spacing w:after="0" w:line="240" w:lineRule="auto"/>
        <w:rPr>
          <w:rFonts w:ascii="Times New Roman" w:hAnsi="Times New Roman"/>
          <w:color w:val="000000"/>
        </w:rPr>
      </w:pPr>
    </w:p>
    <w:p w14:paraId="2FF9AAD7" w14:textId="77777777"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b/>
          <w:color w:val="000000"/>
        </w:rPr>
        <w:t>9.</w:t>
      </w:r>
      <w:r w:rsidRPr="002D3411">
        <w:rPr>
          <w:rFonts w:ascii="Times New Roman" w:hAnsi="Times New Roman"/>
          <w:b/>
          <w:color w:val="000000"/>
        </w:rPr>
        <w:tab/>
        <w:t>REGISTRAVIMO / PERREGISTRAVIMO DATA</w:t>
      </w:r>
    </w:p>
    <w:p w14:paraId="181BC6D6"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7CA7B337" w14:textId="112CC552"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Registravimo data </w:t>
      </w:r>
      <w:r w:rsidR="00C64402" w:rsidRPr="00975CA4">
        <w:rPr>
          <w:rFonts w:ascii="Times New Roman" w:eastAsia="Times New Roman" w:hAnsi="Times New Roman" w:cs="Times New Roman"/>
          <w:color w:val="000000"/>
          <w:lang w:eastAsia="ar-SA"/>
        </w:rPr>
        <w:t>2021 m. kovo 18 d.</w:t>
      </w:r>
    </w:p>
    <w:p w14:paraId="48933D04" w14:textId="67372E74" w:rsidR="00C01840" w:rsidRPr="00975CA4" w:rsidRDefault="00A7325A" w:rsidP="00C01840">
      <w:pPr>
        <w:tabs>
          <w:tab w:val="left" w:pos="567"/>
        </w:tabs>
        <w:suppressAutoHyphens/>
        <w:spacing w:after="0" w:line="240" w:lineRule="auto"/>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 xml:space="preserve">Paskutinio perregistravimo data </w:t>
      </w:r>
      <w:r w:rsidR="00F414D6">
        <w:rPr>
          <w:rFonts w:ascii="Times New Roman" w:eastAsia="SimSun" w:hAnsi="Times New Roman" w:cs="Times New Roman"/>
          <w:color w:val="000000"/>
          <w:lang w:eastAsia="ar-SA"/>
        </w:rPr>
        <w:t>2024 m. vasario 14 d.</w:t>
      </w:r>
    </w:p>
    <w:p w14:paraId="67F4ED81" w14:textId="77777777" w:rsidR="00A7325A" w:rsidRPr="002D3411" w:rsidRDefault="00A7325A" w:rsidP="00C01840">
      <w:pPr>
        <w:tabs>
          <w:tab w:val="left" w:pos="567"/>
        </w:tabs>
        <w:suppressAutoHyphens/>
        <w:spacing w:after="0" w:line="240" w:lineRule="auto"/>
        <w:rPr>
          <w:rFonts w:ascii="Times New Roman" w:hAnsi="Times New Roman"/>
          <w:color w:val="000000"/>
        </w:rPr>
      </w:pPr>
    </w:p>
    <w:p w14:paraId="53989BFE"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20A53B70" w14:textId="77777777" w:rsidR="00C01840" w:rsidRPr="002D3411" w:rsidRDefault="00C01840" w:rsidP="00C01840">
      <w:pPr>
        <w:suppressAutoHyphens/>
        <w:spacing w:after="0" w:line="240" w:lineRule="auto"/>
        <w:rPr>
          <w:rFonts w:ascii="Times New Roman" w:hAnsi="Times New Roman"/>
          <w:color w:val="000000"/>
        </w:rPr>
      </w:pPr>
      <w:r w:rsidRPr="002D3411">
        <w:rPr>
          <w:rFonts w:ascii="Times New Roman" w:hAnsi="Times New Roman"/>
          <w:b/>
          <w:color w:val="000000"/>
        </w:rPr>
        <w:t>10.</w:t>
      </w:r>
      <w:r w:rsidRPr="002D3411">
        <w:rPr>
          <w:rFonts w:ascii="Times New Roman" w:hAnsi="Times New Roman"/>
          <w:b/>
          <w:color w:val="000000"/>
        </w:rPr>
        <w:tab/>
        <w:t>TEKSTO PERŽIŪROS DATA</w:t>
      </w:r>
    </w:p>
    <w:p w14:paraId="7DE5FB32" w14:textId="77777777" w:rsidR="00C01840" w:rsidRPr="002D3411" w:rsidRDefault="00C01840" w:rsidP="00C01840">
      <w:pPr>
        <w:tabs>
          <w:tab w:val="left" w:pos="567"/>
        </w:tabs>
        <w:suppressAutoHyphens/>
        <w:spacing w:after="0" w:line="240" w:lineRule="auto"/>
        <w:rPr>
          <w:rFonts w:ascii="Times New Roman" w:hAnsi="Times New Roman"/>
          <w:color w:val="000000"/>
        </w:rPr>
      </w:pPr>
    </w:p>
    <w:p w14:paraId="7AE2A040" w14:textId="12F402B2" w:rsidR="00CB4E24" w:rsidRDefault="00F414D6" w:rsidP="00CB4E24">
      <w:pPr>
        <w:tabs>
          <w:tab w:val="left" w:pos="567"/>
        </w:tabs>
        <w:suppressAutoHyphen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2024 m. vasario 14 d.</w:t>
      </w:r>
    </w:p>
    <w:p w14:paraId="560BA49C" w14:textId="77777777" w:rsidR="00F414D6" w:rsidRPr="00975CA4" w:rsidRDefault="00F414D6" w:rsidP="00CB4E24">
      <w:pPr>
        <w:tabs>
          <w:tab w:val="left" w:pos="567"/>
        </w:tabs>
        <w:suppressAutoHyphens/>
        <w:spacing w:after="0" w:line="240" w:lineRule="auto"/>
        <w:rPr>
          <w:rFonts w:ascii="Times New Roman" w:eastAsia="Times New Roman" w:hAnsi="Times New Roman" w:cs="Times New Roman"/>
          <w:color w:val="000000"/>
          <w:lang w:eastAsia="ar-SA"/>
        </w:rPr>
      </w:pPr>
    </w:p>
    <w:p w14:paraId="632AB773" w14:textId="77777777" w:rsidR="00C01840" w:rsidRPr="00975CA4" w:rsidRDefault="00C01840" w:rsidP="00C01840">
      <w:pPr>
        <w:tabs>
          <w:tab w:val="left" w:pos="567"/>
        </w:tabs>
        <w:suppressAutoHyphens/>
        <w:spacing w:after="0" w:line="240" w:lineRule="auto"/>
        <w:rPr>
          <w:rFonts w:ascii="Times New Roman" w:eastAsia="Times New Roman" w:hAnsi="Times New Roman" w:cs="Times New Roman"/>
          <w:color w:val="000000"/>
          <w:lang w:eastAsia="ar-SA"/>
        </w:rPr>
      </w:pPr>
    </w:p>
    <w:p w14:paraId="78CCAEE2" w14:textId="77777777" w:rsidR="00C01840" w:rsidRPr="002D3411" w:rsidRDefault="00C01840" w:rsidP="00C01840">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Išsami informacija apie šį vaistinį preparatą pateikiama Valstybinės vaistų kontrolės tarnybos prie Lietuvos Respublikos sveikatos apsaugos ministerijos tinklalapyje </w:t>
      </w:r>
      <w:hyperlink r:id="rId14" w:history="1">
        <w:r w:rsidRPr="002D3411">
          <w:rPr>
            <w:rStyle w:val="Hipersaitas"/>
            <w:rFonts w:ascii="Times New Roman" w:hAnsi="Times New Roman"/>
          </w:rPr>
          <w:t>http://www.vvkt.lt</w:t>
        </w:r>
      </w:hyperlink>
    </w:p>
    <w:p w14:paraId="5F5E1AD2" w14:textId="77777777" w:rsidR="00CB4E24" w:rsidRPr="002D3411" w:rsidRDefault="00CB4E24">
      <w:pPr>
        <w:rPr>
          <w:rFonts w:ascii="Times New Roman" w:hAnsi="Times New Roman"/>
        </w:rPr>
      </w:pPr>
      <w:r w:rsidRPr="002D3411">
        <w:rPr>
          <w:rFonts w:ascii="Times New Roman" w:hAnsi="Times New Roman"/>
        </w:rPr>
        <w:br w:type="page"/>
      </w:r>
    </w:p>
    <w:p w14:paraId="3837DAE8"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1D5D058"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2A6A68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E5015E3"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16474D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5E2371E"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2692E6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826D73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751BE5E5"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A4F7ED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6C3147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4F40E5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1D5F60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84CDBD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7998FE9"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932A3D8"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6C4679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7C7FCA8"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E346DD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C674692"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10B2AFB"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rPr>
      </w:pPr>
    </w:p>
    <w:p w14:paraId="247C8DCA"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rPr>
      </w:pPr>
    </w:p>
    <w:p w14:paraId="59585779"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rPr>
      </w:pPr>
    </w:p>
    <w:p w14:paraId="2D20A12D"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rPr>
      </w:pPr>
      <w:r w:rsidRPr="00975CA4">
        <w:rPr>
          <w:rFonts w:ascii="Times New Roman" w:eastAsia="Times New Roman" w:hAnsi="Times New Roman" w:cs="Times New Roman"/>
          <w:b/>
        </w:rPr>
        <w:t>II PRIEDAS</w:t>
      </w:r>
    </w:p>
    <w:p w14:paraId="57D3FFD5"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rPr>
      </w:pPr>
    </w:p>
    <w:p w14:paraId="7B0A68F7"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rPr>
      </w:pPr>
      <w:r w:rsidRPr="00975CA4">
        <w:rPr>
          <w:rFonts w:ascii="Times New Roman" w:eastAsia="Times New Roman" w:hAnsi="Times New Roman" w:cs="Times New Roman"/>
          <w:b/>
          <w:snapToGrid w:val="0"/>
        </w:rPr>
        <w:t>REGISTRACIJOS</w:t>
      </w:r>
      <w:r w:rsidRPr="00975CA4">
        <w:rPr>
          <w:rFonts w:ascii="Times New Roman" w:eastAsia="Times New Roman" w:hAnsi="Times New Roman" w:cs="Times New Roman"/>
          <w:b/>
        </w:rPr>
        <w:t xml:space="preserve"> SĄLYGOS</w:t>
      </w:r>
    </w:p>
    <w:p w14:paraId="5969BCB9"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rPr>
      </w:pPr>
    </w:p>
    <w:p w14:paraId="4879DBC0" w14:textId="77777777" w:rsidR="00CB4E24" w:rsidRPr="00975CA4" w:rsidRDefault="00CB4E24" w:rsidP="00CB4E24">
      <w:pPr>
        <w:widowControl w:val="0"/>
        <w:numPr>
          <w:ilvl w:val="0"/>
          <w:numId w:val="12"/>
        </w:numPr>
        <w:tabs>
          <w:tab w:val="left" w:pos="1701"/>
          <w:tab w:val="left" w:pos="7371"/>
        </w:tabs>
        <w:autoSpaceDE w:val="0"/>
        <w:autoSpaceDN w:val="0"/>
        <w:spacing w:after="0" w:line="240" w:lineRule="auto"/>
        <w:ind w:left="1701" w:hanging="567"/>
        <w:rPr>
          <w:rFonts w:ascii="Times New Roman" w:eastAsia="Times New Roman" w:hAnsi="Times New Roman" w:cs="Times New Roman"/>
          <w:b/>
        </w:rPr>
      </w:pPr>
      <w:r w:rsidRPr="00975CA4">
        <w:rPr>
          <w:rFonts w:ascii="Times New Roman" w:eastAsia="Times New Roman" w:hAnsi="Times New Roman" w:cs="Times New Roman"/>
          <w:b/>
          <w:snapToGrid w:val="0"/>
        </w:rPr>
        <w:t xml:space="preserve">GAMINTOJAS (-AI), ATSAKINGAS (-I) </w:t>
      </w:r>
      <w:r w:rsidRPr="00975CA4">
        <w:rPr>
          <w:rFonts w:ascii="Times New Roman" w:eastAsia="Times New Roman" w:hAnsi="Times New Roman" w:cs="Times New Roman"/>
          <w:b/>
        </w:rPr>
        <w:t>UŽ SERIJŲ IŠLEIDIMĄ</w:t>
      </w:r>
    </w:p>
    <w:p w14:paraId="05F026BA" w14:textId="77777777" w:rsidR="00CB4E24" w:rsidRPr="00975CA4" w:rsidRDefault="00CB4E24" w:rsidP="00CB4E24">
      <w:pPr>
        <w:widowControl w:val="0"/>
        <w:autoSpaceDE w:val="0"/>
        <w:autoSpaceDN w:val="0"/>
        <w:spacing w:after="0" w:line="240" w:lineRule="auto"/>
        <w:ind w:left="720" w:firstLine="414"/>
        <w:rPr>
          <w:rFonts w:ascii="Times New Roman" w:eastAsia="Times New Roman" w:hAnsi="Times New Roman" w:cs="Times New Roman"/>
          <w:b/>
        </w:rPr>
      </w:pPr>
    </w:p>
    <w:p w14:paraId="690A561B" w14:textId="77777777" w:rsidR="00CB4E24" w:rsidRPr="00975CA4" w:rsidRDefault="00CB4E24" w:rsidP="00CB4E24">
      <w:pPr>
        <w:widowControl w:val="0"/>
        <w:tabs>
          <w:tab w:val="left" w:pos="1134"/>
          <w:tab w:val="left" w:pos="1701"/>
        </w:tabs>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b/>
        </w:rPr>
        <w:tab/>
        <w:t>B.</w:t>
      </w:r>
      <w:r w:rsidRPr="00975CA4">
        <w:rPr>
          <w:rFonts w:ascii="Times New Roman" w:eastAsia="Times New Roman" w:hAnsi="Times New Roman" w:cs="Times New Roman"/>
          <w:b/>
        </w:rPr>
        <w:tab/>
        <w:t>TIEKIMO IR VARTOJIMO SĄLYGOS AR APRIBOJIMAI</w:t>
      </w:r>
    </w:p>
    <w:p w14:paraId="4C962DEA"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86C3742" w14:textId="77777777" w:rsidR="00CB4E24" w:rsidRPr="00975CA4" w:rsidRDefault="00CB4E24" w:rsidP="00CB4E24">
      <w:pPr>
        <w:widowControl w:val="0"/>
        <w:tabs>
          <w:tab w:val="left" w:pos="567"/>
        </w:tabs>
        <w:autoSpaceDE w:val="0"/>
        <w:autoSpaceDN w:val="0"/>
        <w:spacing w:after="0" w:line="240" w:lineRule="auto"/>
        <w:outlineLvl w:val="0"/>
        <w:rPr>
          <w:rFonts w:ascii="Times New Roman" w:eastAsia="Times New Roman" w:hAnsi="Times New Roman" w:cs="Times New Roman"/>
          <w:b/>
        </w:rPr>
      </w:pPr>
      <w:r w:rsidRPr="00975CA4">
        <w:rPr>
          <w:rFonts w:ascii="Times New Roman" w:eastAsia="Times New Roman" w:hAnsi="Times New Roman" w:cs="Times New Roman"/>
        </w:rPr>
        <w:br w:type="page"/>
      </w:r>
      <w:r w:rsidRPr="00975CA4">
        <w:rPr>
          <w:rFonts w:ascii="Times New Roman" w:eastAsia="Times New Roman" w:hAnsi="Times New Roman" w:cs="Times New Roman"/>
          <w:b/>
        </w:rPr>
        <w:lastRenderedPageBreak/>
        <w:t>A.</w:t>
      </w:r>
      <w:r w:rsidRPr="00975CA4">
        <w:rPr>
          <w:rFonts w:ascii="Times New Roman" w:eastAsia="Times New Roman" w:hAnsi="Times New Roman" w:cs="Times New Roman"/>
          <w:b/>
        </w:rPr>
        <w:tab/>
      </w:r>
      <w:r w:rsidRPr="00975CA4">
        <w:rPr>
          <w:rFonts w:ascii="Times New Roman" w:eastAsia="Times New Roman" w:hAnsi="Times New Roman" w:cs="Times New Roman"/>
          <w:b/>
          <w:snapToGrid w:val="0"/>
        </w:rPr>
        <w:t xml:space="preserve">GAMINTOJAS (-AI), ATSAKINGAS (-I) </w:t>
      </w:r>
      <w:r w:rsidRPr="00975CA4">
        <w:rPr>
          <w:rFonts w:ascii="Times New Roman" w:eastAsia="Times New Roman" w:hAnsi="Times New Roman" w:cs="Times New Roman"/>
          <w:b/>
        </w:rPr>
        <w:t>UŽ SERIJŲ IŠLEIDIMĄ</w:t>
      </w:r>
    </w:p>
    <w:p w14:paraId="2A90C33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highlight w:val="yellow"/>
        </w:rPr>
      </w:pPr>
    </w:p>
    <w:p w14:paraId="0E9E89A0" w14:textId="77777777" w:rsidR="00CB4E24" w:rsidRPr="00975CA4" w:rsidRDefault="00CB4E24" w:rsidP="00CB4E24">
      <w:pPr>
        <w:widowControl w:val="0"/>
        <w:tabs>
          <w:tab w:val="left" w:pos="567"/>
        </w:tabs>
        <w:autoSpaceDE w:val="0"/>
        <w:autoSpaceDN w:val="0"/>
        <w:spacing w:after="0" w:line="240" w:lineRule="auto"/>
        <w:jc w:val="both"/>
        <w:rPr>
          <w:rFonts w:ascii="Times New Roman" w:eastAsia="Times New Roman" w:hAnsi="Times New Roman" w:cs="Times New Roman"/>
          <w:snapToGrid w:val="0"/>
        </w:rPr>
      </w:pPr>
      <w:r w:rsidRPr="00975CA4">
        <w:rPr>
          <w:rFonts w:ascii="Times New Roman" w:eastAsia="Times New Roman" w:hAnsi="Times New Roman" w:cs="Times New Roman"/>
          <w:snapToGrid w:val="0"/>
          <w:u w:val="single"/>
        </w:rPr>
        <w:t>Gamintojo (-ų), atsakingo (-ų) už serijų išleidimą, pavadinimas (-ai) ir adresas (-ai)</w:t>
      </w:r>
    </w:p>
    <w:p w14:paraId="731274C5"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highlight w:val="yellow"/>
        </w:rPr>
      </w:pPr>
    </w:p>
    <w:p w14:paraId="2616ABDE"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Synthon</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Hispania</w:t>
      </w:r>
      <w:proofErr w:type="spellEnd"/>
      <w:r w:rsidRPr="00975CA4">
        <w:rPr>
          <w:rFonts w:ascii="Times New Roman" w:eastAsia="Times New Roman" w:hAnsi="Times New Roman" w:cs="Times New Roman"/>
        </w:rPr>
        <w:t xml:space="preserve"> S.L. </w:t>
      </w:r>
    </w:p>
    <w:p w14:paraId="4ECC38B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Calle</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Castello</w:t>
      </w:r>
      <w:proofErr w:type="spellEnd"/>
      <w:r w:rsidRPr="00975CA4">
        <w:rPr>
          <w:rFonts w:ascii="Times New Roman" w:eastAsia="Times New Roman" w:hAnsi="Times New Roman" w:cs="Times New Roman"/>
        </w:rPr>
        <w:t xml:space="preserve"> 1 </w:t>
      </w:r>
    </w:p>
    <w:p w14:paraId="0BA7BE5D"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xml:space="preserve">Poligono </w:t>
      </w:r>
      <w:proofErr w:type="spellStart"/>
      <w:r w:rsidRPr="00975CA4">
        <w:rPr>
          <w:rFonts w:ascii="Times New Roman" w:eastAsia="Times New Roman" w:hAnsi="Times New Roman" w:cs="Times New Roman"/>
        </w:rPr>
        <w:t>Las</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Salinas</w:t>
      </w:r>
      <w:proofErr w:type="spellEnd"/>
      <w:r w:rsidRPr="00975CA4">
        <w:rPr>
          <w:rFonts w:ascii="Times New Roman" w:eastAsia="Times New Roman" w:hAnsi="Times New Roman" w:cs="Times New Roman"/>
        </w:rPr>
        <w:t xml:space="preserve"> </w:t>
      </w:r>
    </w:p>
    <w:p w14:paraId="3D3EA404"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xml:space="preserve">08830 </w:t>
      </w:r>
      <w:proofErr w:type="spellStart"/>
      <w:r w:rsidRPr="00975CA4">
        <w:rPr>
          <w:rFonts w:ascii="Times New Roman" w:eastAsia="Times New Roman" w:hAnsi="Times New Roman" w:cs="Times New Roman"/>
        </w:rPr>
        <w:t>Sant</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Boi</w:t>
      </w:r>
      <w:proofErr w:type="spellEnd"/>
      <w:r w:rsidRPr="00975CA4">
        <w:rPr>
          <w:rFonts w:ascii="Times New Roman" w:eastAsia="Times New Roman" w:hAnsi="Times New Roman" w:cs="Times New Roman"/>
        </w:rPr>
        <w:t xml:space="preserve"> de </w:t>
      </w:r>
      <w:proofErr w:type="spellStart"/>
      <w:r w:rsidRPr="00975CA4">
        <w:rPr>
          <w:rFonts w:ascii="Times New Roman" w:eastAsia="Times New Roman" w:hAnsi="Times New Roman" w:cs="Times New Roman"/>
        </w:rPr>
        <w:t>Llobregat</w:t>
      </w:r>
      <w:proofErr w:type="spellEnd"/>
      <w:r w:rsidRPr="00975CA4">
        <w:rPr>
          <w:rFonts w:ascii="Times New Roman" w:eastAsia="Times New Roman" w:hAnsi="Times New Roman" w:cs="Times New Roman"/>
        </w:rPr>
        <w:t xml:space="preserve"> </w:t>
      </w:r>
    </w:p>
    <w:p w14:paraId="27270A1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Barcelona</w:t>
      </w:r>
      <w:proofErr w:type="spellEnd"/>
    </w:p>
    <w:p w14:paraId="1FB9F523"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Ispanija</w:t>
      </w:r>
    </w:p>
    <w:p w14:paraId="3BFDF3B7"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w:t>
      </w:r>
    </w:p>
    <w:p w14:paraId="187B8F92"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arba</w:t>
      </w:r>
    </w:p>
    <w:p w14:paraId="573F9094"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w:t>
      </w:r>
    </w:p>
    <w:p w14:paraId="3C9A74FA"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Synthon</w:t>
      </w:r>
      <w:proofErr w:type="spellEnd"/>
      <w:r w:rsidRPr="00975CA4">
        <w:rPr>
          <w:rFonts w:ascii="Times New Roman" w:eastAsia="Times New Roman" w:hAnsi="Times New Roman" w:cs="Times New Roman"/>
        </w:rPr>
        <w:t xml:space="preserve"> BV </w:t>
      </w:r>
    </w:p>
    <w:p w14:paraId="0C86744A"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Microweg</w:t>
      </w:r>
      <w:proofErr w:type="spellEnd"/>
      <w:r w:rsidRPr="00975CA4">
        <w:rPr>
          <w:rFonts w:ascii="Times New Roman" w:eastAsia="Times New Roman" w:hAnsi="Times New Roman" w:cs="Times New Roman"/>
        </w:rPr>
        <w:t xml:space="preserve"> 22 </w:t>
      </w:r>
    </w:p>
    <w:p w14:paraId="1D27E9B7"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xml:space="preserve">6545 CM </w:t>
      </w:r>
      <w:proofErr w:type="spellStart"/>
      <w:r w:rsidRPr="00975CA4">
        <w:rPr>
          <w:rFonts w:ascii="Times New Roman" w:eastAsia="Times New Roman" w:hAnsi="Times New Roman" w:cs="Times New Roman"/>
        </w:rPr>
        <w:t>Nijmegen</w:t>
      </w:r>
      <w:proofErr w:type="spellEnd"/>
      <w:r w:rsidRPr="00975CA4">
        <w:rPr>
          <w:rFonts w:ascii="Times New Roman" w:eastAsia="Times New Roman" w:hAnsi="Times New Roman" w:cs="Times New Roman"/>
        </w:rPr>
        <w:t xml:space="preserve"> </w:t>
      </w:r>
    </w:p>
    <w:p w14:paraId="1F3DD91D"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Nyderlandai</w:t>
      </w:r>
    </w:p>
    <w:p w14:paraId="22BEF9E4"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highlight w:val="yellow"/>
        </w:rPr>
      </w:pPr>
    </w:p>
    <w:p w14:paraId="138556D4" w14:textId="77777777" w:rsidR="00CB4E24" w:rsidRPr="002D3411" w:rsidRDefault="00CB4E24" w:rsidP="00CB4E24">
      <w:pPr>
        <w:widowControl w:val="0"/>
        <w:autoSpaceDE w:val="0"/>
        <w:autoSpaceDN w:val="0"/>
        <w:spacing w:after="0" w:line="240" w:lineRule="auto"/>
        <w:rPr>
          <w:rFonts w:ascii="Times New Roman" w:hAnsi="Times New Roman"/>
          <w:color w:val="000000"/>
        </w:rPr>
      </w:pPr>
      <w:r w:rsidRPr="002D3411">
        <w:rPr>
          <w:rFonts w:ascii="Times New Roman" w:hAnsi="Times New Roman"/>
          <w:color w:val="000000"/>
        </w:rPr>
        <w:t>Su pakuote pateikiamame lapelyje nurodomas gamintojo, atsakingo už konkrečios serijos išleidimą, pavadinimas ir adresas.</w:t>
      </w:r>
    </w:p>
    <w:p w14:paraId="7D60C2ED"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highlight w:val="yellow"/>
        </w:rPr>
      </w:pPr>
    </w:p>
    <w:p w14:paraId="0422FBF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highlight w:val="yellow"/>
        </w:rPr>
      </w:pPr>
    </w:p>
    <w:p w14:paraId="4D2985A7" w14:textId="77777777" w:rsidR="00CB4E24" w:rsidRPr="00975CA4" w:rsidRDefault="00CB4E24" w:rsidP="00CB4E24">
      <w:pPr>
        <w:widowControl w:val="0"/>
        <w:autoSpaceDE w:val="0"/>
        <w:autoSpaceDN w:val="0"/>
        <w:spacing w:after="0" w:line="240" w:lineRule="auto"/>
        <w:ind w:left="567" w:hanging="567"/>
        <w:outlineLvl w:val="0"/>
        <w:rPr>
          <w:rFonts w:ascii="Times New Roman" w:eastAsia="Times New Roman" w:hAnsi="Times New Roman" w:cs="Times New Roman"/>
          <w:b/>
        </w:rPr>
      </w:pPr>
      <w:r w:rsidRPr="00975CA4">
        <w:rPr>
          <w:rFonts w:ascii="Times New Roman" w:eastAsia="Times New Roman" w:hAnsi="Times New Roman" w:cs="Times New Roman"/>
          <w:b/>
        </w:rPr>
        <w:t>B.</w:t>
      </w:r>
      <w:r w:rsidRPr="00975CA4">
        <w:rPr>
          <w:rFonts w:ascii="Times New Roman" w:eastAsia="Times New Roman" w:hAnsi="Times New Roman" w:cs="Times New Roman"/>
          <w:b/>
        </w:rPr>
        <w:tab/>
        <w:t>TIEKIMO IR VARTOJIMO SĄLYGOS AR APRIBOJIMAI</w:t>
      </w:r>
    </w:p>
    <w:p w14:paraId="4CF93DB8"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0C1A4D2" w14:textId="77777777" w:rsidR="00CB4E24" w:rsidRPr="00975CA4" w:rsidRDefault="00CB4E24" w:rsidP="00CB4E24">
      <w:pPr>
        <w:widowControl w:val="0"/>
        <w:numPr>
          <w:ilvl w:val="12"/>
          <w:numId w:val="0"/>
        </w:numPr>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Receptinis vaistinis preparatas.</w:t>
      </w:r>
    </w:p>
    <w:p w14:paraId="6FDCD21F" w14:textId="77777777" w:rsidR="00CB4E24" w:rsidRPr="00975CA4" w:rsidRDefault="00CB4E24" w:rsidP="00CB4E24">
      <w:pPr>
        <w:widowControl w:val="0"/>
        <w:autoSpaceDE w:val="0"/>
        <w:autoSpaceDN w:val="0"/>
        <w:spacing w:after="0" w:line="240" w:lineRule="auto"/>
        <w:jc w:val="both"/>
        <w:rPr>
          <w:rFonts w:ascii="Times New Roman" w:eastAsia="Times New Roman" w:hAnsi="Times New Roman" w:cs="Times New Roman"/>
          <w:position w:val="6"/>
        </w:rPr>
      </w:pPr>
    </w:p>
    <w:p w14:paraId="0575D432" w14:textId="77777777" w:rsidR="00CB4E24" w:rsidRPr="00975CA4" w:rsidRDefault="00CB4E24" w:rsidP="00CB4E24">
      <w:pPr>
        <w:widowControl w:val="0"/>
        <w:autoSpaceDE w:val="0"/>
        <w:autoSpaceDN w:val="0"/>
        <w:spacing w:after="0" w:line="240" w:lineRule="auto"/>
        <w:jc w:val="both"/>
        <w:rPr>
          <w:rFonts w:ascii="Times New Roman" w:eastAsia="Times New Roman" w:hAnsi="Times New Roman" w:cs="Times New Roman"/>
          <w:position w:val="6"/>
        </w:rPr>
      </w:pPr>
    </w:p>
    <w:p w14:paraId="145A290E" w14:textId="77777777" w:rsidR="00CB4E24" w:rsidRPr="00975CA4" w:rsidRDefault="00CB4E24" w:rsidP="00CB4E24">
      <w:pPr>
        <w:widowControl w:val="0"/>
        <w:autoSpaceDE w:val="0"/>
        <w:autoSpaceDN w:val="0"/>
        <w:spacing w:after="0" w:line="240" w:lineRule="auto"/>
        <w:jc w:val="both"/>
        <w:rPr>
          <w:rFonts w:ascii="Times New Roman" w:eastAsia="Times New Roman" w:hAnsi="Times New Roman" w:cs="Times New Roman"/>
          <w:position w:val="6"/>
        </w:rPr>
      </w:pPr>
    </w:p>
    <w:p w14:paraId="61E5BBFA"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position w:val="6"/>
        </w:rPr>
        <w:br w:type="page"/>
      </w:r>
    </w:p>
    <w:p w14:paraId="45694102"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71EFC5B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681BF9A"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AA025A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CD04B2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DE11EA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06262B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9728D4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7AA1D0F9"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CDAE2E9"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43FC142"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7CE5FF27"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1E7A76E1"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5B2F4504"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3F779BE5"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6AA47A2E"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42F01652"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0F9518F1"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65EA7E29"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6FF6D5F7"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6B7B5439"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755AF355"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3D3601FC"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5BF6EEFF" w14:textId="77777777" w:rsidR="00967072" w:rsidRPr="00975CA4" w:rsidRDefault="00967072"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p>
    <w:p w14:paraId="2B3B8D4C"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kern w:val="28"/>
          <w:lang w:eastAsia="x-none"/>
        </w:rPr>
      </w:pPr>
      <w:r w:rsidRPr="00975CA4">
        <w:rPr>
          <w:rFonts w:ascii="Times New Roman" w:eastAsia="Times New Roman" w:hAnsi="Times New Roman" w:cs="Times New Roman"/>
          <w:b/>
          <w:kern w:val="28"/>
          <w:lang w:eastAsia="x-none"/>
        </w:rPr>
        <w:t>III PRIEDAS</w:t>
      </w:r>
    </w:p>
    <w:p w14:paraId="26A85C3A"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3E6D8B7" w14:textId="77777777" w:rsidR="00CB4E24" w:rsidRPr="00975CA4" w:rsidRDefault="00CB4E24" w:rsidP="00CB4E24">
      <w:pPr>
        <w:widowControl w:val="0"/>
        <w:autoSpaceDE w:val="0"/>
        <w:autoSpaceDN w:val="0"/>
        <w:spacing w:after="0" w:line="240" w:lineRule="auto"/>
        <w:jc w:val="center"/>
        <w:rPr>
          <w:rFonts w:ascii="Times New Roman" w:eastAsia="Times New Roman" w:hAnsi="Times New Roman" w:cs="Times New Roman"/>
          <w:b/>
          <w:position w:val="6"/>
        </w:rPr>
      </w:pPr>
      <w:r w:rsidRPr="00975CA4">
        <w:rPr>
          <w:rFonts w:ascii="Times New Roman" w:eastAsia="Times New Roman" w:hAnsi="Times New Roman" w:cs="Times New Roman"/>
          <w:b/>
          <w:position w:val="6"/>
        </w:rPr>
        <w:t>ŽENKLINIMAS IR PAKUOTĖS LAPELIS</w:t>
      </w:r>
    </w:p>
    <w:p w14:paraId="6A14AE6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br w:type="page"/>
      </w:r>
    </w:p>
    <w:p w14:paraId="3674BCE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77ED47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7A89838"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9E4536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760F6C2"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DE71D83"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663E47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13F58D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6409DEE"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7F77B2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C3CF3F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9673DC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8BA5509"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F5D0E44"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FF911E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131BF63"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C881054"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AE75EC6"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92BC039"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E7A32E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100C7B4"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5FA05CE"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3BD7944"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bookmarkStart w:id="2" w:name="_Toc129243136"/>
      <w:bookmarkStart w:id="3" w:name="_Toc129243261"/>
    </w:p>
    <w:p w14:paraId="26E1FFD8"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r w:rsidRPr="00975CA4">
        <w:rPr>
          <w:rFonts w:ascii="Times New Roman" w:eastAsia="Times New Roman" w:hAnsi="Times New Roman" w:cs="Times New Roman"/>
          <w:b/>
        </w:rPr>
        <w:t>A. ŽENKLINIMAS</w:t>
      </w:r>
      <w:bookmarkEnd w:id="2"/>
      <w:bookmarkEnd w:id="3"/>
    </w:p>
    <w:p w14:paraId="4720C8A7"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br w:type="page"/>
      </w:r>
      <w:bookmarkStart w:id="4" w:name="OLE_LINK4"/>
    </w:p>
    <w:bookmarkEnd w:id="4"/>
    <w:p w14:paraId="4FBE7793"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8FE1220"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r w:rsidRPr="00975CA4">
        <w:rPr>
          <w:rFonts w:ascii="Times New Roman" w:eastAsia="Times New Roman" w:hAnsi="Times New Roman" w:cs="Times New Roman"/>
          <w:b/>
        </w:rPr>
        <w:t>INFORMACIJA ANT IŠORINĖS PAKUOTĖS</w:t>
      </w:r>
    </w:p>
    <w:p w14:paraId="260A39A8" w14:textId="5FA7BAC5"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r w:rsidRPr="00975CA4">
        <w:rPr>
          <w:rFonts w:ascii="Times New Roman" w:eastAsia="Times New Roman" w:hAnsi="Times New Roman" w:cs="Times New Roman"/>
          <w:b/>
        </w:rPr>
        <w:t>KARTONO DĖŽUTĖ</w:t>
      </w:r>
      <w:r w:rsidR="00B43237" w:rsidRPr="00975CA4">
        <w:rPr>
          <w:rFonts w:ascii="Times New Roman" w:eastAsia="Times New Roman" w:hAnsi="Times New Roman" w:cs="Times New Roman"/>
          <w:b/>
        </w:rPr>
        <w:t xml:space="preserve"> BUTELIUKO PAKUOTEI IR LIZDINIŲ PLOKŠTELIŲ PAKUOTEI</w:t>
      </w:r>
      <w:r w:rsidR="00E40B51" w:rsidRPr="00975CA4">
        <w:rPr>
          <w:rFonts w:ascii="Times New Roman" w:eastAsia="Times New Roman" w:hAnsi="Times New Roman" w:cs="Times New Roman"/>
          <w:b/>
        </w:rPr>
        <w:t xml:space="preserve"> - </w:t>
      </w:r>
      <w:r w:rsidR="00235A1D" w:rsidRPr="00975CA4">
        <w:rPr>
          <w:rFonts w:ascii="Times New Roman" w:eastAsia="Times New Roman" w:hAnsi="Times New Roman" w:cs="Times New Roman"/>
          <w:b/>
        </w:rPr>
        <w:t xml:space="preserve">ES visas / </w:t>
      </w:r>
      <w:r w:rsidR="00235A1D" w:rsidRPr="00975CA4">
        <w:rPr>
          <w:rFonts w:ascii="Times New Roman" w:eastAsia="Times New Roman" w:hAnsi="Times New Roman" w:cs="Times New Roman"/>
          <w:b/>
          <w:i/>
          <w:iCs/>
          <w:highlight w:val="darkGray"/>
        </w:rPr>
        <w:t>sutrumpintas</w:t>
      </w:r>
      <w:r w:rsidR="00235A1D" w:rsidRPr="00975CA4">
        <w:rPr>
          <w:rFonts w:ascii="Times New Roman" w:eastAsia="Times New Roman" w:hAnsi="Times New Roman" w:cs="Times New Roman"/>
          <w:b/>
        </w:rPr>
        <w:t xml:space="preserve"> suderinto ženklinimo tekstas</w:t>
      </w:r>
    </w:p>
    <w:p w14:paraId="7152A85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B0FED7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7D14BC92"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75CA4">
        <w:rPr>
          <w:rFonts w:ascii="Times New Roman" w:eastAsia="Times New Roman" w:hAnsi="Times New Roman" w:cs="Times New Roman"/>
          <w:b/>
        </w:rPr>
        <w:t>1.</w:t>
      </w:r>
      <w:r w:rsidRPr="00975CA4">
        <w:rPr>
          <w:rFonts w:ascii="Times New Roman" w:eastAsia="Times New Roman" w:hAnsi="Times New Roman" w:cs="Times New Roman"/>
          <w:b/>
        </w:rPr>
        <w:tab/>
      </w:r>
      <w:r w:rsidRPr="00975CA4">
        <w:rPr>
          <w:rFonts w:ascii="Times New Roman" w:eastAsia="Times New Roman" w:hAnsi="Times New Roman" w:cs="Times New Roman"/>
          <w:b/>
          <w:caps/>
        </w:rPr>
        <w:t>VAISTINIO</w:t>
      </w:r>
      <w:r w:rsidRPr="00975CA4">
        <w:rPr>
          <w:rFonts w:ascii="Times New Roman" w:eastAsia="Times New Roman" w:hAnsi="Times New Roman" w:cs="Times New Roman"/>
          <w:b/>
        </w:rPr>
        <w:t xml:space="preserve"> PREPARATO PAVADINIMAS</w:t>
      </w:r>
    </w:p>
    <w:p w14:paraId="1F9339E8"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bookmarkStart w:id="5" w:name="_Hlk62394179"/>
    </w:p>
    <w:p w14:paraId="6E213F56" w14:textId="77777777" w:rsidR="00B43237" w:rsidRPr="002D3411" w:rsidRDefault="00B43237" w:rsidP="00B43237">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Pr="002D3411">
        <w:rPr>
          <w:rFonts w:ascii="Times New Roman" w:hAnsi="Times New Roman"/>
          <w:color w:val="000000"/>
        </w:rPr>
        <w:t xml:space="preserve"> 50 mg plėvele dengtos tabletės </w:t>
      </w:r>
    </w:p>
    <w:p w14:paraId="15A41D6B" w14:textId="4D1EB60F" w:rsidR="00CB4E24" w:rsidRPr="00975CA4" w:rsidRDefault="00B43237" w:rsidP="00CB4E24">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da</w:t>
      </w:r>
      <w:r w:rsidR="00773DF9" w:rsidRPr="00975CA4">
        <w:rPr>
          <w:rFonts w:ascii="Times New Roman" w:eastAsia="Times New Roman" w:hAnsi="Times New Roman" w:cs="Times New Roman"/>
        </w:rPr>
        <w:t>z</w:t>
      </w:r>
      <w:r w:rsidRPr="00975CA4">
        <w:rPr>
          <w:rFonts w:ascii="Times New Roman" w:eastAsia="Times New Roman" w:hAnsi="Times New Roman" w:cs="Times New Roman"/>
        </w:rPr>
        <w:t>atinib</w:t>
      </w:r>
      <w:r w:rsidR="00773DF9" w:rsidRPr="00975CA4">
        <w:rPr>
          <w:rFonts w:ascii="Times New Roman" w:eastAsia="Times New Roman" w:hAnsi="Times New Roman" w:cs="Times New Roman"/>
        </w:rPr>
        <w:t>as</w:t>
      </w:r>
      <w:proofErr w:type="spellEnd"/>
    </w:p>
    <w:bookmarkEnd w:id="5"/>
    <w:p w14:paraId="54095E5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6764DD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393DC3D"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b/>
        </w:rPr>
      </w:pPr>
      <w:r w:rsidRPr="00975CA4">
        <w:rPr>
          <w:rFonts w:ascii="Times New Roman" w:eastAsia="Times New Roman" w:hAnsi="Times New Roman" w:cs="Times New Roman"/>
          <w:b/>
        </w:rPr>
        <w:t>2.</w:t>
      </w:r>
      <w:r w:rsidRPr="00975CA4">
        <w:rPr>
          <w:rFonts w:ascii="Times New Roman" w:eastAsia="Times New Roman" w:hAnsi="Times New Roman" w:cs="Times New Roman"/>
          <w:b/>
        </w:rPr>
        <w:tab/>
        <w:t>VEIKLIOJI (-IOS) MEDŽIAGA (-OS) IR JOS (-Ų) KIEKIS (-IAI)</w:t>
      </w:r>
    </w:p>
    <w:p w14:paraId="5A74C21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C45B89A"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xml:space="preserve">Kiekvienoje </w:t>
      </w:r>
      <w:r w:rsidRPr="00975CA4">
        <w:rPr>
          <w:rFonts w:ascii="Times New Roman" w:eastAsia="Times New Roman" w:hAnsi="Times New Roman" w:cs="Times New Roman"/>
          <w:highlight w:val="darkGray"/>
        </w:rPr>
        <w:t>plėvele dengtoje</w:t>
      </w:r>
      <w:r w:rsidRPr="00975CA4">
        <w:rPr>
          <w:rFonts w:ascii="Times New Roman" w:eastAsia="Times New Roman" w:hAnsi="Times New Roman" w:cs="Times New Roman"/>
        </w:rPr>
        <w:t xml:space="preserve"> tabletėje </w:t>
      </w:r>
      <w:r w:rsidR="00B43237" w:rsidRPr="00975CA4">
        <w:rPr>
          <w:rFonts w:ascii="Times New Roman" w:eastAsia="Times New Roman" w:hAnsi="Times New Roman" w:cs="Times New Roman"/>
        </w:rPr>
        <w:t xml:space="preserve">50 mg </w:t>
      </w:r>
      <w:proofErr w:type="spellStart"/>
      <w:r w:rsidR="00B43237" w:rsidRPr="00975CA4">
        <w:rPr>
          <w:rFonts w:ascii="Times New Roman" w:eastAsia="Times New Roman" w:hAnsi="Times New Roman" w:cs="Times New Roman"/>
        </w:rPr>
        <w:t>dazatinibo</w:t>
      </w:r>
      <w:proofErr w:type="spellEnd"/>
      <w:r w:rsidR="00B43237" w:rsidRPr="00975CA4">
        <w:rPr>
          <w:rFonts w:ascii="Times New Roman" w:eastAsia="Times New Roman" w:hAnsi="Times New Roman" w:cs="Times New Roman"/>
        </w:rPr>
        <w:t>.</w:t>
      </w:r>
    </w:p>
    <w:p w14:paraId="7162D186"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770CF105"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6874A06"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75CA4">
        <w:rPr>
          <w:rFonts w:ascii="Times New Roman" w:eastAsia="Times New Roman" w:hAnsi="Times New Roman" w:cs="Times New Roman"/>
          <w:b/>
        </w:rPr>
        <w:t>3.</w:t>
      </w:r>
      <w:r w:rsidRPr="00975CA4">
        <w:rPr>
          <w:rFonts w:ascii="Times New Roman" w:eastAsia="Times New Roman" w:hAnsi="Times New Roman" w:cs="Times New Roman"/>
          <w:b/>
        </w:rPr>
        <w:tab/>
        <w:t>PAGALBINIŲ MEDŽIAGŲ SĄRAŠAS</w:t>
      </w:r>
    </w:p>
    <w:p w14:paraId="4F2F8FB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EAA0B0B" w14:textId="77777777" w:rsidR="00B43237" w:rsidRPr="002D3411" w:rsidRDefault="00B43237" w:rsidP="00B43237">
      <w:pPr>
        <w:tabs>
          <w:tab w:val="left" w:pos="567"/>
        </w:tabs>
        <w:suppressAutoHyphens/>
        <w:spacing w:after="0" w:line="240" w:lineRule="auto"/>
        <w:rPr>
          <w:rFonts w:ascii="Times New Roman" w:hAnsi="Times New Roman"/>
          <w:color w:val="000000"/>
          <w:shd w:val="clear" w:color="auto" w:fill="C0C0C0"/>
        </w:rPr>
      </w:pPr>
      <w:bookmarkStart w:id="6" w:name="_Hlk62395625"/>
      <w:r w:rsidRPr="002D3411">
        <w:rPr>
          <w:rFonts w:ascii="Times New Roman" w:hAnsi="Times New Roman"/>
          <w:color w:val="000000"/>
        </w:rPr>
        <w:t xml:space="preserve">Sudėtyje yra laktozės </w:t>
      </w:r>
      <w:proofErr w:type="spellStart"/>
      <w:r w:rsidRPr="002D3411">
        <w:rPr>
          <w:rFonts w:ascii="Times New Roman" w:hAnsi="Times New Roman"/>
          <w:color w:val="000000"/>
        </w:rPr>
        <w:t>monohidrato</w:t>
      </w:r>
      <w:proofErr w:type="spellEnd"/>
      <w:r w:rsidRPr="002D3411">
        <w:rPr>
          <w:rFonts w:ascii="Times New Roman" w:hAnsi="Times New Roman"/>
          <w:color w:val="000000"/>
        </w:rPr>
        <w:t>.</w:t>
      </w:r>
    </w:p>
    <w:bookmarkEnd w:id="6"/>
    <w:p w14:paraId="0C76867B" w14:textId="77777777" w:rsidR="00B43237" w:rsidRPr="002D3411" w:rsidRDefault="00B43237" w:rsidP="00B4323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highlight w:val="darkGray"/>
          <w:shd w:val="clear" w:color="auto" w:fill="C0C0C0"/>
        </w:rPr>
        <w:t>Daugiau informacijos žr. pakuotės lapelyje.</w:t>
      </w:r>
    </w:p>
    <w:p w14:paraId="3A11DC4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A3D319D"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78A54459"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75CA4">
        <w:rPr>
          <w:rFonts w:ascii="Times New Roman" w:eastAsia="Times New Roman" w:hAnsi="Times New Roman" w:cs="Times New Roman"/>
          <w:b/>
        </w:rPr>
        <w:t>4.</w:t>
      </w:r>
      <w:r w:rsidRPr="00975CA4">
        <w:rPr>
          <w:rFonts w:ascii="Times New Roman" w:eastAsia="Times New Roman" w:hAnsi="Times New Roman" w:cs="Times New Roman"/>
          <w:b/>
        </w:rPr>
        <w:tab/>
        <w:t>FARMACINĖ FORMA IR KIEKIS PAKUOTĖJE</w:t>
      </w:r>
    </w:p>
    <w:p w14:paraId="773C153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A51DD9E" w14:textId="77777777" w:rsidR="00CB4E24" w:rsidRPr="00975CA4" w:rsidRDefault="00B43237"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xml:space="preserve">60 </w:t>
      </w:r>
      <w:r w:rsidRPr="00975CA4">
        <w:rPr>
          <w:rFonts w:ascii="Times New Roman" w:eastAsia="Times New Roman" w:hAnsi="Times New Roman" w:cs="Times New Roman"/>
          <w:highlight w:val="darkGray"/>
        </w:rPr>
        <w:t>plėvele dengtų</w:t>
      </w:r>
      <w:r w:rsidRPr="00975CA4">
        <w:rPr>
          <w:rFonts w:ascii="Times New Roman" w:eastAsia="Times New Roman" w:hAnsi="Times New Roman" w:cs="Times New Roman"/>
        </w:rPr>
        <w:t xml:space="preserve"> tablečių</w:t>
      </w:r>
    </w:p>
    <w:p w14:paraId="61AFF8EC" w14:textId="77777777" w:rsidR="00B43237" w:rsidRPr="00975CA4" w:rsidRDefault="00B43237"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highlight w:val="lightGray"/>
        </w:rPr>
        <w:t xml:space="preserve">60x1 </w:t>
      </w:r>
      <w:r w:rsidRPr="00975CA4">
        <w:rPr>
          <w:rFonts w:ascii="Times New Roman" w:eastAsia="Times New Roman" w:hAnsi="Times New Roman" w:cs="Times New Roman"/>
          <w:highlight w:val="darkGray"/>
        </w:rPr>
        <w:t xml:space="preserve">plėvele dengtų </w:t>
      </w:r>
      <w:r w:rsidRPr="00975CA4">
        <w:rPr>
          <w:rFonts w:ascii="Times New Roman" w:eastAsia="Times New Roman" w:hAnsi="Times New Roman" w:cs="Times New Roman"/>
          <w:highlight w:val="lightGray"/>
        </w:rPr>
        <w:t>tablečių</w:t>
      </w:r>
    </w:p>
    <w:p w14:paraId="36ED5F9C" w14:textId="77777777" w:rsidR="00B43237" w:rsidRPr="00975CA4" w:rsidRDefault="00B43237" w:rsidP="00CB4E24">
      <w:pPr>
        <w:widowControl w:val="0"/>
        <w:autoSpaceDE w:val="0"/>
        <w:autoSpaceDN w:val="0"/>
        <w:spacing w:after="0" w:line="240" w:lineRule="auto"/>
        <w:rPr>
          <w:rFonts w:ascii="Times New Roman" w:eastAsia="Times New Roman" w:hAnsi="Times New Roman" w:cs="Times New Roman"/>
        </w:rPr>
      </w:pPr>
    </w:p>
    <w:p w14:paraId="6BE48212" w14:textId="77777777" w:rsidR="00B43237" w:rsidRPr="00975CA4" w:rsidRDefault="00B43237" w:rsidP="00CB4E24">
      <w:pPr>
        <w:widowControl w:val="0"/>
        <w:autoSpaceDE w:val="0"/>
        <w:autoSpaceDN w:val="0"/>
        <w:spacing w:after="0" w:line="240" w:lineRule="auto"/>
        <w:rPr>
          <w:rFonts w:ascii="Times New Roman" w:eastAsia="Times New Roman" w:hAnsi="Times New Roman" w:cs="Times New Roman"/>
        </w:rPr>
      </w:pPr>
    </w:p>
    <w:p w14:paraId="385EDEA8"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75CA4">
        <w:rPr>
          <w:rFonts w:ascii="Times New Roman" w:eastAsia="Times New Roman" w:hAnsi="Times New Roman" w:cs="Times New Roman"/>
          <w:b/>
        </w:rPr>
        <w:t>5.</w:t>
      </w:r>
      <w:r w:rsidRPr="00975CA4">
        <w:rPr>
          <w:rFonts w:ascii="Times New Roman" w:eastAsia="Times New Roman" w:hAnsi="Times New Roman" w:cs="Times New Roman"/>
          <w:b/>
        </w:rPr>
        <w:tab/>
        <w:t>VARTOJIMO METODAS IR BŪDAS (-AI)</w:t>
      </w:r>
    </w:p>
    <w:p w14:paraId="2A90AAA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AEE7C9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Prieš vartojimą perskaitykite pakuotės lapelį.</w:t>
      </w:r>
    </w:p>
    <w:p w14:paraId="7A2D823E" w14:textId="77777777" w:rsidR="00B43237" w:rsidRPr="00975CA4" w:rsidRDefault="00B43237" w:rsidP="00B43237">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highlight w:val="darkGray"/>
        </w:rPr>
        <w:t>Vartoti per burną.</w:t>
      </w:r>
    </w:p>
    <w:p w14:paraId="3EEA6DD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285ECD6"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6DBAC01"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75CA4">
        <w:rPr>
          <w:rFonts w:ascii="Times New Roman" w:eastAsia="Times New Roman" w:hAnsi="Times New Roman" w:cs="Times New Roman"/>
          <w:b/>
        </w:rPr>
        <w:t>6.</w:t>
      </w:r>
      <w:r w:rsidRPr="00975CA4">
        <w:rPr>
          <w:rFonts w:ascii="Times New Roman" w:eastAsia="Times New Roman" w:hAnsi="Times New Roman" w:cs="Times New Roman"/>
          <w:b/>
        </w:rPr>
        <w:tab/>
        <w:t>SPECIALUS ĮSPĖJIMAS, KAD VAISTINĮ PREPARATĄ BŪTINA LAIKYTI VAIKAMS NEPASTEBIMOJE IR NEPASIEKIAMOJE VIETOJE</w:t>
      </w:r>
    </w:p>
    <w:p w14:paraId="5462692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E698969"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Laikyti vaikams nepastebimoje ir nepasiekiamoje vietoje.</w:t>
      </w:r>
    </w:p>
    <w:p w14:paraId="11C9657A"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7646B51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119EF16E"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75CA4">
        <w:rPr>
          <w:rFonts w:ascii="Times New Roman" w:eastAsia="Times New Roman" w:hAnsi="Times New Roman" w:cs="Times New Roman"/>
          <w:b/>
        </w:rPr>
        <w:t>7.</w:t>
      </w:r>
      <w:r w:rsidRPr="00975CA4">
        <w:rPr>
          <w:rFonts w:ascii="Times New Roman" w:eastAsia="Times New Roman" w:hAnsi="Times New Roman" w:cs="Times New Roman"/>
          <w:b/>
        </w:rPr>
        <w:tab/>
        <w:t>KITAS (-I) SPECIALUS (-ŪS) ĮSPĖJIMAS (-AI) (JEI REIKIA)</w:t>
      </w:r>
    </w:p>
    <w:p w14:paraId="19A0BEFD"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6CBA1F6" w14:textId="04F4279A" w:rsidR="00B43237" w:rsidRPr="00975CA4" w:rsidRDefault="00B43237" w:rsidP="00CB4E24">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Citotoksi</w:t>
      </w:r>
      <w:r w:rsidR="000759A5" w:rsidRPr="00975CA4">
        <w:rPr>
          <w:rFonts w:ascii="Times New Roman" w:eastAsia="Times New Roman" w:hAnsi="Times New Roman" w:cs="Times New Roman"/>
        </w:rPr>
        <w:t>škas</w:t>
      </w:r>
      <w:proofErr w:type="spellEnd"/>
      <w:r w:rsidR="000759A5" w:rsidRPr="00975CA4">
        <w:rPr>
          <w:rFonts w:ascii="Times New Roman" w:eastAsia="Times New Roman" w:hAnsi="Times New Roman" w:cs="Times New Roman"/>
        </w:rPr>
        <w:t xml:space="preserve"> </w:t>
      </w:r>
    </w:p>
    <w:p w14:paraId="0D114119" w14:textId="77777777" w:rsidR="006B326C" w:rsidRPr="00975CA4" w:rsidRDefault="006B326C" w:rsidP="00CB4E24">
      <w:pPr>
        <w:widowControl w:val="0"/>
        <w:autoSpaceDE w:val="0"/>
        <w:autoSpaceDN w:val="0"/>
        <w:spacing w:after="0" w:line="240" w:lineRule="auto"/>
        <w:rPr>
          <w:rFonts w:ascii="Times New Roman" w:eastAsia="Times New Roman" w:hAnsi="Times New Roman" w:cs="Times New Roman"/>
        </w:rPr>
      </w:pPr>
    </w:p>
    <w:p w14:paraId="69FB10AE"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FBBD0AE"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75CA4">
        <w:rPr>
          <w:rFonts w:ascii="Times New Roman" w:eastAsia="Times New Roman" w:hAnsi="Times New Roman" w:cs="Times New Roman"/>
          <w:b/>
        </w:rPr>
        <w:t>8.</w:t>
      </w:r>
      <w:r w:rsidRPr="00975CA4">
        <w:rPr>
          <w:rFonts w:ascii="Times New Roman" w:eastAsia="Times New Roman" w:hAnsi="Times New Roman" w:cs="Times New Roman"/>
          <w:b/>
        </w:rPr>
        <w:tab/>
        <w:t>TINKAMUMO LAIKAS</w:t>
      </w:r>
    </w:p>
    <w:p w14:paraId="43418B83"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491F46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sl-SI"/>
        </w:rPr>
      </w:pPr>
      <w:r w:rsidRPr="00975CA4">
        <w:rPr>
          <w:rFonts w:ascii="Times New Roman" w:eastAsia="Times New Roman" w:hAnsi="Times New Roman" w:cs="Times New Roman"/>
          <w:lang w:eastAsia="sl-SI"/>
        </w:rPr>
        <w:t xml:space="preserve">EXP </w:t>
      </w:r>
      <w:r w:rsidR="00EB18C8" w:rsidRPr="00975CA4">
        <w:rPr>
          <w:rFonts w:ascii="Times New Roman" w:eastAsia="Times New Roman" w:hAnsi="Times New Roman" w:cs="Times New Roman"/>
          <w:highlight w:val="lightGray"/>
          <w:lang w:eastAsia="lt-LT"/>
        </w:rPr>
        <w:t>{mm MMMM}</w:t>
      </w:r>
    </w:p>
    <w:p w14:paraId="2E5B29F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7A664BF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17DFF87"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975CA4">
        <w:rPr>
          <w:rFonts w:ascii="Times New Roman" w:eastAsia="Times New Roman" w:hAnsi="Times New Roman" w:cs="Times New Roman"/>
          <w:b/>
        </w:rPr>
        <w:t>9.</w:t>
      </w:r>
      <w:r w:rsidRPr="00975CA4">
        <w:rPr>
          <w:rFonts w:ascii="Times New Roman" w:eastAsia="Times New Roman" w:hAnsi="Times New Roman" w:cs="Times New Roman"/>
          <w:b/>
        </w:rPr>
        <w:tab/>
        <w:t>SPECIALIOS LAIKYMO SĄLYGOS</w:t>
      </w:r>
    </w:p>
    <w:p w14:paraId="1138AC54"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637D0A2"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64BA094"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b/>
        </w:rPr>
      </w:pPr>
      <w:r w:rsidRPr="00975CA4">
        <w:rPr>
          <w:rFonts w:ascii="Times New Roman" w:eastAsia="Times New Roman" w:hAnsi="Times New Roman" w:cs="Times New Roman"/>
          <w:b/>
        </w:rPr>
        <w:t>10.</w:t>
      </w:r>
      <w:r w:rsidRPr="00975CA4">
        <w:rPr>
          <w:rFonts w:ascii="Times New Roman" w:eastAsia="Times New Roman" w:hAnsi="Times New Roman" w:cs="Times New Roman"/>
          <w:b/>
        </w:rPr>
        <w:tab/>
        <w:t>SPECIALIOS ATSARGUMO PRIEMONĖS DĖL NESUVARTOTO VAISTINIO PREPARATO AR JO ATLIEKŲ TVARKYMO (JEI REIKIA)</w:t>
      </w:r>
    </w:p>
    <w:p w14:paraId="7E5C43C6"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4A1065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207D9B9D"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975CA4">
        <w:rPr>
          <w:rFonts w:ascii="Times New Roman" w:eastAsia="Times New Roman" w:hAnsi="Times New Roman" w:cs="Times New Roman"/>
          <w:b/>
        </w:rPr>
        <w:t>11.</w:t>
      </w:r>
      <w:r w:rsidRPr="00975CA4">
        <w:rPr>
          <w:rFonts w:ascii="Times New Roman" w:eastAsia="Times New Roman" w:hAnsi="Times New Roman" w:cs="Times New Roman"/>
          <w:b/>
        </w:rPr>
        <w:tab/>
      </w:r>
      <w:r w:rsidRPr="00975CA4">
        <w:rPr>
          <w:rFonts w:ascii="Times New Roman" w:eastAsia="Times New Roman" w:hAnsi="Times New Roman" w:cs="Times New Roman"/>
          <w:b/>
          <w:caps/>
        </w:rPr>
        <w:t xml:space="preserve"> REGISTRUOTOJO PAVADINIMAS IR ADRESAS</w:t>
      </w:r>
    </w:p>
    <w:p w14:paraId="0DC7A59D"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F2927C4"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Zentiva</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k.s</w:t>
      </w:r>
      <w:proofErr w:type="spellEnd"/>
      <w:r w:rsidRPr="00975CA4">
        <w:rPr>
          <w:rFonts w:ascii="Times New Roman" w:eastAsia="Times New Roman" w:hAnsi="Times New Roman" w:cs="Times New Roman"/>
        </w:rPr>
        <w:t>.</w:t>
      </w:r>
    </w:p>
    <w:p w14:paraId="28E758B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xml:space="preserve">U </w:t>
      </w:r>
      <w:proofErr w:type="spellStart"/>
      <w:r w:rsidRPr="00975CA4">
        <w:rPr>
          <w:rFonts w:ascii="Times New Roman" w:eastAsia="Times New Roman" w:hAnsi="Times New Roman" w:cs="Times New Roman"/>
        </w:rPr>
        <w:t>kabelovny</w:t>
      </w:r>
      <w:proofErr w:type="spellEnd"/>
      <w:r w:rsidRPr="00975CA4">
        <w:rPr>
          <w:rFonts w:ascii="Times New Roman" w:eastAsia="Times New Roman" w:hAnsi="Times New Roman" w:cs="Times New Roman"/>
        </w:rPr>
        <w:t xml:space="preserve"> 130</w:t>
      </w:r>
    </w:p>
    <w:p w14:paraId="4E43BF32"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Dolní</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Měcholupy</w:t>
      </w:r>
      <w:proofErr w:type="spellEnd"/>
    </w:p>
    <w:p w14:paraId="180AC306"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102 37 Praha 10</w:t>
      </w:r>
    </w:p>
    <w:p w14:paraId="6FE87932"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Čekija</w:t>
      </w:r>
    </w:p>
    <w:p w14:paraId="447E5FF6"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sl-SI"/>
        </w:rPr>
      </w:pPr>
    </w:p>
    <w:p w14:paraId="3F34305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02E65FF"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975CA4">
        <w:rPr>
          <w:rFonts w:ascii="Times New Roman" w:eastAsia="Times New Roman" w:hAnsi="Times New Roman" w:cs="Times New Roman"/>
          <w:b/>
        </w:rPr>
        <w:t>12.</w:t>
      </w:r>
      <w:r w:rsidRPr="00975CA4">
        <w:rPr>
          <w:rFonts w:ascii="Times New Roman" w:eastAsia="Times New Roman" w:hAnsi="Times New Roman" w:cs="Times New Roman"/>
          <w:b/>
        </w:rPr>
        <w:tab/>
        <w:t>REGISTRACIJOS PAŽYMĖJIMO NUMERIS (-IAI)</w:t>
      </w:r>
    </w:p>
    <w:p w14:paraId="1F0BC7E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89B3B13" w14:textId="77777777" w:rsidR="00031EB0" w:rsidRPr="00975CA4"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2D3411">
        <w:rPr>
          <w:rFonts w:ascii="Times New Roman" w:hAnsi="Times New Roman"/>
        </w:rPr>
        <w:t xml:space="preserve">LT/1/21/4709/001 </w:t>
      </w:r>
      <w:r w:rsidRPr="00975CA4">
        <w:rPr>
          <w:rFonts w:ascii="Times New Roman" w:eastAsia="Times New Roman" w:hAnsi="Times New Roman" w:cs="Times New Roman"/>
          <w:highlight w:val="lightGray"/>
          <w:lang w:eastAsia="lt-LT"/>
        </w:rPr>
        <w:t>– lizdinė plokštelė, N60</w:t>
      </w:r>
    </w:p>
    <w:p w14:paraId="26363FF0" w14:textId="77777777" w:rsidR="00031EB0" w:rsidRPr="00975CA4"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975CA4">
        <w:rPr>
          <w:rFonts w:ascii="Times New Roman" w:eastAsia="Times New Roman" w:hAnsi="Times New Roman" w:cs="Times New Roman"/>
          <w:highlight w:val="lightGray"/>
          <w:lang w:eastAsia="lt-LT"/>
        </w:rPr>
        <w:t xml:space="preserve">LT/1/21/4709/002 – </w:t>
      </w:r>
      <w:proofErr w:type="spellStart"/>
      <w:r w:rsidRPr="00975CA4">
        <w:rPr>
          <w:rFonts w:ascii="Times New Roman" w:eastAsia="Times New Roman" w:hAnsi="Times New Roman" w:cs="Times New Roman"/>
          <w:highlight w:val="lightGray"/>
          <w:lang w:eastAsia="lt-LT"/>
        </w:rPr>
        <w:t>dalomoji</w:t>
      </w:r>
      <w:proofErr w:type="spellEnd"/>
      <w:r w:rsidRPr="00975CA4">
        <w:rPr>
          <w:rFonts w:ascii="Times New Roman" w:eastAsia="Times New Roman" w:hAnsi="Times New Roman" w:cs="Times New Roman"/>
          <w:highlight w:val="lightGray"/>
          <w:lang w:eastAsia="lt-LT"/>
        </w:rPr>
        <w:t xml:space="preserve"> lizdinė plokštelė, N60x1</w:t>
      </w:r>
    </w:p>
    <w:p w14:paraId="7E8D511C" w14:textId="77777777" w:rsidR="00031EB0" w:rsidRPr="00975CA4" w:rsidRDefault="00031EB0" w:rsidP="00031EB0">
      <w:pPr>
        <w:widowControl w:val="0"/>
        <w:autoSpaceDE w:val="0"/>
        <w:autoSpaceDN w:val="0"/>
        <w:spacing w:after="0" w:line="240" w:lineRule="auto"/>
        <w:rPr>
          <w:rFonts w:ascii="Times New Roman" w:eastAsia="Times New Roman" w:hAnsi="Times New Roman" w:cs="Times New Roman"/>
          <w:highlight w:val="lightGray"/>
          <w:lang w:eastAsia="lt-LT"/>
        </w:rPr>
      </w:pPr>
      <w:r w:rsidRPr="00975CA4">
        <w:rPr>
          <w:rFonts w:ascii="Times New Roman" w:eastAsia="Times New Roman" w:hAnsi="Times New Roman" w:cs="Times New Roman"/>
          <w:highlight w:val="lightGray"/>
          <w:lang w:eastAsia="lt-LT"/>
        </w:rPr>
        <w:t xml:space="preserve">LT/1/21/4709/003 – </w:t>
      </w:r>
      <w:proofErr w:type="spellStart"/>
      <w:r w:rsidRPr="00975CA4">
        <w:rPr>
          <w:rFonts w:ascii="Times New Roman" w:eastAsia="Times New Roman" w:hAnsi="Times New Roman" w:cs="Times New Roman"/>
          <w:highlight w:val="lightGray"/>
          <w:lang w:eastAsia="lt-LT"/>
        </w:rPr>
        <w:t>talpyklė</w:t>
      </w:r>
      <w:proofErr w:type="spellEnd"/>
      <w:r w:rsidRPr="00975CA4">
        <w:rPr>
          <w:rFonts w:ascii="Times New Roman" w:eastAsia="Times New Roman" w:hAnsi="Times New Roman" w:cs="Times New Roman"/>
          <w:highlight w:val="lightGray"/>
          <w:lang w:eastAsia="lt-LT"/>
        </w:rPr>
        <w:t>, N60</w:t>
      </w:r>
      <w:r w:rsidRPr="00975CA4">
        <w:rPr>
          <w:rFonts w:ascii="Times New Roman" w:eastAsia="Times New Roman" w:hAnsi="Times New Roman" w:cs="Times New Roman"/>
          <w:highlight w:val="lightGray"/>
          <w:lang w:eastAsia="lt-LT"/>
        </w:rPr>
        <w:tab/>
      </w:r>
    </w:p>
    <w:p w14:paraId="6517455A" w14:textId="77777777" w:rsidR="00031EB0" w:rsidRPr="002D3411" w:rsidRDefault="00031EB0" w:rsidP="00031EB0">
      <w:pPr>
        <w:widowControl w:val="0"/>
        <w:autoSpaceDE w:val="0"/>
        <w:autoSpaceDN w:val="0"/>
        <w:spacing w:after="0" w:line="240" w:lineRule="auto"/>
        <w:rPr>
          <w:rFonts w:ascii="Times New Roman" w:hAnsi="Times New Roman"/>
        </w:rPr>
      </w:pPr>
    </w:p>
    <w:p w14:paraId="4C569D5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1DF7989"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975CA4">
        <w:rPr>
          <w:rFonts w:ascii="Times New Roman" w:eastAsia="Times New Roman" w:hAnsi="Times New Roman" w:cs="Times New Roman"/>
          <w:b/>
        </w:rPr>
        <w:t>13.</w:t>
      </w:r>
      <w:r w:rsidRPr="00975CA4">
        <w:rPr>
          <w:rFonts w:ascii="Times New Roman" w:eastAsia="Times New Roman" w:hAnsi="Times New Roman" w:cs="Times New Roman"/>
          <w:b/>
        </w:rPr>
        <w:tab/>
        <w:t>SERIJOS NUMERIS</w:t>
      </w:r>
    </w:p>
    <w:p w14:paraId="65464F9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55673C80" w14:textId="77777777" w:rsidR="00CB4E24" w:rsidRPr="00975CA4" w:rsidRDefault="00CB4E24" w:rsidP="00CB4E24">
      <w:pPr>
        <w:widowControl w:val="0"/>
        <w:autoSpaceDE w:val="0"/>
        <w:autoSpaceDN w:val="0"/>
        <w:spacing w:after="0" w:line="240" w:lineRule="auto"/>
        <w:rPr>
          <w:rFonts w:ascii="Times New Roman" w:eastAsia="Calibri" w:hAnsi="Times New Roman" w:cs="Times New Roman"/>
          <w:lang w:eastAsia="sl-SI"/>
        </w:rPr>
      </w:pPr>
      <w:r w:rsidRPr="00975CA4">
        <w:rPr>
          <w:rFonts w:ascii="Times New Roman" w:eastAsia="Times New Roman" w:hAnsi="Times New Roman" w:cs="Times New Roman"/>
          <w:lang w:eastAsia="sl-SI"/>
        </w:rPr>
        <w:t xml:space="preserve">Lot </w:t>
      </w:r>
    </w:p>
    <w:p w14:paraId="7488D7A2"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40C55996"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E0AB385"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rPr>
      </w:pPr>
      <w:r w:rsidRPr="00975CA4">
        <w:rPr>
          <w:rFonts w:ascii="Times New Roman" w:eastAsia="Times New Roman" w:hAnsi="Times New Roman" w:cs="Times New Roman"/>
          <w:b/>
        </w:rPr>
        <w:t>14.</w:t>
      </w:r>
      <w:r w:rsidRPr="00975CA4">
        <w:rPr>
          <w:rFonts w:ascii="Times New Roman" w:eastAsia="Times New Roman" w:hAnsi="Times New Roman" w:cs="Times New Roman"/>
          <w:b/>
        </w:rPr>
        <w:tab/>
        <w:t>PARDAVIMO (IŠDAVIMO) TVARKA</w:t>
      </w:r>
    </w:p>
    <w:p w14:paraId="2B95E1F7"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00A82E5"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Receptinis vaistas.</w:t>
      </w:r>
    </w:p>
    <w:p w14:paraId="1E4C4D95"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7048FE0E"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B475061" w14:textId="77777777" w:rsidR="00CB4E24" w:rsidRPr="00975CA4" w:rsidRDefault="00CB4E24" w:rsidP="00CB4E24">
      <w:pPr>
        <w:widowControl w:val="0"/>
        <w:pBdr>
          <w:top w:val="single" w:sz="4" w:space="2"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rPr>
      </w:pPr>
      <w:r w:rsidRPr="00975CA4">
        <w:rPr>
          <w:rFonts w:ascii="Times New Roman" w:eastAsia="Times New Roman" w:hAnsi="Times New Roman" w:cs="Times New Roman"/>
          <w:b/>
        </w:rPr>
        <w:t>15.</w:t>
      </w:r>
      <w:r w:rsidRPr="00975CA4">
        <w:rPr>
          <w:rFonts w:ascii="Times New Roman" w:eastAsia="Times New Roman" w:hAnsi="Times New Roman" w:cs="Times New Roman"/>
          <w:b/>
        </w:rPr>
        <w:tab/>
        <w:t>VARTOJIMO INSTRUKCIJA</w:t>
      </w:r>
    </w:p>
    <w:p w14:paraId="39E3654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3B1AFBB"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32AF8FB2" w14:textId="77777777" w:rsidR="00CB4E24" w:rsidRPr="00975CA4" w:rsidRDefault="00CB4E24" w:rsidP="00CB4E24">
      <w:pPr>
        <w:widowControl w:val="0"/>
        <w:pBdr>
          <w:top w:val="single" w:sz="4" w:space="1" w:color="auto"/>
          <w:left w:val="single" w:sz="4" w:space="4" w:color="auto"/>
          <w:bottom w:val="single" w:sz="4" w:space="0" w:color="auto"/>
          <w:right w:val="single" w:sz="4" w:space="4" w:color="auto"/>
        </w:pBdr>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b/>
        </w:rPr>
        <w:t>16.</w:t>
      </w:r>
      <w:r w:rsidRPr="00975CA4">
        <w:rPr>
          <w:rFonts w:ascii="Times New Roman" w:eastAsia="Times New Roman" w:hAnsi="Times New Roman" w:cs="Times New Roman"/>
          <w:b/>
        </w:rPr>
        <w:tab/>
        <w:t>INFORMACIJA BRAILIO RAŠTU</w:t>
      </w:r>
    </w:p>
    <w:p w14:paraId="142875AF"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6F378221" w14:textId="77777777" w:rsidR="006B326C" w:rsidRPr="00975CA4" w:rsidRDefault="006B326C" w:rsidP="00CB4E24">
      <w:pPr>
        <w:widowControl w:val="0"/>
        <w:autoSpaceDE w:val="0"/>
        <w:autoSpaceDN w:val="0"/>
        <w:spacing w:after="0" w:line="240" w:lineRule="auto"/>
        <w:rPr>
          <w:rFonts w:ascii="Times New Roman" w:eastAsia="Times New Roman" w:hAnsi="Times New Roman" w:cs="Times New Roman"/>
          <w:i/>
          <w:iCs/>
        </w:rPr>
      </w:pPr>
      <w:r w:rsidRPr="00975CA4">
        <w:rPr>
          <w:rFonts w:ascii="Times New Roman" w:eastAsia="Times New Roman" w:hAnsi="Times New Roman" w:cs="Times New Roman"/>
          <w:i/>
          <w:iCs/>
          <w:highlight w:val="lightGray"/>
        </w:rPr>
        <w:t>Išorinė dėžutė</w:t>
      </w:r>
    </w:p>
    <w:p w14:paraId="3F8817BC" w14:textId="77777777" w:rsidR="00CB4E24" w:rsidRPr="00975CA4" w:rsidRDefault="006B326C" w:rsidP="00CB4E24">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Dasatinib</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Zentiva</w:t>
      </w:r>
      <w:proofErr w:type="spellEnd"/>
      <w:r w:rsidRPr="00975CA4">
        <w:rPr>
          <w:rFonts w:ascii="Times New Roman" w:eastAsia="Times New Roman" w:hAnsi="Times New Roman" w:cs="Times New Roman"/>
        </w:rPr>
        <w:t xml:space="preserve"> 50 mg</w:t>
      </w:r>
    </w:p>
    <w:p w14:paraId="14DD3FF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rPr>
      </w:pPr>
    </w:p>
    <w:p w14:paraId="06EAACFD"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shd w:val="clear" w:color="auto" w:fill="CCCCCC"/>
          <w:lang w:eastAsia="lt-LT" w:bidi="lt-LT"/>
        </w:rPr>
      </w:pPr>
    </w:p>
    <w:p w14:paraId="73FB0E5E"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1077" w:hanging="1077"/>
        <w:outlineLvl w:val="0"/>
        <w:rPr>
          <w:rFonts w:ascii="Times New Roman" w:eastAsia="Times New Roman" w:hAnsi="Times New Roman" w:cs="Times New Roman"/>
          <w:i/>
          <w:lang w:eastAsia="lt-LT" w:bidi="lt-LT"/>
        </w:rPr>
      </w:pPr>
      <w:r w:rsidRPr="00975CA4">
        <w:rPr>
          <w:rFonts w:ascii="Times New Roman" w:eastAsia="Times New Roman" w:hAnsi="Times New Roman" w:cs="Times New Roman"/>
          <w:b/>
          <w:lang w:eastAsia="lt-LT" w:bidi="lt-LT"/>
        </w:rPr>
        <w:t>17.</w:t>
      </w:r>
      <w:r w:rsidRPr="00975CA4">
        <w:rPr>
          <w:rFonts w:ascii="Times New Roman" w:eastAsia="Times New Roman" w:hAnsi="Times New Roman" w:cs="Times New Roman"/>
          <w:b/>
          <w:lang w:eastAsia="lt-LT" w:bidi="lt-LT"/>
        </w:rPr>
        <w:tab/>
        <w:t>UNIKALUS IDENTIFIKATORIUS – 2D BRŪKŠNINIS KODAS</w:t>
      </w:r>
    </w:p>
    <w:p w14:paraId="01632FA7"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p>
    <w:p w14:paraId="5527C4C0" w14:textId="77777777" w:rsidR="006B326C" w:rsidRPr="00975CA4" w:rsidRDefault="006B326C" w:rsidP="006B326C">
      <w:pPr>
        <w:widowControl w:val="0"/>
        <w:autoSpaceDE w:val="0"/>
        <w:autoSpaceDN w:val="0"/>
        <w:spacing w:after="0" w:line="240" w:lineRule="auto"/>
        <w:rPr>
          <w:rFonts w:ascii="Times New Roman" w:eastAsia="Times New Roman" w:hAnsi="Times New Roman" w:cs="Times New Roman"/>
          <w:i/>
          <w:iCs/>
        </w:rPr>
      </w:pPr>
      <w:r w:rsidRPr="00975CA4">
        <w:rPr>
          <w:rFonts w:ascii="Times New Roman" w:eastAsia="Times New Roman" w:hAnsi="Times New Roman" w:cs="Times New Roman"/>
          <w:i/>
          <w:iCs/>
          <w:highlight w:val="lightGray"/>
        </w:rPr>
        <w:t>Išorinė dėžutė</w:t>
      </w:r>
    </w:p>
    <w:p w14:paraId="71B3E499"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r w:rsidRPr="00975CA4">
        <w:rPr>
          <w:rFonts w:ascii="Times New Roman" w:eastAsia="Times New Roman" w:hAnsi="Times New Roman" w:cs="Times New Roman"/>
          <w:highlight w:val="lightGray"/>
          <w:lang w:eastAsia="lt-LT" w:bidi="lt-LT"/>
        </w:rPr>
        <w:t>2D brūkšninis kodas su nurodytu unikaliu identifikatoriumi.</w:t>
      </w:r>
    </w:p>
    <w:p w14:paraId="1D55A7A3"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highlight w:val="lightGray"/>
          <w:lang w:eastAsia="lt-LT" w:bidi="lt-LT"/>
        </w:rPr>
      </w:pPr>
    </w:p>
    <w:p w14:paraId="7A0CDAF9"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p>
    <w:p w14:paraId="5A397C97"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1077" w:hanging="1077"/>
        <w:outlineLvl w:val="0"/>
        <w:rPr>
          <w:rFonts w:ascii="Times New Roman" w:eastAsia="Times New Roman" w:hAnsi="Times New Roman" w:cs="Times New Roman"/>
          <w:i/>
          <w:lang w:eastAsia="lt-LT" w:bidi="lt-LT"/>
        </w:rPr>
      </w:pPr>
      <w:r w:rsidRPr="00975CA4">
        <w:rPr>
          <w:rFonts w:ascii="Times New Roman" w:eastAsia="Times New Roman" w:hAnsi="Times New Roman" w:cs="Times New Roman"/>
          <w:b/>
          <w:lang w:eastAsia="lt-LT" w:bidi="lt-LT"/>
        </w:rPr>
        <w:t>18.</w:t>
      </w:r>
      <w:r w:rsidRPr="00975CA4">
        <w:rPr>
          <w:rFonts w:ascii="Times New Roman" w:eastAsia="Times New Roman" w:hAnsi="Times New Roman" w:cs="Times New Roman"/>
          <w:b/>
          <w:lang w:eastAsia="lt-LT" w:bidi="lt-LT"/>
        </w:rPr>
        <w:tab/>
        <w:t>UNIKALUS IDENTIFIKATORIUS – ŽMONĖMS SUPRANTAMI DUOMENYS</w:t>
      </w:r>
    </w:p>
    <w:p w14:paraId="6A6D89B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p>
    <w:p w14:paraId="0748272B" w14:textId="77777777" w:rsidR="006B326C" w:rsidRPr="00975CA4" w:rsidRDefault="006B326C" w:rsidP="006B326C">
      <w:pPr>
        <w:widowControl w:val="0"/>
        <w:autoSpaceDE w:val="0"/>
        <w:autoSpaceDN w:val="0"/>
        <w:spacing w:after="0" w:line="240" w:lineRule="auto"/>
        <w:rPr>
          <w:rFonts w:ascii="Times New Roman" w:eastAsia="Times New Roman" w:hAnsi="Times New Roman" w:cs="Times New Roman"/>
          <w:i/>
          <w:iCs/>
        </w:rPr>
      </w:pPr>
      <w:r w:rsidRPr="00975CA4">
        <w:rPr>
          <w:rFonts w:ascii="Times New Roman" w:eastAsia="Times New Roman" w:hAnsi="Times New Roman" w:cs="Times New Roman"/>
          <w:i/>
          <w:iCs/>
          <w:highlight w:val="lightGray"/>
        </w:rPr>
        <w:t>Išorinė dėžutė</w:t>
      </w:r>
    </w:p>
    <w:p w14:paraId="76134441"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r w:rsidRPr="00975CA4">
        <w:rPr>
          <w:rFonts w:ascii="Times New Roman" w:eastAsia="Times New Roman" w:hAnsi="Times New Roman" w:cs="Times New Roman"/>
          <w:lang w:eastAsia="lt-LT" w:bidi="lt-LT"/>
        </w:rPr>
        <w:t>PC</w:t>
      </w:r>
    </w:p>
    <w:p w14:paraId="5C2E753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r w:rsidRPr="00975CA4">
        <w:rPr>
          <w:rFonts w:ascii="Times New Roman" w:eastAsia="Times New Roman" w:hAnsi="Times New Roman" w:cs="Times New Roman"/>
          <w:lang w:eastAsia="lt-LT" w:bidi="lt-LT"/>
        </w:rPr>
        <w:t>SN</w:t>
      </w:r>
    </w:p>
    <w:p w14:paraId="7D528AC6"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bidi="lt-LT"/>
        </w:rPr>
      </w:pPr>
      <w:r w:rsidRPr="00975CA4">
        <w:rPr>
          <w:rFonts w:ascii="Times New Roman" w:eastAsia="Times New Roman" w:hAnsi="Times New Roman" w:cs="Times New Roman"/>
          <w:lang w:eastAsia="lt-LT" w:bidi="lt-LT"/>
        </w:rPr>
        <w:t>NN</w:t>
      </w:r>
    </w:p>
    <w:p w14:paraId="62A2D40D"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lang w:eastAsia="lt-LT"/>
        </w:rPr>
      </w:pPr>
      <w:r w:rsidRPr="00975CA4">
        <w:rPr>
          <w:rFonts w:ascii="Times New Roman" w:eastAsia="Times New Roman" w:hAnsi="Times New Roman" w:cs="Times New Roman"/>
        </w:rPr>
        <w:br w:type="page"/>
      </w:r>
      <w:r w:rsidRPr="00975CA4">
        <w:rPr>
          <w:rFonts w:ascii="Times New Roman" w:eastAsia="Times New Roman" w:hAnsi="Times New Roman" w:cs="Times New Roman"/>
          <w:b/>
          <w:lang w:eastAsia="lt-LT"/>
        </w:rPr>
        <w:lastRenderedPageBreak/>
        <w:t>MINIMALI INFORMACIJA ANT LIZDINIŲ PLOKŠTELIŲ ARBA DVISLUOKSNIŲ JUOSTELIŲ</w:t>
      </w:r>
    </w:p>
    <w:p w14:paraId="1BADD5F6"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lang w:eastAsia="lt-LT"/>
        </w:rPr>
      </w:pPr>
    </w:p>
    <w:p w14:paraId="76F5ECAB" w14:textId="29681F53"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r w:rsidRPr="00975CA4">
        <w:rPr>
          <w:rFonts w:ascii="Times New Roman" w:eastAsia="Times New Roman" w:hAnsi="Times New Roman" w:cs="Times New Roman"/>
          <w:b/>
          <w:lang w:eastAsia="lt-LT"/>
        </w:rPr>
        <w:t>LIZDINĖ PLOKŠTELĖ</w:t>
      </w:r>
      <w:r w:rsidR="00235A1D" w:rsidRPr="00975CA4">
        <w:rPr>
          <w:rFonts w:ascii="Times New Roman" w:eastAsia="Times New Roman" w:hAnsi="Times New Roman" w:cs="Times New Roman"/>
          <w:b/>
          <w:lang w:eastAsia="lt-LT"/>
        </w:rPr>
        <w:t xml:space="preserve"> </w:t>
      </w:r>
      <w:r w:rsidR="00235A1D" w:rsidRPr="00975CA4">
        <w:rPr>
          <w:rFonts w:ascii="Times New Roman" w:eastAsia="Times New Roman" w:hAnsi="Times New Roman" w:cs="Times New Roman"/>
          <w:b/>
        </w:rPr>
        <w:t xml:space="preserve">- ES visas / </w:t>
      </w:r>
      <w:r w:rsidR="00235A1D" w:rsidRPr="00975CA4">
        <w:rPr>
          <w:rFonts w:ascii="Times New Roman" w:eastAsia="Times New Roman" w:hAnsi="Times New Roman" w:cs="Times New Roman"/>
          <w:b/>
          <w:i/>
          <w:iCs/>
          <w:highlight w:val="darkGray"/>
        </w:rPr>
        <w:t>sutrumpintas</w:t>
      </w:r>
      <w:r w:rsidR="00235A1D" w:rsidRPr="00975CA4">
        <w:rPr>
          <w:rFonts w:ascii="Times New Roman" w:eastAsia="Times New Roman" w:hAnsi="Times New Roman" w:cs="Times New Roman"/>
          <w:b/>
        </w:rPr>
        <w:t xml:space="preserve"> suderinto ženklinimo tekstas</w:t>
      </w:r>
    </w:p>
    <w:p w14:paraId="53856610"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3FA95D16"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5F64F6B2"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suppressAutoHyphens/>
        <w:autoSpaceDE w:val="0"/>
        <w:autoSpaceDN w:val="0"/>
        <w:spacing w:after="0" w:line="240" w:lineRule="auto"/>
        <w:ind w:left="567" w:hanging="567"/>
        <w:outlineLvl w:val="0"/>
        <w:rPr>
          <w:rFonts w:ascii="Times New Roman" w:eastAsia="Times New Roman" w:hAnsi="Times New Roman" w:cs="Times New Roman"/>
          <w:b/>
          <w:caps/>
          <w:kern w:val="28"/>
          <w:lang w:eastAsia="lt-LT"/>
        </w:rPr>
      </w:pPr>
      <w:r w:rsidRPr="00975CA4">
        <w:rPr>
          <w:rFonts w:ascii="Times New Roman" w:eastAsia="Times New Roman" w:hAnsi="Times New Roman" w:cs="Times New Roman"/>
          <w:b/>
          <w:caps/>
          <w:kern w:val="28"/>
          <w:lang w:eastAsia="lt-LT"/>
        </w:rPr>
        <w:t>1.</w:t>
      </w:r>
      <w:r w:rsidRPr="00975CA4">
        <w:rPr>
          <w:rFonts w:ascii="Times New Roman" w:eastAsia="Times New Roman" w:hAnsi="Times New Roman" w:cs="Times New Roman"/>
          <w:b/>
          <w:caps/>
          <w:kern w:val="28"/>
          <w:lang w:eastAsia="lt-LT"/>
        </w:rPr>
        <w:tab/>
        <w:t>VAISTINIO PREPARATO PAVADINIMAS</w:t>
      </w:r>
    </w:p>
    <w:p w14:paraId="3F590579" w14:textId="77777777" w:rsidR="006B326C" w:rsidRPr="00975CA4" w:rsidRDefault="006B326C" w:rsidP="006B326C">
      <w:pPr>
        <w:widowControl w:val="0"/>
        <w:autoSpaceDE w:val="0"/>
        <w:autoSpaceDN w:val="0"/>
        <w:spacing w:after="0" w:line="240" w:lineRule="auto"/>
        <w:rPr>
          <w:rFonts w:ascii="Times New Roman" w:eastAsia="Times New Roman" w:hAnsi="Times New Roman" w:cs="Times New Roman"/>
        </w:rPr>
      </w:pPr>
    </w:p>
    <w:p w14:paraId="5533C1A1" w14:textId="77777777" w:rsidR="006B326C" w:rsidRPr="002D3411" w:rsidRDefault="006B326C" w:rsidP="006B326C">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Pr="002D3411">
        <w:rPr>
          <w:rFonts w:ascii="Times New Roman" w:hAnsi="Times New Roman"/>
          <w:color w:val="000000"/>
        </w:rPr>
        <w:t xml:space="preserve"> 50 mg </w:t>
      </w:r>
      <w:r w:rsidRPr="002D3411">
        <w:rPr>
          <w:rFonts w:ascii="Times New Roman" w:hAnsi="Times New Roman"/>
          <w:color w:val="000000"/>
          <w:highlight w:val="darkGray"/>
        </w:rPr>
        <w:t>plėvele dengtos</w:t>
      </w:r>
      <w:r w:rsidRPr="002D3411">
        <w:rPr>
          <w:rFonts w:ascii="Times New Roman" w:hAnsi="Times New Roman"/>
          <w:color w:val="000000"/>
        </w:rPr>
        <w:t xml:space="preserve"> tabletės </w:t>
      </w:r>
    </w:p>
    <w:p w14:paraId="3DD696AE" w14:textId="77777777" w:rsidR="00773DF9" w:rsidRPr="00975CA4" w:rsidRDefault="00773DF9" w:rsidP="00773DF9">
      <w:pPr>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highlight w:val="darkGray"/>
        </w:rPr>
        <w:t>dazatinibas</w:t>
      </w:r>
      <w:proofErr w:type="spellEnd"/>
    </w:p>
    <w:p w14:paraId="4AE73B44"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23D96CCE"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672FF127"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suppressAutoHyphens/>
        <w:autoSpaceDE w:val="0"/>
        <w:autoSpaceDN w:val="0"/>
        <w:spacing w:after="0" w:line="240" w:lineRule="auto"/>
        <w:ind w:left="567" w:hanging="567"/>
        <w:outlineLvl w:val="0"/>
        <w:rPr>
          <w:rFonts w:ascii="Times New Roman" w:eastAsia="Times New Roman" w:hAnsi="Times New Roman" w:cs="Times New Roman"/>
          <w:b/>
          <w:caps/>
          <w:kern w:val="28"/>
          <w:lang w:eastAsia="lt-LT"/>
        </w:rPr>
      </w:pPr>
      <w:r w:rsidRPr="00975CA4">
        <w:rPr>
          <w:rFonts w:ascii="Times New Roman" w:eastAsia="Times New Roman" w:hAnsi="Times New Roman" w:cs="Times New Roman"/>
          <w:b/>
          <w:caps/>
          <w:kern w:val="28"/>
          <w:lang w:eastAsia="lt-LT"/>
        </w:rPr>
        <w:t>2.</w:t>
      </w:r>
      <w:r w:rsidRPr="00975CA4">
        <w:rPr>
          <w:rFonts w:ascii="Times New Roman" w:eastAsia="Times New Roman" w:hAnsi="Times New Roman" w:cs="Times New Roman"/>
          <w:b/>
          <w:caps/>
          <w:kern w:val="28"/>
          <w:lang w:eastAsia="lt-LT"/>
        </w:rPr>
        <w:tab/>
      </w:r>
      <w:r w:rsidRPr="00975CA4">
        <w:rPr>
          <w:rFonts w:ascii="Times New Roman" w:eastAsia="Times New Roman" w:hAnsi="Times New Roman" w:cs="Times New Roman"/>
          <w:b/>
          <w:kern w:val="28"/>
          <w:lang w:eastAsia="lt-LT"/>
        </w:rPr>
        <w:t>REGISTRUOTOJO</w:t>
      </w:r>
      <w:r w:rsidRPr="00975CA4">
        <w:rPr>
          <w:rFonts w:ascii="Times New Roman" w:eastAsia="Times New Roman" w:hAnsi="Times New Roman" w:cs="Times New Roman"/>
          <w:kern w:val="28"/>
          <w:lang w:eastAsia="lt-LT"/>
        </w:rPr>
        <w:t xml:space="preserve"> </w:t>
      </w:r>
      <w:r w:rsidRPr="00975CA4">
        <w:rPr>
          <w:rFonts w:ascii="Times New Roman" w:eastAsia="Times New Roman" w:hAnsi="Times New Roman" w:cs="Times New Roman"/>
          <w:b/>
          <w:caps/>
          <w:kern w:val="28"/>
          <w:lang w:eastAsia="lt-LT"/>
        </w:rPr>
        <w:t>PAVADINIMAS</w:t>
      </w:r>
    </w:p>
    <w:p w14:paraId="35434899"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7144F0D8"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bookmarkStart w:id="7" w:name="_Hlk157519337"/>
      <w:proofErr w:type="spellStart"/>
      <w:r w:rsidRPr="00975CA4">
        <w:rPr>
          <w:rFonts w:ascii="Times New Roman" w:eastAsia="Times New Roman" w:hAnsi="Times New Roman" w:cs="Times New Roman"/>
          <w:lang w:eastAsia="lt-LT"/>
        </w:rPr>
        <w:t>Zentiva</w:t>
      </w:r>
      <w:proofErr w:type="spellEnd"/>
      <w:r w:rsidRPr="00975CA4">
        <w:rPr>
          <w:rFonts w:ascii="Times New Roman" w:eastAsia="Times New Roman" w:hAnsi="Times New Roman" w:cs="Times New Roman"/>
          <w:lang w:eastAsia="lt-LT"/>
        </w:rPr>
        <w:t xml:space="preserve"> </w:t>
      </w:r>
      <w:r w:rsidRPr="00975CA4">
        <w:rPr>
          <w:rFonts w:ascii="Times New Roman" w:eastAsia="Times New Roman" w:hAnsi="Times New Roman" w:cs="Times New Roman"/>
          <w:highlight w:val="lightGray"/>
          <w:lang w:eastAsia="lt-LT"/>
        </w:rPr>
        <w:t>[</w:t>
      </w:r>
      <w:proofErr w:type="spellStart"/>
      <w:r w:rsidRPr="00975CA4">
        <w:rPr>
          <w:rFonts w:ascii="Times New Roman" w:eastAsia="Times New Roman" w:hAnsi="Times New Roman" w:cs="Times New Roman"/>
          <w:highlight w:val="lightGray"/>
          <w:lang w:eastAsia="lt-LT"/>
        </w:rPr>
        <w:t>logo</w:t>
      </w:r>
      <w:proofErr w:type="spellEnd"/>
      <w:r w:rsidRPr="00975CA4">
        <w:rPr>
          <w:rFonts w:ascii="Times New Roman" w:eastAsia="Times New Roman" w:hAnsi="Times New Roman" w:cs="Times New Roman"/>
          <w:highlight w:val="lightGray"/>
          <w:lang w:eastAsia="lt-LT"/>
        </w:rPr>
        <w:t>]</w:t>
      </w:r>
    </w:p>
    <w:bookmarkEnd w:id="7"/>
    <w:p w14:paraId="7CD87172"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168520A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0C431C83"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suppressAutoHyphens/>
        <w:autoSpaceDE w:val="0"/>
        <w:autoSpaceDN w:val="0"/>
        <w:spacing w:after="0" w:line="240" w:lineRule="auto"/>
        <w:ind w:left="567" w:hanging="567"/>
        <w:outlineLvl w:val="0"/>
        <w:rPr>
          <w:rFonts w:ascii="Times New Roman" w:eastAsia="Times New Roman" w:hAnsi="Times New Roman" w:cs="Times New Roman"/>
          <w:b/>
          <w:caps/>
          <w:kern w:val="28"/>
          <w:lang w:eastAsia="lt-LT"/>
        </w:rPr>
      </w:pPr>
      <w:r w:rsidRPr="00975CA4">
        <w:rPr>
          <w:rFonts w:ascii="Times New Roman" w:eastAsia="Times New Roman" w:hAnsi="Times New Roman" w:cs="Times New Roman"/>
          <w:b/>
          <w:caps/>
          <w:kern w:val="28"/>
          <w:lang w:eastAsia="lt-LT"/>
        </w:rPr>
        <w:t>3.</w:t>
      </w:r>
      <w:r w:rsidRPr="00975CA4">
        <w:rPr>
          <w:rFonts w:ascii="Times New Roman" w:eastAsia="Times New Roman" w:hAnsi="Times New Roman" w:cs="Times New Roman"/>
          <w:b/>
          <w:caps/>
          <w:kern w:val="28"/>
          <w:lang w:eastAsia="lt-LT"/>
        </w:rPr>
        <w:tab/>
        <w:t>TINKAMUMO LAIKAS</w:t>
      </w:r>
    </w:p>
    <w:p w14:paraId="05A97FA5"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52929D4E"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r w:rsidRPr="00975CA4">
        <w:rPr>
          <w:rFonts w:ascii="Times New Roman" w:eastAsia="Times New Roman" w:hAnsi="Times New Roman" w:cs="Times New Roman"/>
          <w:lang w:eastAsia="lt-LT"/>
        </w:rPr>
        <w:t xml:space="preserve">EXP </w:t>
      </w:r>
      <w:r w:rsidR="00EB18C8" w:rsidRPr="00975CA4">
        <w:rPr>
          <w:rFonts w:ascii="Times New Roman" w:eastAsia="Times New Roman" w:hAnsi="Times New Roman" w:cs="Times New Roman"/>
          <w:highlight w:val="lightGray"/>
          <w:lang w:eastAsia="lt-LT"/>
        </w:rPr>
        <w:t>{mm MMMM}</w:t>
      </w:r>
    </w:p>
    <w:p w14:paraId="5DA9944C"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4DAB1514"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37548891"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suppressAutoHyphens/>
        <w:autoSpaceDE w:val="0"/>
        <w:autoSpaceDN w:val="0"/>
        <w:spacing w:after="0" w:line="240" w:lineRule="auto"/>
        <w:ind w:left="567" w:hanging="567"/>
        <w:outlineLvl w:val="0"/>
        <w:rPr>
          <w:rFonts w:ascii="Times New Roman" w:eastAsia="Times New Roman" w:hAnsi="Times New Roman" w:cs="Times New Roman"/>
          <w:b/>
          <w:caps/>
          <w:kern w:val="28"/>
          <w:lang w:eastAsia="lt-LT"/>
        </w:rPr>
      </w:pPr>
      <w:r w:rsidRPr="00975CA4">
        <w:rPr>
          <w:rFonts w:ascii="Times New Roman" w:eastAsia="Times New Roman" w:hAnsi="Times New Roman" w:cs="Times New Roman"/>
          <w:b/>
          <w:caps/>
          <w:kern w:val="28"/>
          <w:lang w:eastAsia="lt-LT"/>
        </w:rPr>
        <w:t>4.</w:t>
      </w:r>
      <w:r w:rsidRPr="00975CA4">
        <w:rPr>
          <w:rFonts w:ascii="Times New Roman" w:eastAsia="Times New Roman" w:hAnsi="Times New Roman" w:cs="Times New Roman"/>
          <w:b/>
          <w:caps/>
          <w:kern w:val="28"/>
          <w:lang w:eastAsia="lt-LT"/>
        </w:rPr>
        <w:tab/>
        <w:t>SERIJOS NUMERIS</w:t>
      </w:r>
    </w:p>
    <w:p w14:paraId="4107F685"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69892FF8"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r w:rsidRPr="00975CA4">
        <w:rPr>
          <w:rFonts w:ascii="Times New Roman" w:eastAsia="Times New Roman" w:hAnsi="Times New Roman" w:cs="Times New Roman"/>
          <w:lang w:eastAsia="lt-LT"/>
        </w:rPr>
        <w:t>Lot</w:t>
      </w:r>
    </w:p>
    <w:p w14:paraId="4F022D43"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218F39F6" w14:textId="77777777" w:rsidR="00CB4E24" w:rsidRPr="00975CA4" w:rsidRDefault="00CB4E24" w:rsidP="00CB4E24">
      <w:pPr>
        <w:widowControl w:val="0"/>
        <w:autoSpaceDE w:val="0"/>
        <w:autoSpaceDN w:val="0"/>
        <w:spacing w:after="0" w:line="240" w:lineRule="auto"/>
        <w:rPr>
          <w:rFonts w:ascii="Times New Roman" w:eastAsia="Times New Roman" w:hAnsi="Times New Roman" w:cs="Times New Roman"/>
          <w:lang w:eastAsia="lt-LT"/>
        </w:rPr>
      </w:pPr>
    </w:p>
    <w:p w14:paraId="0EAF44F2" w14:textId="77777777" w:rsidR="00CB4E24" w:rsidRPr="00975CA4" w:rsidRDefault="00CB4E24" w:rsidP="00CB4E24">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lang w:eastAsia="lt-LT"/>
        </w:rPr>
      </w:pPr>
      <w:r w:rsidRPr="00975CA4">
        <w:rPr>
          <w:rFonts w:ascii="Times New Roman" w:eastAsia="Times New Roman" w:hAnsi="Times New Roman" w:cs="Times New Roman"/>
          <w:b/>
          <w:lang w:eastAsia="lt-LT"/>
        </w:rPr>
        <w:t>5.</w:t>
      </w:r>
      <w:r w:rsidRPr="00975CA4">
        <w:rPr>
          <w:rFonts w:ascii="Times New Roman" w:eastAsia="Times New Roman" w:hAnsi="Times New Roman" w:cs="Times New Roman"/>
          <w:b/>
          <w:lang w:eastAsia="lt-LT"/>
        </w:rPr>
        <w:tab/>
        <w:t>KITA</w:t>
      </w:r>
    </w:p>
    <w:p w14:paraId="74F4C2B1"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r w:rsidRPr="00975CA4">
        <w:rPr>
          <w:rFonts w:ascii="Times New Roman" w:eastAsia="Times New Roman" w:hAnsi="Times New Roman" w:cs="Times New Roman"/>
        </w:rPr>
        <w:br w:type="page"/>
      </w:r>
    </w:p>
    <w:p w14:paraId="6CDDE4C7"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179E9677"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39FF038F"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073864DC"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19821295"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2E0F9C9F"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27F845F9"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7AA11C7F"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11CF3970"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55DB368F"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55C8E09E"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165DF0FB"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2CF29005"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708BEA8D"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42B22227"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46D5009E"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74858E0E"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42A79510"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320E68E5"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6DDAEA1D"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02543AF9"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74670D3D"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3073D280" w14:textId="77777777" w:rsidR="00DE290D" w:rsidRPr="00975CA4" w:rsidRDefault="00DE290D"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665F5449" w14:textId="77777777" w:rsidR="00DE290D" w:rsidRPr="00975CA4" w:rsidRDefault="00DE290D" w:rsidP="00CB4E24">
      <w:pPr>
        <w:widowControl w:val="0"/>
        <w:autoSpaceDE w:val="0"/>
        <w:autoSpaceDN w:val="0"/>
        <w:spacing w:after="0" w:line="240" w:lineRule="auto"/>
        <w:jc w:val="center"/>
        <w:outlineLvl w:val="0"/>
        <w:rPr>
          <w:rFonts w:ascii="Times New Roman" w:eastAsia="Times New Roman" w:hAnsi="Times New Roman" w:cs="Times New Roman"/>
          <w:b/>
        </w:rPr>
      </w:pPr>
    </w:p>
    <w:p w14:paraId="723161E9" w14:textId="77777777" w:rsidR="00CB4E24" w:rsidRPr="00975CA4" w:rsidRDefault="00CB4E24" w:rsidP="00CB4E24">
      <w:pPr>
        <w:widowControl w:val="0"/>
        <w:autoSpaceDE w:val="0"/>
        <w:autoSpaceDN w:val="0"/>
        <w:spacing w:after="0" w:line="240" w:lineRule="auto"/>
        <w:jc w:val="center"/>
        <w:outlineLvl w:val="0"/>
        <w:rPr>
          <w:rFonts w:ascii="Times New Roman" w:eastAsia="Times New Roman" w:hAnsi="Times New Roman" w:cs="Times New Roman"/>
          <w:b/>
        </w:rPr>
      </w:pPr>
      <w:r w:rsidRPr="00975CA4">
        <w:rPr>
          <w:rFonts w:ascii="Times New Roman" w:eastAsia="Times New Roman" w:hAnsi="Times New Roman" w:cs="Times New Roman"/>
          <w:b/>
        </w:rPr>
        <w:t>B. PAKUOTĖS LAPELIS</w:t>
      </w:r>
    </w:p>
    <w:p w14:paraId="6B862F56" w14:textId="77777777" w:rsidR="00CB4E24" w:rsidRPr="00975CA4" w:rsidRDefault="00CB4E24" w:rsidP="00CB4E24">
      <w:pPr>
        <w:widowControl w:val="0"/>
        <w:autoSpaceDE w:val="0"/>
        <w:autoSpaceDN w:val="0"/>
        <w:spacing w:after="0" w:line="240" w:lineRule="auto"/>
        <w:jc w:val="center"/>
        <w:outlineLvl w:val="1"/>
        <w:rPr>
          <w:rFonts w:ascii="Times New Roman" w:eastAsia="Times New Roman" w:hAnsi="Times New Roman" w:cs="Times New Roman"/>
          <w:b/>
          <w:lang w:eastAsia="lt-LT"/>
        </w:rPr>
      </w:pPr>
      <w:r w:rsidRPr="00975CA4">
        <w:rPr>
          <w:rFonts w:ascii="Times New Roman" w:eastAsia="Times New Roman" w:hAnsi="Times New Roman" w:cs="Times New Roman"/>
          <w:b/>
          <w:bCs/>
          <w:iCs/>
          <w:lang w:eastAsia="lt-LT"/>
        </w:rPr>
        <w:br w:type="page"/>
      </w:r>
      <w:r w:rsidRPr="00975CA4">
        <w:rPr>
          <w:rFonts w:ascii="Times New Roman" w:eastAsia="Times New Roman" w:hAnsi="Times New Roman" w:cs="Times New Roman"/>
          <w:b/>
          <w:bCs/>
          <w:iCs/>
          <w:lang w:eastAsia="lt-LT"/>
        </w:rPr>
        <w:lastRenderedPageBreak/>
        <w:t>Pakuotės lapelis:</w:t>
      </w:r>
      <w:r w:rsidRPr="00975CA4">
        <w:rPr>
          <w:rFonts w:ascii="Times New Roman" w:eastAsia="Times New Roman" w:hAnsi="Times New Roman" w:cs="Times New Roman"/>
          <w:b/>
          <w:lang w:eastAsia="lt-LT"/>
        </w:rPr>
        <w:t xml:space="preserve"> </w:t>
      </w:r>
      <w:r w:rsidRPr="00975CA4">
        <w:rPr>
          <w:rFonts w:ascii="Times New Roman" w:eastAsia="Times New Roman" w:hAnsi="Times New Roman" w:cs="Times New Roman"/>
          <w:b/>
          <w:bCs/>
          <w:iCs/>
          <w:lang w:eastAsia="lt-LT"/>
        </w:rPr>
        <w:t>informacija pacientui</w:t>
      </w:r>
    </w:p>
    <w:p w14:paraId="15D2F4A6" w14:textId="77777777" w:rsidR="006B326C" w:rsidRPr="00975CA4" w:rsidRDefault="006B326C" w:rsidP="006B326C">
      <w:pPr>
        <w:widowControl w:val="0"/>
        <w:autoSpaceDE w:val="0"/>
        <w:autoSpaceDN w:val="0"/>
        <w:spacing w:after="0" w:line="240" w:lineRule="auto"/>
        <w:rPr>
          <w:rFonts w:ascii="Times New Roman" w:eastAsia="Times New Roman" w:hAnsi="Times New Roman" w:cs="Times New Roman"/>
        </w:rPr>
      </w:pPr>
    </w:p>
    <w:p w14:paraId="59004843" w14:textId="77777777" w:rsidR="006B326C" w:rsidRPr="002D3411" w:rsidRDefault="006B326C" w:rsidP="006B326C">
      <w:pPr>
        <w:tabs>
          <w:tab w:val="left" w:pos="567"/>
        </w:tabs>
        <w:suppressAutoHyphens/>
        <w:spacing w:after="0" w:line="240" w:lineRule="auto"/>
        <w:jc w:val="center"/>
        <w:rPr>
          <w:rFonts w:ascii="Times New Roman" w:hAnsi="Times New Roman"/>
          <w:b/>
          <w:color w:val="000000"/>
        </w:rPr>
      </w:pP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Pr="002D3411">
        <w:rPr>
          <w:rFonts w:ascii="Times New Roman" w:hAnsi="Times New Roman"/>
          <w:b/>
          <w:color w:val="000000"/>
        </w:rPr>
        <w:t>Zentiva</w:t>
      </w:r>
      <w:proofErr w:type="spellEnd"/>
      <w:r w:rsidRPr="002D3411">
        <w:rPr>
          <w:rFonts w:ascii="Times New Roman" w:hAnsi="Times New Roman"/>
          <w:b/>
          <w:color w:val="000000"/>
        </w:rPr>
        <w:t xml:space="preserve"> 50 mg plėvele dengtos tabletės</w:t>
      </w:r>
    </w:p>
    <w:p w14:paraId="6E2F7F30" w14:textId="7E702A09" w:rsidR="006B326C" w:rsidRPr="00975CA4" w:rsidRDefault="006B326C" w:rsidP="006B326C">
      <w:pPr>
        <w:widowControl w:val="0"/>
        <w:autoSpaceDE w:val="0"/>
        <w:autoSpaceDN w:val="0"/>
        <w:spacing w:after="0" w:line="240" w:lineRule="auto"/>
        <w:jc w:val="center"/>
        <w:rPr>
          <w:rFonts w:ascii="Times New Roman" w:eastAsia="Times New Roman" w:hAnsi="Times New Roman" w:cs="Times New Roman"/>
        </w:rPr>
      </w:pPr>
      <w:proofErr w:type="spellStart"/>
      <w:r w:rsidRPr="00975CA4">
        <w:rPr>
          <w:rFonts w:ascii="Times New Roman" w:eastAsia="Times New Roman" w:hAnsi="Times New Roman" w:cs="Times New Roman"/>
        </w:rPr>
        <w:t>da</w:t>
      </w:r>
      <w:r w:rsidR="00EB18C8" w:rsidRPr="00975CA4">
        <w:rPr>
          <w:rFonts w:ascii="Times New Roman" w:eastAsia="Times New Roman" w:hAnsi="Times New Roman" w:cs="Times New Roman"/>
        </w:rPr>
        <w:t>z</w:t>
      </w:r>
      <w:r w:rsidRPr="00975CA4">
        <w:rPr>
          <w:rFonts w:ascii="Times New Roman" w:eastAsia="Times New Roman" w:hAnsi="Times New Roman" w:cs="Times New Roman"/>
        </w:rPr>
        <w:t>atinib</w:t>
      </w:r>
      <w:r w:rsidR="00DE290D" w:rsidRPr="00975CA4">
        <w:rPr>
          <w:rFonts w:ascii="Times New Roman" w:eastAsia="Times New Roman" w:hAnsi="Times New Roman" w:cs="Times New Roman"/>
        </w:rPr>
        <w:t>as</w:t>
      </w:r>
      <w:proofErr w:type="spellEnd"/>
    </w:p>
    <w:p w14:paraId="2F2F4608" w14:textId="77777777" w:rsidR="00703720" w:rsidRPr="00975CA4" w:rsidRDefault="00703720" w:rsidP="006B326C">
      <w:pPr>
        <w:spacing w:after="0" w:line="240" w:lineRule="auto"/>
        <w:jc w:val="center"/>
        <w:rPr>
          <w:rFonts w:ascii="Times New Roman" w:eastAsia="Calibri" w:hAnsi="Times New Roman" w:cs="Times New Roman"/>
          <w:lang w:eastAsia="ar-SA"/>
        </w:rPr>
      </w:pPr>
    </w:p>
    <w:p w14:paraId="439E6278" w14:textId="77777777" w:rsidR="006B326C" w:rsidRPr="00975CA4" w:rsidRDefault="006B326C" w:rsidP="006B326C">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b/>
        </w:rPr>
        <w:t>Atidžiai perskaitykite visą šį lapelį, prieš pradėdami vartoti vaistą, nes jame pateikiama Jums svarbi informacija.</w:t>
      </w:r>
    </w:p>
    <w:p w14:paraId="2E346CF6" w14:textId="77777777" w:rsidR="006B326C" w:rsidRPr="00975CA4" w:rsidRDefault="006B326C" w:rsidP="003320D4">
      <w:pPr>
        <w:widowControl w:val="0"/>
        <w:numPr>
          <w:ilvl w:val="0"/>
          <w:numId w:val="20"/>
        </w:numPr>
        <w:autoSpaceDE w:val="0"/>
        <w:autoSpaceDN w:val="0"/>
        <w:spacing w:after="0" w:line="240" w:lineRule="auto"/>
        <w:ind w:left="426" w:right="-2"/>
        <w:rPr>
          <w:rFonts w:ascii="Times New Roman" w:eastAsia="Times New Roman" w:hAnsi="Times New Roman" w:cs="Times New Roman"/>
        </w:rPr>
      </w:pPr>
      <w:r w:rsidRPr="00975CA4">
        <w:rPr>
          <w:rFonts w:ascii="Times New Roman" w:eastAsia="Times New Roman" w:hAnsi="Times New Roman" w:cs="Times New Roman"/>
        </w:rPr>
        <w:t>Neišmeskite šio lapelio, nes vėl gali prireikti jį perskaityti.</w:t>
      </w:r>
    </w:p>
    <w:p w14:paraId="2C44EB44" w14:textId="77777777" w:rsidR="006B326C" w:rsidRPr="00975CA4" w:rsidRDefault="006B326C" w:rsidP="003320D4">
      <w:pPr>
        <w:widowControl w:val="0"/>
        <w:numPr>
          <w:ilvl w:val="0"/>
          <w:numId w:val="20"/>
        </w:numPr>
        <w:autoSpaceDE w:val="0"/>
        <w:autoSpaceDN w:val="0"/>
        <w:spacing w:after="0" w:line="240" w:lineRule="auto"/>
        <w:ind w:left="426" w:right="-2"/>
        <w:rPr>
          <w:rFonts w:ascii="Times New Roman" w:eastAsia="Times New Roman" w:hAnsi="Times New Roman" w:cs="Times New Roman"/>
        </w:rPr>
      </w:pPr>
      <w:r w:rsidRPr="00975CA4">
        <w:rPr>
          <w:rFonts w:ascii="Times New Roman" w:eastAsia="Times New Roman" w:hAnsi="Times New Roman" w:cs="Times New Roman"/>
        </w:rPr>
        <w:t>Jeigu kiltų daugiau klausimų, kreipkitės į gydytoją arba vaistininką.</w:t>
      </w:r>
    </w:p>
    <w:p w14:paraId="6B0257A2" w14:textId="77777777" w:rsidR="006B326C" w:rsidRPr="00975CA4" w:rsidRDefault="006B326C" w:rsidP="003320D4">
      <w:pPr>
        <w:widowControl w:val="0"/>
        <w:numPr>
          <w:ilvl w:val="0"/>
          <w:numId w:val="20"/>
        </w:numPr>
        <w:autoSpaceDE w:val="0"/>
        <w:autoSpaceDN w:val="0"/>
        <w:spacing w:after="0" w:line="240" w:lineRule="auto"/>
        <w:ind w:left="426" w:right="-2"/>
        <w:rPr>
          <w:rFonts w:ascii="Times New Roman" w:eastAsia="Times New Roman" w:hAnsi="Times New Roman" w:cs="Times New Roman"/>
        </w:rPr>
      </w:pPr>
      <w:r w:rsidRPr="00975CA4">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3E8CA13" w14:textId="77777777" w:rsidR="006B326C" w:rsidRPr="00975CA4" w:rsidRDefault="006B326C" w:rsidP="003320D4">
      <w:pPr>
        <w:widowControl w:val="0"/>
        <w:numPr>
          <w:ilvl w:val="0"/>
          <w:numId w:val="20"/>
        </w:numPr>
        <w:autoSpaceDE w:val="0"/>
        <w:autoSpaceDN w:val="0"/>
        <w:spacing w:after="0" w:line="240" w:lineRule="auto"/>
        <w:ind w:left="426"/>
        <w:rPr>
          <w:rFonts w:ascii="Times New Roman" w:eastAsia="Times New Roman" w:hAnsi="Times New Roman" w:cs="Times New Roman"/>
        </w:rPr>
      </w:pPr>
      <w:r w:rsidRPr="00975CA4">
        <w:rPr>
          <w:rFonts w:ascii="Times New Roman" w:eastAsia="Times New Roman" w:hAnsi="Times New Roman" w:cs="Times New Roman"/>
        </w:rPr>
        <w:t>Jeigu pasireiškė šalutinis poveikis (net jeigu jis šiame lapelyje nenurodytas), kreipkitės į gydytoją arba vaistininką. Žr. 4 skyrių.</w:t>
      </w:r>
    </w:p>
    <w:p w14:paraId="249D2E38" w14:textId="77777777" w:rsidR="006B326C" w:rsidRPr="00975CA4" w:rsidRDefault="006B326C" w:rsidP="006B326C">
      <w:pPr>
        <w:widowControl w:val="0"/>
        <w:autoSpaceDE w:val="0"/>
        <w:autoSpaceDN w:val="0"/>
        <w:spacing w:after="0" w:line="240" w:lineRule="auto"/>
        <w:ind w:right="-2"/>
        <w:rPr>
          <w:rFonts w:ascii="Times New Roman" w:eastAsia="Times New Roman" w:hAnsi="Times New Roman" w:cs="Times New Roman"/>
        </w:rPr>
      </w:pPr>
    </w:p>
    <w:p w14:paraId="3D02E2BA" w14:textId="77777777" w:rsidR="006B326C" w:rsidRPr="00975CA4" w:rsidRDefault="006B326C" w:rsidP="00DC5862">
      <w:pPr>
        <w:keepNext/>
        <w:widowControl w:val="0"/>
        <w:autoSpaceDE w:val="0"/>
        <w:autoSpaceDN w:val="0"/>
        <w:spacing w:after="0" w:line="240" w:lineRule="auto"/>
        <w:jc w:val="both"/>
        <w:outlineLvl w:val="3"/>
        <w:rPr>
          <w:rFonts w:ascii="Times New Roman" w:eastAsia="Times New Roman" w:hAnsi="Times New Roman" w:cs="Times New Roman"/>
          <w:b/>
          <w:bCs/>
          <w:lang w:eastAsia="lt-LT"/>
        </w:rPr>
      </w:pPr>
      <w:r w:rsidRPr="00975CA4">
        <w:rPr>
          <w:rFonts w:ascii="Times New Roman" w:eastAsia="Times New Roman" w:hAnsi="Times New Roman" w:cs="Times New Roman"/>
          <w:b/>
          <w:bCs/>
          <w:lang w:eastAsia="lt-LT"/>
        </w:rPr>
        <w:t>Apie ką rašoma šiame lapelyje?</w:t>
      </w:r>
    </w:p>
    <w:p w14:paraId="32C0BEE1" w14:textId="77777777" w:rsidR="006B326C" w:rsidRPr="00975CA4" w:rsidRDefault="006B326C" w:rsidP="00DC5862">
      <w:pPr>
        <w:keepNext/>
        <w:widowControl w:val="0"/>
        <w:autoSpaceDE w:val="0"/>
        <w:autoSpaceDN w:val="0"/>
        <w:spacing w:after="0" w:line="240" w:lineRule="auto"/>
        <w:jc w:val="both"/>
        <w:outlineLvl w:val="3"/>
        <w:rPr>
          <w:rFonts w:ascii="Times New Roman" w:eastAsia="Times New Roman" w:hAnsi="Times New Roman" w:cs="Times New Roman"/>
          <w:b/>
          <w:bCs/>
          <w:lang w:eastAsia="lt-LT"/>
        </w:rPr>
      </w:pPr>
    </w:p>
    <w:p w14:paraId="27679841" w14:textId="77777777" w:rsidR="006B326C" w:rsidRPr="00975CA4" w:rsidRDefault="006B326C" w:rsidP="006B326C">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75CA4">
        <w:rPr>
          <w:rFonts w:ascii="Times New Roman" w:eastAsia="Times New Roman" w:hAnsi="Times New Roman" w:cs="Times New Roman"/>
        </w:rPr>
        <w:t>1.</w:t>
      </w:r>
      <w:r w:rsidRPr="00975CA4">
        <w:rPr>
          <w:rFonts w:ascii="Times New Roman" w:eastAsia="Times New Roman" w:hAnsi="Times New Roman" w:cs="Times New Roman"/>
        </w:rPr>
        <w:tab/>
        <w:t xml:space="preserve">Kas yra </w:t>
      </w:r>
      <w:bookmarkStart w:id="8" w:name="_Hlk62394395"/>
      <w:proofErr w:type="spellStart"/>
      <w:r w:rsidR="003320D4" w:rsidRPr="00975CA4">
        <w:rPr>
          <w:rFonts w:ascii="Times New Roman" w:eastAsia="Times New Roman" w:hAnsi="Times New Roman" w:cs="Times New Roman"/>
        </w:rPr>
        <w:t>Dasatinib</w:t>
      </w:r>
      <w:proofErr w:type="spellEnd"/>
      <w:r w:rsidR="003320D4" w:rsidRPr="00975CA4">
        <w:rPr>
          <w:rFonts w:ascii="Times New Roman" w:eastAsia="Times New Roman" w:hAnsi="Times New Roman" w:cs="Times New Roman"/>
        </w:rPr>
        <w:t xml:space="preserve"> </w:t>
      </w:r>
      <w:proofErr w:type="spellStart"/>
      <w:r w:rsidR="003320D4" w:rsidRPr="00975CA4">
        <w:rPr>
          <w:rFonts w:ascii="Times New Roman" w:eastAsia="Times New Roman" w:hAnsi="Times New Roman" w:cs="Times New Roman"/>
        </w:rPr>
        <w:t>Zentiva</w:t>
      </w:r>
      <w:proofErr w:type="spellEnd"/>
      <w:r w:rsidRPr="00975CA4">
        <w:rPr>
          <w:rFonts w:ascii="Times New Roman" w:eastAsia="Times New Roman" w:hAnsi="Times New Roman" w:cs="Times New Roman"/>
        </w:rPr>
        <w:t xml:space="preserve"> </w:t>
      </w:r>
      <w:bookmarkEnd w:id="8"/>
      <w:r w:rsidRPr="00975CA4">
        <w:rPr>
          <w:rFonts w:ascii="Times New Roman" w:eastAsia="Times New Roman" w:hAnsi="Times New Roman" w:cs="Times New Roman"/>
        </w:rPr>
        <w:t>ir kam jis vartojamas</w:t>
      </w:r>
    </w:p>
    <w:p w14:paraId="4C48B946" w14:textId="77777777" w:rsidR="006B326C" w:rsidRPr="00975CA4" w:rsidRDefault="006B326C" w:rsidP="006B326C">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75CA4">
        <w:rPr>
          <w:rFonts w:ascii="Times New Roman" w:eastAsia="Times New Roman" w:hAnsi="Times New Roman" w:cs="Times New Roman"/>
        </w:rPr>
        <w:t>2.</w:t>
      </w:r>
      <w:r w:rsidRPr="00975CA4">
        <w:rPr>
          <w:rFonts w:ascii="Times New Roman" w:eastAsia="Times New Roman" w:hAnsi="Times New Roman" w:cs="Times New Roman"/>
        </w:rPr>
        <w:tab/>
        <w:t xml:space="preserve">Kas žinotina prieš vartojant </w:t>
      </w:r>
      <w:proofErr w:type="spellStart"/>
      <w:r w:rsidR="003320D4" w:rsidRPr="00975CA4">
        <w:rPr>
          <w:rFonts w:ascii="Times New Roman" w:eastAsia="Times New Roman" w:hAnsi="Times New Roman" w:cs="Times New Roman"/>
        </w:rPr>
        <w:t>Dasatinib</w:t>
      </w:r>
      <w:proofErr w:type="spellEnd"/>
      <w:r w:rsidR="003320D4" w:rsidRPr="00975CA4">
        <w:rPr>
          <w:rFonts w:ascii="Times New Roman" w:eastAsia="Times New Roman" w:hAnsi="Times New Roman" w:cs="Times New Roman"/>
        </w:rPr>
        <w:t xml:space="preserve"> </w:t>
      </w:r>
      <w:proofErr w:type="spellStart"/>
      <w:r w:rsidR="003320D4" w:rsidRPr="00975CA4">
        <w:rPr>
          <w:rFonts w:ascii="Times New Roman" w:eastAsia="Times New Roman" w:hAnsi="Times New Roman" w:cs="Times New Roman"/>
        </w:rPr>
        <w:t>Zentiva</w:t>
      </w:r>
      <w:proofErr w:type="spellEnd"/>
    </w:p>
    <w:p w14:paraId="1CF88D18" w14:textId="77777777" w:rsidR="006B326C" w:rsidRPr="00975CA4" w:rsidRDefault="006B326C" w:rsidP="006B326C">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75CA4">
        <w:rPr>
          <w:rFonts w:ascii="Times New Roman" w:eastAsia="Times New Roman" w:hAnsi="Times New Roman" w:cs="Times New Roman"/>
        </w:rPr>
        <w:t>3.</w:t>
      </w:r>
      <w:r w:rsidRPr="00975CA4">
        <w:rPr>
          <w:rFonts w:ascii="Times New Roman" w:eastAsia="Times New Roman" w:hAnsi="Times New Roman" w:cs="Times New Roman"/>
        </w:rPr>
        <w:tab/>
        <w:t xml:space="preserve">Kaip vartoti </w:t>
      </w:r>
      <w:proofErr w:type="spellStart"/>
      <w:r w:rsidR="003320D4" w:rsidRPr="00975CA4">
        <w:rPr>
          <w:rFonts w:ascii="Times New Roman" w:eastAsia="Times New Roman" w:hAnsi="Times New Roman" w:cs="Times New Roman"/>
        </w:rPr>
        <w:t>Dasatinib</w:t>
      </w:r>
      <w:proofErr w:type="spellEnd"/>
      <w:r w:rsidR="003320D4" w:rsidRPr="00975CA4">
        <w:rPr>
          <w:rFonts w:ascii="Times New Roman" w:eastAsia="Times New Roman" w:hAnsi="Times New Roman" w:cs="Times New Roman"/>
        </w:rPr>
        <w:t xml:space="preserve"> </w:t>
      </w:r>
      <w:proofErr w:type="spellStart"/>
      <w:r w:rsidR="003320D4" w:rsidRPr="00975CA4">
        <w:rPr>
          <w:rFonts w:ascii="Times New Roman" w:eastAsia="Times New Roman" w:hAnsi="Times New Roman" w:cs="Times New Roman"/>
        </w:rPr>
        <w:t>Zentiva</w:t>
      </w:r>
      <w:proofErr w:type="spellEnd"/>
    </w:p>
    <w:p w14:paraId="0649A352" w14:textId="77777777" w:rsidR="006B326C" w:rsidRPr="00975CA4" w:rsidRDefault="006B326C" w:rsidP="006B326C">
      <w:pPr>
        <w:widowControl w:val="0"/>
        <w:numPr>
          <w:ilvl w:val="12"/>
          <w:numId w:val="0"/>
        </w:numPr>
        <w:autoSpaceDE w:val="0"/>
        <w:autoSpaceDN w:val="0"/>
        <w:spacing w:after="0" w:line="240" w:lineRule="auto"/>
        <w:ind w:left="567" w:right="-2" w:hanging="567"/>
        <w:rPr>
          <w:rFonts w:ascii="Times New Roman" w:eastAsia="Times New Roman" w:hAnsi="Times New Roman" w:cs="Times New Roman"/>
        </w:rPr>
      </w:pPr>
      <w:r w:rsidRPr="00975CA4">
        <w:rPr>
          <w:rFonts w:ascii="Times New Roman" w:eastAsia="Times New Roman" w:hAnsi="Times New Roman" w:cs="Times New Roman"/>
        </w:rPr>
        <w:t>4.</w:t>
      </w:r>
      <w:r w:rsidRPr="00975CA4">
        <w:rPr>
          <w:rFonts w:ascii="Times New Roman" w:eastAsia="Times New Roman" w:hAnsi="Times New Roman" w:cs="Times New Roman"/>
        </w:rPr>
        <w:tab/>
        <w:t>Galimas šalutinis poveikis</w:t>
      </w:r>
    </w:p>
    <w:p w14:paraId="520B2CD9" w14:textId="77777777" w:rsidR="003320D4" w:rsidRPr="00975CA4" w:rsidRDefault="006B326C" w:rsidP="003320D4">
      <w:pPr>
        <w:widowControl w:val="0"/>
        <w:numPr>
          <w:ilvl w:val="12"/>
          <w:numId w:val="0"/>
        </w:numPr>
        <w:tabs>
          <w:tab w:val="left" w:pos="709"/>
        </w:tabs>
        <w:autoSpaceDE w:val="0"/>
        <w:autoSpaceDN w:val="0"/>
        <w:spacing w:after="0" w:line="240" w:lineRule="auto"/>
        <w:ind w:left="567" w:right="-2" w:hanging="567"/>
        <w:rPr>
          <w:rFonts w:ascii="Times New Roman" w:eastAsia="Times New Roman" w:hAnsi="Times New Roman" w:cs="Times New Roman"/>
        </w:rPr>
      </w:pPr>
      <w:r w:rsidRPr="00975CA4">
        <w:rPr>
          <w:rFonts w:ascii="Times New Roman" w:eastAsia="Times New Roman" w:hAnsi="Times New Roman" w:cs="Times New Roman"/>
        </w:rPr>
        <w:t>5.</w:t>
      </w:r>
      <w:r w:rsidRPr="00975CA4">
        <w:rPr>
          <w:rFonts w:ascii="Times New Roman" w:eastAsia="Times New Roman" w:hAnsi="Times New Roman" w:cs="Times New Roman"/>
        </w:rPr>
        <w:tab/>
        <w:t xml:space="preserve">Kaip laikyti </w:t>
      </w:r>
      <w:proofErr w:type="spellStart"/>
      <w:r w:rsidR="003320D4" w:rsidRPr="00975CA4">
        <w:rPr>
          <w:rFonts w:ascii="Times New Roman" w:eastAsia="Times New Roman" w:hAnsi="Times New Roman" w:cs="Times New Roman"/>
        </w:rPr>
        <w:t>Dasatinib</w:t>
      </w:r>
      <w:proofErr w:type="spellEnd"/>
      <w:r w:rsidR="003320D4" w:rsidRPr="00975CA4">
        <w:rPr>
          <w:rFonts w:ascii="Times New Roman" w:eastAsia="Times New Roman" w:hAnsi="Times New Roman" w:cs="Times New Roman"/>
        </w:rPr>
        <w:t xml:space="preserve"> </w:t>
      </w:r>
      <w:proofErr w:type="spellStart"/>
      <w:r w:rsidR="003320D4" w:rsidRPr="00975CA4">
        <w:rPr>
          <w:rFonts w:ascii="Times New Roman" w:eastAsia="Times New Roman" w:hAnsi="Times New Roman" w:cs="Times New Roman"/>
        </w:rPr>
        <w:t>Zentiva</w:t>
      </w:r>
      <w:proofErr w:type="spellEnd"/>
      <w:r w:rsidR="003320D4" w:rsidRPr="00975CA4">
        <w:rPr>
          <w:rFonts w:ascii="Times New Roman" w:eastAsia="Times New Roman" w:hAnsi="Times New Roman" w:cs="Times New Roman"/>
        </w:rPr>
        <w:t xml:space="preserve"> </w:t>
      </w:r>
    </w:p>
    <w:p w14:paraId="11C4532E" w14:textId="77777777" w:rsidR="006B326C" w:rsidRPr="00975CA4" w:rsidRDefault="006B326C" w:rsidP="003320D4">
      <w:pPr>
        <w:widowControl w:val="0"/>
        <w:numPr>
          <w:ilvl w:val="12"/>
          <w:numId w:val="0"/>
        </w:numPr>
        <w:tabs>
          <w:tab w:val="left" w:pos="709"/>
        </w:tabs>
        <w:autoSpaceDE w:val="0"/>
        <w:autoSpaceDN w:val="0"/>
        <w:spacing w:after="0" w:line="240" w:lineRule="auto"/>
        <w:ind w:left="567" w:right="-2" w:hanging="567"/>
        <w:rPr>
          <w:rFonts w:ascii="Times New Roman" w:eastAsia="Times New Roman" w:hAnsi="Times New Roman" w:cs="Times New Roman"/>
        </w:rPr>
      </w:pPr>
      <w:r w:rsidRPr="00975CA4">
        <w:rPr>
          <w:rFonts w:ascii="Times New Roman" w:eastAsia="Times New Roman" w:hAnsi="Times New Roman" w:cs="Times New Roman"/>
        </w:rPr>
        <w:t>6.</w:t>
      </w:r>
      <w:r w:rsidRPr="00975CA4">
        <w:rPr>
          <w:rFonts w:ascii="Times New Roman" w:eastAsia="Times New Roman" w:hAnsi="Times New Roman" w:cs="Times New Roman"/>
        </w:rPr>
        <w:tab/>
        <w:t>Pakuotės turinys ir kita informacija</w:t>
      </w:r>
    </w:p>
    <w:p w14:paraId="33B7D717" w14:textId="77777777" w:rsidR="006B326C" w:rsidRPr="00975CA4" w:rsidRDefault="006B326C" w:rsidP="006B326C">
      <w:pPr>
        <w:widowControl w:val="0"/>
        <w:numPr>
          <w:ilvl w:val="12"/>
          <w:numId w:val="0"/>
        </w:numPr>
        <w:autoSpaceDE w:val="0"/>
        <w:autoSpaceDN w:val="0"/>
        <w:spacing w:after="0" w:line="240" w:lineRule="auto"/>
        <w:ind w:right="-2"/>
        <w:rPr>
          <w:rFonts w:ascii="Times New Roman" w:eastAsia="Times New Roman" w:hAnsi="Times New Roman" w:cs="Times New Roman"/>
        </w:rPr>
      </w:pPr>
    </w:p>
    <w:p w14:paraId="2EC35CDB" w14:textId="77777777" w:rsidR="006B326C" w:rsidRPr="00975CA4" w:rsidRDefault="006B326C" w:rsidP="006B326C">
      <w:pPr>
        <w:widowControl w:val="0"/>
        <w:numPr>
          <w:ilvl w:val="12"/>
          <w:numId w:val="0"/>
        </w:numPr>
        <w:autoSpaceDE w:val="0"/>
        <w:autoSpaceDN w:val="0"/>
        <w:spacing w:after="0" w:line="240" w:lineRule="auto"/>
        <w:ind w:right="-2"/>
        <w:rPr>
          <w:rFonts w:ascii="Times New Roman" w:eastAsia="Times New Roman" w:hAnsi="Times New Roman" w:cs="Times New Roman"/>
        </w:rPr>
      </w:pPr>
    </w:p>
    <w:p w14:paraId="17CE0CB0" w14:textId="77777777" w:rsidR="006B326C" w:rsidRPr="00975CA4" w:rsidRDefault="006B326C" w:rsidP="00DC5862">
      <w:pPr>
        <w:keepNext/>
        <w:widowControl w:val="0"/>
        <w:autoSpaceDE w:val="0"/>
        <w:autoSpaceDN w:val="0"/>
        <w:spacing w:after="0" w:line="240" w:lineRule="auto"/>
        <w:jc w:val="both"/>
        <w:outlineLvl w:val="3"/>
        <w:rPr>
          <w:rFonts w:ascii="Times New Roman" w:eastAsia="Times New Roman" w:hAnsi="Times New Roman" w:cs="Times New Roman"/>
          <w:b/>
          <w:bCs/>
          <w:lang w:eastAsia="lt-LT"/>
        </w:rPr>
      </w:pPr>
      <w:r w:rsidRPr="00975CA4">
        <w:rPr>
          <w:rFonts w:ascii="Times New Roman" w:eastAsia="Times New Roman" w:hAnsi="Times New Roman" w:cs="Times New Roman"/>
          <w:b/>
          <w:bCs/>
          <w:lang w:eastAsia="lt-LT"/>
        </w:rPr>
        <w:t>1.</w:t>
      </w:r>
      <w:r w:rsidRPr="00975CA4">
        <w:rPr>
          <w:rFonts w:ascii="Times New Roman" w:eastAsia="Times New Roman" w:hAnsi="Times New Roman" w:cs="Times New Roman"/>
          <w:b/>
          <w:bCs/>
          <w:lang w:eastAsia="lt-LT"/>
        </w:rPr>
        <w:tab/>
        <w:t xml:space="preserve">Kas yra </w:t>
      </w:r>
      <w:proofErr w:type="spellStart"/>
      <w:r w:rsidR="003320D4" w:rsidRPr="00975CA4">
        <w:rPr>
          <w:rFonts w:ascii="Times New Roman" w:eastAsia="Times New Roman" w:hAnsi="Times New Roman" w:cs="Times New Roman"/>
          <w:b/>
          <w:bCs/>
          <w:lang w:eastAsia="lt-LT"/>
        </w:rPr>
        <w:t>Dasatinib</w:t>
      </w:r>
      <w:proofErr w:type="spellEnd"/>
      <w:r w:rsidR="003320D4" w:rsidRPr="00975CA4">
        <w:rPr>
          <w:rFonts w:ascii="Times New Roman" w:eastAsia="Times New Roman" w:hAnsi="Times New Roman" w:cs="Times New Roman"/>
          <w:b/>
          <w:bCs/>
          <w:lang w:eastAsia="lt-LT"/>
        </w:rPr>
        <w:t xml:space="preserve"> </w:t>
      </w:r>
      <w:proofErr w:type="spellStart"/>
      <w:r w:rsidR="003320D4" w:rsidRPr="00975CA4">
        <w:rPr>
          <w:rFonts w:ascii="Times New Roman" w:eastAsia="Times New Roman" w:hAnsi="Times New Roman" w:cs="Times New Roman"/>
          <w:b/>
          <w:bCs/>
          <w:lang w:eastAsia="lt-LT"/>
        </w:rPr>
        <w:t>Zentiva</w:t>
      </w:r>
      <w:proofErr w:type="spellEnd"/>
      <w:r w:rsidRPr="00975CA4">
        <w:rPr>
          <w:rFonts w:ascii="Times New Roman" w:eastAsia="Times New Roman" w:hAnsi="Times New Roman" w:cs="Times New Roman"/>
          <w:b/>
          <w:bCs/>
          <w:lang w:eastAsia="lt-LT"/>
        </w:rPr>
        <w:t xml:space="preserve"> ir kam jis vartojamas</w:t>
      </w:r>
    </w:p>
    <w:p w14:paraId="56C96838" w14:textId="77777777" w:rsidR="006B326C" w:rsidRPr="00975CA4" w:rsidRDefault="006B326C" w:rsidP="00DC5862">
      <w:pPr>
        <w:keepNext/>
        <w:spacing w:after="0" w:line="240" w:lineRule="auto"/>
        <w:jc w:val="center"/>
        <w:rPr>
          <w:rFonts w:ascii="Times New Roman" w:eastAsia="Calibri" w:hAnsi="Times New Roman" w:cs="Times New Roman"/>
          <w:lang w:eastAsia="ar-SA"/>
        </w:rPr>
      </w:pPr>
    </w:p>
    <w:p w14:paraId="07B01399" w14:textId="77777777" w:rsidR="003320D4" w:rsidRPr="002D3411" w:rsidRDefault="003320D4" w:rsidP="003320D4">
      <w:pPr>
        <w:tabs>
          <w:tab w:val="left" w:pos="567"/>
        </w:tabs>
        <w:suppressAutoHyphens/>
        <w:spacing w:after="0" w:line="240" w:lineRule="auto"/>
        <w:rPr>
          <w:rFonts w:ascii="Times New Roman" w:hAnsi="Times New Roman"/>
          <w:color w:val="000000"/>
        </w:rPr>
      </w:pPr>
      <w:proofErr w:type="spellStart"/>
      <w:r w:rsidRPr="00975CA4">
        <w:rPr>
          <w:rFonts w:ascii="Times New Roman" w:eastAsia="Times New Roman" w:hAnsi="Times New Roman" w:cs="Times New Roman"/>
        </w:rPr>
        <w:t>Dasatinib</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Zentiva</w:t>
      </w:r>
      <w:proofErr w:type="spellEnd"/>
      <w:r w:rsidRPr="002D3411">
        <w:rPr>
          <w:rFonts w:ascii="Times New Roman" w:hAnsi="Times New Roman"/>
          <w:color w:val="000000"/>
        </w:rPr>
        <w:t xml:space="preserve"> sudėtyje yra veikliosios medžiagos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Šis vaistas vartojamas suaugusiesiems, paaugliams ir ne </w:t>
      </w:r>
      <w:r w:rsidRPr="00975CA4">
        <w:rPr>
          <w:rFonts w:ascii="Times New Roman" w:eastAsia="SimSun" w:hAnsi="Times New Roman" w:cs="Times New Roman"/>
          <w:color w:val="000000"/>
          <w:lang w:eastAsia="ar-SA"/>
        </w:rPr>
        <w:t>jaunesniems</w:t>
      </w:r>
      <w:r w:rsidRPr="002D3411">
        <w:rPr>
          <w:rFonts w:ascii="Times New Roman" w:hAnsi="Times New Roman"/>
          <w:color w:val="000000"/>
        </w:rPr>
        <w:t xml:space="preserve"> kaip 1 </w:t>
      </w:r>
      <w:r w:rsidRPr="00975CA4">
        <w:rPr>
          <w:rFonts w:ascii="Times New Roman" w:eastAsia="SimSun" w:hAnsi="Times New Roman" w:cs="Times New Roman"/>
          <w:color w:val="000000"/>
          <w:lang w:eastAsia="ar-SA"/>
        </w:rPr>
        <w:t>metų vaikams</w:t>
      </w:r>
      <w:r w:rsidRPr="002D3411">
        <w:rPr>
          <w:rFonts w:ascii="Times New Roman" w:hAnsi="Times New Roman"/>
          <w:color w:val="000000"/>
        </w:rPr>
        <w:t xml:space="preserve"> lėtinės </w:t>
      </w:r>
      <w:proofErr w:type="spellStart"/>
      <w:r w:rsidRPr="002D3411">
        <w:rPr>
          <w:rFonts w:ascii="Times New Roman" w:hAnsi="Times New Roman"/>
          <w:color w:val="000000"/>
        </w:rPr>
        <w:t>mieloidinės</w:t>
      </w:r>
      <w:proofErr w:type="spellEnd"/>
      <w:r w:rsidRPr="002D3411">
        <w:rPr>
          <w:rFonts w:ascii="Times New Roman" w:hAnsi="Times New Roman"/>
          <w:color w:val="000000"/>
        </w:rPr>
        <w:t xml:space="preserve"> leukemijos (LML) gydymui. Leukemija yra baltųjų kraujo ląstelių vėžys. Šios kraujo ląstelės paprastai padeda organizmui kovoti su infekcijomis. Susirgus lėtine </w:t>
      </w:r>
      <w:proofErr w:type="spellStart"/>
      <w:r w:rsidRPr="002D3411">
        <w:rPr>
          <w:rFonts w:ascii="Times New Roman" w:hAnsi="Times New Roman"/>
          <w:color w:val="000000"/>
        </w:rPr>
        <w:t>mieloidine</w:t>
      </w:r>
      <w:proofErr w:type="spellEnd"/>
      <w:r w:rsidRPr="002D3411">
        <w:rPr>
          <w:rFonts w:ascii="Times New Roman" w:hAnsi="Times New Roman"/>
          <w:color w:val="000000"/>
        </w:rPr>
        <w:t xml:space="preserve"> leukemija, baltosios kraujo ląstelės, kurios vadinamos </w:t>
      </w:r>
      <w:proofErr w:type="spellStart"/>
      <w:r w:rsidRPr="002D3411">
        <w:rPr>
          <w:rFonts w:ascii="Times New Roman" w:hAnsi="Times New Roman"/>
          <w:color w:val="000000"/>
        </w:rPr>
        <w:t>granulocitais</w:t>
      </w:r>
      <w:proofErr w:type="spellEnd"/>
      <w:r w:rsidRPr="002D3411">
        <w:rPr>
          <w:rFonts w:ascii="Times New Roman" w:hAnsi="Times New Roman"/>
          <w:color w:val="000000"/>
        </w:rPr>
        <w:t xml:space="preserve">, pradeda nekontroliuojamai augti. </w:t>
      </w: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Pr="002D3411">
        <w:rPr>
          <w:rFonts w:ascii="Times New Roman" w:hAnsi="Times New Roman"/>
          <w:color w:val="000000"/>
        </w:rPr>
        <w:t xml:space="preserve"> slopina šių leukeminių ląstelių augimą.</w:t>
      </w:r>
    </w:p>
    <w:p w14:paraId="08EC939A" w14:textId="77777777" w:rsidR="003320D4" w:rsidRPr="00975CA4" w:rsidRDefault="003320D4" w:rsidP="003320D4">
      <w:pPr>
        <w:spacing w:after="0" w:line="240" w:lineRule="auto"/>
        <w:rPr>
          <w:rFonts w:ascii="Times New Roman" w:eastAsia="Calibri" w:hAnsi="Times New Roman" w:cs="Times New Roman"/>
          <w:lang w:eastAsia="ar-SA"/>
        </w:rPr>
      </w:pPr>
    </w:p>
    <w:p w14:paraId="76E72534" w14:textId="30098DC3" w:rsidR="003320D4" w:rsidRPr="002D3411" w:rsidRDefault="003320D4" w:rsidP="003320D4">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Pr="002D3411">
        <w:rPr>
          <w:rFonts w:ascii="Times New Roman" w:hAnsi="Times New Roman"/>
          <w:color w:val="000000"/>
        </w:rPr>
        <w:t xml:space="preserve"> taip pat vartojamas suaugusiesiems, paaugliams ir ne </w:t>
      </w:r>
      <w:r w:rsidRPr="00975CA4">
        <w:rPr>
          <w:rFonts w:ascii="Times New Roman" w:eastAsia="SimSun" w:hAnsi="Times New Roman" w:cs="Times New Roman"/>
          <w:color w:val="000000"/>
          <w:lang w:eastAsia="ar-SA"/>
        </w:rPr>
        <w:t>jaunesniems</w:t>
      </w:r>
      <w:r w:rsidRPr="002D3411">
        <w:rPr>
          <w:rFonts w:ascii="Times New Roman" w:hAnsi="Times New Roman"/>
          <w:color w:val="000000"/>
        </w:rPr>
        <w:t xml:space="preserve"> kaip 1 </w:t>
      </w:r>
      <w:r w:rsidRPr="00975CA4">
        <w:rPr>
          <w:rFonts w:ascii="Times New Roman" w:eastAsia="SimSun" w:hAnsi="Times New Roman" w:cs="Times New Roman"/>
          <w:color w:val="000000"/>
          <w:lang w:eastAsia="ar-SA"/>
        </w:rPr>
        <w:t xml:space="preserve">metų vaikams </w:t>
      </w:r>
      <w:r w:rsidRPr="002D3411">
        <w:rPr>
          <w:rFonts w:ascii="Times New Roman" w:hAnsi="Times New Roman"/>
          <w:color w:val="000000"/>
        </w:rPr>
        <w:t>Filadelfijos chromosomai teigiamos (</w:t>
      </w:r>
      <w:proofErr w:type="spellStart"/>
      <w:r w:rsidRPr="002D3411">
        <w:rPr>
          <w:rFonts w:ascii="Times New Roman" w:hAnsi="Times New Roman"/>
          <w:color w:val="000000"/>
        </w:rPr>
        <w:t>Ph</w:t>
      </w:r>
      <w:proofErr w:type="spellEnd"/>
      <w:r w:rsidRPr="002D3411">
        <w:rPr>
          <w:rFonts w:ascii="Times New Roman" w:hAnsi="Times New Roman"/>
          <w:color w:val="000000"/>
        </w:rPr>
        <w:t xml:space="preserve">+) ūminės </w:t>
      </w:r>
      <w:proofErr w:type="spellStart"/>
      <w:r w:rsidRPr="002D3411">
        <w:rPr>
          <w:rFonts w:ascii="Times New Roman" w:hAnsi="Times New Roman"/>
          <w:color w:val="000000"/>
        </w:rPr>
        <w:t>limfoblastinės</w:t>
      </w:r>
      <w:proofErr w:type="spellEnd"/>
      <w:r w:rsidRPr="002D3411">
        <w:rPr>
          <w:rFonts w:ascii="Times New Roman" w:hAnsi="Times New Roman"/>
          <w:color w:val="000000"/>
        </w:rPr>
        <w:t xml:space="preserve"> leukemijos (ŪLL) gydymui ir suaugusiųjų </w:t>
      </w:r>
      <w:proofErr w:type="spellStart"/>
      <w:r w:rsidRPr="002D3411">
        <w:rPr>
          <w:rFonts w:ascii="Times New Roman" w:hAnsi="Times New Roman"/>
          <w:color w:val="000000"/>
        </w:rPr>
        <w:t>limfoidinių</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blastų</w:t>
      </w:r>
      <w:proofErr w:type="spellEnd"/>
      <w:r w:rsidRPr="002D3411">
        <w:rPr>
          <w:rFonts w:ascii="Times New Roman" w:hAnsi="Times New Roman"/>
          <w:color w:val="000000"/>
        </w:rPr>
        <w:t xml:space="preserve"> lėtinės </w:t>
      </w:r>
      <w:proofErr w:type="spellStart"/>
      <w:r w:rsidRPr="002D3411">
        <w:rPr>
          <w:rFonts w:ascii="Times New Roman" w:hAnsi="Times New Roman"/>
          <w:color w:val="000000"/>
        </w:rPr>
        <w:t>mieloidinės</w:t>
      </w:r>
      <w:proofErr w:type="spellEnd"/>
      <w:r w:rsidRPr="002D3411">
        <w:rPr>
          <w:rFonts w:ascii="Times New Roman" w:hAnsi="Times New Roman"/>
          <w:color w:val="000000"/>
        </w:rPr>
        <w:t xml:space="preserve"> leukemijos gydymui, jeigu ankstesnis gydymas buvo neveiksmingas. Sergant ūmine </w:t>
      </w:r>
      <w:proofErr w:type="spellStart"/>
      <w:r w:rsidRPr="002D3411">
        <w:rPr>
          <w:rFonts w:ascii="Times New Roman" w:hAnsi="Times New Roman"/>
          <w:color w:val="000000"/>
        </w:rPr>
        <w:t>limfoblastine</w:t>
      </w:r>
      <w:proofErr w:type="spellEnd"/>
      <w:r w:rsidRPr="002D3411">
        <w:rPr>
          <w:rFonts w:ascii="Times New Roman" w:hAnsi="Times New Roman"/>
          <w:color w:val="000000"/>
        </w:rPr>
        <w:t xml:space="preserve"> leukemija, baltosios kraujo ląstelės, kurios vadinamos limfocitais, dauginasi per greitai ir gyvuoja per ilgai. </w:t>
      </w: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Pr="002D3411">
        <w:rPr>
          <w:rFonts w:ascii="Times New Roman" w:hAnsi="Times New Roman"/>
          <w:color w:val="000000"/>
        </w:rPr>
        <w:t xml:space="preserve"> slopina šių leukeminių ląstelių augimą.</w:t>
      </w:r>
    </w:p>
    <w:p w14:paraId="1C8B26D1"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215CDB32" w14:textId="77777777"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Jeigu Jums kyla kokių nors klausimų apie </w:t>
      </w: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Pr="002D3411">
        <w:rPr>
          <w:rFonts w:ascii="Times New Roman" w:hAnsi="Times New Roman"/>
          <w:color w:val="000000"/>
        </w:rPr>
        <w:t xml:space="preserve"> veikimą arba kodėl Jums šio vaisto paskirta, klauskite savo gydytojo.</w:t>
      </w:r>
    </w:p>
    <w:p w14:paraId="0251DAA5"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193D9860"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6B0B69B3" w14:textId="77777777" w:rsidR="003320D4" w:rsidRPr="002D3411" w:rsidRDefault="003320D4" w:rsidP="00235A1D">
      <w:pPr>
        <w:keepNext/>
        <w:tabs>
          <w:tab w:val="left" w:pos="567"/>
        </w:tabs>
        <w:suppressAutoHyphens/>
        <w:spacing w:after="0" w:line="240" w:lineRule="auto"/>
        <w:jc w:val="both"/>
        <w:rPr>
          <w:rFonts w:ascii="Times New Roman" w:hAnsi="Times New Roman"/>
          <w:b/>
          <w:color w:val="000000"/>
        </w:rPr>
      </w:pPr>
      <w:r w:rsidRPr="002D3411">
        <w:rPr>
          <w:rFonts w:ascii="Times New Roman" w:hAnsi="Times New Roman"/>
          <w:b/>
          <w:color w:val="000000"/>
        </w:rPr>
        <w:t>2.</w:t>
      </w:r>
      <w:r w:rsidRPr="002D3411">
        <w:rPr>
          <w:rFonts w:ascii="Times New Roman" w:hAnsi="Times New Roman"/>
          <w:b/>
          <w:color w:val="000000"/>
        </w:rPr>
        <w:tab/>
        <w:t xml:space="preserve">Kas žinotina prieš vartojant </w:t>
      </w: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Pr="002D3411">
        <w:rPr>
          <w:rFonts w:ascii="Times New Roman" w:hAnsi="Times New Roman"/>
          <w:b/>
          <w:color w:val="000000"/>
        </w:rPr>
        <w:t>Zentiva</w:t>
      </w:r>
      <w:proofErr w:type="spellEnd"/>
      <w:r w:rsidRPr="002D3411">
        <w:rPr>
          <w:rFonts w:ascii="Times New Roman" w:hAnsi="Times New Roman"/>
          <w:b/>
          <w:color w:val="000000"/>
        </w:rPr>
        <w:t xml:space="preserve"> </w:t>
      </w:r>
    </w:p>
    <w:p w14:paraId="2FE2EC2B" w14:textId="77777777" w:rsidR="003320D4" w:rsidRPr="002D3411" w:rsidRDefault="003320D4" w:rsidP="00235A1D">
      <w:pPr>
        <w:keepNext/>
        <w:tabs>
          <w:tab w:val="left" w:pos="567"/>
        </w:tabs>
        <w:suppressAutoHyphens/>
        <w:spacing w:after="0" w:line="240" w:lineRule="auto"/>
        <w:jc w:val="both"/>
        <w:rPr>
          <w:rFonts w:ascii="Times New Roman" w:hAnsi="Times New Roman"/>
          <w:b/>
          <w:color w:val="000000"/>
        </w:rPr>
      </w:pPr>
    </w:p>
    <w:p w14:paraId="2F8AF614" w14:textId="4E3290DF" w:rsidR="003320D4" w:rsidRPr="002D3411" w:rsidRDefault="003320D4" w:rsidP="00DC5862">
      <w:pPr>
        <w:keepNext/>
        <w:suppressAutoHyphens/>
        <w:spacing w:after="0" w:line="240" w:lineRule="auto"/>
        <w:rPr>
          <w:rFonts w:ascii="Times New Roman" w:hAnsi="Times New Roman"/>
          <w:color w:val="000000"/>
        </w:rPr>
      </w:pP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Pr="002D3411">
        <w:rPr>
          <w:rFonts w:ascii="Times New Roman" w:hAnsi="Times New Roman"/>
          <w:b/>
          <w:color w:val="000000"/>
        </w:rPr>
        <w:t>Zentiva</w:t>
      </w:r>
      <w:proofErr w:type="spellEnd"/>
      <w:r w:rsidRPr="002D3411">
        <w:rPr>
          <w:rFonts w:ascii="Times New Roman" w:hAnsi="Times New Roman"/>
          <w:b/>
          <w:color w:val="000000"/>
        </w:rPr>
        <w:t xml:space="preserve"> vartoti </w:t>
      </w:r>
      <w:r w:rsidR="009C582D" w:rsidRPr="002D3411">
        <w:rPr>
          <w:rFonts w:ascii="Times New Roman" w:hAnsi="Times New Roman"/>
          <w:b/>
          <w:color w:val="000000"/>
        </w:rPr>
        <w:t>draud</w:t>
      </w:r>
      <w:r w:rsidR="009C582D" w:rsidRPr="00975CA4">
        <w:rPr>
          <w:rFonts w:ascii="Times New Roman" w:eastAsia="SimSun" w:hAnsi="Times New Roman" w:cs="Times New Roman"/>
          <w:b/>
          <w:color w:val="000000"/>
          <w:lang w:eastAsia="ar-SA"/>
        </w:rPr>
        <w:t>žiama</w:t>
      </w:r>
      <w:r w:rsidRPr="002D3411">
        <w:rPr>
          <w:rFonts w:ascii="Times New Roman" w:hAnsi="Times New Roman"/>
          <w:b/>
          <w:color w:val="000000"/>
        </w:rPr>
        <w:t>:</w:t>
      </w:r>
    </w:p>
    <w:p w14:paraId="010F298C" w14:textId="77777777" w:rsidR="003320D4" w:rsidRPr="002D3411" w:rsidRDefault="003320D4" w:rsidP="003320D4">
      <w:pPr>
        <w:numPr>
          <w:ilvl w:val="0"/>
          <w:numId w:val="18"/>
        </w:numPr>
        <w:tabs>
          <w:tab w:val="left" w:pos="567"/>
        </w:tabs>
        <w:suppressAutoHyphens/>
        <w:spacing w:after="0" w:line="260" w:lineRule="exact"/>
        <w:ind w:left="426"/>
        <w:rPr>
          <w:rFonts w:ascii="Times New Roman" w:hAnsi="Times New Roman"/>
          <w:color w:val="000000"/>
        </w:rPr>
      </w:pPr>
      <w:r w:rsidRPr="002D3411">
        <w:rPr>
          <w:rFonts w:ascii="Times New Roman" w:hAnsi="Times New Roman"/>
          <w:color w:val="000000"/>
        </w:rPr>
        <w:t xml:space="preserve">jeigu yra alergija </w:t>
      </w:r>
      <w:proofErr w:type="spellStart"/>
      <w:r w:rsidRPr="002D3411">
        <w:rPr>
          <w:rFonts w:ascii="Times New Roman" w:hAnsi="Times New Roman"/>
          <w:color w:val="000000"/>
        </w:rPr>
        <w:t>dazatinibui</w:t>
      </w:r>
      <w:proofErr w:type="spellEnd"/>
      <w:r w:rsidRPr="002D3411">
        <w:rPr>
          <w:rFonts w:ascii="Times New Roman" w:hAnsi="Times New Roman"/>
          <w:color w:val="000000"/>
        </w:rPr>
        <w:t xml:space="preserve"> arba bet kuriai pagalbinei šio vaisto medžiagai (jos išvardytos 6 skyriuje).</w:t>
      </w:r>
      <w:r w:rsidRPr="002D3411">
        <w:rPr>
          <w:rFonts w:ascii="Times New Roman" w:hAnsi="Times New Roman"/>
          <w:b/>
          <w:color w:val="000000"/>
        </w:rPr>
        <w:t xml:space="preserve"> </w:t>
      </w:r>
      <w:r w:rsidRPr="002D3411">
        <w:rPr>
          <w:rFonts w:ascii="Times New Roman" w:hAnsi="Times New Roman"/>
          <w:color w:val="000000"/>
        </w:rPr>
        <w:t xml:space="preserve">Jeigu galbūt esate alergiškas, kreipkitės patarimo į savo gydytoją. </w:t>
      </w:r>
    </w:p>
    <w:p w14:paraId="3DB98FE4"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12D1E1DE" w14:textId="77777777" w:rsidR="003320D4" w:rsidRPr="002D3411" w:rsidRDefault="003320D4" w:rsidP="00DC5862">
      <w:pPr>
        <w:keepNext/>
        <w:suppressAutoHyphens/>
        <w:spacing w:after="0" w:line="240" w:lineRule="auto"/>
        <w:rPr>
          <w:rFonts w:ascii="Times New Roman" w:hAnsi="Times New Roman"/>
          <w:color w:val="000000"/>
        </w:rPr>
      </w:pPr>
      <w:r w:rsidRPr="002D3411">
        <w:rPr>
          <w:rFonts w:ascii="Times New Roman" w:hAnsi="Times New Roman"/>
          <w:b/>
          <w:color w:val="000000"/>
        </w:rPr>
        <w:t xml:space="preserve">Įspėjimai ir atsargumo priemonės </w:t>
      </w:r>
    </w:p>
    <w:p w14:paraId="18D2BDE5" w14:textId="77777777"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Pasitarkite su savo gydytoju, prieš pradėdami vartoti </w:t>
      </w: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Pr="002D3411">
        <w:rPr>
          <w:rFonts w:ascii="Times New Roman" w:hAnsi="Times New Roman"/>
          <w:color w:val="000000"/>
        </w:rPr>
        <w:t>, jeigu:</w:t>
      </w:r>
    </w:p>
    <w:p w14:paraId="67CBAF2A" w14:textId="79903A4B" w:rsidR="003320D4" w:rsidRPr="002D3411" w:rsidRDefault="003320D4" w:rsidP="003320D4">
      <w:pPr>
        <w:numPr>
          <w:ilvl w:val="0"/>
          <w:numId w:val="21"/>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lastRenderedPageBreak/>
        <w:t xml:space="preserve">vartojate vaistų kraujui skystinti ar krešulių </w:t>
      </w:r>
      <w:r w:rsidR="0039262D" w:rsidRPr="002D3411">
        <w:rPr>
          <w:rFonts w:ascii="Times New Roman" w:hAnsi="Times New Roman"/>
          <w:color w:val="000000"/>
        </w:rPr>
        <w:t>formavi</w:t>
      </w:r>
      <w:r w:rsidR="00D02523" w:rsidRPr="002D3411">
        <w:rPr>
          <w:rFonts w:ascii="Times New Roman" w:hAnsi="Times New Roman"/>
          <w:color w:val="000000"/>
        </w:rPr>
        <w:t>mui</w:t>
      </w:r>
      <w:r w:rsidR="0039262D" w:rsidRPr="002D3411">
        <w:rPr>
          <w:rFonts w:ascii="Times New Roman" w:hAnsi="Times New Roman"/>
          <w:color w:val="000000"/>
        </w:rPr>
        <w:t>si</w:t>
      </w:r>
      <w:r w:rsidR="00D02523" w:rsidRPr="002D3411">
        <w:rPr>
          <w:rFonts w:ascii="Times New Roman" w:hAnsi="Times New Roman"/>
          <w:color w:val="000000"/>
        </w:rPr>
        <w:t xml:space="preserve"> </w:t>
      </w:r>
      <w:r w:rsidRPr="002D3411">
        <w:rPr>
          <w:rFonts w:ascii="Times New Roman" w:hAnsi="Times New Roman"/>
          <w:color w:val="000000"/>
        </w:rPr>
        <w:t xml:space="preserve">sutrukdyti (žr. „Kiti vaistai ir </w:t>
      </w: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00C32EC1" w:rsidRPr="00975CA4">
        <w:rPr>
          <w:rFonts w:ascii="Times New Roman" w:eastAsia="SimSun" w:hAnsi="Times New Roman" w:cs="Times New Roman"/>
          <w:color w:val="000000"/>
          <w:lang w:eastAsia="ar-SA"/>
        </w:rPr>
        <w:t>“</w:t>
      </w:r>
      <w:r w:rsidRPr="002D3411">
        <w:rPr>
          <w:rFonts w:ascii="Times New Roman" w:hAnsi="Times New Roman"/>
          <w:color w:val="000000"/>
        </w:rPr>
        <w:t>);</w:t>
      </w:r>
    </w:p>
    <w:p w14:paraId="0C0BC836" w14:textId="77777777" w:rsidR="003320D4" w:rsidRPr="002D3411" w:rsidRDefault="003320D4" w:rsidP="003320D4">
      <w:pPr>
        <w:numPr>
          <w:ilvl w:val="0"/>
          <w:numId w:val="21"/>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Jums yra arba buvo kepenų ar širdies sutrikimų;</w:t>
      </w:r>
    </w:p>
    <w:p w14:paraId="3B0C6CF3" w14:textId="77777777" w:rsidR="003320D4" w:rsidRPr="002D3411" w:rsidRDefault="003320D4" w:rsidP="003320D4">
      <w:pPr>
        <w:numPr>
          <w:ilvl w:val="0"/>
          <w:numId w:val="21"/>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 xml:space="preserve">vartojant </w:t>
      </w:r>
      <w:proofErr w:type="spellStart"/>
      <w:r w:rsidR="00C32EC1" w:rsidRPr="002D3411">
        <w:rPr>
          <w:rFonts w:ascii="Times New Roman" w:hAnsi="Times New Roman"/>
          <w:color w:val="000000"/>
        </w:rPr>
        <w:t>D</w:t>
      </w:r>
      <w:r w:rsidRPr="002D3411">
        <w:rPr>
          <w:rFonts w:ascii="Times New Roman" w:hAnsi="Times New Roman"/>
          <w:color w:val="000000"/>
        </w:rPr>
        <w:t>a</w:t>
      </w:r>
      <w:r w:rsidR="00C32EC1" w:rsidRPr="002D3411">
        <w:rPr>
          <w:rFonts w:ascii="Times New Roman" w:hAnsi="Times New Roman"/>
          <w:color w:val="000000"/>
        </w:rPr>
        <w:t>s</w:t>
      </w:r>
      <w:r w:rsidRPr="002D3411">
        <w:rPr>
          <w:rFonts w:ascii="Times New Roman" w:hAnsi="Times New Roman"/>
          <w:color w:val="000000"/>
        </w:rPr>
        <w:t>atinib</w:t>
      </w:r>
      <w:proofErr w:type="spellEnd"/>
      <w:r w:rsidR="00C32EC1"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Pr="002D3411">
        <w:rPr>
          <w:rFonts w:ascii="Times New Roman" w:hAnsi="Times New Roman"/>
          <w:color w:val="000000"/>
        </w:rPr>
        <w:t xml:space="preserve"> pasunkėja kvėpavimas, ima skaudėti krūtinę arba prasideda kosulys: tai gali būti </w:t>
      </w:r>
      <w:r w:rsidRPr="00975CA4">
        <w:rPr>
          <w:rFonts w:ascii="Times New Roman" w:eastAsia="SimSun" w:hAnsi="Times New Roman" w:cs="Times New Roman"/>
          <w:color w:val="000000"/>
          <w:lang w:eastAsia="ar-SA"/>
        </w:rPr>
        <w:t>skysči</w:t>
      </w:r>
      <w:r w:rsidRPr="00975CA4">
        <w:rPr>
          <w:rFonts w:ascii="Times New Roman" w:eastAsia="MS Mincho" w:hAnsi="Times New Roman" w:cs="Times New Roman"/>
          <w:color w:val="000000"/>
          <w:lang w:eastAsia="ar-SA"/>
        </w:rPr>
        <w:t>o</w:t>
      </w:r>
      <w:r w:rsidRPr="002D3411">
        <w:rPr>
          <w:rFonts w:ascii="Times New Roman" w:hAnsi="Times New Roman"/>
          <w:color w:val="000000"/>
        </w:rPr>
        <w:t xml:space="preserve"> kaupimosi plau</w:t>
      </w:r>
      <w:r w:rsidRPr="00975CA4">
        <w:rPr>
          <w:rFonts w:ascii="Times New Roman" w:eastAsia="SimSun" w:hAnsi="Times New Roman" w:cs="Times New Roman"/>
          <w:color w:val="000000"/>
          <w:lang w:eastAsia="ar-SA"/>
        </w:rPr>
        <w:t>č</w:t>
      </w:r>
      <w:r w:rsidRPr="002D3411">
        <w:rPr>
          <w:rFonts w:ascii="Times New Roman" w:hAnsi="Times New Roman"/>
          <w:color w:val="000000"/>
        </w:rPr>
        <w:t>iuose ar krūtinės ląstoje požymis (65 metų ir vyresniems pacientams jis gali pasireikšti dažniau) arba dėl kraujagyslių, kuriomis kraujas teka į plaučius, poky</w:t>
      </w:r>
      <w:r w:rsidRPr="00975CA4">
        <w:rPr>
          <w:rFonts w:ascii="Times New Roman" w:eastAsia="SimSun" w:hAnsi="Times New Roman" w:cs="Times New Roman"/>
          <w:color w:val="000000"/>
          <w:lang w:eastAsia="ar-SA"/>
        </w:rPr>
        <w:t>č</w:t>
      </w:r>
      <w:r w:rsidRPr="002D3411">
        <w:rPr>
          <w:rFonts w:ascii="Times New Roman" w:hAnsi="Times New Roman"/>
          <w:color w:val="000000"/>
        </w:rPr>
        <w:t>ių;</w:t>
      </w:r>
    </w:p>
    <w:p w14:paraId="66BC7BFE" w14:textId="77777777" w:rsidR="003320D4" w:rsidRPr="002D3411" w:rsidRDefault="003320D4" w:rsidP="003320D4">
      <w:pPr>
        <w:numPr>
          <w:ilvl w:val="0"/>
          <w:numId w:val="21"/>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 xml:space="preserve">Jums kada nors buvo diagnozuota hepatito B infekcija arba šiuo metu galite būti užsikrėtę šiuo virusu. Apie tai pasakyti būtina, nes </w:t>
      </w:r>
      <w:proofErr w:type="spellStart"/>
      <w:r w:rsidRPr="002D3411">
        <w:rPr>
          <w:rFonts w:ascii="Times New Roman" w:hAnsi="Times New Roman"/>
          <w:color w:val="000000"/>
        </w:rPr>
        <w:t>dazatinibas</w:t>
      </w:r>
      <w:proofErr w:type="spellEnd"/>
      <w:r w:rsidRPr="002D3411">
        <w:rPr>
          <w:rFonts w:ascii="Times New Roman" w:hAnsi="Times New Roman"/>
          <w:color w:val="000000"/>
        </w:rPr>
        <w:t xml:space="preserve"> gali vėl suaktyvinti hepatitą B, kuris kai kuriais atvejais gali būti mirtinas. Prieš pradedant gydymą, gydytojas atidžiai patikrins, ar pacientas neturi šios infekcijos požymių;</w:t>
      </w:r>
    </w:p>
    <w:p w14:paraId="67EDB7AE" w14:textId="2D1941E3" w:rsidR="003320D4" w:rsidRPr="002D3411" w:rsidRDefault="003320D4" w:rsidP="003320D4">
      <w:pPr>
        <w:numPr>
          <w:ilvl w:val="0"/>
          <w:numId w:val="21"/>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 xml:space="preserve">vartojant </w:t>
      </w:r>
      <w:proofErr w:type="spellStart"/>
      <w:r w:rsidRPr="00975CA4">
        <w:rPr>
          <w:rFonts w:ascii="Times New Roman" w:eastAsia="SimSun" w:hAnsi="Times New Roman" w:cs="Times New Roman"/>
          <w:color w:val="000000"/>
          <w:lang w:eastAsia="ar-SA"/>
        </w:rPr>
        <w:t>Dasatinib</w:t>
      </w:r>
      <w:proofErr w:type="spellEnd"/>
      <w:r w:rsidRPr="00975CA4">
        <w:rPr>
          <w:rFonts w:ascii="Times New Roman" w:eastAsia="SimSun" w:hAnsi="Times New Roman" w:cs="Times New Roman"/>
          <w:color w:val="000000"/>
          <w:lang w:eastAsia="ar-SA"/>
        </w:rPr>
        <w:t xml:space="preserve"> </w:t>
      </w:r>
      <w:proofErr w:type="spellStart"/>
      <w:r w:rsidR="00C32EC1" w:rsidRPr="00975CA4">
        <w:rPr>
          <w:rFonts w:ascii="Times New Roman" w:eastAsia="SimSun" w:hAnsi="Times New Roman" w:cs="Times New Roman"/>
          <w:color w:val="000000"/>
          <w:lang w:eastAsia="ar-SA"/>
        </w:rPr>
        <w:t>Zentiva</w:t>
      </w:r>
      <w:proofErr w:type="spellEnd"/>
      <w:r w:rsidRPr="002D3411">
        <w:rPr>
          <w:rFonts w:ascii="Times New Roman" w:hAnsi="Times New Roman"/>
          <w:color w:val="000000"/>
        </w:rPr>
        <w:t xml:space="preserve"> Jums atsiranda </w:t>
      </w:r>
      <w:proofErr w:type="spellStart"/>
      <w:r w:rsidRPr="002D3411">
        <w:rPr>
          <w:rFonts w:ascii="Times New Roman" w:hAnsi="Times New Roman"/>
          <w:color w:val="000000"/>
        </w:rPr>
        <w:t>kraujosrūv</w:t>
      </w:r>
      <w:r w:rsidRPr="00975CA4">
        <w:rPr>
          <w:rFonts w:ascii="Times New Roman" w:eastAsia="SimSun" w:hAnsi="Times New Roman" w:cs="Times New Roman"/>
          <w:color w:val="000000"/>
          <w:lang w:eastAsia="ar-SA"/>
        </w:rPr>
        <w:t>ų</w:t>
      </w:r>
      <w:proofErr w:type="spellEnd"/>
      <w:r w:rsidRPr="002D3411">
        <w:rPr>
          <w:rFonts w:ascii="Times New Roman" w:hAnsi="Times New Roman"/>
          <w:color w:val="000000"/>
        </w:rPr>
        <w:t xml:space="preserve">, kraujavimas, karščiavimas, nuovargis ir sumišimas, kreipkitės į savo gydytoją. Tai gali būti kraujagyslių </w:t>
      </w:r>
      <w:r w:rsidRPr="00975CA4">
        <w:rPr>
          <w:rFonts w:ascii="Times New Roman" w:eastAsia="SimSun" w:hAnsi="Times New Roman" w:cs="Times New Roman"/>
          <w:color w:val="000000"/>
          <w:lang w:eastAsia="ar-SA"/>
        </w:rPr>
        <w:t>pažeidimo, žinomo kaip</w:t>
      </w:r>
      <w:r w:rsidRPr="002D3411">
        <w:rPr>
          <w:rFonts w:ascii="Times New Roman" w:hAnsi="Times New Roman"/>
          <w:color w:val="000000"/>
        </w:rPr>
        <w:t xml:space="preserve"> trombinė </w:t>
      </w:r>
      <w:proofErr w:type="spellStart"/>
      <w:r w:rsidRPr="002D3411">
        <w:rPr>
          <w:rFonts w:ascii="Times New Roman" w:hAnsi="Times New Roman"/>
          <w:color w:val="000000"/>
        </w:rPr>
        <w:t>mikroangiopatija</w:t>
      </w:r>
      <w:proofErr w:type="spellEnd"/>
      <w:r w:rsidRPr="002D3411">
        <w:rPr>
          <w:rFonts w:ascii="Times New Roman" w:hAnsi="Times New Roman"/>
          <w:color w:val="000000"/>
        </w:rPr>
        <w:t xml:space="preserve"> (TMA), </w:t>
      </w:r>
      <w:r w:rsidRPr="00975CA4">
        <w:rPr>
          <w:rFonts w:ascii="Times New Roman" w:eastAsia="SimSun" w:hAnsi="Times New Roman" w:cs="Times New Roman"/>
          <w:color w:val="000000"/>
          <w:lang w:eastAsia="ar-SA"/>
        </w:rPr>
        <w:t>požymis.</w:t>
      </w:r>
    </w:p>
    <w:p w14:paraId="25AC8A72"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6747F108" w14:textId="77777777" w:rsidR="003320D4" w:rsidRPr="002D3411" w:rsidRDefault="003320D4" w:rsidP="003320D4">
      <w:pPr>
        <w:tabs>
          <w:tab w:val="left" w:pos="567"/>
        </w:tabs>
        <w:suppressAutoHyphens/>
        <w:spacing w:after="0" w:line="240" w:lineRule="auto"/>
        <w:rPr>
          <w:rFonts w:ascii="Times New Roman" w:hAnsi="Times New Roman"/>
          <w:b/>
          <w:color w:val="000000"/>
        </w:rPr>
      </w:pPr>
      <w:r w:rsidRPr="002D3411">
        <w:rPr>
          <w:rFonts w:ascii="Times New Roman" w:hAnsi="Times New Roman"/>
          <w:color w:val="000000"/>
        </w:rPr>
        <w:t xml:space="preserve">Jūsų gydytojas reguliariai tirs Jūsų sveikatos būklę, kad galėtų įsitikinti, ar </w:t>
      </w:r>
      <w:proofErr w:type="spellStart"/>
      <w:r w:rsidR="00C32EC1" w:rsidRPr="002D3411">
        <w:rPr>
          <w:rFonts w:ascii="Times New Roman" w:hAnsi="Times New Roman"/>
          <w:color w:val="000000"/>
        </w:rPr>
        <w:t>Dasatinib</w:t>
      </w:r>
      <w:proofErr w:type="spellEnd"/>
      <w:r w:rsidR="00C32EC1"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Pr="002D3411">
        <w:rPr>
          <w:rFonts w:ascii="Times New Roman" w:hAnsi="Times New Roman"/>
          <w:color w:val="000000"/>
        </w:rPr>
        <w:t xml:space="preserve"> sukelia pageidaujamą poveikį. Be to, </w:t>
      </w:r>
      <w:proofErr w:type="spellStart"/>
      <w:r w:rsidR="00C32EC1" w:rsidRPr="002D3411">
        <w:rPr>
          <w:rFonts w:ascii="Times New Roman" w:hAnsi="Times New Roman"/>
          <w:color w:val="000000"/>
        </w:rPr>
        <w:t>Dasatinib</w:t>
      </w:r>
      <w:proofErr w:type="spellEnd"/>
      <w:r w:rsidR="00C32EC1"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Pr="002D3411">
        <w:rPr>
          <w:rFonts w:ascii="Times New Roman" w:hAnsi="Times New Roman"/>
          <w:color w:val="000000"/>
        </w:rPr>
        <w:t xml:space="preserve"> vartojimo metu Jums bus reguliariai atliekami kraujo tyrimai.</w:t>
      </w:r>
    </w:p>
    <w:p w14:paraId="4DF6B3E5" w14:textId="77777777" w:rsidR="003320D4" w:rsidRPr="002D3411" w:rsidRDefault="003320D4" w:rsidP="003320D4">
      <w:pPr>
        <w:tabs>
          <w:tab w:val="left" w:pos="567"/>
        </w:tabs>
        <w:suppressAutoHyphens/>
        <w:spacing w:after="0" w:line="240" w:lineRule="auto"/>
        <w:rPr>
          <w:rFonts w:ascii="Times New Roman" w:hAnsi="Times New Roman"/>
          <w:b/>
          <w:color w:val="000000"/>
        </w:rPr>
      </w:pPr>
    </w:p>
    <w:p w14:paraId="0C6038ED" w14:textId="77777777" w:rsidR="003320D4" w:rsidRPr="002D3411" w:rsidRDefault="003320D4"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Vaikams ir paaugliams</w:t>
      </w:r>
    </w:p>
    <w:p w14:paraId="6274A2AE" w14:textId="3D017802"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Neduokite šio vaisto jaunesniems kaip 1 metų vaikams.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vartojimo </w:t>
      </w:r>
      <w:r w:rsidR="00D02523" w:rsidRPr="002D3411">
        <w:rPr>
          <w:rFonts w:ascii="Times New Roman" w:hAnsi="Times New Roman"/>
          <w:color w:val="000000"/>
        </w:rPr>
        <w:t xml:space="preserve">patirtis </w:t>
      </w:r>
      <w:r w:rsidRPr="002D3411">
        <w:rPr>
          <w:rFonts w:ascii="Times New Roman" w:hAnsi="Times New Roman"/>
          <w:color w:val="000000"/>
        </w:rPr>
        <w:t xml:space="preserve">šios amžiaus grupės pacientams yra nedidelė. </w:t>
      </w:r>
      <w:r w:rsidRPr="00975CA4">
        <w:rPr>
          <w:rFonts w:ascii="Times New Roman" w:eastAsia="SimSun" w:hAnsi="Times New Roman" w:cs="Times New Roman"/>
          <w:color w:val="000000"/>
          <w:lang w:eastAsia="ar-SA"/>
        </w:rPr>
        <w:t xml:space="preserve">Bus atidžiai stebimas </w:t>
      </w:r>
      <w:proofErr w:type="spellStart"/>
      <w:r w:rsidR="00C32EC1" w:rsidRPr="00975CA4">
        <w:rPr>
          <w:rFonts w:ascii="Times New Roman" w:eastAsia="SimSun" w:hAnsi="Times New Roman" w:cs="Times New Roman"/>
          <w:color w:val="000000"/>
          <w:lang w:eastAsia="ar-SA"/>
        </w:rPr>
        <w:t>Dasatinib</w:t>
      </w:r>
      <w:proofErr w:type="spellEnd"/>
      <w:r w:rsidR="00C32EC1" w:rsidRPr="00975CA4">
        <w:rPr>
          <w:rFonts w:ascii="Times New Roman" w:eastAsia="SimSun" w:hAnsi="Times New Roman" w:cs="Times New Roman"/>
          <w:color w:val="000000"/>
          <w:lang w:eastAsia="ar-SA"/>
        </w:rPr>
        <w:t xml:space="preserve"> </w:t>
      </w:r>
      <w:proofErr w:type="spellStart"/>
      <w:r w:rsidR="00C32EC1" w:rsidRPr="00975CA4">
        <w:rPr>
          <w:rFonts w:ascii="Times New Roman" w:eastAsia="SimSun" w:hAnsi="Times New Roman" w:cs="Times New Roman"/>
          <w:color w:val="000000"/>
          <w:lang w:eastAsia="ar-SA"/>
        </w:rPr>
        <w:t>Zentiva</w:t>
      </w:r>
      <w:proofErr w:type="spellEnd"/>
      <w:r w:rsidRPr="002D3411">
        <w:rPr>
          <w:rFonts w:ascii="Times New Roman" w:hAnsi="Times New Roman"/>
          <w:color w:val="000000"/>
        </w:rPr>
        <w:t xml:space="preserve"> vartojančių vaikų kaulų augimas ir vystymasis.</w:t>
      </w:r>
    </w:p>
    <w:p w14:paraId="2F91CB19"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0729486A" w14:textId="77777777" w:rsidR="003320D4" w:rsidRPr="002D3411" w:rsidRDefault="003320D4" w:rsidP="00DC5862">
      <w:pPr>
        <w:keepNext/>
        <w:suppressAutoHyphens/>
        <w:spacing w:after="0" w:line="240" w:lineRule="auto"/>
        <w:rPr>
          <w:rFonts w:ascii="Times New Roman" w:hAnsi="Times New Roman"/>
          <w:color w:val="000000"/>
        </w:rPr>
      </w:pPr>
      <w:r w:rsidRPr="002D3411">
        <w:rPr>
          <w:rFonts w:ascii="Times New Roman" w:hAnsi="Times New Roman"/>
          <w:b/>
          <w:color w:val="000000"/>
        </w:rPr>
        <w:t xml:space="preserve">Kiti vaistai ir </w:t>
      </w: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00C32EC1" w:rsidRPr="002D3411">
        <w:rPr>
          <w:rFonts w:ascii="Times New Roman" w:hAnsi="Times New Roman"/>
          <w:b/>
          <w:color w:val="000000"/>
        </w:rPr>
        <w:t>Zentiva</w:t>
      </w:r>
      <w:proofErr w:type="spellEnd"/>
    </w:p>
    <w:p w14:paraId="55CBC52D" w14:textId="77777777"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Jeigu vartojate ar neseniai vartojote kitų vaistų arba dėl to nesate tikri, apie tai pasakykite savo gydytojui.</w:t>
      </w:r>
    </w:p>
    <w:p w14:paraId="055831CF"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237B793D" w14:textId="77777777" w:rsidR="003320D4" w:rsidRPr="002D3411" w:rsidRDefault="003320D4" w:rsidP="003320D4">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t>Dazatinibą</w:t>
      </w:r>
      <w:proofErr w:type="spellEnd"/>
      <w:r w:rsidRPr="002D3411">
        <w:rPr>
          <w:rFonts w:ascii="Times New Roman" w:hAnsi="Times New Roman"/>
          <w:color w:val="000000"/>
        </w:rPr>
        <w:t xml:space="preserve"> daugiausia apdoroja kepenys. Tam tikri vaistai, vartojami kartu, gali trikdyti </w:t>
      </w:r>
      <w:proofErr w:type="spellStart"/>
      <w:r w:rsidR="00C32EC1" w:rsidRPr="002D3411">
        <w:rPr>
          <w:rFonts w:ascii="Times New Roman" w:hAnsi="Times New Roman"/>
          <w:color w:val="000000"/>
        </w:rPr>
        <w:t>Dasatinib</w:t>
      </w:r>
      <w:proofErr w:type="spellEnd"/>
      <w:r w:rsidR="00C32EC1"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Pr="002D3411">
        <w:rPr>
          <w:rFonts w:ascii="Times New Roman" w:hAnsi="Times New Roman"/>
          <w:color w:val="000000"/>
        </w:rPr>
        <w:t xml:space="preserve"> veikimą.</w:t>
      </w:r>
    </w:p>
    <w:p w14:paraId="52E6E4FD" w14:textId="77777777" w:rsidR="00C32EC1" w:rsidRPr="002D3411" w:rsidRDefault="00C32EC1" w:rsidP="003320D4">
      <w:pPr>
        <w:tabs>
          <w:tab w:val="left" w:pos="567"/>
        </w:tabs>
        <w:suppressAutoHyphens/>
        <w:spacing w:after="0" w:line="240" w:lineRule="auto"/>
        <w:rPr>
          <w:rFonts w:ascii="Times New Roman" w:hAnsi="Times New Roman"/>
          <w:b/>
          <w:color w:val="000000"/>
        </w:rPr>
      </w:pPr>
    </w:p>
    <w:p w14:paraId="7EEB90DA" w14:textId="77777777" w:rsidR="003320D4" w:rsidRPr="002D3411" w:rsidRDefault="003320D4"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Kartu su </w:t>
      </w:r>
      <w:proofErr w:type="spellStart"/>
      <w:r w:rsidR="00C32EC1" w:rsidRPr="002D3411">
        <w:rPr>
          <w:rFonts w:ascii="Times New Roman" w:hAnsi="Times New Roman"/>
          <w:color w:val="000000"/>
        </w:rPr>
        <w:t>Dasatinib</w:t>
      </w:r>
      <w:proofErr w:type="spellEnd"/>
      <w:r w:rsidR="00C32EC1"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Pr="002D3411">
        <w:rPr>
          <w:rFonts w:ascii="Times New Roman" w:hAnsi="Times New Roman"/>
          <w:color w:val="000000"/>
        </w:rPr>
        <w:t xml:space="preserve"> negalima vartoti šių vaistų:</w:t>
      </w:r>
    </w:p>
    <w:p w14:paraId="2E20FE52" w14:textId="77777777" w:rsidR="003320D4" w:rsidRPr="002D3411" w:rsidRDefault="003320D4" w:rsidP="00C32EC1">
      <w:pPr>
        <w:numPr>
          <w:ilvl w:val="0"/>
          <w:numId w:val="2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 xml:space="preserve">vaistų nuo grybelio </w:t>
      </w:r>
      <w:r w:rsidR="00C32EC1" w:rsidRPr="002D3411">
        <w:rPr>
          <w:rFonts w:ascii="Times New Roman" w:hAnsi="Times New Roman"/>
          <w:color w:val="000000"/>
        </w:rPr>
        <w:t>–</w:t>
      </w:r>
      <w:r w:rsidRPr="002D3411">
        <w:rPr>
          <w:rFonts w:ascii="Times New Roman" w:hAnsi="Times New Roman"/>
          <w:color w:val="000000"/>
        </w:rPr>
        <w:t xml:space="preserve"> </w:t>
      </w:r>
      <w:proofErr w:type="spellStart"/>
      <w:r w:rsidRPr="002D3411">
        <w:rPr>
          <w:rFonts w:ascii="Times New Roman" w:hAnsi="Times New Roman"/>
          <w:color w:val="000000"/>
        </w:rPr>
        <w:t>ketokonazolo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itrakonazolo</w:t>
      </w:r>
      <w:proofErr w:type="spellEnd"/>
      <w:r w:rsidRPr="002D3411">
        <w:rPr>
          <w:rFonts w:ascii="Times New Roman" w:hAnsi="Times New Roman"/>
          <w:color w:val="000000"/>
        </w:rPr>
        <w:t>;</w:t>
      </w:r>
    </w:p>
    <w:p w14:paraId="42C964D5" w14:textId="77777777" w:rsidR="003320D4" w:rsidRPr="002D3411" w:rsidRDefault="003320D4" w:rsidP="00C32EC1">
      <w:pPr>
        <w:numPr>
          <w:ilvl w:val="0"/>
          <w:numId w:val="2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 xml:space="preserve">antibiotikų </w:t>
      </w:r>
      <w:r w:rsidR="00C32EC1" w:rsidRPr="002D3411">
        <w:rPr>
          <w:rFonts w:ascii="Times New Roman" w:hAnsi="Times New Roman"/>
          <w:color w:val="000000"/>
        </w:rPr>
        <w:t>–</w:t>
      </w:r>
      <w:r w:rsidRPr="002D3411">
        <w:rPr>
          <w:rFonts w:ascii="Times New Roman" w:hAnsi="Times New Roman"/>
          <w:color w:val="000000"/>
        </w:rPr>
        <w:t xml:space="preserve"> </w:t>
      </w:r>
      <w:proofErr w:type="spellStart"/>
      <w:r w:rsidRPr="002D3411">
        <w:rPr>
          <w:rFonts w:ascii="Times New Roman" w:hAnsi="Times New Roman"/>
          <w:color w:val="000000"/>
        </w:rPr>
        <w:t>eritromicino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klaritromicino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telitromicino</w:t>
      </w:r>
      <w:proofErr w:type="spellEnd"/>
      <w:r w:rsidRPr="002D3411">
        <w:rPr>
          <w:rFonts w:ascii="Times New Roman" w:hAnsi="Times New Roman"/>
          <w:color w:val="000000"/>
        </w:rPr>
        <w:t>;</w:t>
      </w:r>
    </w:p>
    <w:p w14:paraId="432E1F70" w14:textId="7C65B6B2" w:rsidR="003320D4" w:rsidRPr="002D3411" w:rsidRDefault="003320D4" w:rsidP="00C32EC1">
      <w:pPr>
        <w:numPr>
          <w:ilvl w:val="0"/>
          <w:numId w:val="2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vaisto nuo virus</w:t>
      </w:r>
      <w:r w:rsidR="00D02523" w:rsidRPr="002D3411">
        <w:rPr>
          <w:rFonts w:ascii="Times New Roman" w:hAnsi="Times New Roman"/>
          <w:color w:val="000000"/>
        </w:rPr>
        <w:t>inės</w:t>
      </w:r>
      <w:r w:rsidRPr="002D3411">
        <w:rPr>
          <w:rFonts w:ascii="Times New Roman" w:hAnsi="Times New Roman"/>
          <w:color w:val="000000"/>
        </w:rPr>
        <w:t xml:space="preserve"> infekcijos </w:t>
      </w:r>
      <w:r w:rsidR="00C32EC1" w:rsidRPr="002D3411">
        <w:rPr>
          <w:rFonts w:ascii="Times New Roman" w:hAnsi="Times New Roman"/>
          <w:color w:val="000000"/>
        </w:rPr>
        <w:t>–</w:t>
      </w:r>
      <w:r w:rsidRPr="002D3411">
        <w:rPr>
          <w:rFonts w:ascii="Times New Roman" w:hAnsi="Times New Roman"/>
          <w:color w:val="000000"/>
        </w:rPr>
        <w:t xml:space="preserve"> ritonaviro;</w:t>
      </w:r>
    </w:p>
    <w:p w14:paraId="5B78E048" w14:textId="77777777" w:rsidR="003320D4" w:rsidRPr="002D3411" w:rsidRDefault="003320D4" w:rsidP="00C32EC1">
      <w:pPr>
        <w:numPr>
          <w:ilvl w:val="0"/>
          <w:numId w:val="2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 xml:space="preserve">vaistų nuo epilepsijos </w:t>
      </w:r>
      <w:r w:rsidR="00C32EC1" w:rsidRPr="002D3411">
        <w:rPr>
          <w:rFonts w:ascii="Times New Roman" w:hAnsi="Times New Roman"/>
          <w:color w:val="000000"/>
        </w:rPr>
        <w:t>–</w:t>
      </w:r>
      <w:r w:rsidRPr="002D3411">
        <w:rPr>
          <w:rFonts w:ascii="Times New Roman" w:hAnsi="Times New Roman"/>
          <w:color w:val="000000"/>
        </w:rPr>
        <w:t xml:space="preserve"> </w:t>
      </w:r>
      <w:proofErr w:type="spellStart"/>
      <w:r w:rsidRPr="002D3411">
        <w:rPr>
          <w:rFonts w:ascii="Times New Roman" w:hAnsi="Times New Roman"/>
          <w:color w:val="000000"/>
        </w:rPr>
        <w:t>fenitoino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karbamazepino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fenobarbitalio</w:t>
      </w:r>
      <w:proofErr w:type="spellEnd"/>
      <w:r w:rsidRPr="002D3411">
        <w:rPr>
          <w:rFonts w:ascii="Times New Roman" w:hAnsi="Times New Roman"/>
          <w:color w:val="000000"/>
        </w:rPr>
        <w:t>;</w:t>
      </w:r>
    </w:p>
    <w:p w14:paraId="474106C4" w14:textId="77777777" w:rsidR="003320D4" w:rsidRPr="002D3411" w:rsidRDefault="003320D4" w:rsidP="00C32EC1">
      <w:pPr>
        <w:numPr>
          <w:ilvl w:val="0"/>
          <w:numId w:val="2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 xml:space="preserve">vaisto nuo tuberkuliozės </w:t>
      </w:r>
      <w:r w:rsidR="00C32EC1" w:rsidRPr="002D3411">
        <w:rPr>
          <w:rFonts w:ascii="Times New Roman" w:hAnsi="Times New Roman"/>
          <w:color w:val="000000"/>
        </w:rPr>
        <w:t xml:space="preserve">– </w:t>
      </w:r>
      <w:proofErr w:type="spellStart"/>
      <w:r w:rsidR="00C32EC1" w:rsidRPr="002D3411">
        <w:rPr>
          <w:rFonts w:ascii="Times New Roman" w:hAnsi="Times New Roman"/>
          <w:color w:val="000000"/>
        </w:rPr>
        <w:t>r</w:t>
      </w:r>
      <w:r w:rsidRPr="002D3411">
        <w:rPr>
          <w:rFonts w:ascii="Times New Roman" w:hAnsi="Times New Roman"/>
          <w:color w:val="000000"/>
        </w:rPr>
        <w:t>ifampicino</w:t>
      </w:r>
      <w:proofErr w:type="spellEnd"/>
      <w:r w:rsidRPr="002D3411">
        <w:rPr>
          <w:rFonts w:ascii="Times New Roman" w:hAnsi="Times New Roman"/>
          <w:color w:val="000000"/>
        </w:rPr>
        <w:t>;</w:t>
      </w:r>
    </w:p>
    <w:p w14:paraId="24AD7A87" w14:textId="77777777" w:rsidR="003320D4" w:rsidRPr="002D3411" w:rsidRDefault="003320D4" w:rsidP="00C32EC1">
      <w:pPr>
        <w:numPr>
          <w:ilvl w:val="0"/>
          <w:numId w:val="2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 xml:space="preserve">skrandžio rūgšties išskyrimą slopinančių vaistų </w:t>
      </w:r>
      <w:r w:rsidR="00C32EC1" w:rsidRPr="002D3411">
        <w:rPr>
          <w:rFonts w:ascii="Times New Roman" w:hAnsi="Times New Roman"/>
          <w:color w:val="000000"/>
        </w:rPr>
        <w:t>–</w:t>
      </w:r>
      <w:r w:rsidRPr="002D3411">
        <w:rPr>
          <w:rFonts w:ascii="Times New Roman" w:hAnsi="Times New Roman"/>
          <w:color w:val="000000"/>
        </w:rPr>
        <w:t xml:space="preserve"> </w:t>
      </w:r>
      <w:proofErr w:type="spellStart"/>
      <w:r w:rsidRPr="002D3411">
        <w:rPr>
          <w:rFonts w:ascii="Times New Roman" w:hAnsi="Times New Roman"/>
          <w:color w:val="000000"/>
        </w:rPr>
        <w:t>famotidino</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omeprazolo</w:t>
      </w:r>
      <w:proofErr w:type="spellEnd"/>
      <w:r w:rsidRPr="002D3411">
        <w:rPr>
          <w:rFonts w:ascii="Times New Roman" w:hAnsi="Times New Roman"/>
          <w:color w:val="000000"/>
        </w:rPr>
        <w:t>;</w:t>
      </w:r>
    </w:p>
    <w:p w14:paraId="2E42410B" w14:textId="77777777" w:rsidR="003320D4" w:rsidRPr="002D3411" w:rsidRDefault="003320D4" w:rsidP="00C32EC1">
      <w:pPr>
        <w:numPr>
          <w:ilvl w:val="0"/>
          <w:numId w:val="2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 xml:space="preserve">jonažolės (taip pat ji vadinama </w:t>
      </w:r>
      <w:proofErr w:type="spellStart"/>
      <w:r w:rsidRPr="002D3411">
        <w:rPr>
          <w:rFonts w:ascii="Times New Roman" w:hAnsi="Times New Roman"/>
          <w:i/>
          <w:color w:val="000000"/>
        </w:rPr>
        <w:t>Hypericum</w:t>
      </w:r>
      <w:proofErr w:type="spellEnd"/>
      <w:r w:rsidRPr="002D3411">
        <w:rPr>
          <w:rFonts w:ascii="Times New Roman" w:hAnsi="Times New Roman"/>
          <w:i/>
          <w:color w:val="000000"/>
        </w:rPr>
        <w:t xml:space="preserve"> </w:t>
      </w:r>
      <w:proofErr w:type="spellStart"/>
      <w:r w:rsidRPr="002D3411">
        <w:rPr>
          <w:rFonts w:ascii="Times New Roman" w:hAnsi="Times New Roman"/>
          <w:i/>
          <w:color w:val="000000"/>
        </w:rPr>
        <w:t>perforatum</w:t>
      </w:r>
      <w:proofErr w:type="spellEnd"/>
      <w:r w:rsidRPr="002D3411">
        <w:rPr>
          <w:rFonts w:ascii="Times New Roman" w:hAnsi="Times New Roman"/>
          <w:color w:val="000000"/>
        </w:rPr>
        <w:t xml:space="preserve">) </w:t>
      </w:r>
      <w:r w:rsidR="00C32EC1" w:rsidRPr="002D3411">
        <w:rPr>
          <w:rFonts w:ascii="Times New Roman" w:hAnsi="Times New Roman"/>
          <w:color w:val="000000"/>
        </w:rPr>
        <w:t>–</w:t>
      </w:r>
      <w:r w:rsidRPr="002D3411">
        <w:rPr>
          <w:rFonts w:ascii="Times New Roman" w:hAnsi="Times New Roman"/>
          <w:color w:val="000000"/>
        </w:rPr>
        <w:t xml:space="preserve"> nereceptinio vaistažolių preparato nuo depresijos ir kitų sutrikimų. </w:t>
      </w:r>
    </w:p>
    <w:p w14:paraId="3EC61F15"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51A34B89" w14:textId="44443703"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Nevartokite skrandžio rūgštį neutralizuojančių vaistų (pvz., aliuminio hidroksido, magnio hidroksido) likus mažiau kaip 2</w:t>
      </w:r>
      <w:r w:rsidR="00D02523" w:rsidRPr="002D3411">
        <w:rPr>
          <w:rFonts w:ascii="Times New Roman" w:hAnsi="Times New Roman"/>
          <w:color w:val="000000"/>
        </w:rPr>
        <w:t> </w:t>
      </w:r>
      <w:r w:rsidRPr="002D3411">
        <w:rPr>
          <w:rFonts w:ascii="Times New Roman" w:hAnsi="Times New Roman"/>
          <w:color w:val="000000"/>
        </w:rPr>
        <w:t>val</w:t>
      </w:r>
      <w:r w:rsidR="00C32EC1" w:rsidRPr="002D3411">
        <w:rPr>
          <w:rFonts w:ascii="Times New Roman" w:hAnsi="Times New Roman"/>
          <w:color w:val="000000"/>
        </w:rPr>
        <w:t>.</w:t>
      </w:r>
      <w:r w:rsidRPr="002D3411">
        <w:rPr>
          <w:rFonts w:ascii="Times New Roman" w:hAnsi="Times New Roman"/>
          <w:color w:val="000000"/>
        </w:rPr>
        <w:t xml:space="preserve"> iki </w:t>
      </w:r>
      <w:proofErr w:type="spellStart"/>
      <w:r w:rsidR="00D02523" w:rsidRPr="002D3411">
        <w:rPr>
          <w:rFonts w:ascii="Times New Roman" w:hAnsi="Times New Roman"/>
          <w:color w:val="000000"/>
        </w:rPr>
        <w:t>Dasatinib</w:t>
      </w:r>
      <w:proofErr w:type="spellEnd"/>
      <w:r w:rsidR="00D02523" w:rsidRPr="002D3411">
        <w:rPr>
          <w:rFonts w:ascii="Times New Roman" w:hAnsi="Times New Roman"/>
          <w:color w:val="000000"/>
        </w:rPr>
        <w:t xml:space="preserve"> </w:t>
      </w:r>
      <w:proofErr w:type="spellStart"/>
      <w:r w:rsidR="00D02523" w:rsidRPr="002D3411">
        <w:rPr>
          <w:rFonts w:ascii="Times New Roman" w:hAnsi="Times New Roman"/>
          <w:color w:val="000000"/>
        </w:rPr>
        <w:t>Zentiva</w:t>
      </w:r>
      <w:proofErr w:type="spellEnd"/>
      <w:r w:rsidR="00D02523" w:rsidRPr="002D3411">
        <w:rPr>
          <w:rFonts w:ascii="Times New Roman" w:hAnsi="Times New Roman"/>
          <w:color w:val="000000"/>
        </w:rPr>
        <w:t xml:space="preserve"> </w:t>
      </w:r>
      <w:r w:rsidRPr="002D3411">
        <w:rPr>
          <w:rFonts w:ascii="Times New Roman" w:hAnsi="Times New Roman"/>
          <w:color w:val="000000"/>
        </w:rPr>
        <w:t>vartojimo ir 2</w:t>
      </w:r>
      <w:r w:rsidR="00D02523" w:rsidRPr="002D3411">
        <w:rPr>
          <w:rFonts w:ascii="Times New Roman" w:hAnsi="Times New Roman"/>
          <w:color w:val="000000"/>
        </w:rPr>
        <w:t> </w:t>
      </w:r>
      <w:r w:rsidRPr="002D3411">
        <w:rPr>
          <w:rFonts w:ascii="Times New Roman" w:hAnsi="Times New Roman"/>
          <w:color w:val="000000"/>
        </w:rPr>
        <w:t>val. po jo.</w:t>
      </w:r>
    </w:p>
    <w:p w14:paraId="0095979F"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05E661DE" w14:textId="07FF4E3A"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Pasakykite savo gydytojui, jeigu vartojate vaistų kraujui skystinti ar krešulių </w:t>
      </w:r>
      <w:r w:rsidR="0039262D" w:rsidRPr="002D3411">
        <w:rPr>
          <w:rFonts w:ascii="Times New Roman" w:hAnsi="Times New Roman"/>
          <w:color w:val="000000"/>
        </w:rPr>
        <w:t>formavimuisi</w:t>
      </w:r>
      <w:r w:rsidR="00D02523" w:rsidRPr="002D3411">
        <w:rPr>
          <w:rFonts w:ascii="Times New Roman" w:hAnsi="Times New Roman"/>
          <w:color w:val="000000"/>
        </w:rPr>
        <w:t xml:space="preserve"> </w:t>
      </w:r>
      <w:r w:rsidRPr="002D3411">
        <w:rPr>
          <w:rFonts w:ascii="Times New Roman" w:hAnsi="Times New Roman"/>
          <w:color w:val="000000"/>
        </w:rPr>
        <w:t>sutrukdyti.</w:t>
      </w:r>
    </w:p>
    <w:p w14:paraId="7245307A"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6361B1CF" w14:textId="77777777" w:rsidR="003320D4" w:rsidRPr="002D3411" w:rsidRDefault="003320D4" w:rsidP="00DC5862">
      <w:pPr>
        <w:keepNext/>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00C32EC1" w:rsidRPr="002D3411">
        <w:rPr>
          <w:rFonts w:ascii="Times New Roman" w:hAnsi="Times New Roman"/>
          <w:b/>
          <w:color w:val="000000"/>
        </w:rPr>
        <w:t>Zentiva</w:t>
      </w:r>
      <w:proofErr w:type="spellEnd"/>
      <w:r w:rsidR="00C32EC1" w:rsidRPr="002D3411">
        <w:rPr>
          <w:rFonts w:ascii="Times New Roman" w:hAnsi="Times New Roman"/>
          <w:b/>
          <w:color w:val="000000"/>
        </w:rPr>
        <w:t xml:space="preserve"> </w:t>
      </w:r>
      <w:r w:rsidRPr="002D3411">
        <w:rPr>
          <w:rFonts w:ascii="Times New Roman" w:hAnsi="Times New Roman"/>
          <w:b/>
          <w:color w:val="000000"/>
        </w:rPr>
        <w:t>vartojimas su maistu ir gėrimais</w:t>
      </w:r>
    </w:p>
    <w:p w14:paraId="35EF4BF5" w14:textId="77777777" w:rsidR="003320D4" w:rsidRPr="002D3411" w:rsidRDefault="003320D4" w:rsidP="003320D4">
      <w:pPr>
        <w:tabs>
          <w:tab w:val="left" w:pos="567"/>
        </w:tabs>
        <w:suppressAutoHyphens/>
        <w:spacing w:after="0" w:line="240" w:lineRule="auto"/>
        <w:rPr>
          <w:rFonts w:ascii="Times New Roman" w:hAnsi="Times New Roman"/>
          <w:b/>
          <w:color w:val="000000"/>
        </w:rPr>
      </w:pPr>
      <w:r w:rsidRPr="002D3411">
        <w:rPr>
          <w:rFonts w:ascii="Times New Roman" w:hAnsi="Times New Roman"/>
          <w:color w:val="000000"/>
        </w:rPr>
        <w:t xml:space="preserve">Nevartokite </w:t>
      </w:r>
      <w:proofErr w:type="spellStart"/>
      <w:r w:rsidR="00C32EC1" w:rsidRPr="002D3411">
        <w:rPr>
          <w:rFonts w:ascii="Times New Roman" w:hAnsi="Times New Roman"/>
          <w:color w:val="000000"/>
        </w:rPr>
        <w:t>Dasatinib</w:t>
      </w:r>
      <w:proofErr w:type="spellEnd"/>
      <w:r w:rsidR="00C32EC1"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00C32EC1" w:rsidRPr="002D3411">
        <w:rPr>
          <w:rFonts w:ascii="Times New Roman" w:hAnsi="Times New Roman"/>
          <w:color w:val="000000"/>
        </w:rPr>
        <w:t xml:space="preserve"> </w:t>
      </w:r>
      <w:r w:rsidRPr="002D3411">
        <w:rPr>
          <w:rFonts w:ascii="Times New Roman" w:hAnsi="Times New Roman"/>
          <w:color w:val="000000"/>
        </w:rPr>
        <w:t>kartu su greipfrutais ar jų sultimis.</w:t>
      </w:r>
    </w:p>
    <w:p w14:paraId="3841D636" w14:textId="77777777" w:rsidR="003320D4" w:rsidRPr="002D3411" w:rsidRDefault="003320D4" w:rsidP="003320D4">
      <w:pPr>
        <w:tabs>
          <w:tab w:val="left" w:pos="567"/>
        </w:tabs>
        <w:suppressAutoHyphens/>
        <w:spacing w:after="0" w:line="240" w:lineRule="auto"/>
        <w:rPr>
          <w:rFonts w:ascii="Times New Roman" w:hAnsi="Times New Roman"/>
          <w:b/>
          <w:color w:val="000000"/>
        </w:rPr>
      </w:pPr>
    </w:p>
    <w:p w14:paraId="50C3B826" w14:textId="77777777" w:rsidR="003320D4" w:rsidRPr="002D3411" w:rsidRDefault="003320D4" w:rsidP="00DC5862">
      <w:pPr>
        <w:keepNext/>
        <w:tabs>
          <w:tab w:val="left" w:pos="567"/>
        </w:tabs>
        <w:suppressAutoHyphens/>
        <w:spacing w:after="0" w:line="240" w:lineRule="auto"/>
        <w:rPr>
          <w:rFonts w:ascii="Times New Roman" w:hAnsi="Times New Roman"/>
          <w:b/>
          <w:color w:val="000000"/>
        </w:rPr>
      </w:pPr>
      <w:r w:rsidRPr="002D3411">
        <w:rPr>
          <w:rFonts w:ascii="Times New Roman" w:hAnsi="Times New Roman"/>
          <w:b/>
          <w:color w:val="000000"/>
        </w:rPr>
        <w:t>Nėštumas ir žindymo laikotarpis</w:t>
      </w:r>
    </w:p>
    <w:p w14:paraId="7F7C5E2C" w14:textId="77777777"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Jeigu esate nėščia arba manote, kad galbūt esate nėščia, apie tai nedelsdama pasakykite gydytojui.</w:t>
      </w:r>
    </w:p>
    <w:p w14:paraId="6135AC0D" w14:textId="748FE447"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Nėštumo laikotarpiu </w:t>
      </w:r>
      <w:proofErr w:type="spellStart"/>
      <w:r w:rsidR="00C32EC1" w:rsidRPr="002D3411">
        <w:rPr>
          <w:rFonts w:ascii="Times New Roman" w:hAnsi="Times New Roman"/>
          <w:color w:val="000000"/>
        </w:rPr>
        <w:t>Dasatinib</w:t>
      </w:r>
      <w:proofErr w:type="spellEnd"/>
      <w:r w:rsidR="00C32EC1"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00C32EC1" w:rsidRPr="002D3411">
        <w:rPr>
          <w:rFonts w:ascii="Times New Roman" w:hAnsi="Times New Roman"/>
          <w:color w:val="000000"/>
        </w:rPr>
        <w:t xml:space="preserve"> </w:t>
      </w:r>
      <w:r w:rsidRPr="002D3411">
        <w:rPr>
          <w:rFonts w:ascii="Times New Roman" w:hAnsi="Times New Roman"/>
          <w:color w:val="000000"/>
        </w:rPr>
        <w:t>varto</w:t>
      </w:r>
      <w:r w:rsidR="00D02523" w:rsidRPr="002D3411">
        <w:rPr>
          <w:rFonts w:ascii="Times New Roman" w:hAnsi="Times New Roman"/>
          <w:color w:val="000000"/>
        </w:rPr>
        <w:t>ti negalima</w:t>
      </w:r>
      <w:r w:rsidRPr="002D3411">
        <w:rPr>
          <w:rFonts w:ascii="Times New Roman" w:hAnsi="Times New Roman"/>
          <w:color w:val="000000"/>
        </w:rPr>
        <w:t xml:space="preserve">, išskyrus neabejotinai būtinus atvejus. Jūsų gydytojas aptars su Jumis </w:t>
      </w:r>
      <w:proofErr w:type="spellStart"/>
      <w:r w:rsidR="00C32EC1" w:rsidRPr="002D3411">
        <w:rPr>
          <w:rFonts w:ascii="Times New Roman" w:hAnsi="Times New Roman"/>
          <w:color w:val="000000"/>
        </w:rPr>
        <w:t>Dasatinib</w:t>
      </w:r>
      <w:proofErr w:type="spellEnd"/>
      <w:r w:rsidR="00C32EC1"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00C32EC1" w:rsidRPr="002D3411">
        <w:rPr>
          <w:rFonts w:ascii="Times New Roman" w:hAnsi="Times New Roman"/>
          <w:color w:val="000000"/>
        </w:rPr>
        <w:t xml:space="preserve"> </w:t>
      </w:r>
      <w:r w:rsidRPr="002D3411">
        <w:rPr>
          <w:rFonts w:ascii="Times New Roman" w:hAnsi="Times New Roman"/>
          <w:color w:val="000000"/>
        </w:rPr>
        <w:t>vartojimo nėštumo metu galimą riziką.</w:t>
      </w:r>
    </w:p>
    <w:p w14:paraId="6316687B" w14:textId="77777777" w:rsidR="00D02523" w:rsidRPr="002D3411" w:rsidRDefault="00D02523" w:rsidP="003320D4">
      <w:pPr>
        <w:tabs>
          <w:tab w:val="left" w:pos="567"/>
        </w:tabs>
        <w:suppressAutoHyphens/>
        <w:spacing w:after="0" w:line="240" w:lineRule="auto"/>
        <w:rPr>
          <w:rFonts w:ascii="Times New Roman" w:hAnsi="Times New Roman"/>
          <w:color w:val="000000"/>
        </w:rPr>
      </w:pPr>
    </w:p>
    <w:p w14:paraId="6DB316E4" w14:textId="77777777" w:rsidR="003320D4" w:rsidRPr="002D3411" w:rsidRDefault="00C32EC1" w:rsidP="003320D4">
      <w:pPr>
        <w:tabs>
          <w:tab w:val="left" w:pos="567"/>
        </w:tabs>
        <w:suppressAutoHyphens/>
        <w:spacing w:after="0" w:line="240" w:lineRule="auto"/>
        <w:rPr>
          <w:rFonts w:ascii="Times New Roman" w:hAnsi="Times New Roman"/>
          <w:color w:val="000000"/>
        </w:rPr>
      </w:pPr>
      <w:proofErr w:type="spellStart"/>
      <w:r w:rsidRPr="002D3411">
        <w:rPr>
          <w:rFonts w:ascii="Times New Roman" w:hAnsi="Times New Roman"/>
          <w:color w:val="000000"/>
        </w:rPr>
        <w:lastRenderedPageBreak/>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Pr="002D3411">
        <w:rPr>
          <w:rFonts w:ascii="Times New Roman" w:hAnsi="Times New Roman"/>
          <w:color w:val="000000"/>
        </w:rPr>
        <w:t xml:space="preserve"> </w:t>
      </w:r>
      <w:r w:rsidR="003320D4" w:rsidRPr="002D3411">
        <w:rPr>
          <w:rFonts w:ascii="Times New Roman" w:hAnsi="Times New Roman"/>
          <w:color w:val="000000"/>
        </w:rPr>
        <w:t>vartojantiems vyrams ir moterims patariama gydymo metu taikyti veiksmingą kontracepciją.</w:t>
      </w:r>
    </w:p>
    <w:p w14:paraId="0A820B5D"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39FA9CDE" w14:textId="77777777"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Jeigu žindote kūdikį, apie tai pasakykite gydytojui. Žindymą turite nutraukti, kol vartojate </w:t>
      </w:r>
      <w:proofErr w:type="spellStart"/>
      <w:r w:rsidR="00A913F8" w:rsidRPr="002D3411">
        <w:rPr>
          <w:rFonts w:ascii="Times New Roman" w:hAnsi="Times New Roman"/>
          <w:color w:val="000000"/>
        </w:rPr>
        <w:t>Dasatinib</w:t>
      </w:r>
      <w:proofErr w:type="spellEnd"/>
      <w:r w:rsidR="00A913F8" w:rsidRPr="002D3411">
        <w:rPr>
          <w:rFonts w:ascii="Times New Roman" w:hAnsi="Times New Roman"/>
          <w:color w:val="000000"/>
        </w:rPr>
        <w:t xml:space="preserve"> </w:t>
      </w:r>
      <w:proofErr w:type="spellStart"/>
      <w:r w:rsidR="00A913F8" w:rsidRPr="002D3411">
        <w:rPr>
          <w:rFonts w:ascii="Times New Roman" w:hAnsi="Times New Roman"/>
          <w:color w:val="000000"/>
        </w:rPr>
        <w:t>Zentiva</w:t>
      </w:r>
      <w:proofErr w:type="spellEnd"/>
      <w:r w:rsidRPr="002D3411">
        <w:rPr>
          <w:rFonts w:ascii="Times New Roman" w:hAnsi="Times New Roman"/>
          <w:color w:val="000000"/>
        </w:rPr>
        <w:t>.</w:t>
      </w:r>
    </w:p>
    <w:p w14:paraId="5E60BF52"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4098A25A" w14:textId="77777777" w:rsidR="003320D4" w:rsidRPr="002D3411" w:rsidRDefault="003320D4"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Vairavimas ir mechanizmų valdymas</w:t>
      </w:r>
    </w:p>
    <w:p w14:paraId="3A99304F" w14:textId="77777777" w:rsidR="003320D4" w:rsidRPr="002D3411" w:rsidRDefault="003320D4" w:rsidP="003320D4">
      <w:pPr>
        <w:tabs>
          <w:tab w:val="left" w:pos="567"/>
        </w:tabs>
        <w:suppressAutoHyphens/>
        <w:spacing w:after="0" w:line="240" w:lineRule="auto"/>
        <w:rPr>
          <w:rFonts w:ascii="Times New Roman" w:hAnsi="Times New Roman"/>
          <w:b/>
          <w:color w:val="000000"/>
        </w:rPr>
      </w:pPr>
      <w:r w:rsidRPr="002D3411">
        <w:rPr>
          <w:rFonts w:ascii="Times New Roman" w:hAnsi="Times New Roman"/>
          <w:color w:val="000000"/>
        </w:rPr>
        <w:t xml:space="preserve">Jeigu pasireiškia šalutinis poveikis, toks, kaip svaigulys ar matomo vaizdo ryškumo sumažėjimas, vairuoti ar valdyti mechanizmus reikia ypač atsargiai. </w:t>
      </w:r>
    </w:p>
    <w:p w14:paraId="21DF29D5" w14:textId="77777777" w:rsidR="003320D4" w:rsidRPr="002D3411" w:rsidRDefault="003320D4" w:rsidP="003320D4">
      <w:pPr>
        <w:tabs>
          <w:tab w:val="left" w:pos="567"/>
        </w:tabs>
        <w:suppressAutoHyphens/>
        <w:spacing w:after="0" w:line="240" w:lineRule="auto"/>
        <w:rPr>
          <w:rFonts w:ascii="Times New Roman" w:hAnsi="Times New Roman"/>
          <w:b/>
          <w:color w:val="000000"/>
        </w:rPr>
      </w:pPr>
    </w:p>
    <w:p w14:paraId="09548FC6" w14:textId="77777777" w:rsidR="003320D4" w:rsidRPr="002D3411" w:rsidRDefault="003320D4" w:rsidP="00DC5862">
      <w:pPr>
        <w:keepNext/>
        <w:tabs>
          <w:tab w:val="left" w:pos="567"/>
        </w:tabs>
        <w:suppressAutoHyphens/>
        <w:spacing w:after="0" w:line="240" w:lineRule="auto"/>
        <w:rPr>
          <w:rFonts w:ascii="Times New Roman" w:hAnsi="Times New Roman"/>
          <w:b/>
          <w:color w:val="000000"/>
        </w:rPr>
      </w:pP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00C32EC1" w:rsidRPr="002D3411">
        <w:rPr>
          <w:rFonts w:ascii="Times New Roman" w:hAnsi="Times New Roman"/>
          <w:b/>
          <w:color w:val="000000"/>
        </w:rPr>
        <w:t>Zentiva</w:t>
      </w:r>
      <w:proofErr w:type="spellEnd"/>
      <w:r w:rsidR="00A913F8" w:rsidRPr="002D3411">
        <w:rPr>
          <w:rFonts w:ascii="Times New Roman" w:hAnsi="Times New Roman"/>
          <w:b/>
          <w:color w:val="000000"/>
        </w:rPr>
        <w:t xml:space="preserve"> </w:t>
      </w:r>
      <w:bookmarkStart w:id="9" w:name="_Hlk62395585"/>
      <w:r w:rsidRPr="002D3411">
        <w:rPr>
          <w:rFonts w:ascii="Times New Roman" w:hAnsi="Times New Roman"/>
          <w:b/>
          <w:color w:val="000000"/>
        </w:rPr>
        <w:t xml:space="preserve">sudėtyje yra laktozės ir natrio </w:t>
      </w:r>
    </w:p>
    <w:p w14:paraId="0C1C45AC" w14:textId="77777777" w:rsidR="003320D4" w:rsidRPr="002D3411" w:rsidRDefault="003320D4" w:rsidP="003320D4">
      <w:pPr>
        <w:tabs>
          <w:tab w:val="left" w:pos="567"/>
        </w:tabs>
        <w:suppressAutoHyphens/>
        <w:spacing w:after="0" w:line="240" w:lineRule="auto"/>
        <w:rPr>
          <w:rFonts w:ascii="Times New Roman" w:hAnsi="Times New Roman"/>
          <w:b/>
          <w:color w:val="000000"/>
        </w:rPr>
      </w:pPr>
      <w:r w:rsidRPr="002D3411">
        <w:rPr>
          <w:rFonts w:ascii="Times New Roman" w:hAnsi="Times New Roman"/>
          <w:color w:val="000000"/>
        </w:rPr>
        <w:t>Jeigu gydytojas Jums yra sakęs, kad netoleruojate kokių nors angliavandenių, kreipkitės į jį prieš pradėdami vartoti šį vaistą.</w:t>
      </w:r>
    </w:p>
    <w:p w14:paraId="33A98771"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09BDB71F" w14:textId="77777777"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Šio vaisto dozėje yra mažiau kaip 1 </w:t>
      </w:r>
      <w:proofErr w:type="spellStart"/>
      <w:r w:rsidRPr="002D3411">
        <w:rPr>
          <w:rFonts w:ascii="Times New Roman" w:hAnsi="Times New Roman"/>
          <w:color w:val="000000"/>
        </w:rPr>
        <w:t>mmol</w:t>
      </w:r>
      <w:proofErr w:type="spellEnd"/>
      <w:r w:rsidRPr="002D3411">
        <w:rPr>
          <w:rFonts w:ascii="Times New Roman" w:hAnsi="Times New Roman"/>
          <w:color w:val="000000"/>
        </w:rPr>
        <w:t xml:space="preserve"> (23 mg) natrio, </w:t>
      </w:r>
      <w:proofErr w:type="spellStart"/>
      <w:r w:rsidRPr="002D3411">
        <w:rPr>
          <w:rFonts w:ascii="Times New Roman" w:hAnsi="Times New Roman"/>
          <w:color w:val="000000"/>
        </w:rPr>
        <w:t>t.y</w:t>
      </w:r>
      <w:proofErr w:type="spellEnd"/>
      <w:r w:rsidRPr="002D3411">
        <w:rPr>
          <w:rFonts w:ascii="Times New Roman" w:hAnsi="Times New Roman"/>
          <w:color w:val="000000"/>
        </w:rPr>
        <w:t>. jis beveik neturi reikšmės.</w:t>
      </w:r>
    </w:p>
    <w:bookmarkEnd w:id="9"/>
    <w:p w14:paraId="4E26D529"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42CC68E0"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36E03131" w14:textId="77777777" w:rsidR="003320D4" w:rsidRPr="002D3411" w:rsidRDefault="003320D4"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3.</w:t>
      </w:r>
      <w:r w:rsidRPr="002D3411">
        <w:rPr>
          <w:rFonts w:ascii="Times New Roman" w:hAnsi="Times New Roman"/>
          <w:b/>
          <w:color w:val="000000"/>
        </w:rPr>
        <w:tab/>
        <w:t xml:space="preserve">Kaip vartoti  </w:t>
      </w: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00A913F8" w:rsidRPr="002D3411">
        <w:rPr>
          <w:rFonts w:ascii="Times New Roman" w:hAnsi="Times New Roman"/>
          <w:b/>
          <w:color w:val="000000"/>
        </w:rPr>
        <w:t>Zentiva</w:t>
      </w:r>
      <w:proofErr w:type="spellEnd"/>
    </w:p>
    <w:p w14:paraId="51CBFA25" w14:textId="77777777" w:rsidR="003320D4" w:rsidRPr="002D3411" w:rsidRDefault="003320D4" w:rsidP="00DC5862">
      <w:pPr>
        <w:keepNext/>
        <w:tabs>
          <w:tab w:val="left" w:pos="567"/>
        </w:tabs>
        <w:suppressAutoHyphens/>
        <w:spacing w:after="0" w:line="240" w:lineRule="auto"/>
        <w:rPr>
          <w:rFonts w:ascii="Times New Roman" w:hAnsi="Times New Roman"/>
          <w:color w:val="000000"/>
        </w:rPr>
      </w:pPr>
    </w:p>
    <w:p w14:paraId="19483303" w14:textId="77777777" w:rsidR="003320D4" w:rsidRPr="002D3411" w:rsidRDefault="003320D4" w:rsidP="003320D4">
      <w:pPr>
        <w:tabs>
          <w:tab w:val="left" w:pos="567"/>
        </w:tabs>
        <w:suppressAutoHyphens/>
        <w:spacing w:after="0" w:line="240" w:lineRule="auto"/>
        <w:rPr>
          <w:rFonts w:ascii="Times New Roman" w:hAnsi="Times New Roman"/>
          <w:b/>
          <w:color w:val="000000"/>
        </w:rPr>
      </w:pP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00A913F8" w:rsidRPr="002D3411">
        <w:rPr>
          <w:rFonts w:ascii="Times New Roman" w:hAnsi="Times New Roman"/>
          <w:color w:val="000000"/>
        </w:rPr>
        <w:t xml:space="preserve"> </w:t>
      </w:r>
      <w:r w:rsidRPr="002D3411">
        <w:rPr>
          <w:rFonts w:ascii="Times New Roman" w:hAnsi="Times New Roman"/>
          <w:color w:val="000000"/>
        </w:rPr>
        <w:t xml:space="preserve">gali skirti tik gydytojas, turintis leukemijos gydymo patirties. Visada vartokite šį vaistą tiksliai kaip nurodė gydytojas. Jeigu abejojate, kreipkitės į gydytoją arba vaistininką. </w:t>
      </w: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00C32EC1" w:rsidRPr="002D3411">
        <w:rPr>
          <w:rFonts w:ascii="Times New Roman" w:hAnsi="Times New Roman"/>
          <w:color w:val="000000"/>
        </w:rPr>
        <w:t>Zentiva</w:t>
      </w:r>
      <w:proofErr w:type="spellEnd"/>
      <w:r w:rsidR="00A913F8" w:rsidRPr="002D3411">
        <w:rPr>
          <w:rFonts w:ascii="Times New Roman" w:hAnsi="Times New Roman"/>
          <w:color w:val="000000"/>
        </w:rPr>
        <w:t xml:space="preserve"> </w:t>
      </w:r>
      <w:r w:rsidRPr="002D3411">
        <w:rPr>
          <w:rFonts w:ascii="Times New Roman" w:hAnsi="Times New Roman"/>
          <w:color w:val="000000"/>
        </w:rPr>
        <w:t>yra skirtas suaugusiems pacientams ir vaikams nuo 1 metų amžiaus.</w:t>
      </w:r>
    </w:p>
    <w:p w14:paraId="01D9BE34" w14:textId="77777777" w:rsidR="003320D4" w:rsidRPr="002D3411" w:rsidRDefault="003320D4" w:rsidP="003320D4">
      <w:pPr>
        <w:tabs>
          <w:tab w:val="left" w:pos="567"/>
        </w:tabs>
        <w:suppressAutoHyphens/>
        <w:spacing w:after="0" w:line="240" w:lineRule="auto"/>
        <w:rPr>
          <w:rFonts w:ascii="Times New Roman" w:hAnsi="Times New Roman"/>
          <w:b/>
          <w:color w:val="000000"/>
        </w:rPr>
      </w:pPr>
    </w:p>
    <w:p w14:paraId="196288A4" w14:textId="4F3574FF"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Rekomenduojama pradinė dozė lėtinės fazės lėtine </w:t>
      </w:r>
      <w:r w:rsidR="00952E27" w:rsidRPr="002D3411">
        <w:rPr>
          <w:rFonts w:ascii="Times New Roman" w:hAnsi="Times New Roman"/>
          <w:color w:val="000000"/>
        </w:rPr>
        <w:t>LML</w:t>
      </w:r>
      <w:r w:rsidRPr="002D3411">
        <w:rPr>
          <w:rFonts w:ascii="Times New Roman" w:hAnsi="Times New Roman"/>
          <w:color w:val="000000"/>
        </w:rPr>
        <w:t xml:space="preserve"> sergantiems </w:t>
      </w:r>
      <w:r w:rsidRPr="00975CA4">
        <w:rPr>
          <w:rFonts w:ascii="Times New Roman" w:eastAsia="SimSun" w:hAnsi="Times New Roman" w:cs="Times New Roman"/>
          <w:color w:val="000000"/>
          <w:lang w:eastAsia="ar-SA"/>
        </w:rPr>
        <w:t xml:space="preserve">suaugusiems </w:t>
      </w:r>
      <w:r w:rsidRPr="002D3411">
        <w:rPr>
          <w:rFonts w:ascii="Times New Roman" w:hAnsi="Times New Roman"/>
          <w:color w:val="000000"/>
        </w:rPr>
        <w:t>pacientams yra 100</w:t>
      </w:r>
      <w:r w:rsidR="004638E7" w:rsidRPr="002D3411">
        <w:rPr>
          <w:rFonts w:ascii="Times New Roman" w:hAnsi="Times New Roman"/>
          <w:color w:val="000000"/>
        </w:rPr>
        <w:t> </w:t>
      </w:r>
      <w:r w:rsidRPr="002D3411">
        <w:rPr>
          <w:rFonts w:ascii="Times New Roman" w:hAnsi="Times New Roman"/>
          <w:color w:val="000000"/>
        </w:rPr>
        <w:t>mg 1 kartą per parą.</w:t>
      </w:r>
    </w:p>
    <w:p w14:paraId="7420B473"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25B78B74" w14:textId="50D6488E"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Rekomenduojama pradinė dozė </w:t>
      </w:r>
      <w:r w:rsidR="00952E27" w:rsidRPr="002D3411">
        <w:rPr>
          <w:rFonts w:ascii="Times New Roman" w:hAnsi="Times New Roman"/>
          <w:color w:val="000000"/>
        </w:rPr>
        <w:t>LML</w:t>
      </w:r>
      <w:r w:rsidRPr="002D3411">
        <w:rPr>
          <w:rFonts w:ascii="Times New Roman" w:hAnsi="Times New Roman"/>
          <w:color w:val="000000"/>
        </w:rPr>
        <w:t xml:space="preserve">, kai yra akceleracijos fazė ar </w:t>
      </w:r>
      <w:proofErr w:type="spellStart"/>
      <w:r w:rsidRPr="002D3411">
        <w:rPr>
          <w:rFonts w:ascii="Times New Roman" w:hAnsi="Times New Roman"/>
          <w:color w:val="000000"/>
        </w:rPr>
        <w:t>blastų</w:t>
      </w:r>
      <w:proofErr w:type="spellEnd"/>
      <w:r w:rsidRPr="002D3411">
        <w:rPr>
          <w:rFonts w:ascii="Times New Roman" w:hAnsi="Times New Roman"/>
          <w:color w:val="000000"/>
        </w:rPr>
        <w:t xml:space="preserve"> krizė, arba </w:t>
      </w:r>
      <w:proofErr w:type="spellStart"/>
      <w:r w:rsidR="00952E27" w:rsidRPr="002D3411">
        <w:rPr>
          <w:rFonts w:ascii="Times New Roman" w:hAnsi="Times New Roman"/>
          <w:color w:val="000000"/>
        </w:rPr>
        <w:t>Ph</w:t>
      </w:r>
      <w:proofErr w:type="spellEnd"/>
      <w:r w:rsidR="00952E27" w:rsidRPr="002D3411">
        <w:rPr>
          <w:rFonts w:ascii="Times New Roman" w:hAnsi="Times New Roman"/>
          <w:color w:val="000000"/>
        </w:rPr>
        <w:t>+ ŪLL</w:t>
      </w:r>
      <w:r w:rsidRPr="002D3411">
        <w:rPr>
          <w:rFonts w:ascii="Times New Roman" w:hAnsi="Times New Roman"/>
          <w:color w:val="000000"/>
        </w:rPr>
        <w:t xml:space="preserve"> sergantiems </w:t>
      </w:r>
      <w:r w:rsidRPr="00975CA4">
        <w:rPr>
          <w:rFonts w:ascii="Times New Roman" w:eastAsia="SimSun" w:hAnsi="Times New Roman" w:cs="Times New Roman"/>
          <w:color w:val="000000"/>
          <w:lang w:eastAsia="ar-SA"/>
        </w:rPr>
        <w:t xml:space="preserve">suaugusiems </w:t>
      </w:r>
      <w:r w:rsidRPr="002D3411">
        <w:rPr>
          <w:rFonts w:ascii="Times New Roman" w:hAnsi="Times New Roman"/>
          <w:color w:val="000000"/>
        </w:rPr>
        <w:t>pacientams yra 140</w:t>
      </w:r>
      <w:r w:rsidR="004638E7" w:rsidRPr="002D3411">
        <w:rPr>
          <w:rFonts w:ascii="Times New Roman" w:hAnsi="Times New Roman"/>
          <w:color w:val="000000"/>
        </w:rPr>
        <w:t> </w:t>
      </w:r>
      <w:r w:rsidRPr="002D3411">
        <w:rPr>
          <w:rFonts w:ascii="Times New Roman" w:hAnsi="Times New Roman"/>
          <w:color w:val="000000"/>
        </w:rPr>
        <w:t>mg 1 kartą per parą.</w:t>
      </w:r>
    </w:p>
    <w:p w14:paraId="0D6D955E" w14:textId="77777777" w:rsidR="003320D4" w:rsidRPr="002D3411" w:rsidRDefault="003320D4" w:rsidP="003320D4">
      <w:pPr>
        <w:tabs>
          <w:tab w:val="left" w:pos="567"/>
        </w:tabs>
        <w:suppressAutoHyphens/>
        <w:spacing w:after="0" w:line="240" w:lineRule="auto"/>
        <w:rPr>
          <w:rFonts w:ascii="Times New Roman" w:hAnsi="Times New Roman"/>
          <w:color w:val="000000"/>
        </w:rPr>
      </w:pPr>
    </w:p>
    <w:p w14:paraId="400801C7" w14:textId="6D7EAD5C" w:rsidR="003320D4" w:rsidRPr="002D3411" w:rsidRDefault="003320D4" w:rsidP="003320D4">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Vaikams, sergantiems lėtinės fazės LML arba </w:t>
      </w:r>
      <w:proofErr w:type="spellStart"/>
      <w:r w:rsidRPr="002D3411">
        <w:rPr>
          <w:rFonts w:ascii="Times New Roman" w:hAnsi="Times New Roman"/>
          <w:color w:val="000000"/>
        </w:rPr>
        <w:t>Ph</w:t>
      </w:r>
      <w:proofErr w:type="spellEnd"/>
      <w:r w:rsidRPr="002D3411">
        <w:rPr>
          <w:rFonts w:ascii="Times New Roman" w:hAnsi="Times New Roman"/>
          <w:color w:val="000000"/>
        </w:rPr>
        <w:t xml:space="preserve">+ ŪLL, dozuojama pagal kūno svorį. </w:t>
      </w:r>
      <w:proofErr w:type="spellStart"/>
      <w:r w:rsidRPr="00975CA4">
        <w:rPr>
          <w:rFonts w:ascii="Times New Roman" w:eastAsia="SimSun" w:hAnsi="Times New Roman" w:cs="Times New Roman"/>
          <w:color w:val="000000"/>
          <w:lang w:eastAsia="ar-SA"/>
        </w:rPr>
        <w:t>Da</w:t>
      </w:r>
      <w:r w:rsidR="00952E27" w:rsidRPr="00975CA4">
        <w:rPr>
          <w:rFonts w:ascii="Times New Roman" w:eastAsia="SimSun" w:hAnsi="Times New Roman" w:cs="Times New Roman"/>
          <w:color w:val="000000"/>
          <w:lang w:eastAsia="ar-SA"/>
        </w:rPr>
        <w:t>z</w:t>
      </w:r>
      <w:r w:rsidRPr="00975CA4">
        <w:rPr>
          <w:rFonts w:ascii="Times New Roman" w:eastAsia="SimSun" w:hAnsi="Times New Roman" w:cs="Times New Roman"/>
          <w:color w:val="000000"/>
          <w:lang w:eastAsia="ar-SA"/>
        </w:rPr>
        <w:t>anitib</w:t>
      </w:r>
      <w:r w:rsidR="00952E27" w:rsidRPr="00975CA4">
        <w:rPr>
          <w:rFonts w:ascii="Times New Roman" w:eastAsia="SimSun" w:hAnsi="Times New Roman" w:cs="Times New Roman"/>
          <w:color w:val="000000"/>
          <w:lang w:eastAsia="ar-SA"/>
        </w:rPr>
        <w:t>as</w:t>
      </w:r>
      <w:proofErr w:type="spellEnd"/>
      <w:r w:rsidRPr="00975CA4">
        <w:rPr>
          <w:rFonts w:ascii="Times New Roman" w:eastAsia="SimSun" w:hAnsi="Times New Roman" w:cs="Times New Roman"/>
          <w:color w:val="000000"/>
          <w:lang w:eastAsia="ar-SA"/>
        </w:rPr>
        <w:t xml:space="preserve"> </w:t>
      </w:r>
      <w:r w:rsidR="00952E27" w:rsidRPr="00975CA4">
        <w:rPr>
          <w:rFonts w:ascii="Times New Roman" w:eastAsia="SimSun" w:hAnsi="Times New Roman" w:cs="Times New Roman"/>
          <w:color w:val="000000"/>
          <w:lang w:eastAsia="ar-SA"/>
        </w:rPr>
        <w:t>(</w:t>
      </w:r>
      <w:r w:rsidR="00952E27" w:rsidRPr="002D3411">
        <w:rPr>
          <w:rFonts w:ascii="Times New Roman" w:hAnsi="Times New Roman"/>
          <w:color w:val="000000"/>
        </w:rPr>
        <w:t xml:space="preserve">tabletės arba milteliai geriamajai suspensijai) </w:t>
      </w:r>
      <w:r w:rsidRPr="00975CA4">
        <w:rPr>
          <w:rFonts w:ascii="Times New Roman" w:eastAsia="SimSun" w:hAnsi="Times New Roman" w:cs="Times New Roman"/>
          <w:color w:val="000000"/>
          <w:lang w:eastAsia="ar-SA"/>
        </w:rPr>
        <w:t>vartojamas</w:t>
      </w:r>
      <w:r w:rsidRPr="002D3411">
        <w:rPr>
          <w:rFonts w:ascii="Times New Roman" w:hAnsi="Times New Roman"/>
          <w:color w:val="000000"/>
        </w:rPr>
        <w:t xml:space="preserve"> per burną 1 kartą per parą. Mažiau kaip 10</w:t>
      </w:r>
      <w:r w:rsidR="004638E7" w:rsidRPr="002D3411">
        <w:rPr>
          <w:rFonts w:ascii="Times New Roman" w:hAnsi="Times New Roman"/>
          <w:color w:val="000000"/>
        </w:rPr>
        <w:t> </w:t>
      </w:r>
      <w:r w:rsidRPr="002D3411">
        <w:rPr>
          <w:rFonts w:ascii="Times New Roman" w:hAnsi="Times New Roman"/>
          <w:color w:val="000000"/>
        </w:rPr>
        <w:t xml:space="preserve">kg sergantiems pacientams </w:t>
      </w:r>
      <w:proofErr w:type="spellStart"/>
      <w:r w:rsidR="00952E27" w:rsidRPr="002D3411">
        <w:rPr>
          <w:rFonts w:ascii="Times New Roman" w:hAnsi="Times New Roman"/>
          <w:color w:val="000000"/>
        </w:rPr>
        <w:t>d</w:t>
      </w:r>
      <w:r w:rsidRPr="00975CA4">
        <w:rPr>
          <w:rFonts w:ascii="Times New Roman" w:eastAsia="SimSun" w:hAnsi="Times New Roman" w:cs="Times New Roman"/>
          <w:color w:val="000000"/>
          <w:lang w:eastAsia="ar-SA"/>
        </w:rPr>
        <w:t>a</w:t>
      </w:r>
      <w:r w:rsidR="00952E27" w:rsidRPr="00975CA4">
        <w:rPr>
          <w:rFonts w:ascii="Times New Roman" w:eastAsia="SimSun" w:hAnsi="Times New Roman" w:cs="Times New Roman"/>
          <w:color w:val="000000"/>
          <w:lang w:eastAsia="ar-SA"/>
        </w:rPr>
        <w:t>z</w:t>
      </w:r>
      <w:r w:rsidRPr="00975CA4">
        <w:rPr>
          <w:rFonts w:ascii="Times New Roman" w:eastAsia="SimSun" w:hAnsi="Times New Roman" w:cs="Times New Roman"/>
          <w:color w:val="000000"/>
          <w:lang w:eastAsia="ar-SA"/>
        </w:rPr>
        <w:t>anitib</w:t>
      </w:r>
      <w:r w:rsidR="00952E27" w:rsidRPr="00975CA4">
        <w:rPr>
          <w:rFonts w:ascii="Times New Roman" w:eastAsia="SimSun" w:hAnsi="Times New Roman" w:cs="Times New Roman"/>
          <w:color w:val="000000"/>
          <w:lang w:eastAsia="ar-SA"/>
        </w:rPr>
        <w:t>o</w:t>
      </w:r>
      <w:proofErr w:type="spellEnd"/>
      <w:r w:rsidR="00A913F8" w:rsidRPr="00975CA4">
        <w:rPr>
          <w:rFonts w:ascii="Times New Roman" w:eastAsia="SimSun" w:hAnsi="Times New Roman" w:cs="Times New Roman"/>
          <w:color w:val="000000"/>
          <w:lang w:eastAsia="ar-SA"/>
        </w:rPr>
        <w:t xml:space="preserve"> </w:t>
      </w:r>
      <w:r w:rsidRPr="002D3411">
        <w:rPr>
          <w:rFonts w:ascii="Times New Roman" w:hAnsi="Times New Roman"/>
          <w:color w:val="000000"/>
        </w:rPr>
        <w:t>tabletės nerekomenduojamos. Mažiau kaip 10</w:t>
      </w:r>
      <w:r w:rsidR="004638E7" w:rsidRPr="002D3411">
        <w:rPr>
          <w:rFonts w:ascii="Times New Roman" w:hAnsi="Times New Roman"/>
          <w:color w:val="000000"/>
        </w:rPr>
        <w:t> </w:t>
      </w:r>
      <w:r w:rsidRPr="002D3411">
        <w:rPr>
          <w:rFonts w:ascii="Times New Roman" w:hAnsi="Times New Roman"/>
          <w:color w:val="000000"/>
        </w:rPr>
        <w:t xml:space="preserve">kg sveriantiems arba tablečių negalintiems </w:t>
      </w:r>
      <w:r w:rsidRPr="00975CA4">
        <w:rPr>
          <w:rFonts w:ascii="Times New Roman" w:eastAsia="SimSun" w:hAnsi="Times New Roman" w:cs="Times New Roman"/>
          <w:color w:val="000000"/>
          <w:lang w:eastAsia="ar-SA"/>
        </w:rPr>
        <w:t>nu</w:t>
      </w:r>
      <w:r w:rsidRPr="002D3411">
        <w:rPr>
          <w:rFonts w:ascii="Times New Roman" w:hAnsi="Times New Roman"/>
          <w:color w:val="000000"/>
        </w:rPr>
        <w:t xml:space="preserve">ryti pacientams gali būti tinkami milteliai geriamajai suspensijai. Dozė gali </w:t>
      </w:r>
      <w:r w:rsidRPr="00975CA4">
        <w:rPr>
          <w:rFonts w:ascii="Times New Roman" w:eastAsia="SimSun" w:hAnsi="Times New Roman" w:cs="Times New Roman"/>
          <w:color w:val="000000"/>
          <w:lang w:eastAsia="ar-SA"/>
        </w:rPr>
        <w:t xml:space="preserve">pakisti, jeigu keičiamos </w:t>
      </w:r>
      <w:r w:rsidRPr="002D3411">
        <w:rPr>
          <w:rFonts w:ascii="Times New Roman" w:hAnsi="Times New Roman"/>
          <w:color w:val="000000"/>
        </w:rPr>
        <w:t>farmacinės formos  (</w:t>
      </w:r>
      <w:proofErr w:type="spellStart"/>
      <w:r w:rsidRPr="002D3411">
        <w:rPr>
          <w:rFonts w:ascii="Times New Roman" w:hAnsi="Times New Roman"/>
          <w:color w:val="000000"/>
        </w:rPr>
        <w:t>t.y</w:t>
      </w:r>
      <w:proofErr w:type="spellEnd"/>
      <w:r w:rsidRPr="002D3411">
        <w:rPr>
          <w:rFonts w:ascii="Times New Roman" w:hAnsi="Times New Roman"/>
          <w:color w:val="000000"/>
        </w:rPr>
        <w:t xml:space="preserve">. </w:t>
      </w:r>
      <w:r w:rsidRPr="00975CA4">
        <w:rPr>
          <w:rFonts w:ascii="Times New Roman" w:eastAsia="SimSun" w:hAnsi="Times New Roman" w:cs="Times New Roman"/>
          <w:color w:val="000000"/>
          <w:lang w:eastAsia="ar-SA"/>
        </w:rPr>
        <w:t>tabletės ir</w:t>
      </w:r>
      <w:r w:rsidRPr="002D3411">
        <w:rPr>
          <w:rFonts w:ascii="Times New Roman" w:hAnsi="Times New Roman"/>
          <w:color w:val="000000"/>
        </w:rPr>
        <w:t xml:space="preserve"> </w:t>
      </w:r>
      <w:r w:rsidRPr="00975CA4">
        <w:rPr>
          <w:rFonts w:ascii="Times New Roman" w:eastAsia="SimSun" w:hAnsi="Times New Roman" w:cs="Times New Roman"/>
          <w:color w:val="000000"/>
          <w:lang w:eastAsia="ar-SA"/>
        </w:rPr>
        <w:t>milteliai</w:t>
      </w:r>
      <w:r w:rsidRPr="002D3411">
        <w:rPr>
          <w:rFonts w:ascii="Times New Roman" w:hAnsi="Times New Roman"/>
          <w:color w:val="000000"/>
        </w:rPr>
        <w:t xml:space="preserve"> </w:t>
      </w:r>
      <w:r w:rsidRPr="00975CA4">
        <w:rPr>
          <w:rFonts w:ascii="Times New Roman" w:eastAsia="SimSun" w:hAnsi="Times New Roman" w:cs="Times New Roman"/>
          <w:color w:val="000000"/>
          <w:lang w:eastAsia="ar-SA"/>
        </w:rPr>
        <w:t>geriamajai</w:t>
      </w:r>
      <w:r w:rsidRPr="002D3411">
        <w:rPr>
          <w:rFonts w:ascii="Times New Roman" w:hAnsi="Times New Roman"/>
          <w:color w:val="000000"/>
        </w:rPr>
        <w:t xml:space="preserve"> suspensijai), taigi Jūs </w:t>
      </w:r>
      <w:r w:rsidRPr="00975CA4">
        <w:rPr>
          <w:rFonts w:ascii="Times New Roman" w:eastAsia="SimSun" w:hAnsi="Times New Roman" w:cs="Times New Roman"/>
          <w:color w:val="000000"/>
          <w:lang w:eastAsia="ar-SA"/>
        </w:rPr>
        <w:t>turite nekeisti</w:t>
      </w:r>
      <w:r w:rsidRPr="002D3411">
        <w:rPr>
          <w:rFonts w:ascii="Times New Roman" w:hAnsi="Times New Roman"/>
          <w:color w:val="000000"/>
        </w:rPr>
        <w:t xml:space="preserve"> vienos formos </w:t>
      </w:r>
      <w:r w:rsidRPr="00975CA4">
        <w:rPr>
          <w:rFonts w:ascii="Times New Roman" w:eastAsia="SimSun" w:hAnsi="Times New Roman" w:cs="Times New Roman"/>
          <w:color w:val="000000"/>
          <w:lang w:eastAsia="ar-SA"/>
        </w:rPr>
        <w:t>kita</w:t>
      </w:r>
      <w:r w:rsidRPr="002D3411">
        <w:rPr>
          <w:rFonts w:ascii="Times New Roman" w:hAnsi="Times New Roman"/>
          <w:color w:val="000000"/>
        </w:rPr>
        <w:t>.</w:t>
      </w:r>
      <w:r w:rsidR="00952E27" w:rsidRPr="002D3411">
        <w:rPr>
          <w:rFonts w:ascii="Times New Roman" w:hAnsi="Times New Roman"/>
          <w:color w:val="000000"/>
        </w:rPr>
        <w:t xml:space="preserve"> </w:t>
      </w:r>
      <w:r w:rsidRPr="002D3411">
        <w:rPr>
          <w:rFonts w:ascii="Times New Roman" w:hAnsi="Times New Roman"/>
          <w:color w:val="000000"/>
        </w:rPr>
        <w:t xml:space="preserve">Tinkamą farmacinę formą ir dozę parinks </w:t>
      </w:r>
      <w:r w:rsidRPr="00975CA4">
        <w:rPr>
          <w:rFonts w:ascii="Times New Roman" w:eastAsia="SimSun" w:hAnsi="Times New Roman" w:cs="Times New Roman"/>
          <w:color w:val="000000"/>
          <w:lang w:eastAsia="ar-SA"/>
        </w:rPr>
        <w:t xml:space="preserve">Jūsų </w:t>
      </w:r>
      <w:r w:rsidRPr="002D3411">
        <w:rPr>
          <w:rFonts w:ascii="Times New Roman" w:hAnsi="Times New Roman"/>
          <w:color w:val="000000"/>
        </w:rPr>
        <w:t xml:space="preserve">gydytojas, atsižvelgdamas į kūno svorį, šalutinį poveikį ir </w:t>
      </w:r>
      <w:r w:rsidRPr="00975CA4">
        <w:rPr>
          <w:rFonts w:ascii="Times New Roman" w:eastAsia="SimSun" w:hAnsi="Times New Roman" w:cs="Times New Roman"/>
          <w:color w:val="000000"/>
          <w:lang w:eastAsia="ar-SA"/>
        </w:rPr>
        <w:t>atsaką</w:t>
      </w:r>
      <w:r w:rsidRPr="002D3411">
        <w:rPr>
          <w:rFonts w:ascii="Times New Roman" w:hAnsi="Times New Roman"/>
          <w:color w:val="000000"/>
        </w:rPr>
        <w:t xml:space="preserve"> į gydymą. </w:t>
      </w:r>
      <w:proofErr w:type="spellStart"/>
      <w:r w:rsidRPr="00975CA4">
        <w:rPr>
          <w:rFonts w:ascii="Times New Roman" w:eastAsia="SimSun" w:hAnsi="Times New Roman" w:cs="Times New Roman"/>
          <w:color w:val="000000"/>
          <w:lang w:eastAsia="ar-SA"/>
        </w:rPr>
        <w:t>Dasatinib</w:t>
      </w:r>
      <w:proofErr w:type="spellEnd"/>
      <w:r w:rsidRPr="00975CA4">
        <w:rPr>
          <w:rFonts w:ascii="Times New Roman" w:eastAsia="SimSun" w:hAnsi="Times New Roman" w:cs="Times New Roman"/>
          <w:color w:val="000000"/>
          <w:lang w:eastAsia="ar-SA"/>
        </w:rPr>
        <w:t xml:space="preserve"> </w:t>
      </w:r>
      <w:proofErr w:type="spellStart"/>
      <w:r w:rsidR="00C32EC1" w:rsidRPr="00975CA4">
        <w:rPr>
          <w:rFonts w:ascii="Times New Roman" w:eastAsia="SimSun" w:hAnsi="Times New Roman" w:cs="Times New Roman"/>
          <w:color w:val="000000"/>
          <w:lang w:eastAsia="ar-SA"/>
        </w:rPr>
        <w:t>Zentiva</w:t>
      </w:r>
      <w:proofErr w:type="spellEnd"/>
      <w:r w:rsidR="00952E27" w:rsidRPr="00975CA4">
        <w:rPr>
          <w:rFonts w:ascii="Times New Roman" w:eastAsia="SimSun" w:hAnsi="Times New Roman" w:cs="Times New Roman"/>
          <w:color w:val="000000"/>
          <w:lang w:eastAsia="ar-SA"/>
        </w:rPr>
        <w:t xml:space="preserve"> </w:t>
      </w:r>
      <w:r w:rsidRPr="002D3411">
        <w:rPr>
          <w:rFonts w:ascii="Times New Roman" w:hAnsi="Times New Roman"/>
          <w:color w:val="000000"/>
        </w:rPr>
        <w:t xml:space="preserve">pradinė dozė vaikams </w:t>
      </w:r>
      <w:r w:rsidRPr="00975CA4">
        <w:rPr>
          <w:rFonts w:ascii="Times New Roman" w:eastAsia="SimSun" w:hAnsi="Times New Roman" w:cs="Times New Roman"/>
          <w:color w:val="000000"/>
          <w:lang w:eastAsia="ar-SA"/>
        </w:rPr>
        <w:t>apskaičiuojama</w:t>
      </w:r>
      <w:r w:rsidRPr="002D3411">
        <w:rPr>
          <w:rFonts w:ascii="Times New Roman" w:hAnsi="Times New Roman"/>
          <w:color w:val="000000"/>
        </w:rPr>
        <w:t xml:space="preserve"> pagal kūno svorį kaip nurodyta žemiau: </w:t>
      </w:r>
    </w:p>
    <w:p w14:paraId="0E3905D7" w14:textId="77777777" w:rsidR="00952E27" w:rsidRPr="002D3411" w:rsidRDefault="00952E27" w:rsidP="003320D4">
      <w:pPr>
        <w:tabs>
          <w:tab w:val="left" w:pos="567"/>
        </w:tabs>
        <w:suppressAutoHyphens/>
        <w:spacing w:after="0" w:line="240" w:lineRule="auto"/>
        <w:rPr>
          <w:rFonts w:ascii="Times New Roman" w:hAnsi="Times New Roman"/>
          <w:color w:val="000000"/>
        </w:rPr>
      </w:pP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5"/>
      </w:tblGrid>
      <w:tr w:rsidR="00952E27" w:rsidRPr="00975CA4" w14:paraId="3A553058" w14:textId="77777777" w:rsidTr="00F26399">
        <w:trPr>
          <w:trHeight w:val="283"/>
          <w:jc w:val="center"/>
        </w:trPr>
        <w:tc>
          <w:tcPr>
            <w:tcW w:w="3119" w:type="dxa"/>
          </w:tcPr>
          <w:p w14:paraId="3CA1B4B7" w14:textId="77777777" w:rsidR="00952E27" w:rsidRPr="00975CA4" w:rsidRDefault="00952E27" w:rsidP="00F26399">
            <w:pPr>
              <w:spacing w:after="0"/>
              <w:rPr>
                <w:rFonts w:ascii="Times New Roman" w:hAnsi="Times New Roman" w:cs="Times New Roman"/>
                <w:b/>
                <w:bCs/>
              </w:rPr>
            </w:pPr>
            <w:r w:rsidRPr="00975CA4">
              <w:rPr>
                <w:rFonts w:ascii="Times New Roman" w:hAnsi="Times New Roman" w:cs="Times New Roman"/>
                <w:b/>
                <w:bCs/>
              </w:rPr>
              <w:t>Kūno svoris (kg)</w:t>
            </w:r>
            <w:r w:rsidRPr="00975CA4">
              <w:rPr>
                <w:rFonts w:ascii="Times New Roman" w:hAnsi="Times New Roman" w:cs="Times New Roman"/>
                <w:b/>
                <w:bCs/>
                <w:vertAlign w:val="superscript"/>
              </w:rPr>
              <w:t>a</w:t>
            </w:r>
          </w:p>
        </w:tc>
        <w:tc>
          <w:tcPr>
            <w:tcW w:w="1985" w:type="dxa"/>
          </w:tcPr>
          <w:p w14:paraId="229E9F62" w14:textId="77777777" w:rsidR="00952E27" w:rsidRPr="00975CA4" w:rsidRDefault="00952E27" w:rsidP="00F26399">
            <w:pPr>
              <w:spacing w:after="0"/>
              <w:ind w:right="176"/>
              <w:rPr>
                <w:rFonts w:ascii="Times New Roman" w:hAnsi="Times New Roman" w:cs="Times New Roman"/>
                <w:b/>
                <w:bCs/>
              </w:rPr>
            </w:pPr>
            <w:r w:rsidRPr="00975CA4">
              <w:rPr>
                <w:rFonts w:ascii="Times New Roman" w:hAnsi="Times New Roman" w:cs="Times New Roman"/>
                <w:b/>
                <w:bCs/>
              </w:rPr>
              <w:t>Paros dozė (mg)</w:t>
            </w:r>
          </w:p>
        </w:tc>
      </w:tr>
      <w:tr w:rsidR="00952E27" w:rsidRPr="00975CA4" w14:paraId="15E985EC" w14:textId="77777777" w:rsidTr="00F26399">
        <w:trPr>
          <w:trHeight w:val="283"/>
          <w:jc w:val="center"/>
        </w:trPr>
        <w:tc>
          <w:tcPr>
            <w:tcW w:w="3119" w:type="dxa"/>
          </w:tcPr>
          <w:p w14:paraId="712C6D38" w14:textId="2FCD8853" w:rsidR="00952E27" w:rsidRPr="00975CA4" w:rsidRDefault="00952E27" w:rsidP="004638E7">
            <w:pPr>
              <w:spacing w:after="0"/>
              <w:rPr>
                <w:rFonts w:ascii="Times New Roman" w:hAnsi="Times New Roman" w:cs="Times New Roman"/>
              </w:rPr>
            </w:pPr>
            <w:r w:rsidRPr="00975CA4">
              <w:rPr>
                <w:rFonts w:ascii="Times New Roman" w:hAnsi="Times New Roman" w:cs="Times New Roman"/>
              </w:rPr>
              <w:t>Nuo 10 iki mažiau kaip 20</w:t>
            </w:r>
            <w:r w:rsidR="004638E7" w:rsidRPr="00975CA4">
              <w:rPr>
                <w:rFonts w:ascii="Times New Roman" w:hAnsi="Times New Roman" w:cs="Times New Roman"/>
              </w:rPr>
              <w:t> </w:t>
            </w:r>
            <w:r w:rsidRPr="00975CA4">
              <w:rPr>
                <w:rFonts w:ascii="Times New Roman" w:hAnsi="Times New Roman" w:cs="Times New Roman"/>
              </w:rPr>
              <w:t>kg</w:t>
            </w:r>
          </w:p>
        </w:tc>
        <w:tc>
          <w:tcPr>
            <w:tcW w:w="1985" w:type="dxa"/>
          </w:tcPr>
          <w:p w14:paraId="5066E199" w14:textId="7AF3B330" w:rsidR="00952E27" w:rsidRPr="00975CA4" w:rsidRDefault="00952E27" w:rsidP="00F26399">
            <w:pPr>
              <w:spacing w:after="0"/>
              <w:ind w:right="176"/>
              <w:rPr>
                <w:rFonts w:ascii="Times New Roman" w:hAnsi="Times New Roman" w:cs="Times New Roman"/>
              </w:rPr>
            </w:pPr>
            <w:r w:rsidRPr="00975CA4">
              <w:rPr>
                <w:rFonts w:ascii="Times New Roman" w:hAnsi="Times New Roman" w:cs="Times New Roman"/>
              </w:rPr>
              <w:t>40</w:t>
            </w:r>
            <w:r w:rsidR="004638E7" w:rsidRPr="00975CA4">
              <w:rPr>
                <w:rFonts w:ascii="Times New Roman" w:hAnsi="Times New Roman" w:cs="Times New Roman"/>
              </w:rPr>
              <w:t> </w:t>
            </w:r>
            <w:r w:rsidRPr="00975CA4">
              <w:rPr>
                <w:rFonts w:ascii="Times New Roman" w:hAnsi="Times New Roman" w:cs="Times New Roman"/>
              </w:rPr>
              <w:t>mg</w:t>
            </w:r>
          </w:p>
        </w:tc>
      </w:tr>
      <w:tr w:rsidR="00952E27" w:rsidRPr="00975CA4" w14:paraId="2A2B75C4" w14:textId="77777777" w:rsidTr="00F26399">
        <w:trPr>
          <w:trHeight w:val="283"/>
          <w:jc w:val="center"/>
        </w:trPr>
        <w:tc>
          <w:tcPr>
            <w:tcW w:w="3119" w:type="dxa"/>
          </w:tcPr>
          <w:p w14:paraId="3AC37252" w14:textId="722E2CE0" w:rsidR="00952E27" w:rsidRPr="00975CA4" w:rsidRDefault="00952E27" w:rsidP="00F26399">
            <w:pPr>
              <w:spacing w:after="0"/>
              <w:rPr>
                <w:rFonts w:ascii="Times New Roman" w:hAnsi="Times New Roman" w:cs="Times New Roman"/>
              </w:rPr>
            </w:pPr>
            <w:r w:rsidRPr="00975CA4">
              <w:rPr>
                <w:rFonts w:ascii="Times New Roman" w:hAnsi="Times New Roman" w:cs="Times New Roman"/>
              </w:rPr>
              <w:t>Nuo 20 iki mažiau kaip 30</w:t>
            </w:r>
            <w:r w:rsidR="004638E7" w:rsidRPr="00975CA4">
              <w:rPr>
                <w:rFonts w:ascii="Times New Roman" w:hAnsi="Times New Roman" w:cs="Times New Roman"/>
              </w:rPr>
              <w:t> </w:t>
            </w:r>
            <w:r w:rsidRPr="00975CA4">
              <w:rPr>
                <w:rFonts w:ascii="Times New Roman" w:hAnsi="Times New Roman" w:cs="Times New Roman"/>
              </w:rPr>
              <w:t>kg</w:t>
            </w:r>
          </w:p>
        </w:tc>
        <w:tc>
          <w:tcPr>
            <w:tcW w:w="1985" w:type="dxa"/>
          </w:tcPr>
          <w:p w14:paraId="7705877B" w14:textId="707C71B4" w:rsidR="00952E27" w:rsidRPr="00975CA4" w:rsidRDefault="00952E27" w:rsidP="00F26399">
            <w:pPr>
              <w:spacing w:after="0"/>
              <w:ind w:right="176"/>
              <w:rPr>
                <w:rFonts w:ascii="Times New Roman" w:hAnsi="Times New Roman" w:cs="Times New Roman"/>
              </w:rPr>
            </w:pPr>
            <w:r w:rsidRPr="00975CA4">
              <w:rPr>
                <w:rFonts w:ascii="Times New Roman" w:hAnsi="Times New Roman" w:cs="Times New Roman"/>
              </w:rPr>
              <w:t>60</w:t>
            </w:r>
            <w:r w:rsidR="004638E7" w:rsidRPr="00975CA4">
              <w:rPr>
                <w:rFonts w:ascii="Times New Roman" w:hAnsi="Times New Roman" w:cs="Times New Roman"/>
              </w:rPr>
              <w:t> </w:t>
            </w:r>
            <w:r w:rsidRPr="00975CA4">
              <w:rPr>
                <w:rFonts w:ascii="Times New Roman" w:hAnsi="Times New Roman" w:cs="Times New Roman"/>
              </w:rPr>
              <w:t>mg</w:t>
            </w:r>
          </w:p>
        </w:tc>
      </w:tr>
      <w:tr w:rsidR="00952E27" w:rsidRPr="00975CA4" w14:paraId="04F3B9E3" w14:textId="77777777" w:rsidTr="00F26399">
        <w:trPr>
          <w:trHeight w:val="283"/>
          <w:jc w:val="center"/>
        </w:trPr>
        <w:tc>
          <w:tcPr>
            <w:tcW w:w="3119" w:type="dxa"/>
          </w:tcPr>
          <w:p w14:paraId="6051B23F" w14:textId="7122E89E" w:rsidR="00952E27" w:rsidRPr="00975CA4" w:rsidRDefault="00952E27" w:rsidP="00F26399">
            <w:pPr>
              <w:spacing w:after="0"/>
              <w:rPr>
                <w:rFonts w:ascii="Times New Roman" w:hAnsi="Times New Roman" w:cs="Times New Roman"/>
              </w:rPr>
            </w:pPr>
            <w:r w:rsidRPr="00975CA4">
              <w:rPr>
                <w:rFonts w:ascii="Times New Roman" w:hAnsi="Times New Roman" w:cs="Times New Roman"/>
              </w:rPr>
              <w:t>Nuo 30 iki mažiau kaip 45</w:t>
            </w:r>
            <w:r w:rsidR="004638E7" w:rsidRPr="00975CA4">
              <w:rPr>
                <w:rFonts w:ascii="Times New Roman" w:hAnsi="Times New Roman" w:cs="Times New Roman"/>
              </w:rPr>
              <w:t> </w:t>
            </w:r>
            <w:r w:rsidRPr="00975CA4">
              <w:rPr>
                <w:rFonts w:ascii="Times New Roman" w:hAnsi="Times New Roman" w:cs="Times New Roman"/>
              </w:rPr>
              <w:t>kg</w:t>
            </w:r>
          </w:p>
        </w:tc>
        <w:tc>
          <w:tcPr>
            <w:tcW w:w="1985" w:type="dxa"/>
          </w:tcPr>
          <w:p w14:paraId="3930171E" w14:textId="6342FAB2" w:rsidR="00952E27" w:rsidRPr="00975CA4" w:rsidRDefault="00952E27" w:rsidP="00F26399">
            <w:pPr>
              <w:spacing w:after="0"/>
              <w:ind w:right="176"/>
              <w:rPr>
                <w:rFonts w:ascii="Times New Roman" w:hAnsi="Times New Roman" w:cs="Times New Roman"/>
              </w:rPr>
            </w:pPr>
            <w:r w:rsidRPr="00975CA4">
              <w:rPr>
                <w:rFonts w:ascii="Times New Roman" w:hAnsi="Times New Roman" w:cs="Times New Roman"/>
              </w:rPr>
              <w:t>70</w:t>
            </w:r>
            <w:r w:rsidR="004638E7" w:rsidRPr="00975CA4">
              <w:rPr>
                <w:rFonts w:ascii="Times New Roman" w:hAnsi="Times New Roman" w:cs="Times New Roman"/>
              </w:rPr>
              <w:t> </w:t>
            </w:r>
            <w:r w:rsidRPr="00975CA4">
              <w:rPr>
                <w:rFonts w:ascii="Times New Roman" w:hAnsi="Times New Roman" w:cs="Times New Roman"/>
              </w:rPr>
              <w:t>mg</w:t>
            </w:r>
          </w:p>
        </w:tc>
      </w:tr>
      <w:tr w:rsidR="00952E27" w:rsidRPr="00975CA4" w14:paraId="629416EB" w14:textId="77777777" w:rsidTr="00F26399">
        <w:trPr>
          <w:trHeight w:val="283"/>
          <w:jc w:val="center"/>
        </w:trPr>
        <w:tc>
          <w:tcPr>
            <w:tcW w:w="3119" w:type="dxa"/>
          </w:tcPr>
          <w:p w14:paraId="152EE0BB" w14:textId="1B985DE7" w:rsidR="00952E27" w:rsidRPr="00975CA4" w:rsidRDefault="00952E27" w:rsidP="00F26399">
            <w:pPr>
              <w:spacing w:after="0"/>
              <w:rPr>
                <w:rFonts w:ascii="Times New Roman" w:hAnsi="Times New Roman" w:cs="Times New Roman"/>
              </w:rPr>
            </w:pPr>
            <w:r w:rsidRPr="00975CA4">
              <w:rPr>
                <w:rFonts w:ascii="Times New Roman" w:hAnsi="Times New Roman" w:cs="Times New Roman"/>
              </w:rPr>
              <w:t>Ne mažiau kaip 45</w:t>
            </w:r>
            <w:r w:rsidR="004638E7" w:rsidRPr="00975CA4">
              <w:rPr>
                <w:rFonts w:ascii="Times New Roman" w:hAnsi="Times New Roman" w:cs="Times New Roman"/>
              </w:rPr>
              <w:t> </w:t>
            </w:r>
            <w:r w:rsidRPr="00975CA4">
              <w:rPr>
                <w:rFonts w:ascii="Times New Roman" w:hAnsi="Times New Roman" w:cs="Times New Roman"/>
              </w:rPr>
              <w:t>kg</w:t>
            </w:r>
          </w:p>
        </w:tc>
        <w:tc>
          <w:tcPr>
            <w:tcW w:w="1985" w:type="dxa"/>
          </w:tcPr>
          <w:p w14:paraId="4270204E" w14:textId="3F571539" w:rsidR="00952E27" w:rsidRPr="00975CA4" w:rsidRDefault="00952E27" w:rsidP="004638E7">
            <w:pPr>
              <w:spacing w:after="0"/>
              <w:ind w:right="176"/>
              <w:rPr>
                <w:rFonts w:ascii="Times New Roman" w:hAnsi="Times New Roman" w:cs="Times New Roman"/>
              </w:rPr>
            </w:pPr>
            <w:r w:rsidRPr="00975CA4">
              <w:rPr>
                <w:rFonts w:ascii="Times New Roman" w:hAnsi="Times New Roman" w:cs="Times New Roman"/>
              </w:rPr>
              <w:t>100</w:t>
            </w:r>
            <w:r w:rsidR="004638E7" w:rsidRPr="00975CA4">
              <w:rPr>
                <w:rFonts w:ascii="Times New Roman" w:hAnsi="Times New Roman" w:cs="Times New Roman"/>
              </w:rPr>
              <w:t> </w:t>
            </w:r>
            <w:r w:rsidRPr="00975CA4">
              <w:rPr>
                <w:rFonts w:ascii="Times New Roman" w:hAnsi="Times New Roman" w:cs="Times New Roman"/>
              </w:rPr>
              <w:t>mg</w:t>
            </w:r>
          </w:p>
        </w:tc>
      </w:tr>
    </w:tbl>
    <w:p w14:paraId="66401341" w14:textId="0AD60F4A" w:rsidR="00952E27" w:rsidRPr="002D3411" w:rsidRDefault="00952E27" w:rsidP="00952E27">
      <w:pPr>
        <w:tabs>
          <w:tab w:val="left" w:pos="567"/>
        </w:tabs>
        <w:suppressAutoHyphens/>
        <w:spacing w:after="0" w:line="240" w:lineRule="auto"/>
        <w:rPr>
          <w:rFonts w:ascii="Times New Roman" w:hAnsi="Times New Roman"/>
          <w:color w:val="000000"/>
        </w:rPr>
      </w:pPr>
      <w:r w:rsidRPr="00975CA4">
        <w:rPr>
          <w:rFonts w:ascii="Times New Roman" w:eastAsia="SimSun" w:hAnsi="Times New Roman" w:cs="Times New Roman"/>
          <w:color w:val="000000"/>
          <w:vertAlign w:val="superscript"/>
          <w:lang w:eastAsia="ar-SA"/>
        </w:rPr>
        <w:t>a</w:t>
      </w:r>
      <w:r w:rsidRPr="00975CA4">
        <w:rPr>
          <w:rFonts w:ascii="Times New Roman" w:eastAsia="SimSun" w:hAnsi="Times New Roman" w:cs="Times New Roman"/>
          <w:color w:val="000000"/>
          <w:lang w:eastAsia="ar-SA"/>
        </w:rPr>
        <w:t xml:space="preserve"> </w:t>
      </w:r>
      <w:r w:rsidRPr="002D3411">
        <w:rPr>
          <w:rFonts w:ascii="Times New Roman" w:hAnsi="Times New Roman"/>
          <w:color w:val="000000"/>
        </w:rPr>
        <w:t>Tabletės nerekomenduojamos pacientams, sveriantiems mažiau kaip 10</w:t>
      </w:r>
      <w:r w:rsidR="004638E7" w:rsidRPr="002D3411">
        <w:rPr>
          <w:rFonts w:ascii="Times New Roman" w:hAnsi="Times New Roman"/>
          <w:color w:val="000000"/>
        </w:rPr>
        <w:t> </w:t>
      </w:r>
      <w:r w:rsidRPr="002D3411">
        <w:rPr>
          <w:rFonts w:ascii="Times New Roman" w:hAnsi="Times New Roman"/>
          <w:color w:val="000000"/>
        </w:rPr>
        <w:t>kg; šiems pacientams gali būti tinkami milteliai geriamajai suspensijai.</w:t>
      </w:r>
    </w:p>
    <w:p w14:paraId="432F954E"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137FB25F" w14:textId="77777777" w:rsidR="00952E27" w:rsidRPr="002D3411" w:rsidRDefault="00952E27" w:rsidP="00952E27">
      <w:pPr>
        <w:tabs>
          <w:tab w:val="left" w:pos="567"/>
        </w:tabs>
        <w:suppressAutoHyphens/>
        <w:spacing w:after="0" w:line="240" w:lineRule="auto"/>
        <w:rPr>
          <w:rFonts w:ascii="Times New Roman" w:hAnsi="Times New Roman"/>
          <w:b/>
          <w:color w:val="000000"/>
        </w:rPr>
      </w:pPr>
      <w:proofErr w:type="spellStart"/>
      <w:r w:rsidRPr="00975CA4">
        <w:rPr>
          <w:rFonts w:ascii="Times New Roman" w:eastAsia="SimSun" w:hAnsi="Times New Roman" w:cs="Times New Roman"/>
          <w:color w:val="000000"/>
          <w:lang w:eastAsia="ar-SA"/>
        </w:rPr>
        <w:t>Dasanitib</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Zentiva</w:t>
      </w:r>
      <w:proofErr w:type="spellEnd"/>
      <w:r w:rsidRPr="00975CA4">
        <w:rPr>
          <w:rFonts w:ascii="Times New Roman" w:eastAsia="SimSun" w:hAnsi="Times New Roman" w:cs="Times New Roman"/>
          <w:color w:val="000000"/>
          <w:lang w:eastAsia="ar-SA"/>
        </w:rPr>
        <w:t xml:space="preserve"> </w:t>
      </w:r>
      <w:r w:rsidRPr="002D3411">
        <w:rPr>
          <w:rFonts w:ascii="Times New Roman" w:hAnsi="Times New Roman"/>
          <w:color w:val="000000"/>
        </w:rPr>
        <w:t xml:space="preserve">dozavimo jaunesniems kaip 1 metų vaikams rekomendacijų nėra. </w:t>
      </w:r>
    </w:p>
    <w:p w14:paraId="24EAA29B"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586CE1B5" w14:textId="77777777" w:rsidR="00952E27" w:rsidRPr="002D3411" w:rsidRDefault="00952E27"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Pagal tai, kaip Jūsų organizmas reaguos į gydymą, Jūsų gydytojas gali rekomenduoti vartoti didesnę dozę, mažesnę dozę ar net laikinai nutraukti gydymą. Didesnėms ar mažesnėms dozėms Jums gali reikėti vartoti skirtingo stiprumo tablečių </w:t>
      </w:r>
      <w:r w:rsidRPr="00975CA4">
        <w:rPr>
          <w:rFonts w:ascii="Times New Roman" w:eastAsia="SimSun" w:hAnsi="Times New Roman" w:cs="Times New Roman"/>
          <w:color w:val="000000"/>
          <w:lang w:eastAsia="ar-SA"/>
        </w:rPr>
        <w:t>derinius</w:t>
      </w:r>
      <w:r w:rsidRPr="002D3411">
        <w:rPr>
          <w:rFonts w:ascii="Times New Roman" w:hAnsi="Times New Roman"/>
          <w:color w:val="000000"/>
        </w:rPr>
        <w:t>.</w:t>
      </w:r>
    </w:p>
    <w:p w14:paraId="641BCEF1"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19DEECDD" w14:textId="77777777" w:rsidR="00952E27" w:rsidRPr="002D3411" w:rsidRDefault="00952E27"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lastRenderedPageBreak/>
        <w:t xml:space="preserve">Kaip vartoti </w:t>
      </w: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Pr="002D3411">
        <w:rPr>
          <w:rFonts w:ascii="Times New Roman" w:hAnsi="Times New Roman"/>
          <w:b/>
          <w:color w:val="000000"/>
        </w:rPr>
        <w:t>Zentiva</w:t>
      </w:r>
      <w:proofErr w:type="spellEnd"/>
    </w:p>
    <w:p w14:paraId="183190B0" w14:textId="77777777" w:rsidR="00952E27" w:rsidRPr="002D3411" w:rsidRDefault="00952E27" w:rsidP="00952E27">
      <w:pPr>
        <w:tabs>
          <w:tab w:val="left" w:pos="567"/>
        </w:tabs>
        <w:suppressAutoHyphens/>
        <w:spacing w:after="0" w:line="240" w:lineRule="auto"/>
        <w:rPr>
          <w:rFonts w:ascii="Times New Roman" w:hAnsi="Times New Roman"/>
          <w:b/>
          <w:color w:val="000000"/>
        </w:rPr>
      </w:pPr>
      <w:r w:rsidRPr="002D3411">
        <w:rPr>
          <w:rFonts w:ascii="Times New Roman" w:hAnsi="Times New Roman"/>
          <w:color w:val="000000"/>
        </w:rPr>
        <w:t xml:space="preserve">Tabletes gerkite kasdien tuo pačiu laiku. Tabletes nurykite nepažeistas. Jų negalima </w:t>
      </w:r>
      <w:r w:rsidRPr="00975CA4">
        <w:rPr>
          <w:rFonts w:ascii="Times New Roman" w:eastAsia="SimSun" w:hAnsi="Times New Roman" w:cs="Times New Roman"/>
          <w:color w:val="000000"/>
          <w:lang w:eastAsia="ar-SA"/>
        </w:rPr>
        <w:t>traiškyti</w:t>
      </w:r>
      <w:r w:rsidRPr="002D3411">
        <w:rPr>
          <w:rFonts w:ascii="Times New Roman" w:hAnsi="Times New Roman"/>
          <w:color w:val="000000"/>
        </w:rPr>
        <w:t xml:space="preserve">, </w:t>
      </w:r>
      <w:r w:rsidRPr="00975CA4">
        <w:rPr>
          <w:rFonts w:ascii="Times New Roman" w:eastAsia="SimSun" w:hAnsi="Times New Roman" w:cs="Times New Roman"/>
          <w:color w:val="000000"/>
          <w:lang w:eastAsia="ar-SA"/>
        </w:rPr>
        <w:t>pjaustyti ar kramtyti</w:t>
      </w:r>
      <w:r w:rsidRPr="002D3411">
        <w:rPr>
          <w:rFonts w:ascii="Times New Roman" w:hAnsi="Times New Roman"/>
          <w:color w:val="000000"/>
        </w:rPr>
        <w:t xml:space="preserve">. Negerkite susmulkintų tablečių. Jūs negalite būti tikri, kad gausite reikiamą dozę, jei tabletę traiškysite, pjaustysite ar kramtysite. </w:t>
      </w:r>
      <w:proofErr w:type="spellStart"/>
      <w:r w:rsidRPr="00975CA4">
        <w:rPr>
          <w:rFonts w:ascii="Times New Roman" w:eastAsia="SimSun" w:hAnsi="Times New Roman" w:cs="Times New Roman"/>
          <w:color w:val="000000"/>
          <w:lang w:eastAsia="ar-SA"/>
        </w:rPr>
        <w:t>Dasatinib</w:t>
      </w:r>
      <w:proofErr w:type="spellEnd"/>
      <w:r w:rsidRPr="00975CA4">
        <w:rPr>
          <w:rFonts w:ascii="Times New Roman" w:eastAsia="SimSun" w:hAnsi="Times New Roman" w:cs="Times New Roman"/>
          <w:color w:val="000000"/>
          <w:lang w:eastAsia="ar-SA"/>
        </w:rPr>
        <w:t xml:space="preserve"> </w:t>
      </w:r>
      <w:proofErr w:type="spellStart"/>
      <w:r w:rsidRPr="00975CA4">
        <w:rPr>
          <w:rFonts w:ascii="Times New Roman" w:eastAsia="SimSun" w:hAnsi="Times New Roman" w:cs="Times New Roman"/>
          <w:color w:val="000000"/>
          <w:lang w:eastAsia="ar-SA"/>
        </w:rPr>
        <w:t>Zentiva</w:t>
      </w:r>
      <w:proofErr w:type="spellEnd"/>
      <w:r w:rsidRPr="00975CA4">
        <w:rPr>
          <w:rFonts w:ascii="Times New Roman" w:eastAsia="SimSun" w:hAnsi="Times New Roman" w:cs="Times New Roman"/>
          <w:color w:val="000000"/>
          <w:lang w:eastAsia="ar-SA"/>
        </w:rPr>
        <w:t xml:space="preserve"> </w:t>
      </w:r>
      <w:r w:rsidRPr="002D3411">
        <w:rPr>
          <w:rFonts w:ascii="Times New Roman" w:hAnsi="Times New Roman"/>
          <w:color w:val="000000"/>
        </w:rPr>
        <w:t>galima gerti valgant arba kitu laiku.</w:t>
      </w:r>
    </w:p>
    <w:p w14:paraId="40885E78" w14:textId="77777777" w:rsidR="00952E27" w:rsidRPr="002D3411" w:rsidRDefault="00952E27" w:rsidP="00952E27">
      <w:pPr>
        <w:tabs>
          <w:tab w:val="left" w:pos="567"/>
        </w:tabs>
        <w:suppressAutoHyphens/>
        <w:spacing w:after="0" w:line="240" w:lineRule="auto"/>
        <w:rPr>
          <w:rFonts w:ascii="Times New Roman" w:hAnsi="Times New Roman"/>
          <w:b/>
          <w:color w:val="000000"/>
        </w:rPr>
      </w:pPr>
    </w:p>
    <w:p w14:paraId="4A9CF3B7" w14:textId="78B474FC" w:rsidR="00952E27" w:rsidRPr="002D3411" w:rsidRDefault="00952E27"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 xml:space="preserve">Specialios atsargumo priemonės dirbant su </w:t>
      </w: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Pr="002D3411">
        <w:rPr>
          <w:rFonts w:ascii="Times New Roman" w:hAnsi="Times New Roman"/>
          <w:b/>
          <w:color w:val="000000"/>
        </w:rPr>
        <w:t>Zentiva</w:t>
      </w:r>
      <w:proofErr w:type="spellEnd"/>
    </w:p>
    <w:p w14:paraId="023E9052" w14:textId="51154CB8" w:rsidR="00952E27" w:rsidRPr="002D3411" w:rsidRDefault="004638E7" w:rsidP="00952E27">
      <w:pPr>
        <w:tabs>
          <w:tab w:val="left" w:pos="567"/>
        </w:tabs>
        <w:suppressAutoHyphens/>
        <w:spacing w:after="0" w:line="240" w:lineRule="auto"/>
        <w:rPr>
          <w:rFonts w:ascii="Times New Roman" w:hAnsi="Times New Roman"/>
          <w:b/>
          <w:color w:val="000000"/>
        </w:rPr>
      </w:pPr>
      <w:r w:rsidRPr="002D3411">
        <w:rPr>
          <w:rFonts w:ascii="Times New Roman" w:hAnsi="Times New Roman"/>
          <w:color w:val="000000"/>
        </w:rPr>
        <w:t xml:space="preserve">Mažai </w:t>
      </w:r>
      <w:r w:rsidR="00952E27" w:rsidRPr="002D3411">
        <w:rPr>
          <w:rFonts w:ascii="Times New Roman" w:hAnsi="Times New Roman"/>
          <w:color w:val="000000"/>
        </w:rPr>
        <w:t xml:space="preserve">tikėtina, kad </w:t>
      </w:r>
      <w:proofErr w:type="spellStart"/>
      <w:r w:rsidR="00952E27" w:rsidRPr="002D3411">
        <w:rPr>
          <w:rFonts w:ascii="Times New Roman" w:hAnsi="Times New Roman"/>
          <w:color w:val="000000"/>
        </w:rPr>
        <w:t>Dasatinib</w:t>
      </w:r>
      <w:proofErr w:type="spellEnd"/>
      <w:r w:rsidR="00952E27" w:rsidRPr="002D3411">
        <w:rPr>
          <w:rFonts w:ascii="Times New Roman" w:hAnsi="Times New Roman"/>
          <w:color w:val="000000"/>
        </w:rPr>
        <w:t xml:space="preserve"> </w:t>
      </w:r>
      <w:proofErr w:type="spellStart"/>
      <w:r w:rsidR="00952E27" w:rsidRPr="002D3411">
        <w:rPr>
          <w:rFonts w:ascii="Times New Roman" w:hAnsi="Times New Roman"/>
          <w:color w:val="000000"/>
        </w:rPr>
        <w:t>Zentiva</w:t>
      </w:r>
      <w:proofErr w:type="spellEnd"/>
      <w:r w:rsidR="00F26399" w:rsidRPr="002D3411">
        <w:rPr>
          <w:rFonts w:ascii="Times New Roman" w:hAnsi="Times New Roman"/>
          <w:color w:val="000000"/>
        </w:rPr>
        <w:t xml:space="preserve"> </w:t>
      </w:r>
      <w:r w:rsidR="00952E27" w:rsidRPr="002D3411">
        <w:rPr>
          <w:rFonts w:ascii="Times New Roman" w:hAnsi="Times New Roman"/>
          <w:color w:val="000000"/>
        </w:rPr>
        <w:t xml:space="preserve">tabletės sulūžtų, tačiau jei taip atsitiktų, tai tvarkant </w:t>
      </w:r>
      <w:proofErr w:type="spellStart"/>
      <w:r w:rsidR="00952E27" w:rsidRPr="002D3411">
        <w:rPr>
          <w:rFonts w:ascii="Times New Roman" w:hAnsi="Times New Roman"/>
          <w:color w:val="000000"/>
        </w:rPr>
        <w:t>Dasatinib</w:t>
      </w:r>
      <w:proofErr w:type="spellEnd"/>
      <w:r w:rsidR="00952E27" w:rsidRPr="002D3411">
        <w:rPr>
          <w:rFonts w:ascii="Times New Roman" w:hAnsi="Times New Roman"/>
          <w:color w:val="000000"/>
        </w:rPr>
        <w:t xml:space="preserve"> </w:t>
      </w:r>
      <w:proofErr w:type="spellStart"/>
      <w:r w:rsidR="00952E27" w:rsidRPr="002D3411">
        <w:rPr>
          <w:rFonts w:ascii="Times New Roman" w:hAnsi="Times New Roman"/>
          <w:color w:val="000000"/>
        </w:rPr>
        <w:t>Zentiva</w:t>
      </w:r>
      <w:proofErr w:type="spellEnd"/>
      <w:r w:rsidR="00F26399" w:rsidRPr="002D3411">
        <w:rPr>
          <w:rFonts w:ascii="Times New Roman" w:hAnsi="Times New Roman"/>
          <w:color w:val="000000"/>
        </w:rPr>
        <w:t xml:space="preserve"> </w:t>
      </w:r>
      <w:r w:rsidR="00952E27" w:rsidRPr="002D3411">
        <w:rPr>
          <w:rFonts w:ascii="Times New Roman" w:hAnsi="Times New Roman"/>
          <w:color w:val="000000"/>
        </w:rPr>
        <w:t>asmenys (išskyrus pacientą) turi mūvėti pirštines.</w:t>
      </w:r>
    </w:p>
    <w:p w14:paraId="35334F4A" w14:textId="77777777" w:rsidR="00952E27" w:rsidRPr="002D3411" w:rsidRDefault="00952E27" w:rsidP="00952E27">
      <w:pPr>
        <w:tabs>
          <w:tab w:val="left" w:pos="567"/>
        </w:tabs>
        <w:suppressAutoHyphens/>
        <w:spacing w:after="0" w:line="240" w:lineRule="auto"/>
        <w:rPr>
          <w:rFonts w:ascii="Times New Roman" w:hAnsi="Times New Roman"/>
          <w:b/>
          <w:color w:val="000000"/>
        </w:rPr>
      </w:pPr>
    </w:p>
    <w:p w14:paraId="0C7597E4" w14:textId="77777777" w:rsidR="00952E27" w:rsidRPr="002D3411" w:rsidRDefault="00952E27"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 xml:space="preserve">Kaip ilgai vartoti </w:t>
      </w: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00F26399" w:rsidRPr="002D3411">
        <w:rPr>
          <w:rFonts w:ascii="Times New Roman" w:hAnsi="Times New Roman"/>
          <w:b/>
          <w:color w:val="000000"/>
        </w:rPr>
        <w:t>Zentiva</w:t>
      </w:r>
      <w:proofErr w:type="spellEnd"/>
    </w:p>
    <w:p w14:paraId="1650AD51" w14:textId="77777777" w:rsidR="00952E27" w:rsidRPr="002D3411" w:rsidRDefault="00952E27" w:rsidP="00952E27">
      <w:pPr>
        <w:tabs>
          <w:tab w:val="left" w:pos="567"/>
        </w:tabs>
        <w:suppressAutoHyphens/>
        <w:spacing w:after="0" w:line="240" w:lineRule="auto"/>
        <w:rPr>
          <w:rFonts w:ascii="Times New Roman" w:hAnsi="Times New Roman"/>
          <w:b/>
          <w:color w:val="000000"/>
        </w:rPr>
      </w:pP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00F26399" w:rsidRPr="002D3411">
        <w:rPr>
          <w:rFonts w:ascii="Times New Roman" w:hAnsi="Times New Roman"/>
          <w:color w:val="000000"/>
        </w:rPr>
        <w:t xml:space="preserve"> </w:t>
      </w:r>
      <w:r w:rsidRPr="002D3411">
        <w:rPr>
          <w:rFonts w:ascii="Times New Roman" w:hAnsi="Times New Roman"/>
          <w:color w:val="000000"/>
        </w:rPr>
        <w:t xml:space="preserve">gerkite kasdien, kol gydytojas nurodys šio vaisto vartojimą baigti. </w:t>
      </w:r>
      <w:r w:rsidR="00F26399" w:rsidRPr="002D3411">
        <w:rPr>
          <w:rFonts w:ascii="Times New Roman" w:hAnsi="Times New Roman"/>
          <w:color w:val="000000"/>
        </w:rPr>
        <w:t>Būtinai vartokite</w:t>
      </w:r>
      <w:r w:rsidRPr="002D3411">
        <w:rPr>
          <w:rFonts w:ascii="Times New Roman" w:hAnsi="Times New Roman"/>
          <w:color w:val="000000"/>
        </w:rPr>
        <w:t xml:space="preserve"> </w:t>
      </w: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00F26399" w:rsidRPr="002D3411">
        <w:rPr>
          <w:rFonts w:ascii="Times New Roman" w:hAnsi="Times New Roman"/>
          <w:color w:val="000000"/>
        </w:rPr>
        <w:t xml:space="preserve"> </w:t>
      </w:r>
      <w:r w:rsidRPr="002D3411">
        <w:rPr>
          <w:rFonts w:ascii="Times New Roman" w:hAnsi="Times New Roman"/>
          <w:color w:val="000000"/>
        </w:rPr>
        <w:t>tiek laiko, kiek paskirta.</w:t>
      </w:r>
    </w:p>
    <w:p w14:paraId="3015CBB4" w14:textId="77777777" w:rsidR="00952E27" w:rsidRPr="002D3411" w:rsidRDefault="00952E27" w:rsidP="00952E27">
      <w:pPr>
        <w:tabs>
          <w:tab w:val="left" w:pos="567"/>
        </w:tabs>
        <w:suppressAutoHyphens/>
        <w:spacing w:after="0" w:line="240" w:lineRule="auto"/>
        <w:rPr>
          <w:rFonts w:ascii="Times New Roman" w:hAnsi="Times New Roman"/>
          <w:b/>
          <w:color w:val="000000"/>
        </w:rPr>
      </w:pPr>
    </w:p>
    <w:p w14:paraId="4F34729C" w14:textId="60DDBE00" w:rsidR="00952E27" w:rsidRPr="002D3411" w:rsidRDefault="00952E27"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 xml:space="preserve">Ką daryti pavartojus per didelę </w:t>
      </w: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Pr="002D3411">
        <w:rPr>
          <w:rFonts w:ascii="Times New Roman" w:hAnsi="Times New Roman"/>
          <w:b/>
          <w:color w:val="000000"/>
        </w:rPr>
        <w:t>Zentiva</w:t>
      </w:r>
      <w:proofErr w:type="spellEnd"/>
      <w:r w:rsidR="00F26399" w:rsidRPr="002D3411">
        <w:rPr>
          <w:rFonts w:ascii="Times New Roman" w:hAnsi="Times New Roman"/>
          <w:b/>
          <w:color w:val="000000"/>
        </w:rPr>
        <w:t xml:space="preserve"> </w:t>
      </w:r>
      <w:r w:rsidRPr="002D3411">
        <w:rPr>
          <w:rFonts w:ascii="Times New Roman" w:hAnsi="Times New Roman"/>
          <w:b/>
          <w:color w:val="000000"/>
        </w:rPr>
        <w:t>dozę</w:t>
      </w:r>
    </w:p>
    <w:p w14:paraId="2A1DA9AF" w14:textId="77777777" w:rsidR="00952E27" w:rsidRPr="002D3411" w:rsidRDefault="00952E27"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Netyčia išgėrę per daug tablečių, apie tai nedelsdami</w:t>
      </w:r>
      <w:r w:rsidRPr="002D3411">
        <w:rPr>
          <w:rFonts w:ascii="Times New Roman" w:hAnsi="Times New Roman"/>
          <w:b/>
          <w:color w:val="000000"/>
        </w:rPr>
        <w:t xml:space="preserve"> </w:t>
      </w:r>
      <w:r w:rsidRPr="002D3411">
        <w:rPr>
          <w:rFonts w:ascii="Times New Roman" w:hAnsi="Times New Roman"/>
          <w:color w:val="000000"/>
        </w:rPr>
        <w:t>pasakykite savo gydytojui. Jums gali prireikti medicininės pagalbos.</w:t>
      </w:r>
    </w:p>
    <w:p w14:paraId="4F035E56" w14:textId="77777777" w:rsidR="00F26399" w:rsidRPr="002D3411" w:rsidRDefault="00F26399" w:rsidP="00952E27">
      <w:pPr>
        <w:tabs>
          <w:tab w:val="left" w:pos="567"/>
        </w:tabs>
        <w:suppressAutoHyphens/>
        <w:spacing w:after="0" w:line="240" w:lineRule="auto"/>
        <w:rPr>
          <w:rFonts w:ascii="Times New Roman" w:hAnsi="Times New Roman"/>
          <w:b/>
          <w:color w:val="000000"/>
        </w:rPr>
      </w:pPr>
    </w:p>
    <w:p w14:paraId="4F46F92F" w14:textId="77777777" w:rsidR="00952E27" w:rsidRPr="002D3411" w:rsidRDefault="00952E27"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 xml:space="preserve">Pamiršus pavartoti </w:t>
      </w: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00F26399" w:rsidRPr="002D3411">
        <w:rPr>
          <w:rFonts w:ascii="Times New Roman" w:hAnsi="Times New Roman"/>
          <w:b/>
          <w:color w:val="000000"/>
        </w:rPr>
        <w:t>Zentiva</w:t>
      </w:r>
      <w:proofErr w:type="spellEnd"/>
    </w:p>
    <w:p w14:paraId="70D26826" w14:textId="77777777" w:rsidR="00952E27" w:rsidRPr="002D3411" w:rsidRDefault="00952E27"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Negalima vartoti dvigubos dozės norint kompensuoti praleistą dozę. Kitą dozę gerkite jai skirtu laiku.</w:t>
      </w:r>
    </w:p>
    <w:p w14:paraId="52F25F1B"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37377ED4" w14:textId="77777777" w:rsidR="00952E27" w:rsidRPr="002D3411" w:rsidRDefault="00952E27"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Jeigu kiltų daugiau klausimų dėl šio vaisto vartojimo, kreipkitės į gydytoją</w:t>
      </w:r>
      <w:r w:rsidR="00F26399" w:rsidRPr="002D3411">
        <w:rPr>
          <w:rFonts w:ascii="Times New Roman" w:hAnsi="Times New Roman"/>
          <w:color w:val="000000"/>
        </w:rPr>
        <w:t xml:space="preserve"> arba</w:t>
      </w:r>
      <w:r w:rsidRPr="002D3411">
        <w:rPr>
          <w:rFonts w:ascii="Times New Roman" w:hAnsi="Times New Roman"/>
          <w:color w:val="000000"/>
        </w:rPr>
        <w:t xml:space="preserve"> vaistininką.</w:t>
      </w:r>
    </w:p>
    <w:p w14:paraId="670953B2"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6BDCB4D8"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0D12B2DD" w14:textId="77777777" w:rsidR="00952E27" w:rsidRPr="002D3411" w:rsidRDefault="00952E27" w:rsidP="00DC5862">
      <w:pPr>
        <w:keepNext/>
        <w:suppressAutoHyphens/>
        <w:spacing w:after="0" w:line="240" w:lineRule="auto"/>
        <w:rPr>
          <w:rFonts w:ascii="Times New Roman" w:hAnsi="Times New Roman"/>
          <w:color w:val="000000"/>
        </w:rPr>
      </w:pPr>
      <w:r w:rsidRPr="002D3411">
        <w:rPr>
          <w:rFonts w:ascii="Times New Roman" w:hAnsi="Times New Roman"/>
          <w:b/>
          <w:color w:val="000000"/>
        </w:rPr>
        <w:t>4.</w:t>
      </w:r>
      <w:r w:rsidRPr="002D3411">
        <w:rPr>
          <w:rFonts w:ascii="Times New Roman" w:hAnsi="Times New Roman"/>
          <w:b/>
          <w:color w:val="000000"/>
        </w:rPr>
        <w:tab/>
        <w:t>Galimas šalutinis poveikis</w:t>
      </w:r>
    </w:p>
    <w:p w14:paraId="21648D72" w14:textId="77777777" w:rsidR="00952E27" w:rsidRPr="002D3411" w:rsidRDefault="00952E27" w:rsidP="00DC5862">
      <w:pPr>
        <w:keepNext/>
        <w:tabs>
          <w:tab w:val="left" w:pos="567"/>
        </w:tabs>
        <w:suppressAutoHyphens/>
        <w:spacing w:after="0" w:line="240" w:lineRule="auto"/>
        <w:rPr>
          <w:rFonts w:ascii="Times New Roman" w:hAnsi="Times New Roman"/>
          <w:color w:val="000000"/>
        </w:rPr>
      </w:pPr>
    </w:p>
    <w:p w14:paraId="29931AFE" w14:textId="77777777" w:rsidR="00952E27" w:rsidRPr="002D3411" w:rsidRDefault="00952E27"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 xml:space="preserve">Šis vaistas, kaip ir visi kiti, gali sukelti šalutinį poveikį, nors jis pasireiškia ne visiems žmonėms. </w:t>
      </w:r>
    </w:p>
    <w:p w14:paraId="0B7F4E2E"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2DE6EE43" w14:textId="77777777" w:rsidR="00952E27" w:rsidRPr="002D3411" w:rsidRDefault="00952E27"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Sunkų šalutinį poveikį gali rodyti:</w:t>
      </w:r>
    </w:p>
    <w:p w14:paraId="0F4F58FC" w14:textId="77777777" w:rsidR="00952E27" w:rsidRPr="002D3411" w:rsidRDefault="00952E27" w:rsidP="00F26399">
      <w:pPr>
        <w:numPr>
          <w:ilvl w:val="0"/>
          <w:numId w:val="29"/>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krūtinės skausmas, kvėpavimo pasunkėjimas, kosulys</w:t>
      </w:r>
      <w:r w:rsidR="00F26399" w:rsidRPr="002D3411">
        <w:rPr>
          <w:rFonts w:ascii="Times New Roman" w:hAnsi="Times New Roman"/>
          <w:color w:val="000000"/>
        </w:rPr>
        <w:t xml:space="preserve"> ir</w:t>
      </w:r>
      <w:r w:rsidRPr="002D3411">
        <w:rPr>
          <w:rFonts w:ascii="Times New Roman" w:hAnsi="Times New Roman"/>
          <w:color w:val="000000"/>
        </w:rPr>
        <w:t xml:space="preserve"> alpimas;</w:t>
      </w:r>
    </w:p>
    <w:p w14:paraId="72156A73" w14:textId="77777777" w:rsidR="00952E27" w:rsidRPr="002D3411" w:rsidRDefault="00952E27" w:rsidP="00F26399">
      <w:pPr>
        <w:numPr>
          <w:ilvl w:val="0"/>
          <w:numId w:val="29"/>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kraujavimas ar kraujosruvos dėl neaiškios priežasties (nesusižeidus);</w:t>
      </w:r>
    </w:p>
    <w:p w14:paraId="3AA1B2BE" w14:textId="77777777" w:rsidR="00952E27" w:rsidRPr="002D3411" w:rsidRDefault="00952E27" w:rsidP="00F26399">
      <w:pPr>
        <w:numPr>
          <w:ilvl w:val="0"/>
          <w:numId w:val="29"/>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kraujas vėmaluose, išmatose ar šlapime, arba juodos išmatos;</w:t>
      </w:r>
    </w:p>
    <w:p w14:paraId="6852EB54" w14:textId="77777777" w:rsidR="00952E27" w:rsidRPr="002D3411" w:rsidRDefault="00952E27" w:rsidP="00F26399">
      <w:pPr>
        <w:numPr>
          <w:ilvl w:val="0"/>
          <w:numId w:val="29"/>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infekcijos požymiai, pvz., karščiavimas</w:t>
      </w:r>
      <w:r w:rsidR="00F26399" w:rsidRPr="002D3411">
        <w:rPr>
          <w:rFonts w:ascii="Times New Roman" w:hAnsi="Times New Roman"/>
          <w:color w:val="000000"/>
        </w:rPr>
        <w:t xml:space="preserve">, </w:t>
      </w:r>
      <w:r w:rsidRPr="002D3411">
        <w:rPr>
          <w:rFonts w:ascii="Times New Roman" w:hAnsi="Times New Roman"/>
          <w:color w:val="000000"/>
        </w:rPr>
        <w:t>stiprus drebulys;</w:t>
      </w:r>
    </w:p>
    <w:p w14:paraId="501ADA38" w14:textId="77777777" w:rsidR="00952E27" w:rsidRPr="002D3411" w:rsidRDefault="00952E27" w:rsidP="00F26399">
      <w:pPr>
        <w:numPr>
          <w:ilvl w:val="0"/>
          <w:numId w:val="29"/>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 xml:space="preserve">karščiavimas, burnos ertmės arba gerklės skausmas, odos ir (arba) gleivinės </w:t>
      </w:r>
      <w:proofErr w:type="spellStart"/>
      <w:r w:rsidRPr="002D3411">
        <w:rPr>
          <w:rFonts w:ascii="Times New Roman" w:hAnsi="Times New Roman"/>
          <w:color w:val="000000"/>
        </w:rPr>
        <w:t>pūslėtumas</w:t>
      </w:r>
      <w:proofErr w:type="spellEnd"/>
      <w:r w:rsidRPr="002D3411">
        <w:rPr>
          <w:rFonts w:ascii="Times New Roman" w:hAnsi="Times New Roman"/>
          <w:color w:val="000000"/>
        </w:rPr>
        <w:t xml:space="preserve"> arba lupimasis.</w:t>
      </w:r>
    </w:p>
    <w:p w14:paraId="313274FB" w14:textId="77777777" w:rsidR="00952E27" w:rsidRPr="002D3411" w:rsidRDefault="00952E27" w:rsidP="00952E27">
      <w:pPr>
        <w:tabs>
          <w:tab w:val="left" w:pos="567"/>
        </w:tabs>
        <w:suppressAutoHyphens/>
        <w:spacing w:after="0" w:line="240" w:lineRule="auto"/>
        <w:rPr>
          <w:rFonts w:ascii="Times New Roman" w:hAnsi="Times New Roman"/>
          <w:b/>
          <w:color w:val="000000"/>
        </w:rPr>
      </w:pPr>
      <w:r w:rsidRPr="002D3411">
        <w:rPr>
          <w:rFonts w:ascii="Times New Roman" w:hAnsi="Times New Roman"/>
          <w:b/>
          <w:color w:val="000000"/>
        </w:rPr>
        <w:t>Nedelsdami kreipkitės į savo gydytoją,</w:t>
      </w:r>
      <w:r w:rsidRPr="002D3411">
        <w:rPr>
          <w:rFonts w:ascii="Times New Roman" w:hAnsi="Times New Roman"/>
          <w:color w:val="000000"/>
        </w:rPr>
        <w:t xml:space="preserve"> jeigu pastebite bet kurį minėtą sutrikimą.</w:t>
      </w:r>
    </w:p>
    <w:p w14:paraId="77BE8477" w14:textId="77777777" w:rsidR="00952E27" w:rsidRPr="002D3411" w:rsidRDefault="00952E27" w:rsidP="00952E27">
      <w:pPr>
        <w:tabs>
          <w:tab w:val="left" w:pos="567"/>
        </w:tabs>
        <w:suppressAutoHyphens/>
        <w:spacing w:after="0" w:line="240" w:lineRule="auto"/>
        <w:rPr>
          <w:rFonts w:ascii="Times New Roman" w:hAnsi="Times New Roman"/>
          <w:b/>
          <w:color w:val="000000"/>
        </w:rPr>
      </w:pPr>
    </w:p>
    <w:p w14:paraId="62ECCDC7" w14:textId="21B60E1A" w:rsidR="00952E27" w:rsidRPr="002D3411" w:rsidRDefault="00952E27" w:rsidP="00DC5862">
      <w:pPr>
        <w:keepNext/>
        <w:tabs>
          <w:tab w:val="left" w:pos="567"/>
        </w:tabs>
        <w:suppressAutoHyphens/>
        <w:spacing w:after="0" w:line="240" w:lineRule="auto"/>
        <w:rPr>
          <w:rFonts w:ascii="Times New Roman" w:hAnsi="Times New Roman"/>
          <w:b/>
          <w:color w:val="000000"/>
        </w:rPr>
      </w:pPr>
      <w:r w:rsidRPr="002D3411">
        <w:rPr>
          <w:rFonts w:ascii="Times New Roman" w:hAnsi="Times New Roman"/>
          <w:b/>
          <w:color w:val="000000"/>
        </w:rPr>
        <w:t>Labai dažn</w:t>
      </w:r>
      <w:r w:rsidR="009C582D" w:rsidRPr="002D3411">
        <w:rPr>
          <w:rFonts w:ascii="Times New Roman" w:hAnsi="Times New Roman"/>
          <w:b/>
          <w:color w:val="000000"/>
        </w:rPr>
        <w:t>i</w:t>
      </w:r>
      <w:r w:rsidRPr="002D3411">
        <w:rPr>
          <w:rFonts w:ascii="Times New Roman" w:hAnsi="Times New Roman"/>
          <w:b/>
          <w:color w:val="000000"/>
        </w:rPr>
        <w:t xml:space="preserve"> šalutini</w:t>
      </w:r>
      <w:r w:rsidR="009C582D" w:rsidRPr="002D3411">
        <w:rPr>
          <w:rFonts w:ascii="Times New Roman" w:hAnsi="Times New Roman"/>
          <w:b/>
          <w:color w:val="000000"/>
        </w:rPr>
        <w:t>o</w:t>
      </w:r>
      <w:r w:rsidRPr="002D3411">
        <w:rPr>
          <w:rFonts w:ascii="Times New Roman" w:hAnsi="Times New Roman"/>
          <w:b/>
          <w:color w:val="000000"/>
        </w:rPr>
        <w:t xml:space="preserve"> poveiki</w:t>
      </w:r>
      <w:r w:rsidR="009C582D" w:rsidRPr="002D3411">
        <w:rPr>
          <w:rFonts w:ascii="Times New Roman" w:hAnsi="Times New Roman"/>
          <w:b/>
          <w:color w:val="000000"/>
        </w:rPr>
        <w:t>o reiškiniai</w:t>
      </w:r>
      <w:r w:rsidRPr="002D3411">
        <w:rPr>
          <w:rFonts w:ascii="Times New Roman" w:hAnsi="Times New Roman"/>
          <w:b/>
          <w:color w:val="000000"/>
        </w:rPr>
        <w:t xml:space="preserve"> (gali pasireikšti </w:t>
      </w:r>
      <w:r w:rsidR="009C582D" w:rsidRPr="002D3411">
        <w:rPr>
          <w:rFonts w:ascii="Times New Roman" w:hAnsi="Times New Roman"/>
          <w:b/>
          <w:color w:val="000000"/>
        </w:rPr>
        <w:t>ne rečiau</w:t>
      </w:r>
      <w:r w:rsidRPr="002D3411">
        <w:rPr>
          <w:rFonts w:ascii="Times New Roman" w:hAnsi="Times New Roman"/>
          <w:b/>
          <w:color w:val="000000"/>
        </w:rPr>
        <w:t xml:space="preserve"> kaip 1 iš 10 </w:t>
      </w:r>
      <w:r w:rsidR="009C582D" w:rsidRPr="002D3411">
        <w:rPr>
          <w:rFonts w:ascii="Times New Roman" w:hAnsi="Times New Roman"/>
          <w:b/>
          <w:color w:val="000000"/>
        </w:rPr>
        <w:t>asmenų</w:t>
      </w:r>
      <w:r w:rsidRPr="002D3411">
        <w:rPr>
          <w:rFonts w:ascii="Times New Roman" w:hAnsi="Times New Roman"/>
          <w:b/>
          <w:color w:val="000000"/>
        </w:rPr>
        <w:t>)</w:t>
      </w:r>
      <w:r w:rsidR="00F26399" w:rsidRPr="002D3411">
        <w:rPr>
          <w:rFonts w:ascii="Times New Roman" w:hAnsi="Times New Roman"/>
          <w:b/>
          <w:color w:val="000000"/>
        </w:rPr>
        <w:t>:</w:t>
      </w:r>
    </w:p>
    <w:p w14:paraId="319F3192" w14:textId="77777777" w:rsidR="00952E27" w:rsidRPr="002D3411" w:rsidRDefault="00F26399" w:rsidP="00F26399">
      <w:pPr>
        <w:numPr>
          <w:ilvl w:val="0"/>
          <w:numId w:val="30"/>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i</w:t>
      </w:r>
      <w:r w:rsidR="00952E27" w:rsidRPr="002D3411">
        <w:rPr>
          <w:rFonts w:ascii="Times New Roman" w:hAnsi="Times New Roman"/>
          <w:color w:val="000000"/>
        </w:rPr>
        <w:t>nfekcijos (įkaitant sukeltas bakterijų, virusų ir grybelių)</w:t>
      </w:r>
      <w:r w:rsidRPr="002D3411">
        <w:rPr>
          <w:rFonts w:ascii="Times New Roman" w:hAnsi="Times New Roman"/>
          <w:color w:val="000000"/>
        </w:rPr>
        <w:t>;</w:t>
      </w:r>
    </w:p>
    <w:p w14:paraId="433D858E" w14:textId="77777777" w:rsidR="00952E27" w:rsidRPr="002D3411" w:rsidRDefault="00F26399" w:rsidP="00F26399">
      <w:pPr>
        <w:numPr>
          <w:ilvl w:val="0"/>
          <w:numId w:val="30"/>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š</w:t>
      </w:r>
      <w:r w:rsidR="00952E27" w:rsidRPr="002D3411">
        <w:rPr>
          <w:rFonts w:ascii="Times New Roman" w:hAnsi="Times New Roman"/>
          <w:color w:val="000000"/>
        </w:rPr>
        <w:t>irdies ir plaučių sutrikimai: dusulys</w:t>
      </w:r>
      <w:r w:rsidRPr="002D3411">
        <w:rPr>
          <w:rFonts w:ascii="Times New Roman" w:hAnsi="Times New Roman"/>
          <w:color w:val="000000"/>
        </w:rPr>
        <w:t>;</w:t>
      </w:r>
    </w:p>
    <w:p w14:paraId="2A39786C" w14:textId="77777777" w:rsidR="00952E27" w:rsidRPr="002D3411" w:rsidRDefault="00F26399" w:rsidP="00F26399">
      <w:pPr>
        <w:numPr>
          <w:ilvl w:val="0"/>
          <w:numId w:val="30"/>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v</w:t>
      </w:r>
      <w:r w:rsidR="00952E27" w:rsidRPr="002D3411">
        <w:rPr>
          <w:rFonts w:ascii="Times New Roman" w:hAnsi="Times New Roman"/>
          <w:color w:val="000000"/>
        </w:rPr>
        <w:t>irškinimo sutrikimai: viduriavimas, šleikštulys arba blogavimas (pykinimas arba vėmimas)</w:t>
      </w:r>
      <w:r w:rsidRPr="002D3411">
        <w:rPr>
          <w:rFonts w:ascii="Times New Roman" w:hAnsi="Times New Roman"/>
          <w:color w:val="000000"/>
        </w:rPr>
        <w:t>;</w:t>
      </w:r>
    </w:p>
    <w:p w14:paraId="79CD86EC" w14:textId="77777777" w:rsidR="00952E27" w:rsidRPr="002D3411" w:rsidRDefault="00F26399" w:rsidP="00F26399">
      <w:pPr>
        <w:numPr>
          <w:ilvl w:val="0"/>
          <w:numId w:val="30"/>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o</w:t>
      </w:r>
      <w:r w:rsidR="00952E27" w:rsidRPr="002D3411">
        <w:rPr>
          <w:rFonts w:ascii="Times New Roman" w:hAnsi="Times New Roman"/>
          <w:color w:val="000000"/>
        </w:rPr>
        <w:t>dos, plaukų, akių ir bendrieji sutrikimai: odos išbėrimas, karščiavimas, patinimai veido, plaštakų ir pėdų srityje, galvos skausmas, nuovargis ar silpnumas, kraujavimas</w:t>
      </w:r>
      <w:r w:rsidRPr="002D3411">
        <w:rPr>
          <w:rFonts w:ascii="Times New Roman" w:hAnsi="Times New Roman"/>
          <w:color w:val="000000"/>
        </w:rPr>
        <w:t>;</w:t>
      </w:r>
    </w:p>
    <w:p w14:paraId="5CBDF4B5" w14:textId="77777777" w:rsidR="00952E27" w:rsidRPr="002D3411" w:rsidRDefault="00F26399" w:rsidP="00F26399">
      <w:pPr>
        <w:numPr>
          <w:ilvl w:val="0"/>
          <w:numId w:val="30"/>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s</w:t>
      </w:r>
      <w:r w:rsidR="00952E27" w:rsidRPr="002D3411">
        <w:rPr>
          <w:rFonts w:ascii="Times New Roman" w:hAnsi="Times New Roman"/>
          <w:color w:val="000000"/>
        </w:rPr>
        <w:t xml:space="preserve">kausmas: raumenų skausmas </w:t>
      </w:r>
      <w:r w:rsidR="00952E27" w:rsidRPr="00975CA4">
        <w:rPr>
          <w:rFonts w:ascii="Times New Roman" w:eastAsia="SimSun" w:hAnsi="Times New Roman" w:cs="Times New Roman"/>
          <w:color w:val="000000"/>
          <w:lang w:eastAsia="ar-SA"/>
        </w:rPr>
        <w:t>(gydymo metu ar jį baigus),</w:t>
      </w:r>
      <w:r w:rsidR="00952E27" w:rsidRPr="002D3411">
        <w:rPr>
          <w:rFonts w:ascii="Times New Roman" w:hAnsi="Times New Roman"/>
          <w:color w:val="000000"/>
        </w:rPr>
        <w:t xml:space="preserve"> pilvo skausmas</w:t>
      </w:r>
      <w:r w:rsidRPr="002D3411">
        <w:rPr>
          <w:rFonts w:ascii="Times New Roman" w:hAnsi="Times New Roman"/>
          <w:color w:val="000000"/>
        </w:rPr>
        <w:t>;</w:t>
      </w:r>
    </w:p>
    <w:p w14:paraId="7E61B006" w14:textId="392D0995" w:rsidR="00952E27" w:rsidRPr="002D3411" w:rsidRDefault="004638E7" w:rsidP="00F26399">
      <w:pPr>
        <w:numPr>
          <w:ilvl w:val="0"/>
          <w:numId w:val="30"/>
        </w:numPr>
        <w:tabs>
          <w:tab w:val="left" w:pos="567"/>
        </w:tabs>
        <w:suppressAutoHyphens/>
        <w:spacing w:after="0" w:line="240" w:lineRule="auto"/>
        <w:ind w:left="426"/>
        <w:rPr>
          <w:rFonts w:ascii="Times New Roman" w:hAnsi="Times New Roman"/>
          <w:b/>
          <w:color w:val="000000"/>
        </w:rPr>
      </w:pPr>
      <w:r w:rsidRPr="002D3411">
        <w:rPr>
          <w:rFonts w:ascii="Times New Roman" w:hAnsi="Times New Roman"/>
          <w:color w:val="000000"/>
        </w:rPr>
        <w:t>t</w:t>
      </w:r>
      <w:r w:rsidR="00952E27" w:rsidRPr="002D3411">
        <w:rPr>
          <w:rFonts w:ascii="Times New Roman" w:hAnsi="Times New Roman"/>
          <w:color w:val="000000"/>
        </w:rPr>
        <w:t>yrimai gali rodyti</w:t>
      </w:r>
      <w:r w:rsidR="00952E27" w:rsidRPr="002D3411">
        <w:rPr>
          <w:rFonts w:ascii="Times New Roman" w:hAnsi="Times New Roman"/>
          <w:b/>
          <w:color w:val="000000"/>
        </w:rPr>
        <w:t xml:space="preserve"> </w:t>
      </w:r>
      <w:r w:rsidR="00952E27" w:rsidRPr="002D3411">
        <w:rPr>
          <w:rFonts w:ascii="Times New Roman" w:hAnsi="Times New Roman"/>
          <w:color w:val="000000"/>
        </w:rPr>
        <w:t>mažą trombocitų skai</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ių, mažą baltųjų kraujo ląstelių skai</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ių (</w:t>
      </w:r>
      <w:proofErr w:type="spellStart"/>
      <w:r w:rsidR="00952E27" w:rsidRPr="002D3411">
        <w:rPr>
          <w:rFonts w:ascii="Times New Roman" w:hAnsi="Times New Roman"/>
          <w:color w:val="000000"/>
        </w:rPr>
        <w:t>neutropeniją</w:t>
      </w:r>
      <w:proofErr w:type="spellEnd"/>
      <w:r w:rsidR="00952E27" w:rsidRPr="002D3411">
        <w:rPr>
          <w:rFonts w:ascii="Times New Roman" w:hAnsi="Times New Roman"/>
          <w:color w:val="000000"/>
        </w:rPr>
        <w:t>), mažakraujystę, skys</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ių susikaupimą apie plau</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ius.</w:t>
      </w:r>
    </w:p>
    <w:p w14:paraId="04AAC215" w14:textId="77777777" w:rsidR="00952E27" w:rsidRPr="002D3411" w:rsidRDefault="00952E27" w:rsidP="00F26399">
      <w:pPr>
        <w:tabs>
          <w:tab w:val="left" w:pos="567"/>
        </w:tabs>
        <w:suppressAutoHyphens/>
        <w:spacing w:after="0" w:line="240" w:lineRule="auto"/>
        <w:ind w:left="426"/>
        <w:rPr>
          <w:rFonts w:ascii="Times New Roman" w:hAnsi="Times New Roman"/>
          <w:b/>
          <w:color w:val="000000"/>
        </w:rPr>
      </w:pPr>
    </w:p>
    <w:p w14:paraId="25E44253" w14:textId="39929F75" w:rsidR="00952E27" w:rsidRPr="002D3411" w:rsidRDefault="00952E27" w:rsidP="00DC5862">
      <w:pPr>
        <w:keepNext/>
        <w:tabs>
          <w:tab w:val="left" w:pos="567"/>
        </w:tabs>
        <w:suppressAutoHyphens/>
        <w:spacing w:after="0" w:line="240" w:lineRule="auto"/>
        <w:rPr>
          <w:rFonts w:ascii="Times New Roman" w:hAnsi="Times New Roman"/>
          <w:b/>
          <w:color w:val="000000"/>
        </w:rPr>
      </w:pPr>
      <w:r w:rsidRPr="002D3411">
        <w:rPr>
          <w:rFonts w:ascii="Times New Roman" w:hAnsi="Times New Roman"/>
          <w:b/>
          <w:color w:val="000000"/>
        </w:rPr>
        <w:t>Dažn</w:t>
      </w:r>
      <w:r w:rsidR="009C582D" w:rsidRPr="002D3411">
        <w:rPr>
          <w:rFonts w:ascii="Times New Roman" w:hAnsi="Times New Roman"/>
          <w:b/>
          <w:color w:val="000000"/>
        </w:rPr>
        <w:t>i</w:t>
      </w:r>
      <w:r w:rsidRPr="002D3411">
        <w:rPr>
          <w:rFonts w:ascii="Times New Roman" w:hAnsi="Times New Roman"/>
          <w:b/>
          <w:color w:val="000000"/>
        </w:rPr>
        <w:t xml:space="preserve"> šalutini</w:t>
      </w:r>
      <w:r w:rsidR="009C582D" w:rsidRPr="002D3411">
        <w:rPr>
          <w:rFonts w:ascii="Times New Roman" w:hAnsi="Times New Roman"/>
          <w:b/>
          <w:color w:val="000000"/>
        </w:rPr>
        <w:t>o</w:t>
      </w:r>
      <w:r w:rsidRPr="002D3411">
        <w:rPr>
          <w:rFonts w:ascii="Times New Roman" w:hAnsi="Times New Roman"/>
          <w:b/>
          <w:color w:val="000000"/>
        </w:rPr>
        <w:t xml:space="preserve"> poveiki</w:t>
      </w:r>
      <w:r w:rsidR="009C582D" w:rsidRPr="002D3411">
        <w:rPr>
          <w:rFonts w:ascii="Times New Roman" w:hAnsi="Times New Roman"/>
          <w:b/>
          <w:color w:val="000000"/>
        </w:rPr>
        <w:t>o</w:t>
      </w:r>
      <w:r w:rsidRPr="002D3411">
        <w:rPr>
          <w:rFonts w:ascii="Times New Roman" w:hAnsi="Times New Roman"/>
          <w:b/>
          <w:color w:val="000000"/>
        </w:rPr>
        <w:t xml:space="preserve"> </w:t>
      </w:r>
      <w:r w:rsidR="009C582D" w:rsidRPr="002D3411">
        <w:rPr>
          <w:rFonts w:ascii="Times New Roman" w:hAnsi="Times New Roman"/>
          <w:b/>
          <w:color w:val="000000"/>
        </w:rPr>
        <w:t>reiškiniai</w:t>
      </w:r>
      <w:r w:rsidRPr="002D3411">
        <w:rPr>
          <w:rFonts w:ascii="Times New Roman" w:hAnsi="Times New Roman"/>
          <w:b/>
          <w:color w:val="000000"/>
        </w:rPr>
        <w:t xml:space="preserve"> (gali pasireikšti rečiau kaip 1 iš 10 </w:t>
      </w:r>
      <w:r w:rsidR="009C582D" w:rsidRPr="002D3411">
        <w:rPr>
          <w:rFonts w:ascii="Times New Roman" w:hAnsi="Times New Roman"/>
          <w:b/>
          <w:color w:val="000000"/>
        </w:rPr>
        <w:t>asmenų</w:t>
      </w:r>
      <w:r w:rsidRPr="002D3411">
        <w:rPr>
          <w:rFonts w:ascii="Times New Roman" w:hAnsi="Times New Roman"/>
          <w:b/>
          <w:color w:val="000000"/>
        </w:rPr>
        <w:t>)</w:t>
      </w:r>
      <w:r w:rsidR="00F26399" w:rsidRPr="002D3411">
        <w:rPr>
          <w:rFonts w:ascii="Times New Roman" w:hAnsi="Times New Roman"/>
          <w:b/>
          <w:color w:val="000000"/>
        </w:rPr>
        <w:t>:</w:t>
      </w:r>
    </w:p>
    <w:p w14:paraId="40D12173" w14:textId="142B1331" w:rsidR="00952E27" w:rsidRPr="002D3411" w:rsidRDefault="00F26399" w:rsidP="00F26399">
      <w:pPr>
        <w:numPr>
          <w:ilvl w:val="0"/>
          <w:numId w:val="31"/>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i</w:t>
      </w:r>
      <w:r w:rsidR="00952E27" w:rsidRPr="002D3411">
        <w:rPr>
          <w:rFonts w:ascii="Times New Roman" w:hAnsi="Times New Roman"/>
          <w:color w:val="000000"/>
        </w:rPr>
        <w:t>nfekcijos: plau</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 xml:space="preserve">ių uždegimas, </w:t>
      </w:r>
      <w:proofErr w:type="spellStart"/>
      <w:r w:rsidR="004638E7" w:rsidRPr="002D3411">
        <w:rPr>
          <w:rFonts w:ascii="Times New Roman" w:hAnsi="Times New Roman"/>
          <w:color w:val="000000"/>
        </w:rPr>
        <w:t>herpes</w:t>
      </w:r>
      <w:proofErr w:type="spellEnd"/>
      <w:r w:rsidR="004638E7" w:rsidRPr="002D3411">
        <w:rPr>
          <w:rFonts w:ascii="Times New Roman" w:hAnsi="Times New Roman"/>
          <w:color w:val="000000"/>
        </w:rPr>
        <w:t xml:space="preserve"> viruso sukeliama </w:t>
      </w:r>
      <w:r w:rsidR="00952E27" w:rsidRPr="002D3411">
        <w:rPr>
          <w:rFonts w:ascii="Times New Roman" w:hAnsi="Times New Roman"/>
          <w:color w:val="000000"/>
        </w:rPr>
        <w:t xml:space="preserve">infekcija (įskaitant </w:t>
      </w:r>
      <w:proofErr w:type="spellStart"/>
      <w:r w:rsidR="00952E27" w:rsidRPr="002D3411">
        <w:rPr>
          <w:rFonts w:ascii="Times New Roman" w:hAnsi="Times New Roman"/>
          <w:color w:val="000000"/>
        </w:rPr>
        <w:t>citomegaloviruso</w:t>
      </w:r>
      <w:proofErr w:type="spellEnd"/>
      <w:r w:rsidR="00952E27" w:rsidRPr="002D3411">
        <w:rPr>
          <w:rFonts w:ascii="Times New Roman" w:hAnsi="Times New Roman"/>
          <w:color w:val="000000"/>
        </w:rPr>
        <w:t xml:space="preserve"> infekciją</w:t>
      </w:r>
      <w:r w:rsidR="000A56F7" w:rsidRPr="002D3411">
        <w:rPr>
          <w:rFonts w:ascii="Times New Roman" w:hAnsi="Times New Roman"/>
          <w:color w:val="000000"/>
        </w:rPr>
        <w:t xml:space="preserve"> – CMV</w:t>
      </w:r>
      <w:r w:rsidR="00952E27" w:rsidRPr="002D3411">
        <w:rPr>
          <w:rFonts w:ascii="Times New Roman" w:hAnsi="Times New Roman"/>
          <w:color w:val="000000"/>
        </w:rPr>
        <w:t>), viršutinių kvėpavimo takų infekcija, sunki kraujo ir audinių infekcija (įskaitant nedažnus atvejus pasibaigusius mirtimi)</w:t>
      </w:r>
      <w:r w:rsidR="000A56F7" w:rsidRPr="002D3411">
        <w:rPr>
          <w:rFonts w:ascii="Times New Roman" w:hAnsi="Times New Roman"/>
          <w:color w:val="000000"/>
        </w:rPr>
        <w:t>;</w:t>
      </w:r>
    </w:p>
    <w:p w14:paraId="31FD1491" w14:textId="538BFFD6" w:rsidR="00952E27" w:rsidRPr="002D3411" w:rsidRDefault="000A56F7" w:rsidP="00F26399">
      <w:pPr>
        <w:numPr>
          <w:ilvl w:val="0"/>
          <w:numId w:val="31"/>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š</w:t>
      </w:r>
      <w:r w:rsidR="00952E27" w:rsidRPr="002D3411">
        <w:rPr>
          <w:rFonts w:ascii="Times New Roman" w:hAnsi="Times New Roman"/>
          <w:color w:val="000000"/>
        </w:rPr>
        <w:t xml:space="preserve">irdies ir plaučių sutrikimai: </w:t>
      </w:r>
      <w:r w:rsidR="00F07B95" w:rsidRPr="002D3411">
        <w:rPr>
          <w:rFonts w:ascii="Times New Roman" w:hAnsi="Times New Roman"/>
          <w:color w:val="000000"/>
        </w:rPr>
        <w:t>širdies plakimo epizodai</w:t>
      </w:r>
      <w:r w:rsidR="00952E27" w:rsidRPr="002D3411">
        <w:rPr>
          <w:rFonts w:ascii="Times New Roman" w:hAnsi="Times New Roman"/>
          <w:color w:val="000000"/>
        </w:rPr>
        <w:t xml:space="preserve">, nereguliarūs širdies susitraukimai, </w:t>
      </w:r>
      <w:proofErr w:type="spellStart"/>
      <w:r w:rsidR="00952E27" w:rsidRPr="002D3411">
        <w:rPr>
          <w:rFonts w:ascii="Times New Roman" w:hAnsi="Times New Roman"/>
          <w:color w:val="000000"/>
        </w:rPr>
        <w:t>stazinis</w:t>
      </w:r>
      <w:proofErr w:type="spellEnd"/>
      <w:r w:rsidR="00952E27" w:rsidRPr="002D3411">
        <w:rPr>
          <w:rFonts w:ascii="Times New Roman" w:hAnsi="Times New Roman"/>
          <w:color w:val="000000"/>
        </w:rPr>
        <w:t xml:space="preserve"> širdies nepakankamumas, širdies raumens susilpnėjimas, aukštas kraujospūdis, padidėjęs kraujospūdis plau</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iuose, kosulys</w:t>
      </w:r>
      <w:r w:rsidRPr="002D3411">
        <w:rPr>
          <w:rFonts w:ascii="Times New Roman" w:hAnsi="Times New Roman"/>
          <w:color w:val="000000"/>
        </w:rPr>
        <w:t>;</w:t>
      </w:r>
    </w:p>
    <w:p w14:paraId="550AC5B5" w14:textId="77777777" w:rsidR="00952E27" w:rsidRPr="002D3411" w:rsidRDefault="000A56F7" w:rsidP="00F26399">
      <w:pPr>
        <w:numPr>
          <w:ilvl w:val="0"/>
          <w:numId w:val="31"/>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lastRenderedPageBreak/>
        <w:t>v</w:t>
      </w:r>
      <w:r w:rsidR="00952E27" w:rsidRPr="002D3411">
        <w:rPr>
          <w:rFonts w:ascii="Times New Roman" w:hAnsi="Times New Roman"/>
          <w:color w:val="000000"/>
        </w:rPr>
        <w:t>irškinimo sutrikimai: apetito sutrikimai, skonio sutrikimas</w:t>
      </w:r>
      <w:r w:rsidRPr="002D3411">
        <w:rPr>
          <w:rFonts w:ascii="Times New Roman" w:hAnsi="Times New Roman"/>
          <w:color w:val="000000"/>
        </w:rPr>
        <w:t>,</w:t>
      </w:r>
      <w:r w:rsidR="00952E27" w:rsidRPr="002D3411">
        <w:rPr>
          <w:rFonts w:ascii="Times New Roman" w:hAnsi="Times New Roman"/>
          <w:color w:val="000000"/>
        </w:rPr>
        <w:t xml:space="preserve"> vidurių pūtimas, storosios žarnos uždegimas, vidurių užkietėjimas, rėmuo, burnos išopėjimas, svorio prieaugis, svorio sumažėjimas, skrandžio uždegimas</w:t>
      </w:r>
      <w:r w:rsidRPr="002D3411">
        <w:rPr>
          <w:rFonts w:ascii="Times New Roman" w:hAnsi="Times New Roman"/>
          <w:color w:val="000000"/>
        </w:rPr>
        <w:t>;</w:t>
      </w:r>
    </w:p>
    <w:p w14:paraId="194F9217" w14:textId="26AA23B0" w:rsidR="00952E27" w:rsidRPr="002D3411" w:rsidRDefault="000A56F7" w:rsidP="00F26399">
      <w:pPr>
        <w:numPr>
          <w:ilvl w:val="0"/>
          <w:numId w:val="31"/>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o</w:t>
      </w:r>
      <w:r w:rsidR="00952E27" w:rsidRPr="002D3411">
        <w:rPr>
          <w:rFonts w:ascii="Times New Roman" w:hAnsi="Times New Roman"/>
          <w:color w:val="000000"/>
        </w:rPr>
        <w:t>dos, plaukų, akių ir bendrieji sutrikimai: odos dilg</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iojimas, niežulys, sausa oda, spuogai, odos uždegimas, nuolatinis spengimas ausyse, plaukų slinkimas, padidėjęs prakaitavimas, regėjimo sutrikimai (įskaitant vaizdo ryškumo sumažėjimą, regėjimo sutrikimą), akių sausumas, kraujosruvos</w:t>
      </w:r>
      <w:r w:rsidR="00FB5469" w:rsidRPr="002D3411">
        <w:rPr>
          <w:rFonts w:ascii="Times New Roman" w:hAnsi="Times New Roman"/>
          <w:color w:val="000000"/>
        </w:rPr>
        <w:t xml:space="preserve"> (</w:t>
      </w:r>
      <w:r w:rsidR="00F07B95" w:rsidRPr="002D3411">
        <w:rPr>
          <w:rFonts w:ascii="Times New Roman" w:hAnsi="Times New Roman"/>
          <w:color w:val="000000"/>
        </w:rPr>
        <w:t>m</w:t>
      </w:r>
      <w:r w:rsidR="00F07B95" w:rsidRPr="00975CA4">
        <w:rPr>
          <w:rFonts w:ascii="Times New Roman" w:eastAsia="SimSun" w:hAnsi="Times New Roman" w:cs="Times New Roman"/>
          <w:color w:val="000000"/>
          <w:lang w:eastAsia="ar-SA"/>
        </w:rPr>
        <w:t>ėlynės</w:t>
      </w:r>
      <w:r w:rsidR="00FB5469" w:rsidRPr="00975CA4">
        <w:rPr>
          <w:rFonts w:ascii="Times New Roman" w:eastAsia="SimSun" w:hAnsi="Times New Roman" w:cs="Times New Roman"/>
          <w:color w:val="000000"/>
          <w:lang w:eastAsia="ar-SA"/>
        </w:rPr>
        <w:t>)</w:t>
      </w:r>
      <w:r w:rsidR="00952E27" w:rsidRPr="002D3411">
        <w:rPr>
          <w:rFonts w:ascii="Times New Roman" w:hAnsi="Times New Roman"/>
          <w:color w:val="000000"/>
        </w:rPr>
        <w:t>, depresija, nemiga, staigus paraudimas svaigulys, kraujosruvos (mėlynės), apetito stoka, mieguistumas, išplitęs patinimas</w:t>
      </w:r>
      <w:r w:rsidRPr="002D3411">
        <w:rPr>
          <w:rFonts w:ascii="Times New Roman" w:hAnsi="Times New Roman"/>
          <w:color w:val="000000"/>
        </w:rPr>
        <w:t>;</w:t>
      </w:r>
    </w:p>
    <w:p w14:paraId="1CA42DF6" w14:textId="6827F173" w:rsidR="00952E27" w:rsidRPr="002D3411" w:rsidRDefault="000A56F7" w:rsidP="00F26399">
      <w:pPr>
        <w:numPr>
          <w:ilvl w:val="0"/>
          <w:numId w:val="31"/>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s</w:t>
      </w:r>
      <w:r w:rsidR="00952E27" w:rsidRPr="002D3411">
        <w:rPr>
          <w:rFonts w:ascii="Times New Roman" w:hAnsi="Times New Roman"/>
          <w:color w:val="000000"/>
        </w:rPr>
        <w:t xml:space="preserve">kausmas: sąnarių skausmas, raumenų silpnumas, krūtinės skausmas, skausmas plaštakų ir pėdų srityje, drebulys, raumenų ir sąnarių </w:t>
      </w:r>
      <w:r w:rsidR="005620FE" w:rsidRPr="002D3411">
        <w:rPr>
          <w:rFonts w:ascii="Times New Roman" w:hAnsi="Times New Roman"/>
          <w:color w:val="000000"/>
        </w:rPr>
        <w:t>sustingimas</w:t>
      </w:r>
      <w:r w:rsidR="00952E27" w:rsidRPr="002D3411">
        <w:rPr>
          <w:rFonts w:ascii="Times New Roman" w:hAnsi="Times New Roman"/>
          <w:color w:val="000000"/>
        </w:rPr>
        <w:t>, raumenų spazmas</w:t>
      </w:r>
      <w:r w:rsidRPr="002D3411">
        <w:rPr>
          <w:rFonts w:ascii="Times New Roman" w:hAnsi="Times New Roman"/>
          <w:color w:val="000000"/>
        </w:rPr>
        <w:t>;</w:t>
      </w:r>
    </w:p>
    <w:p w14:paraId="6183F348" w14:textId="77777777" w:rsidR="00952E27" w:rsidRPr="002D3411" w:rsidRDefault="000A56F7" w:rsidP="00F26399">
      <w:pPr>
        <w:numPr>
          <w:ilvl w:val="0"/>
          <w:numId w:val="31"/>
        </w:numPr>
        <w:tabs>
          <w:tab w:val="left" w:pos="567"/>
        </w:tabs>
        <w:suppressAutoHyphens/>
        <w:spacing w:after="0" w:line="240" w:lineRule="auto"/>
        <w:ind w:left="426"/>
        <w:rPr>
          <w:rFonts w:ascii="Times New Roman" w:hAnsi="Times New Roman"/>
          <w:b/>
          <w:color w:val="000000"/>
        </w:rPr>
      </w:pPr>
      <w:r w:rsidRPr="002D3411">
        <w:rPr>
          <w:rFonts w:ascii="Times New Roman" w:hAnsi="Times New Roman"/>
          <w:color w:val="000000"/>
        </w:rPr>
        <w:t>t</w:t>
      </w:r>
      <w:r w:rsidR="00952E27" w:rsidRPr="002D3411">
        <w:rPr>
          <w:rFonts w:ascii="Times New Roman" w:hAnsi="Times New Roman"/>
          <w:color w:val="000000"/>
        </w:rPr>
        <w:t>yrimai gali rodyti širdies ir (ar) plau</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ių srityje susikaupusį skystį, sutrikusį širdies ritmą, su baltųjų kraujo ląstelių skaičiaus sumažėjimu susijusį karš</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iavimą, kraujavimą iš virškinimo trakto, padidėjusį šlapimo rūgšties kiekį kraujyje.</w:t>
      </w:r>
    </w:p>
    <w:p w14:paraId="1E1904D9" w14:textId="77777777" w:rsidR="00952E27" w:rsidRPr="002D3411" w:rsidRDefault="00952E27" w:rsidP="00952E27">
      <w:pPr>
        <w:tabs>
          <w:tab w:val="left" w:pos="567"/>
        </w:tabs>
        <w:suppressAutoHyphens/>
        <w:spacing w:after="0" w:line="240" w:lineRule="auto"/>
        <w:rPr>
          <w:rFonts w:ascii="Times New Roman" w:hAnsi="Times New Roman"/>
          <w:b/>
          <w:color w:val="000000"/>
        </w:rPr>
      </w:pPr>
    </w:p>
    <w:p w14:paraId="40DBBDB1" w14:textId="2B62B538" w:rsidR="00952E27" w:rsidRPr="002D3411" w:rsidRDefault="00952E27" w:rsidP="00DC5862">
      <w:pPr>
        <w:keepNext/>
        <w:tabs>
          <w:tab w:val="left" w:pos="567"/>
        </w:tabs>
        <w:suppressAutoHyphens/>
        <w:spacing w:after="0" w:line="240" w:lineRule="auto"/>
        <w:rPr>
          <w:rFonts w:ascii="Times New Roman" w:hAnsi="Times New Roman"/>
          <w:b/>
          <w:color w:val="000000"/>
        </w:rPr>
      </w:pPr>
      <w:r w:rsidRPr="002D3411">
        <w:rPr>
          <w:rFonts w:ascii="Times New Roman" w:hAnsi="Times New Roman"/>
          <w:b/>
          <w:color w:val="000000"/>
        </w:rPr>
        <w:t>Nedažn</w:t>
      </w:r>
      <w:r w:rsidR="009C582D" w:rsidRPr="002D3411">
        <w:rPr>
          <w:rFonts w:ascii="Times New Roman" w:hAnsi="Times New Roman"/>
          <w:b/>
          <w:color w:val="000000"/>
        </w:rPr>
        <w:t>i</w:t>
      </w:r>
      <w:r w:rsidRPr="002D3411">
        <w:rPr>
          <w:rFonts w:ascii="Times New Roman" w:hAnsi="Times New Roman"/>
          <w:b/>
          <w:color w:val="000000"/>
        </w:rPr>
        <w:t xml:space="preserve"> šalutini</w:t>
      </w:r>
      <w:r w:rsidR="009C582D" w:rsidRPr="002D3411">
        <w:rPr>
          <w:rFonts w:ascii="Times New Roman" w:hAnsi="Times New Roman"/>
          <w:b/>
          <w:color w:val="000000"/>
        </w:rPr>
        <w:t>o</w:t>
      </w:r>
      <w:r w:rsidRPr="002D3411">
        <w:rPr>
          <w:rFonts w:ascii="Times New Roman" w:hAnsi="Times New Roman"/>
          <w:b/>
          <w:color w:val="000000"/>
        </w:rPr>
        <w:t xml:space="preserve"> poveiki</w:t>
      </w:r>
      <w:r w:rsidR="009C582D" w:rsidRPr="002D3411">
        <w:rPr>
          <w:rFonts w:ascii="Times New Roman" w:hAnsi="Times New Roman"/>
          <w:b/>
          <w:color w:val="000000"/>
        </w:rPr>
        <w:t>o reiškiniai</w:t>
      </w:r>
      <w:r w:rsidRPr="002D3411">
        <w:rPr>
          <w:rFonts w:ascii="Times New Roman" w:hAnsi="Times New Roman"/>
          <w:b/>
          <w:color w:val="000000"/>
        </w:rPr>
        <w:t xml:space="preserve"> (gali pasireikšti rečiau kaip 1 iš 100 </w:t>
      </w:r>
      <w:r w:rsidR="0083148E" w:rsidRPr="002D3411">
        <w:rPr>
          <w:rFonts w:ascii="Times New Roman" w:hAnsi="Times New Roman"/>
          <w:b/>
          <w:color w:val="000000"/>
        </w:rPr>
        <w:t>asmenų</w:t>
      </w:r>
      <w:r w:rsidRPr="002D3411">
        <w:rPr>
          <w:rFonts w:ascii="Times New Roman" w:hAnsi="Times New Roman"/>
          <w:b/>
          <w:color w:val="000000"/>
        </w:rPr>
        <w:t>)</w:t>
      </w:r>
      <w:r w:rsidR="000A56F7" w:rsidRPr="002D3411">
        <w:rPr>
          <w:rFonts w:ascii="Times New Roman" w:hAnsi="Times New Roman"/>
          <w:b/>
          <w:color w:val="000000"/>
        </w:rPr>
        <w:t>:</w:t>
      </w:r>
    </w:p>
    <w:p w14:paraId="4909065E" w14:textId="01E63D24" w:rsidR="00952E27" w:rsidRPr="002D3411" w:rsidRDefault="000A56F7" w:rsidP="00F26399">
      <w:pPr>
        <w:numPr>
          <w:ilvl w:val="0"/>
          <w:numId w:val="3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š</w:t>
      </w:r>
      <w:r w:rsidR="00952E27" w:rsidRPr="002D3411">
        <w:rPr>
          <w:rFonts w:ascii="Times New Roman" w:hAnsi="Times New Roman"/>
          <w:color w:val="000000"/>
        </w:rPr>
        <w:t xml:space="preserve">irdies ir plaučių sutrikimai: širdies priepuolis (įskaitant mirtimi pasibaigusius atvejus), širdies </w:t>
      </w:r>
      <w:r w:rsidR="00C8270F" w:rsidRPr="002D3411">
        <w:rPr>
          <w:rFonts w:ascii="Times New Roman" w:hAnsi="Times New Roman"/>
          <w:color w:val="000000"/>
        </w:rPr>
        <w:t xml:space="preserve">dangalo </w:t>
      </w:r>
      <w:r w:rsidR="00952E27" w:rsidRPr="002D3411">
        <w:rPr>
          <w:rFonts w:ascii="Times New Roman" w:hAnsi="Times New Roman"/>
          <w:color w:val="000000"/>
        </w:rPr>
        <w:t>uždegimas (</w:t>
      </w:r>
      <w:proofErr w:type="spellStart"/>
      <w:r w:rsidR="00952E27" w:rsidRPr="002D3411">
        <w:rPr>
          <w:rFonts w:ascii="Times New Roman" w:hAnsi="Times New Roman"/>
          <w:color w:val="000000"/>
        </w:rPr>
        <w:t>perikarditas</w:t>
      </w:r>
      <w:proofErr w:type="spellEnd"/>
      <w:r w:rsidR="00952E27" w:rsidRPr="002D3411">
        <w:rPr>
          <w:rFonts w:ascii="Times New Roman" w:hAnsi="Times New Roman"/>
          <w:color w:val="000000"/>
        </w:rPr>
        <w:t xml:space="preserve">), nereguliarus širdies ritmas, krūtinės skausmas dėl nepakankamos širdies kraujotakos (krūtinės angina), žemas kraujospūdis, kvėpavimo takų susiaurėjimas, dėl kurio gali pasunkėti kvėpavimas ir </w:t>
      </w:r>
      <w:r w:rsidR="00C8270F" w:rsidRPr="002D3411">
        <w:rPr>
          <w:rFonts w:ascii="Times New Roman" w:hAnsi="Times New Roman"/>
          <w:color w:val="000000"/>
        </w:rPr>
        <w:t>prasid</w:t>
      </w:r>
      <w:r w:rsidR="00C8270F" w:rsidRPr="00975CA4">
        <w:rPr>
          <w:rFonts w:ascii="Times New Roman" w:eastAsia="SimSun" w:hAnsi="Times New Roman" w:cs="Times New Roman"/>
          <w:color w:val="000000"/>
          <w:lang w:eastAsia="ar-SA"/>
        </w:rPr>
        <w:t>ėti</w:t>
      </w:r>
      <w:r w:rsidR="00C8270F" w:rsidRPr="002D3411">
        <w:rPr>
          <w:rFonts w:ascii="Times New Roman" w:hAnsi="Times New Roman"/>
          <w:color w:val="000000"/>
        </w:rPr>
        <w:t xml:space="preserve"> </w:t>
      </w:r>
      <w:r w:rsidR="00952E27" w:rsidRPr="002D3411">
        <w:rPr>
          <w:rFonts w:ascii="Times New Roman" w:hAnsi="Times New Roman"/>
          <w:color w:val="000000"/>
        </w:rPr>
        <w:t>astmos priepuolis, padidėjęs kraujospūdis plau</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ių arterijose (kraujagyslėse)</w:t>
      </w:r>
      <w:r w:rsidRPr="002D3411">
        <w:rPr>
          <w:rFonts w:ascii="Times New Roman" w:hAnsi="Times New Roman"/>
          <w:color w:val="000000"/>
        </w:rPr>
        <w:t>;</w:t>
      </w:r>
    </w:p>
    <w:p w14:paraId="7A462088" w14:textId="77777777" w:rsidR="00952E27" w:rsidRPr="002D3411" w:rsidRDefault="000A56F7" w:rsidP="00F26399">
      <w:pPr>
        <w:numPr>
          <w:ilvl w:val="0"/>
          <w:numId w:val="3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v</w:t>
      </w:r>
      <w:r w:rsidR="00952E27" w:rsidRPr="002D3411">
        <w:rPr>
          <w:rFonts w:ascii="Times New Roman" w:hAnsi="Times New Roman"/>
          <w:color w:val="000000"/>
        </w:rPr>
        <w:t xml:space="preserve">irškinimo sutrikimai: kasos uždegimas, </w:t>
      </w:r>
      <w:proofErr w:type="spellStart"/>
      <w:r w:rsidR="00952E27" w:rsidRPr="002D3411">
        <w:rPr>
          <w:rFonts w:ascii="Times New Roman" w:hAnsi="Times New Roman"/>
          <w:color w:val="000000"/>
        </w:rPr>
        <w:t>pepsinė</w:t>
      </w:r>
      <w:proofErr w:type="spellEnd"/>
      <w:r w:rsidR="00952E27" w:rsidRPr="002D3411">
        <w:rPr>
          <w:rFonts w:ascii="Times New Roman" w:hAnsi="Times New Roman"/>
          <w:color w:val="000000"/>
        </w:rPr>
        <w:t xml:space="preserve"> opa, stemplės uždegimas, pilvo pūtimas, išeinamosios angos odos įplyšimas, pasunkėjęs rijimas, tulžies pūslės uždegimas, tulžies latakų užsikimšimas, </w:t>
      </w:r>
      <w:proofErr w:type="spellStart"/>
      <w:r w:rsidR="00952E27" w:rsidRPr="002D3411">
        <w:rPr>
          <w:rFonts w:ascii="Times New Roman" w:hAnsi="Times New Roman"/>
          <w:color w:val="000000"/>
        </w:rPr>
        <w:t>refliuksas</w:t>
      </w:r>
      <w:proofErr w:type="spellEnd"/>
      <w:r w:rsidR="00952E27" w:rsidRPr="002D3411">
        <w:rPr>
          <w:rFonts w:ascii="Times New Roman" w:hAnsi="Times New Roman"/>
          <w:color w:val="000000"/>
        </w:rPr>
        <w:t xml:space="preserve"> iš skrandžio į stemplę (kai skrandžio rūgštis ir kitoks turinys grąžinamas į gerklę)</w:t>
      </w:r>
      <w:r w:rsidRPr="002D3411">
        <w:rPr>
          <w:rFonts w:ascii="Times New Roman" w:hAnsi="Times New Roman"/>
          <w:color w:val="000000"/>
        </w:rPr>
        <w:t>;</w:t>
      </w:r>
    </w:p>
    <w:p w14:paraId="6F5B002F" w14:textId="4B48D15D" w:rsidR="00952E27" w:rsidRPr="002D3411" w:rsidRDefault="000A56F7" w:rsidP="00F26399">
      <w:pPr>
        <w:numPr>
          <w:ilvl w:val="0"/>
          <w:numId w:val="3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o</w:t>
      </w:r>
      <w:r w:rsidR="00952E27" w:rsidRPr="002D3411">
        <w:rPr>
          <w:rFonts w:ascii="Times New Roman" w:hAnsi="Times New Roman"/>
          <w:color w:val="000000"/>
        </w:rPr>
        <w:t>dos, plaukų, akių ir viso organizmo sutrikimai: alerginė reakcija, dėl kurios atsiranda skausmingų paraudusių mazgų odoje (mazginė raudonė</w:t>
      </w:r>
      <w:r w:rsidR="00FB5469" w:rsidRPr="002D3411">
        <w:rPr>
          <w:rFonts w:ascii="Times New Roman" w:hAnsi="Times New Roman"/>
          <w:color w:val="000000"/>
        </w:rPr>
        <w:t xml:space="preserve">, </w:t>
      </w:r>
      <w:proofErr w:type="spellStart"/>
      <w:r w:rsidR="00952E27" w:rsidRPr="002D3411">
        <w:rPr>
          <w:rFonts w:ascii="Times New Roman" w:hAnsi="Times New Roman"/>
          <w:i/>
          <w:color w:val="000000"/>
        </w:rPr>
        <w:t>erythema</w:t>
      </w:r>
      <w:proofErr w:type="spellEnd"/>
      <w:r w:rsidR="00952E27" w:rsidRPr="002D3411">
        <w:rPr>
          <w:rFonts w:ascii="Times New Roman" w:hAnsi="Times New Roman"/>
          <w:i/>
          <w:color w:val="000000"/>
        </w:rPr>
        <w:t xml:space="preserve"> </w:t>
      </w:r>
      <w:proofErr w:type="spellStart"/>
      <w:r w:rsidR="00952E27" w:rsidRPr="002D3411">
        <w:rPr>
          <w:rFonts w:ascii="Times New Roman" w:hAnsi="Times New Roman"/>
          <w:i/>
          <w:color w:val="000000"/>
        </w:rPr>
        <w:t>nodosum</w:t>
      </w:r>
      <w:proofErr w:type="spellEnd"/>
      <w:r w:rsidR="00952E27" w:rsidRPr="002D3411">
        <w:rPr>
          <w:rFonts w:ascii="Times New Roman" w:hAnsi="Times New Roman"/>
          <w:color w:val="000000"/>
        </w:rPr>
        <w:t>), nerimas, sumišimas, nuotaikos poky</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iai, sumažėjęs lytinis potraukis, alpimas, drebulys, akies uždegimas, dėl kurio atsiranda paraudimas ar skausmas, odos liga, pasireiškianti skausmingomis raudonomis dėmėmis su aiškiomis ribomis, staiga prasidedan</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iu karš</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iavimu ir padidėjusiu baltųjų kraujo ląstelių kiekiu (</w:t>
      </w:r>
      <w:proofErr w:type="spellStart"/>
      <w:r w:rsidR="00952E27" w:rsidRPr="002D3411">
        <w:rPr>
          <w:rFonts w:ascii="Times New Roman" w:hAnsi="Times New Roman"/>
          <w:color w:val="000000"/>
        </w:rPr>
        <w:t>neutrofilinė</w:t>
      </w:r>
      <w:proofErr w:type="spellEnd"/>
      <w:r w:rsidR="00952E27" w:rsidRPr="002D3411">
        <w:rPr>
          <w:rFonts w:ascii="Times New Roman" w:hAnsi="Times New Roman"/>
          <w:color w:val="000000"/>
        </w:rPr>
        <w:t xml:space="preserve"> </w:t>
      </w:r>
      <w:proofErr w:type="spellStart"/>
      <w:r w:rsidR="00952E27" w:rsidRPr="002D3411">
        <w:rPr>
          <w:rFonts w:ascii="Times New Roman" w:hAnsi="Times New Roman"/>
          <w:color w:val="000000"/>
        </w:rPr>
        <w:t>dermatozė</w:t>
      </w:r>
      <w:proofErr w:type="spellEnd"/>
      <w:r w:rsidR="00952E27" w:rsidRPr="002D3411">
        <w:rPr>
          <w:rFonts w:ascii="Times New Roman" w:hAnsi="Times New Roman"/>
          <w:color w:val="000000"/>
        </w:rPr>
        <w:t>), klausos netekimas, padidėjęs jautrumas šviesai, sutrikusi rega, padidėjęs ašarojimas, pakitusi odos spalva, poodinio riebalinio audinio uždegimas, odos opa, odos pūslės, nagų sutrikimai, plaukų sutrikimai, plaštakų ir pėdų sutrikimai, inkstų</w:t>
      </w:r>
      <w:r w:rsidR="00C8270F" w:rsidRPr="002D3411">
        <w:rPr>
          <w:rFonts w:ascii="Times New Roman" w:hAnsi="Times New Roman"/>
          <w:color w:val="000000"/>
        </w:rPr>
        <w:t xml:space="preserve"> funkcijos</w:t>
      </w:r>
      <w:r w:rsidR="00952E27" w:rsidRPr="002D3411">
        <w:rPr>
          <w:rFonts w:ascii="Times New Roman" w:hAnsi="Times New Roman"/>
          <w:color w:val="000000"/>
        </w:rPr>
        <w:t xml:space="preserve"> nepakankamumas, dažnas šlapinimasis, krūtų padidėjimas</w:t>
      </w:r>
      <w:r w:rsidR="00C8270F" w:rsidRPr="002D3411">
        <w:rPr>
          <w:rFonts w:ascii="Times New Roman" w:hAnsi="Times New Roman"/>
          <w:color w:val="000000"/>
        </w:rPr>
        <w:t xml:space="preserve"> vyrams</w:t>
      </w:r>
      <w:r w:rsidR="00952E27" w:rsidRPr="002D3411">
        <w:rPr>
          <w:rFonts w:ascii="Times New Roman" w:hAnsi="Times New Roman"/>
          <w:color w:val="000000"/>
        </w:rPr>
        <w:t xml:space="preserve">, sutrikusios mėnesinės, bendras silpnumas ir diskomfortas, susilpnėjusi skydliaukės funkcija, sutrikusi pusiausvyra einant, </w:t>
      </w:r>
      <w:proofErr w:type="spellStart"/>
      <w:r w:rsidR="00952E27" w:rsidRPr="002D3411">
        <w:rPr>
          <w:rFonts w:ascii="Times New Roman" w:hAnsi="Times New Roman"/>
          <w:color w:val="000000"/>
        </w:rPr>
        <w:t>osteonekrozė</w:t>
      </w:r>
      <w:proofErr w:type="spellEnd"/>
      <w:r w:rsidR="00952E27" w:rsidRPr="002D3411">
        <w:rPr>
          <w:rFonts w:ascii="Times New Roman" w:hAnsi="Times New Roman"/>
          <w:color w:val="000000"/>
        </w:rPr>
        <w:t xml:space="preserve"> (sumažėjusios kaulų kraujotakos liga, dėl kurios gali sumažėti kaulinio audinio kiekis, kaulas gali žūti), sąnarių uždegimas (artritas) ir bet kurios kūno dalies odos patinimas</w:t>
      </w:r>
      <w:r w:rsidRPr="002D3411">
        <w:rPr>
          <w:rFonts w:ascii="Times New Roman" w:hAnsi="Times New Roman"/>
          <w:color w:val="000000"/>
        </w:rPr>
        <w:t>;</w:t>
      </w:r>
    </w:p>
    <w:p w14:paraId="1122F1CE" w14:textId="4394AC36" w:rsidR="00952E27" w:rsidRPr="002D3411" w:rsidRDefault="000A56F7" w:rsidP="00F26399">
      <w:pPr>
        <w:numPr>
          <w:ilvl w:val="0"/>
          <w:numId w:val="3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s</w:t>
      </w:r>
      <w:r w:rsidR="00952E27" w:rsidRPr="002D3411">
        <w:rPr>
          <w:rFonts w:ascii="Times New Roman" w:hAnsi="Times New Roman"/>
          <w:color w:val="000000"/>
        </w:rPr>
        <w:t>kausmas: ven</w:t>
      </w:r>
      <w:r w:rsidR="00C8270F" w:rsidRPr="002D3411">
        <w:rPr>
          <w:rFonts w:ascii="Times New Roman" w:hAnsi="Times New Roman"/>
          <w:color w:val="000000"/>
        </w:rPr>
        <w:t>ų</w:t>
      </w:r>
      <w:r w:rsidR="00952E27" w:rsidRPr="002D3411">
        <w:rPr>
          <w:rFonts w:ascii="Times New Roman" w:hAnsi="Times New Roman"/>
          <w:color w:val="000000"/>
        </w:rPr>
        <w:t xml:space="preserve"> uždegimas, dėl kurio gali atsirasti paraudimas, skausmingumas ir patinimas, sausgyslės uždegimas</w:t>
      </w:r>
      <w:r w:rsidRPr="002D3411">
        <w:rPr>
          <w:rFonts w:ascii="Times New Roman" w:hAnsi="Times New Roman"/>
          <w:color w:val="000000"/>
        </w:rPr>
        <w:t>;</w:t>
      </w:r>
    </w:p>
    <w:p w14:paraId="04A32084" w14:textId="77777777" w:rsidR="00952E27" w:rsidRPr="002D3411" w:rsidRDefault="000A56F7" w:rsidP="00F26399">
      <w:pPr>
        <w:numPr>
          <w:ilvl w:val="0"/>
          <w:numId w:val="32"/>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g</w:t>
      </w:r>
      <w:r w:rsidR="00952E27" w:rsidRPr="002D3411">
        <w:rPr>
          <w:rFonts w:ascii="Times New Roman" w:hAnsi="Times New Roman"/>
          <w:color w:val="000000"/>
        </w:rPr>
        <w:t>alvos smegenys: atminties praradimas</w:t>
      </w:r>
      <w:r w:rsidRPr="002D3411">
        <w:rPr>
          <w:rFonts w:ascii="Times New Roman" w:hAnsi="Times New Roman"/>
          <w:color w:val="000000"/>
        </w:rPr>
        <w:t>;</w:t>
      </w:r>
    </w:p>
    <w:p w14:paraId="01230FAB" w14:textId="4B8A2D00" w:rsidR="00952E27" w:rsidRPr="002D3411" w:rsidRDefault="000A56F7" w:rsidP="00F26399">
      <w:pPr>
        <w:numPr>
          <w:ilvl w:val="0"/>
          <w:numId w:val="32"/>
        </w:numPr>
        <w:tabs>
          <w:tab w:val="left" w:pos="567"/>
        </w:tabs>
        <w:suppressAutoHyphens/>
        <w:spacing w:after="0" w:line="240" w:lineRule="auto"/>
        <w:ind w:left="426"/>
        <w:rPr>
          <w:rFonts w:ascii="Times New Roman" w:hAnsi="Times New Roman"/>
          <w:b/>
          <w:color w:val="000000"/>
        </w:rPr>
      </w:pPr>
      <w:r w:rsidRPr="002D3411">
        <w:rPr>
          <w:rFonts w:ascii="Times New Roman" w:hAnsi="Times New Roman"/>
          <w:color w:val="000000"/>
        </w:rPr>
        <w:t>t</w:t>
      </w:r>
      <w:r w:rsidR="00952E27" w:rsidRPr="002D3411">
        <w:rPr>
          <w:rFonts w:ascii="Times New Roman" w:hAnsi="Times New Roman"/>
          <w:color w:val="000000"/>
        </w:rPr>
        <w:t>yrimai gali rodyti: nenormalius kraujo tyrimo rezultatus ir galimą inkstų funkcijos sutrikimą dėl iš žūvan</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 xml:space="preserve">io naviko atsipalaidavusių medžiagų (naviko </w:t>
      </w:r>
      <w:proofErr w:type="spellStart"/>
      <w:r w:rsidR="00952E27" w:rsidRPr="002D3411">
        <w:rPr>
          <w:rFonts w:ascii="Times New Roman" w:hAnsi="Times New Roman"/>
          <w:color w:val="000000"/>
        </w:rPr>
        <w:t>lizės</w:t>
      </w:r>
      <w:proofErr w:type="spellEnd"/>
      <w:r w:rsidR="00952E27" w:rsidRPr="002D3411">
        <w:rPr>
          <w:rFonts w:ascii="Times New Roman" w:hAnsi="Times New Roman"/>
          <w:color w:val="000000"/>
        </w:rPr>
        <w:t xml:space="preserve"> sindromas), mažą </w:t>
      </w:r>
      <w:proofErr w:type="spellStart"/>
      <w:r w:rsidR="00952E27" w:rsidRPr="002D3411">
        <w:rPr>
          <w:rFonts w:ascii="Times New Roman" w:hAnsi="Times New Roman"/>
          <w:color w:val="000000"/>
        </w:rPr>
        <w:t>albumino</w:t>
      </w:r>
      <w:proofErr w:type="spellEnd"/>
      <w:r w:rsidR="00952E27" w:rsidRPr="002D3411">
        <w:rPr>
          <w:rFonts w:ascii="Times New Roman" w:hAnsi="Times New Roman"/>
          <w:color w:val="000000"/>
        </w:rPr>
        <w:t xml:space="preserve"> kiekį kraujyje, mažą limfocitų (tam tikrų baltųjų kraujo ląstelių) kiekį kraujyje, padidėjusį cholesterolio kiekį kraujyje, padidėjusius limfmazgius, kraujavimą į galvos smegenis, nereguliarų širdies elektrinį aktyvumą, padidėjusią širdį, kepenų uždegimą, baltymą šlapime, padidėjusį </w:t>
      </w:r>
      <w:proofErr w:type="spellStart"/>
      <w:r w:rsidR="00952E27" w:rsidRPr="002D3411">
        <w:rPr>
          <w:rFonts w:ascii="Times New Roman" w:hAnsi="Times New Roman"/>
          <w:color w:val="000000"/>
        </w:rPr>
        <w:t>kreatinfosfokinazės</w:t>
      </w:r>
      <w:proofErr w:type="spellEnd"/>
      <w:r w:rsidR="00952E27" w:rsidRPr="002D3411">
        <w:rPr>
          <w:rFonts w:ascii="Times New Roman" w:hAnsi="Times New Roman"/>
          <w:color w:val="000000"/>
        </w:rPr>
        <w:t xml:space="preserve"> (fermento, kurio daugiausia aptinkama širdyje, galvos smegenyse ir skeleto raumenyse) aktyvumą, padidėjusį </w:t>
      </w:r>
      <w:proofErr w:type="spellStart"/>
      <w:r w:rsidR="00952E27" w:rsidRPr="002D3411">
        <w:rPr>
          <w:rFonts w:ascii="Times New Roman" w:hAnsi="Times New Roman"/>
          <w:color w:val="000000"/>
        </w:rPr>
        <w:t>troponino</w:t>
      </w:r>
      <w:proofErr w:type="spellEnd"/>
      <w:r w:rsidR="00952E27" w:rsidRPr="002D3411">
        <w:rPr>
          <w:rFonts w:ascii="Times New Roman" w:hAnsi="Times New Roman"/>
          <w:color w:val="000000"/>
        </w:rPr>
        <w:t xml:space="preserve"> (fermento, kurio daugiausia aptinkama širdies ir skeleto raumenyse) kiekį ir padidėjusį gama </w:t>
      </w:r>
      <w:proofErr w:type="spellStart"/>
      <w:r w:rsidR="00952E27" w:rsidRPr="002D3411">
        <w:rPr>
          <w:rFonts w:ascii="Times New Roman" w:hAnsi="Times New Roman"/>
          <w:color w:val="000000"/>
        </w:rPr>
        <w:t>glutamiltransferazės</w:t>
      </w:r>
      <w:proofErr w:type="spellEnd"/>
      <w:r w:rsidR="00952E27" w:rsidRPr="002D3411">
        <w:rPr>
          <w:rFonts w:ascii="Times New Roman" w:hAnsi="Times New Roman"/>
          <w:color w:val="000000"/>
        </w:rPr>
        <w:t xml:space="preserve"> (fermento, kurio daugiausia aptinkama kepenyse) aktyvumą</w:t>
      </w:r>
      <w:r w:rsidR="007C42AD" w:rsidRPr="002D3411">
        <w:rPr>
          <w:rFonts w:ascii="Times New Roman" w:hAnsi="Times New Roman"/>
          <w:color w:val="000000"/>
        </w:rPr>
        <w:t>, atsiradusį pieno išvaizdos skystį aplink plaučius (</w:t>
      </w:r>
      <w:proofErr w:type="spellStart"/>
      <w:r w:rsidR="007C42AD" w:rsidRPr="002D3411">
        <w:rPr>
          <w:rFonts w:ascii="Times New Roman" w:hAnsi="Times New Roman"/>
          <w:color w:val="000000"/>
        </w:rPr>
        <w:t>chilotoraksas</w:t>
      </w:r>
      <w:proofErr w:type="spellEnd"/>
      <w:r w:rsidR="007C42AD" w:rsidRPr="002D3411">
        <w:rPr>
          <w:rFonts w:ascii="Times New Roman" w:hAnsi="Times New Roman"/>
          <w:color w:val="000000"/>
        </w:rPr>
        <w:t>).</w:t>
      </w:r>
    </w:p>
    <w:p w14:paraId="391CD0F0" w14:textId="77777777" w:rsidR="00952E27" w:rsidRPr="002D3411" w:rsidRDefault="00952E27" w:rsidP="00952E27">
      <w:pPr>
        <w:tabs>
          <w:tab w:val="left" w:pos="567"/>
        </w:tabs>
        <w:suppressAutoHyphens/>
        <w:spacing w:after="0" w:line="240" w:lineRule="auto"/>
        <w:rPr>
          <w:rFonts w:ascii="Times New Roman" w:hAnsi="Times New Roman"/>
          <w:b/>
          <w:color w:val="000000"/>
        </w:rPr>
      </w:pPr>
    </w:p>
    <w:p w14:paraId="21885B69" w14:textId="12DE8E3C" w:rsidR="00952E27" w:rsidRPr="002D3411" w:rsidRDefault="00952E27" w:rsidP="00DC5862">
      <w:pPr>
        <w:keepNext/>
        <w:tabs>
          <w:tab w:val="left" w:pos="567"/>
        </w:tabs>
        <w:suppressAutoHyphens/>
        <w:spacing w:after="0" w:line="240" w:lineRule="auto"/>
        <w:rPr>
          <w:rFonts w:ascii="Times New Roman" w:hAnsi="Times New Roman"/>
          <w:b/>
          <w:color w:val="000000"/>
        </w:rPr>
      </w:pPr>
      <w:r w:rsidRPr="002D3411">
        <w:rPr>
          <w:rFonts w:ascii="Times New Roman" w:hAnsi="Times New Roman"/>
          <w:b/>
          <w:color w:val="000000"/>
        </w:rPr>
        <w:t>Ret</w:t>
      </w:r>
      <w:r w:rsidR="0083148E" w:rsidRPr="002D3411">
        <w:rPr>
          <w:rFonts w:ascii="Times New Roman" w:hAnsi="Times New Roman"/>
          <w:b/>
          <w:color w:val="000000"/>
        </w:rPr>
        <w:t>i</w:t>
      </w:r>
      <w:r w:rsidRPr="002D3411">
        <w:rPr>
          <w:rFonts w:ascii="Times New Roman" w:hAnsi="Times New Roman"/>
          <w:b/>
          <w:color w:val="000000"/>
        </w:rPr>
        <w:t xml:space="preserve"> šalutini</w:t>
      </w:r>
      <w:r w:rsidR="0083148E" w:rsidRPr="002D3411">
        <w:rPr>
          <w:rFonts w:ascii="Times New Roman" w:hAnsi="Times New Roman"/>
          <w:b/>
          <w:color w:val="000000"/>
        </w:rPr>
        <w:t>o</w:t>
      </w:r>
      <w:r w:rsidRPr="002D3411">
        <w:rPr>
          <w:rFonts w:ascii="Times New Roman" w:hAnsi="Times New Roman"/>
          <w:b/>
          <w:color w:val="000000"/>
        </w:rPr>
        <w:t xml:space="preserve"> poveiki</w:t>
      </w:r>
      <w:r w:rsidR="0083148E" w:rsidRPr="002D3411">
        <w:rPr>
          <w:rFonts w:ascii="Times New Roman" w:hAnsi="Times New Roman"/>
          <w:b/>
          <w:color w:val="000000"/>
        </w:rPr>
        <w:t>o reiškiniai</w:t>
      </w:r>
      <w:r w:rsidRPr="002D3411">
        <w:rPr>
          <w:rFonts w:ascii="Times New Roman" w:hAnsi="Times New Roman"/>
          <w:b/>
          <w:color w:val="000000"/>
        </w:rPr>
        <w:t xml:space="preserve"> (gali pasireikšti rečiau kaip 1 iš 1</w:t>
      </w:r>
      <w:r w:rsidR="0083148E" w:rsidRPr="002D3411">
        <w:rPr>
          <w:rFonts w:ascii="Times New Roman" w:hAnsi="Times New Roman"/>
          <w:b/>
          <w:color w:val="000000"/>
        </w:rPr>
        <w:t> </w:t>
      </w:r>
      <w:r w:rsidRPr="002D3411">
        <w:rPr>
          <w:rFonts w:ascii="Times New Roman" w:hAnsi="Times New Roman"/>
          <w:b/>
          <w:color w:val="000000"/>
        </w:rPr>
        <w:t xml:space="preserve">000 </w:t>
      </w:r>
      <w:r w:rsidR="0083148E" w:rsidRPr="002D3411">
        <w:rPr>
          <w:rFonts w:ascii="Times New Roman" w:hAnsi="Times New Roman"/>
          <w:b/>
          <w:color w:val="000000"/>
        </w:rPr>
        <w:t>asmenų</w:t>
      </w:r>
      <w:r w:rsidRPr="002D3411">
        <w:rPr>
          <w:rFonts w:ascii="Times New Roman" w:hAnsi="Times New Roman"/>
          <w:b/>
          <w:color w:val="000000"/>
        </w:rPr>
        <w:t>)</w:t>
      </w:r>
      <w:r w:rsidR="000A56F7" w:rsidRPr="002D3411">
        <w:rPr>
          <w:rFonts w:ascii="Times New Roman" w:hAnsi="Times New Roman"/>
          <w:b/>
          <w:color w:val="000000"/>
        </w:rPr>
        <w:t>:</w:t>
      </w:r>
    </w:p>
    <w:p w14:paraId="07279062" w14:textId="1232408B" w:rsidR="00952E27" w:rsidRPr="002D3411" w:rsidRDefault="000A56F7" w:rsidP="00F26399">
      <w:pPr>
        <w:numPr>
          <w:ilvl w:val="0"/>
          <w:numId w:val="33"/>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š</w:t>
      </w:r>
      <w:r w:rsidR="00952E27" w:rsidRPr="002D3411">
        <w:rPr>
          <w:rFonts w:ascii="Times New Roman" w:hAnsi="Times New Roman"/>
          <w:color w:val="000000"/>
        </w:rPr>
        <w:t xml:space="preserve">irdies ir plaučių sutrikimai: padidėjęs širdies dešinysis skilvelis, širdies raumens uždegimas ir būklės dėl sutrikusios širdies raumens kraujotakos (ūmus koronarinis sindromas), širdies sustojimas (ji </w:t>
      </w:r>
      <w:r w:rsidR="00952E27" w:rsidRPr="002D3411">
        <w:rPr>
          <w:rFonts w:ascii="Times New Roman" w:hAnsi="Times New Roman"/>
          <w:color w:val="000000"/>
        </w:rPr>
        <w:lastRenderedPageBreak/>
        <w:t xml:space="preserve">nustoja pumpuoti kraują), </w:t>
      </w:r>
      <w:r w:rsidR="00236F6D" w:rsidRPr="002D3411">
        <w:rPr>
          <w:rFonts w:ascii="Times New Roman" w:hAnsi="Times New Roman"/>
          <w:color w:val="000000"/>
        </w:rPr>
        <w:t xml:space="preserve">vainikinių </w:t>
      </w:r>
      <w:r w:rsidR="00952E27" w:rsidRPr="002D3411">
        <w:rPr>
          <w:rFonts w:ascii="Times New Roman" w:hAnsi="Times New Roman"/>
          <w:color w:val="000000"/>
        </w:rPr>
        <w:t>širdies arterijų liga, širdies ir plau</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ių dangalų uždegimas, kraujo krešuliai, kraujo krešuliai plau</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iuose</w:t>
      </w:r>
      <w:r w:rsidRPr="002D3411">
        <w:rPr>
          <w:rFonts w:ascii="Times New Roman" w:hAnsi="Times New Roman"/>
          <w:color w:val="000000"/>
        </w:rPr>
        <w:t>;</w:t>
      </w:r>
    </w:p>
    <w:p w14:paraId="13DAACC9" w14:textId="26968867" w:rsidR="00952E27" w:rsidRPr="002D3411" w:rsidRDefault="000A56F7" w:rsidP="00F26399">
      <w:pPr>
        <w:numPr>
          <w:ilvl w:val="0"/>
          <w:numId w:val="33"/>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v</w:t>
      </w:r>
      <w:r w:rsidR="00952E27" w:rsidRPr="002D3411">
        <w:rPr>
          <w:rFonts w:ascii="Times New Roman" w:hAnsi="Times New Roman"/>
          <w:color w:val="000000"/>
        </w:rPr>
        <w:t xml:space="preserve">irškinimo sutrikimai: gyvybiškai svarbių maisto medžiagų (pvz., baltymų) netekimas iš virškinimo trakto, žarnų </w:t>
      </w:r>
      <w:r w:rsidR="00236F6D" w:rsidRPr="002D3411">
        <w:rPr>
          <w:rFonts w:ascii="Times New Roman" w:hAnsi="Times New Roman"/>
          <w:color w:val="000000"/>
        </w:rPr>
        <w:t>nepraeinamumas</w:t>
      </w:r>
      <w:r w:rsidR="00952E27" w:rsidRPr="002D3411">
        <w:rPr>
          <w:rFonts w:ascii="Times New Roman" w:hAnsi="Times New Roman"/>
          <w:color w:val="000000"/>
        </w:rPr>
        <w:t>, išangės fistulė (nenormalus kanalas, kuris jungia išangę su greta jos esan</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ia oda), sutrikusi inkstų funkcija, cukrinis diabetas</w:t>
      </w:r>
      <w:r w:rsidRPr="002D3411">
        <w:rPr>
          <w:rFonts w:ascii="Times New Roman" w:hAnsi="Times New Roman"/>
          <w:color w:val="000000"/>
        </w:rPr>
        <w:t>;</w:t>
      </w:r>
    </w:p>
    <w:p w14:paraId="472362CD" w14:textId="77777777" w:rsidR="00952E27" w:rsidRPr="002D3411" w:rsidRDefault="000A56F7" w:rsidP="00F26399">
      <w:pPr>
        <w:numPr>
          <w:ilvl w:val="0"/>
          <w:numId w:val="33"/>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o</w:t>
      </w:r>
      <w:r w:rsidR="00952E27" w:rsidRPr="002D3411">
        <w:rPr>
          <w:rFonts w:ascii="Times New Roman" w:hAnsi="Times New Roman"/>
          <w:color w:val="000000"/>
        </w:rPr>
        <w:t xml:space="preserve">dos, plaukų, akių ir bendrieji sutrikimai: traukuliai, regos nervo uždegimas, dėl kurio galima visiškai ar iš dalies apakti, melsvai purpurinis odos </w:t>
      </w:r>
      <w:proofErr w:type="spellStart"/>
      <w:r w:rsidR="00952E27" w:rsidRPr="002D3411">
        <w:rPr>
          <w:rFonts w:ascii="Times New Roman" w:hAnsi="Times New Roman"/>
          <w:color w:val="000000"/>
        </w:rPr>
        <w:t>dėmėtumas</w:t>
      </w:r>
      <w:proofErr w:type="spellEnd"/>
      <w:r w:rsidR="00952E27" w:rsidRPr="002D3411">
        <w:rPr>
          <w:rFonts w:ascii="Times New Roman" w:hAnsi="Times New Roman"/>
          <w:color w:val="000000"/>
        </w:rPr>
        <w:t xml:space="preserve">, nenormaliai stipri skydliaukės funkcija, skydliaukės uždegimas, </w:t>
      </w:r>
      <w:proofErr w:type="spellStart"/>
      <w:r w:rsidR="00952E27" w:rsidRPr="002D3411">
        <w:rPr>
          <w:rFonts w:ascii="Times New Roman" w:hAnsi="Times New Roman"/>
          <w:color w:val="000000"/>
        </w:rPr>
        <w:t>ataksija</w:t>
      </w:r>
      <w:proofErr w:type="spellEnd"/>
      <w:r w:rsidR="00952E27" w:rsidRPr="002D3411">
        <w:rPr>
          <w:rFonts w:ascii="Times New Roman" w:hAnsi="Times New Roman"/>
          <w:color w:val="000000"/>
        </w:rPr>
        <w:t xml:space="preserve"> (sutrikusi judesių koordinacija), pasunkėjęs ėjimas, persileidimas, odos kraujagyslių uždegimas, odos fibrozė (randėjimas)</w:t>
      </w:r>
      <w:r w:rsidRPr="002D3411">
        <w:rPr>
          <w:rFonts w:ascii="Times New Roman" w:hAnsi="Times New Roman"/>
          <w:color w:val="000000"/>
        </w:rPr>
        <w:t>;</w:t>
      </w:r>
    </w:p>
    <w:p w14:paraId="33922CC3" w14:textId="77777777" w:rsidR="00952E27" w:rsidRPr="00975CA4" w:rsidRDefault="000A56F7" w:rsidP="00F26399">
      <w:pPr>
        <w:numPr>
          <w:ilvl w:val="0"/>
          <w:numId w:val="33"/>
        </w:numPr>
        <w:tabs>
          <w:tab w:val="left" w:pos="567"/>
        </w:tabs>
        <w:suppressAutoHyphens/>
        <w:spacing w:after="0" w:line="240" w:lineRule="auto"/>
        <w:ind w:left="426"/>
        <w:rPr>
          <w:rFonts w:ascii="Times New Roman" w:eastAsia="SimSun" w:hAnsi="Times New Roman" w:cs="Times New Roman"/>
          <w:color w:val="000000"/>
          <w:lang w:eastAsia="ar-SA"/>
        </w:rPr>
      </w:pPr>
      <w:r w:rsidRPr="002D3411">
        <w:rPr>
          <w:rFonts w:ascii="Times New Roman" w:hAnsi="Times New Roman"/>
          <w:color w:val="000000"/>
        </w:rPr>
        <w:t>g</w:t>
      </w:r>
      <w:r w:rsidR="00952E27" w:rsidRPr="002D3411">
        <w:rPr>
          <w:rFonts w:ascii="Times New Roman" w:hAnsi="Times New Roman"/>
          <w:color w:val="000000"/>
        </w:rPr>
        <w:t xml:space="preserve">alvos smegenys: insultas, laikinas neurologinių sutrikimų epizodas dėl sutrikusios smegenų kraujotakos, </w:t>
      </w:r>
      <w:proofErr w:type="spellStart"/>
      <w:r w:rsidR="00952E27" w:rsidRPr="002D3411">
        <w:rPr>
          <w:rFonts w:ascii="Times New Roman" w:hAnsi="Times New Roman"/>
          <w:color w:val="000000"/>
        </w:rPr>
        <w:t>veidinio</w:t>
      </w:r>
      <w:proofErr w:type="spellEnd"/>
      <w:r w:rsidR="00952E27" w:rsidRPr="002D3411">
        <w:rPr>
          <w:rFonts w:ascii="Times New Roman" w:hAnsi="Times New Roman"/>
          <w:color w:val="000000"/>
        </w:rPr>
        <w:t xml:space="preserve"> nervo paralyžius, demencija (silpnaprotystė)</w:t>
      </w:r>
      <w:r w:rsidRPr="002D3411">
        <w:rPr>
          <w:rFonts w:ascii="Times New Roman" w:hAnsi="Times New Roman"/>
          <w:color w:val="000000"/>
        </w:rPr>
        <w:t>;</w:t>
      </w:r>
    </w:p>
    <w:p w14:paraId="09CC09F6" w14:textId="77777777" w:rsidR="00952E27" w:rsidRPr="00975CA4" w:rsidRDefault="000A56F7" w:rsidP="00F26399">
      <w:pPr>
        <w:numPr>
          <w:ilvl w:val="0"/>
          <w:numId w:val="33"/>
        </w:numPr>
        <w:tabs>
          <w:tab w:val="left" w:pos="567"/>
        </w:tabs>
        <w:suppressAutoHyphens/>
        <w:spacing w:after="0" w:line="240" w:lineRule="auto"/>
        <w:ind w:left="426"/>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i</w:t>
      </w:r>
      <w:r w:rsidR="00952E27" w:rsidRPr="00975CA4">
        <w:rPr>
          <w:rFonts w:ascii="Times New Roman" w:eastAsia="SimSun" w:hAnsi="Times New Roman" w:cs="Times New Roman"/>
          <w:color w:val="000000"/>
          <w:lang w:eastAsia="ar-SA"/>
        </w:rPr>
        <w:t>muninė sistema: sunki alerginė reakcija</w:t>
      </w:r>
      <w:r w:rsidRPr="00975CA4">
        <w:rPr>
          <w:rFonts w:ascii="Times New Roman" w:eastAsia="SimSun" w:hAnsi="Times New Roman" w:cs="Times New Roman"/>
          <w:color w:val="000000"/>
          <w:lang w:eastAsia="ar-SA"/>
        </w:rPr>
        <w:t>;</w:t>
      </w:r>
    </w:p>
    <w:p w14:paraId="73A6E307" w14:textId="77777777" w:rsidR="00952E27" w:rsidRPr="00975CA4" w:rsidRDefault="000A56F7" w:rsidP="00F26399">
      <w:pPr>
        <w:numPr>
          <w:ilvl w:val="0"/>
          <w:numId w:val="33"/>
        </w:numPr>
        <w:tabs>
          <w:tab w:val="left" w:pos="567"/>
        </w:tabs>
        <w:suppressAutoHyphens/>
        <w:spacing w:after="0" w:line="240" w:lineRule="auto"/>
        <w:ind w:left="426"/>
        <w:rPr>
          <w:rFonts w:ascii="Times New Roman" w:eastAsia="SimSun" w:hAnsi="Times New Roman" w:cs="Times New Roman"/>
          <w:color w:val="000000"/>
          <w:lang w:eastAsia="ar-SA"/>
        </w:rPr>
      </w:pPr>
      <w:r w:rsidRPr="00975CA4">
        <w:rPr>
          <w:rFonts w:ascii="Times New Roman" w:eastAsia="SimSun" w:hAnsi="Times New Roman" w:cs="Times New Roman"/>
          <w:color w:val="000000"/>
          <w:lang w:eastAsia="ar-SA"/>
        </w:rPr>
        <w:t>s</w:t>
      </w:r>
      <w:r w:rsidR="00952E27" w:rsidRPr="00975CA4">
        <w:rPr>
          <w:rFonts w:ascii="Times New Roman" w:eastAsia="SimSun" w:hAnsi="Times New Roman" w:cs="Times New Roman"/>
          <w:color w:val="000000"/>
          <w:lang w:eastAsia="ar-SA"/>
        </w:rPr>
        <w:t>keleto, raumenų ir jungiamojo audinio sutrikimai: sąnarius sudarančių apvalių kaulų galų (epifizių) vėlyvas susiliejimas; lėtesnis arba uždelstas augimas.</w:t>
      </w:r>
    </w:p>
    <w:p w14:paraId="64607A61" w14:textId="77777777" w:rsidR="00952E27" w:rsidRPr="002D3411" w:rsidRDefault="00952E27" w:rsidP="00952E27">
      <w:pPr>
        <w:tabs>
          <w:tab w:val="left" w:pos="567"/>
        </w:tabs>
        <w:suppressAutoHyphens/>
        <w:spacing w:after="0" w:line="240" w:lineRule="auto"/>
        <w:rPr>
          <w:rFonts w:ascii="Times New Roman" w:hAnsi="Times New Roman"/>
          <w:b/>
          <w:color w:val="000000"/>
        </w:rPr>
      </w:pPr>
    </w:p>
    <w:p w14:paraId="6443B85F" w14:textId="62518518" w:rsidR="00952E27" w:rsidRPr="002D3411" w:rsidRDefault="00952E27" w:rsidP="00DC5862">
      <w:pPr>
        <w:keepNext/>
        <w:tabs>
          <w:tab w:val="left" w:pos="0"/>
        </w:tabs>
        <w:suppressAutoHyphens/>
        <w:spacing w:after="0" w:line="240" w:lineRule="auto"/>
        <w:rPr>
          <w:rFonts w:ascii="Times New Roman" w:hAnsi="Times New Roman"/>
          <w:b/>
          <w:color w:val="000000"/>
        </w:rPr>
      </w:pPr>
      <w:r w:rsidRPr="002D3411">
        <w:rPr>
          <w:rFonts w:ascii="Times New Roman" w:hAnsi="Times New Roman"/>
          <w:b/>
          <w:color w:val="000000"/>
        </w:rPr>
        <w:t>Kit</w:t>
      </w:r>
      <w:r w:rsidR="0083148E" w:rsidRPr="002D3411">
        <w:rPr>
          <w:rFonts w:ascii="Times New Roman" w:hAnsi="Times New Roman"/>
          <w:b/>
          <w:color w:val="000000"/>
        </w:rPr>
        <w:t>i</w:t>
      </w:r>
      <w:r w:rsidRPr="002D3411">
        <w:rPr>
          <w:rFonts w:ascii="Times New Roman" w:hAnsi="Times New Roman"/>
          <w:b/>
          <w:color w:val="000000"/>
        </w:rPr>
        <w:t xml:space="preserve"> šalutini</w:t>
      </w:r>
      <w:r w:rsidR="0083148E" w:rsidRPr="002D3411">
        <w:rPr>
          <w:rFonts w:ascii="Times New Roman" w:hAnsi="Times New Roman"/>
          <w:b/>
          <w:color w:val="000000"/>
        </w:rPr>
        <w:t>o</w:t>
      </w:r>
      <w:r w:rsidRPr="002D3411">
        <w:rPr>
          <w:rFonts w:ascii="Times New Roman" w:hAnsi="Times New Roman"/>
          <w:b/>
          <w:color w:val="000000"/>
        </w:rPr>
        <w:t xml:space="preserve"> poveiki</w:t>
      </w:r>
      <w:r w:rsidR="0083148E" w:rsidRPr="002D3411">
        <w:rPr>
          <w:rFonts w:ascii="Times New Roman" w:hAnsi="Times New Roman"/>
          <w:b/>
          <w:color w:val="000000"/>
        </w:rPr>
        <w:t>o reiškiniai</w:t>
      </w:r>
      <w:r w:rsidRPr="002D3411">
        <w:rPr>
          <w:rFonts w:ascii="Times New Roman" w:hAnsi="Times New Roman"/>
          <w:b/>
          <w:color w:val="000000"/>
        </w:rPr>
        <w:t xml:space="preserve">, </w:t>
      </w:r>
      <w:r w:rsidR="0083148E" w:rsidRPr="002D3411">
        <w:rPr>
          <w:rFonts w:ascii="Times New Roman" w:hAnsi="Times New Roman"/>
          <w:b/>
          <w:color w:val="000000"/>
        </w:rPr>
        <w:t xml:space="preserve">kurių </w:t>
      </w:r>
      <w:r w:rsidRPr="002D3411">
        <w:rPr>
          <w:rFonts w:ascii="Times New Roman" w:hAnsi="Times New Roman"/>
          <w:b/>
          <w:color w:val="000000"/>
        </w:rPr>
        <w:t>dažnis nežinomas (</w:t>
      </w:r>
      <w:r w:rsidRPr="00975CA4">
        <w:rPr>
          <w:rFonts w:ascii="Times New Roman" w:hAnsi="Times New Roman"/>
          <w:b/>
          <w:color w:val="000000"/>
        </w:rPr>
        <w:t>negali būti apskaičiuotas pagal turimus duomenis)</w:t>
      </w:r>
      <w:r w:rsidR="000A56F7" w:rsidRPr="00975CA4">
        <w:rPr>
          <w:rFonts w:ascii="Times New Roman" w:hAnsi="Times New Roman"/>
          <w:b/>
          <w:color w:val="000000"/>
        </w:rPr>
        <w:t>:</w:t>
      </w:r>
    </w:p>
    <w:p w14:paraId="15050C40" w14:textId="77777777" w:rsidR="00952E27" w:rsidRPr="002D3411" w:rsidRDefault="000A56F7" w:rsidP="00F26399">
      <w:pPr>
        <w:numPr>
          <w:ilvl w:val="0"/>
          <w:numId w:val="34"/>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p</w:t>
      </w:r>
      <w:r w:rsidR="00952E27" w:rsidRPr="002D3411">
        <w:rPr>
          <w:rFonts w:ascii="Times New Roman" w:hAnsi="Times New Roman"/>
          <w:color w:val="000000"/>
        </w:rPr>
        <w:t>lau</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ių uždegimas</w:t>
      </w:r>
      <w:r w:rsidRPr="002D3411">
        <w:rPr>
          <w:rFonts w:ascii="Times New Roman" w:hAnsi="Times New Roman"/>
          <w:color w:val="000000"/>
        </w:rPr>
        <w:t>;</w:t>
      </w:r>
    </w:p>
    <w:p w14:paraId="7DB3B0C3" w14:textId="77777777" w:rsidR="00952E27" w:rsidRPr="002D3411" w:rsidRDefault="000A56F7" w:rsidP="00F26399">
      <w:pPr>
        <w:numPr>
          <w:ilvl w:val="0"/>
          <w:numId w:val="34"/>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k</w:t>
      </w:r>
      <w:r w:rsidR="00952E27" w:rsidRPr="002D3411">
        <w:rPr>
          <w:rFonts w:ascii="Times New Roman" w:hAnsi="Times New Roman"/>
          <w:color w:val="000000"/>
        </w:rPr>
        <w:t>raujavimas iš skrandžio ar žarnų, kuris gali būti mirtinas</w:t>
      </w:r>
      <w:r w:rsidRPr="002D3411">
        <w:rPr>
          <w:rFonts w:ascii="Times New Roman" w:hAnsi="Times New Roman"/>
          <w:color w:val="000000"/>
        </w:rPr>
        <w:t>;</w:t>
      </w:r>
    </w:p>
    <w:p w14:paraId="71912DE9" w14:textId="77777777" w:rsidR="00952E27" w:rsidRPr="002D3411" w:rsidRDefault="000A56F7" w:rsidP="00F26399">
      <w:pPr>
        <w:numPr>
          <w:ilvl w:val="0"/>
          <w:numId w:val="34"/>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h</w:t>
      </w:r>
      <w:r w:rsidR="00952E27" w:rsidRPr="002D3411">
        <w:rPr>
          <w:rFonts w:ascii="Times New Roman" w:hAnsi="Times New Roman"/>
          <w:color w:val="000000"/>
        </w:rPr>
        <w:t>epatito B infekcijos pasikartojimas (</w:t>
      </w:r>
      <w:proofErr w:type="spellStart"/>
      <w:r w:rsidR="00952E27" w:rsidRPr="002D3411">
        <w:rPr>
          <w:rFonts w:ascii="Times New Roman" w:hAnsi="Times New Roman"/>
          <w:color w:val="000000"/>
        </w:rPr>
        <w:t>reaktyvacija</w:t>
      </w:r>
      <w:proofErr w:type="spellEnd"/>
      <w:r w:rsidR="00952E27" w:rsidRPr="002D3411">
        <w:rPr>
          <w:rFonts w:ascii="Times New Roman" w:hAnsi="Times New Roman"/>
          <w:color w:val="000000"/>
        </w:rPr>
        <w:t>), jeigu anksčiau Jums buvo hepatitas B (kepenų infekcija)</w:t>
      </w:r>
      <w:r w:rsidRPr="002D3411">
        <w:rPr>
          <w:rFonts w:ascii="Times New Roman" w:hAnsi="Times New Roman"/>
          <w:color w:val="000000"/>
        </w:rPr>
        <w:t>;</w:t>
      </w:r>
    </w:p>
    <w:p w14:paraId="699B3442" w14:textId="77777777" w:rsidR="00952E27" w:rsidRPr="002D3411" w:rsidRDefault="000A56F7" w:rsidP="00F26399">
      <w:pPr>
        <w:numPr>
          <w:ilvl w:val="0"/>
          <w:numId w:val="34"/>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r</w:t>
      </w:r>
      <w:r w:rsidR="00952E27" w:rsidRPr="002D3411">
        <w:rPr>
          <w:rFonts w:ascii="Times New Roman" w:hAnsi="Times New Roman"/>
          <w:color w:val="000000"/>
        </w:rPr>
        <w:t>eakcija, pasireiškusi karš</w:t>
      </w:r>
      <w:r w:rsidR="00952E27" w:rsidRPr="00975CA4">
        <w:rPr>
          <w:rFonts w:ascii="Times New Roman" w:eastAsia="SimSun" w:hAnsi="Times New Roman" w:cs="Times New Roman"/>
          <w:color w:val="000000"/>
          <w:lang w:eastAsia="ar-SA"/>
        </w:rPr>
        <w:t>č</w:t>
      </w:r>
      <w:r w:rsidR="00952E27" w:rsidRPr="002D3411">
        <w:rPr>
          <w:rFonts w:ascii="Times New Roman" w:hAnsi="Times New Roman"/>
          <w:color w:val="000000"/>
        </w:rPr>
        <w:t>iavimu, odos pūslėmis ir gleivinės išopėjimu</w:t>
      </w:r>
      <w:r w:rsidRPr="002D3411">
        <w:rPr>
          <w:rFonts w:ascii="Times New Roman" w:hAnsi="Times New Roman"/>
          <w:color w:val="000000"/>
        </w:rPr>
        <w:t>;</w:t>
      </w:r>
    </w:p>
    <w:p w14:paraId="0230C87C" w14:textId="77777777" w:rsidR="00952E27" w:rsidRPr="002D3411" w:rsidRDefault="000A56F7" w:rsidP="00F26399">
      <w:pPr>
        <w:numPr>
          <w:ilvl w:val="0"/>
          <w:numId w:val="34"/>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i</w:t>
      </w:r>
      <w:r w:rsidR="00952E27" w:rsidRPr="002D3411">
        <w:rPr>
          <w:rFonts w:ascii="Times New Roman" w:hAnsi="Times New Roman"/>
          <w:color w:val="000000"/>
        </w:rPr>
        <w:t>nkstų liga pasireiškianti simptomais, įskaitant edemą, ir nenormalūs laboratoriniai tyrimų rezultatai, tokie kaip baltymas šlapime ir mažas baltymo kiekis kraujyje</w:t>
      </w:r>
      <w:r w:rsidRPr="002D3411">
        <w:rPr>
          <w:rFonts w:ascii="Times New Roman" w:hAnsi="Times New Roman"/>
          <w:color w:val="000000"/>
        </w:rPr>
        <w:t>;</w:t>
      </w:r>
    </w:p>
    <w:p w14:paraId="2487DDDE" w14:textId="77FBA437" w:rsidR="00952E27" w:rsidRPr="002D3411" w:rsidRDefault="000A56F7" w:rsidP="00F26399">
      <w:pPr>
        <w:numPr>
          <w:ilvl w:val="0"/>
          <w:numId w:val="34"/>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k</w:t>
      </w:r>
      <w:r w:rsidR="00952E27" w:rsidRPr="002D3411">
        <w:rPr>
          <w:rFonts w:ascii="Times New Roman" w:hAnsi="Times New Roman"/>
          <w:color w:val="000000"/>
        </w:rPr>
        <w:t xml:space="preserve">raujagyslių pažeidimas, žinomas kaip trombinė </w:t>
      </w:r>
      <w:proofErr w:type="spellStart"/>
      <w:r w:rsidR="00952E27" w:rsidRPr="002D3411">
        <w:rPr>
          <w:rFonts w:ascii="Times New Roman" w:hAnsi="Times New Roman"/>
          <w:color w:val="000000"/>
        </w:rPr>
        <w:t>mikroangiopatija</w:t>
      </w:r>
      <w:proofErr w:type="spellEnd"/>
      <w:r w:rsidR="00952E27" w:rsidRPr="002D3411">
        <w:rPr>
          <w:rFonts w:ascii="Times New Roman" w:hAnsi="Times New Roman"/>
          <w:color w:val="000000"/>
        </w:rPr>
        <w:t xml:space="preserve"> (TMA), įskaitant sumažėjus</w:t>
      </w:r>
      <w:r w:rsidR="0039262D" w:rsidRPr="002D3411">
        <w:rPr>
          <w:rFonts w:ascii="Times New Roman" w:hAnsi="Times New Roman"/>
          <w:color w:val="000000"/>
        </w:rPr>
        <w:t>į</w:t>
      </w:r>
      <w:r w:rsidR="00952E27" w:rsidRPr="002D3411">
        <w:rPr>
          <w:rFonts w:ascii="Times New Roman" w:hAnsi="Times New Roman"/>
          <w:color w:val="000000"/>
        </w:rPr>
        <w:t xml:space="preserve"> raudonųjų kraujo ląstelių skaičių, sumažėjusį kraujo plokštelių kiekį ir krešulių </w:t>
      </w:r>
      <w:r w:rsidR="00952E27" w:rsidRPr="00975CA4">
        <w:rPr>
          <w:rFonts w:ascii="Times New Roman" w:eastAsia="SimSun" w:hAnsi="Times New Roman" w:cs="Times New Roman"/>
          <w:color w:val="000000"/>
          <w:lang w:eastAsia="ar-SA"/>
        </w:rPr>
        <w:t>formavimąsi</w:t>
      </w:r>
      <w:r w:rsidR="00952E27" w:rsidRPr="002D3411">
        <w:rPr>
          <w:rFonts w:ascii="Times New Roman" w:hAnsi="Times New Roman"/>
          <w:color w:val="000000"/>
        </w:rPr>
        <w:t xml:space="preserve">. </w:t>
      </w:r>
    </w:p>
    <w:p w14:paraId="0B57568F" w14:textId="77777777" w:rsidR="00952E27" w:rsidRPr="002D3411" w:rsidRDefault="00952E27" w:rsidP="00F26399">
      <w:pPr>
        <w:tabs>
          <w:tab w:val="left" w:pos="567"/>
        </w:tabs>
        <w:suppressAutoHyphens/>
        <w:spacing w:after="0" w:line="240" w:lineRule="auto"/>
        <w:ind w:left="426"/>
        <w:rPr>
          <w:rFonts w:ascii="Times New Roman" w:hAnsi="Times New Roman"/>
          <w:color w:val="000000"/>
        </w:rPr>
      </w:pPr>
    </w:p>
    <w:p w14:paraId="30A06C50" w14:textId="77777777" w:rsidR="00952E27" w:rsidRPr="002D3411" w:rsidRDefault="00952E27"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Jūsų gydymo metu gydytojas stebės, ar nepasireiškia kai kurie minėti šalutiniai efektai.</w:t>
      </w:r>
    </w:p>
    <w:p w14:paraId="15681407"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54D517A6" w14:textId="77777777" w:rsidR="00952E27" w:rsidRPr="002D3411" w:rsidRDefault="00952E27"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Pranešimas apie šalutinį poveikį</w:t>
      </w:r>
    </w:p>
    <w:p w14:paraId="0DF9239C" w14:textId="00A7046F" w:rsidR="00952E27" w:rsidRPr="002D3411" w:rsidRDefault="00952E27" w:rsidP="00456664">
      <w:pPr>
        <w:tabs>
          <w:tab w:val="left" w:pos="567"/>
        </w:tabs>
        <w:suppressAutoHyphens/>
        <w:spacing w:after="0" w:line="260" w:lineRule="exact"/>
        <w:ind w:right="48"/>
        <w:rPr>
          <w:rFonts w:ascii="Times New Roman" w:hAnsi="Times New Roman"/>
          <w:color w:val="000000"/>
        </w:rPr>
      </w:pPr>
      <w:r w:rsidRPr="002D3411">
        <w:rPr>
          <w:rFonts w:ascii="Times New Roman" w:hAnsi="Times New Roman"/>
          <w:color w:val="000000"/>
        </w:rPr>
        <w:t xml:space="preserve">Jeigu pasireiškė šalutinis poveikis, įskaitant šiame lapelyje nenurodytą, pasakykite gydytojui, vaistininkui arba slaugytojui. </w:t>
      </w:r>
      <w:r w:rsidR="0083148E" w:rsidRPr="00975CA4">
        <w:rPr>
          <w:rFonts w:ascii="Times New Roman" w:eastAsia="Times New Roman" w:hAnsi="Times New Roman" w:cs="Times New Roman"/>
          <w:szCs w:val="20"/>
        </w:rPr>
        <w:t>Pranešimą apie</w:t>
      </w:r>
      <w:r w:rsidRPr="00975CA4">
        <w:rPr>
          <w:rFonts w:ascii="Times New Roman" w:hAnsi="Times New Roman"/>
        </w:rPr>
        <w:t xml:space="preserve"> šalutinį poveikį galite pateikti </w:t>
      </w:r>
      <w:r w:rsidR="0083148E" w:rsidRPr="00975CA4">
        <w:rPr>
          <w:rFonts w:ascii="Times New Roman" w:eastAsia="Times New Roman" w:hAnsi="Times New Roman" w:cs="Times New Roman"/>
          <w:szCs w:val="20"/>
        </w:rPr>
        <w:t>šiais būdais: tiesiogiai užpildant formą internetu</w:t>
      </w:r>
      <w:r w:rsidRPr="00975CA4">
        <w:rPr>
          <w:rFonts w:ascii="Times New Roman" w:hAnsi="Times New Roman"/>
        </w:rPr>
        <w:t xml:space="preserve"> Valstybinės vaistų kontrolės tarnybos prie Lietuvos Respublikos sveikatos apsaugos ministerijos </w:t>
      </w:r>
      <w:r w:rsidR="0083148E" w:rsidRPr="00975CA4">
        <w:rPr>
          <w:rFonts w:ascii="Times New Roman" w:eastAsia="Times New Roman" w:hAnsi="Times New Roman" w:cs="Times New Roman"/>
          <w:szCs w:val="20"/>
        </w:rPr>
        <w:t xml:space="preserve">Vaistinių preparatų informacinėje sistemoje </w:t>
      </w:r>
      <w:r w:rsidR="0083148E" w:rsidRPr="00975CA4">
        <w:rPr>
          <w:rFonts w:ascii="Times New Roman" w:eastAsia="Times New Roman" w:hAnsi="Times New Roman" w:cs="Times New Roman"/>
          <w:color w:val="0000FF"/>
          <w:szCs w:val="20"/>
          <w:u w:val="single"/>
        </w:rPr>
        <w:t>https://vapris.vvkt.lt/vvkt-web/public/nrv</w:t>
      </w:r>
      <w:r w:rsidR="0083148E" w:rsidRPr="00975CA4">
        <w:rPr>
          <w:rFonts w:ascii="Times New Roman" w:eastAsia="Times New Roman" w:hAnsi="Times New Roman" w:cs="Times New Roman"/>
          <w:szCs w:val="20"/>
        </w:rPr>
        <w:t xml:space="preserve"> arba užpildant Paciento pranešimo apie įtariamą nepageidaujamą reakciją (ĮNR) formą, kuri skelbiama </w:t>
      </w:r>
      <w:r w:rsidR="0083148E" w:rsidRPr="00975CA4">
        <w:rPr>
          <w:rFonts w:ascii="Times New Roman" w:eastAsia="Times New Roman" w:hAnsi="Times New Roman" w:cs="Times New Roman"/>
          <w:color w:val="0000FF"/>
          <w:szCs w:val="20"/>
          <w:u w:val="single"/>
        </w:rPr>
        <w:t>https://www.vvkt.lt/index.php?4004286486</w:t>
      </w:r>
      <w:r w:rsidR="0083148E" w:rsidRPr="00975CA4">
        <w:rPr>
          <w:rFonts w:ascii="Times New Roman" w:eastAsia="Times New Roman" w:hAnsi="Times New Roman" w:cs="Times New Roman"/>
          <w:szCs w:val="20"/>
        </w:rPr>
        <w:t xml:space="preserve">, ir atsiunčiant elektroniniu paštu (adresu </w:t>
      </w:r>
      <w:proofErr w:type="spellStart"/>
      <w:r w:rsidR="0083148E" w:rsidRPr="00975CA4">
        <w:rPr>
          <w:rFonts w:ascii="Times New Roman" w:eastAsia="Times New Roman" w:hAnsi="Times New Roman" w:cs="Times New Roman"/>
          <w:color w:val="0000FF"/>
          <w:szCs w:val="20"/>
          <w:u w:val="single"/>
        </w:rPr>
        <w:t>NepageidaujamaR@vvkt.lt</w:t>
      </w:r>
      <w:proofErr w:type="spellEnd"/>
      <w:r w:rsidR="0083148E" w:rsidRPr="00975CA4">
        <w:rPr>
          <w:rFonts w:ascii="Times New Roman" w:eastAsia="Times New Roman" w:hAnsi="Times New Roman" w:cs="Times New Roman"/>
          <w:szCs w:val="20"/>
        </w:rPr>
        <w:t>) arba nemokamu telefonu 8 800 73 568.</w:t>
      </w:r>
      <w:r w:rsidRPr="00975CA4">
        <w:rPr>
          <w:rFonts w:ascii="Times New Roman" w:hAnsi="Times New Roman"/>
        </w:rPr>
        <w:t xml:space="preserve"> </w:t>
      </w:r>
      <w:r w:rsidRPr="002D3411">
        <w:rPr>
          <w:rFonts w:ascii="Times New Roman" w:hAnsi="Times New Roman"/>
          <w:color w:val="000000"/>
        </w:rPr>
        <w:t>Pranešdami apie šalutinį poveikį galite mums padėti gauti daugiau informacijos apie šio vaisto saugumą.</w:t>
      </w:r>
    </w:p>
    <w:p w14:paraId="29D7C528"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55B34CD2"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5A970475" w14:textId="77777777" w:rsidR="00952E27" w:rsidRPr="002D3411" w:rsidRDefault="00952E27"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5.</w:t>
      </w:r>
      <w:r w:rsidRPr="002D3411">
        <w:rPr>
          <w:rFonts w:ascii="Times New Roman" w:hAnsi="Times New Roman"/>
          <w:b/>
          <w:color w:val="000000"/>
        </w:rPr>
        <w:tab/>
        <w:t xml:space="preserve">Kaip laikyti </w:t>
      </w: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000A56F7" w:rsidRPr="002D3411">
        <w:rPr>
          <w:rFonts w:ascii="Times New Roman" w:hAnsi="Times New Roman"/>
          <w:b/>
          <w:color w:val="000000"/>
        </w:rPr>
        <w:t>Zentiva</w:t>
      </w:r>
      <w:proofErr w:type="spellEnd"/>
    </w:p>
    <w:p w14:paraId="6E92D31E" w14:textId="77777777" w:rsidR="00952E27" w:rsidRPr="002D3411" w:rsidRDefault="00952E27" w:rsidP="00DC5862">
      <w:pPr>
        <w:keepNext/>
        <w:tabs>
          <w:tab w:val="left" w:pos="567"/>
        </w:tabs>
        <w:suppressAutoHyphens/>
        <w:spacing w:after="0" w:line="240" w:lineRule="auto"/>
        <w:rPr>
          <w:rFonts w:ascii="Times New Roman" w:hAnsi="Times New Roman"/>
          <w:color w:val="000000"/>
        </w:rPr>
      </w:pPr>
    </w:p>
    <w:p w14:paraId="11BA2534" w14:textId="77777777" w:rsidR="00952E27" w:rsidRPr="002D3411" w:rsidRDefault="00952E27"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Šį vaistą laikykite vaikams nepastebimoje ir nepasiekiamoje vietoje.</w:t>
      </w:r>
    </w:p>
    <w:p w14:paraId="2D3206BF"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73399278" w14:textId="77777777" w:rsidR="00952E27" w:rsidRPr="002D3411" w:rsidRDefault="00952E27"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Ant buteliuko etiketės</w:t>
      </w:r>
      <w:r w:rsidR="000A56F7" w:rsidRPr="002D3411">
        <w:rPr>
          <w:rFonts w:ascii="Times New Roman" w:hAnsi="Times New Roman"/>
          <w:color w:val="000000"/>
        </w:rPr>
        <w:t>,</w:t>
      </w:r>
      <w:r w:rsidRPr="002D3411">
        <w:rPr>
          <w:rFonts w:ascii="Times New Roman" w:hAnsi="Times New Roman"/>
          <w:color w:val="000000"/>
        </w:rPr>
        <w:t xml:space="preserve"> lizdinės plokštelės</w:t>
      </w:r>
      <w:r w:rsidR="000A56F7" w:rsidRPr="002D3411">
        <w:rPr>
          <w:rFonts w:ascii="Times New Roman" w:hAnsi="Times New Roman"/>
          <w:color w:val="000000"/>
        </w:rPr>
        <w:t xml:space="preserve"> ar dėžutės</w:t>
      </w:r>
      <w:r w:rsidRPr="002D3411">
        <w:rPr>
          <w:rFonts w:ascii="Times New Roman" w:hAnsi="Times New Roman"/>
          <w:color w:val="000000"/>
        </w:rPr>
        <w:t xml:space="preserve"> po „EXP” nurodytam tinkamumo laikui pasibaigus, šio vaisto vartoti negalima. Vaistas tinkamas vartoti iki paskutinės nurodyto mėnesio dienos.</w:t>
      </w:r>
    </w:p>
    <w:p w14:paraId="02B4F192"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72A417C5" w14:textId="77777777" w:rsidR="00952E27" w:rsidRPr="002D3411" w:rsidRDefault="00952E27"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Šiam vaistui specialių laikymo sąlygų nereikia.</w:t>
      </w:r>
    </w:p>
    <w:p w14:paraId="1C30E771"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1B2BA2CF" w14:textId="77777777" w:rsidR="00952E27" w:rsidRPr="002D3411" w:rsidRDefault="00952E27"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Vaistų negalima išmesti į kanalizaciją arba su buitinėmis atliekomis. Kaip išmesti nereikalingus vaistus, klauskite vaistininko. Šios priemonės padės apsaugoti aplinką.</w:t>
      </w:r>
    </w:p>
    <w:p w14:paraId="7411A0FC"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6359CFD1"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078670E7" w14:textId="77777777" w:rsidR="00952E27" w:rsidRPr="002D3411" w:rsidRDefault="00952E27" w:rsidP="00235A1D">
      <w:pPr>
        <w:keepNext/>
        <w:keepLines/>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6.</w:t>
      </w:r>
      <w:r w:rsidRPr="002D3411">
        <w:rPr>
          <w:rFonts w:ascii="Times New Roman" w:hAnsi="Times New Roman"/>
          <w:b/>
          <w:color w:val="000000"/>
        </w:rPr>
        <w:tab/>
        <w:t>Pakuotės turinys ir kita informacija</w:t>
      </w:r>
    </w:p>
    <w:p w14:paraId="4BA5F794" w14:textId="77777777" w:rsidR="00952E27" w:rsidRPr="002D3411" w:rsidRDefault="00952E27" w:rsidP="00DC5862">
      <w:pPr>
        <w:keepNext/>
        <w:tabs>
          <w:tab w:val="left" w:pos="567"/>
        </w:tabs>
        <w:suppressAutoHyphens/>
        <w:spacing w:after="0" w:line="240" w:lineRule="auto"/>
        <w:rPr>
          <w:rFonts w:ascii="Times New Roman" w:hAnsi="Times New Roman"/>
          <w:color w:val="000000"/>
        </w:rPr>
      </w:pPr>
    </w:p>
    <w:p w14:paraId="3917C24E" w14:textId="77777777" w:rsidR="00952E27" w:rsidRPr="002D3411" w:rsidRDefault="00952E27" w:rsidP="00235A1D">
      <w:pPr>
        <w:keepNext/>
        <w:tabs>
          <w:tab w:val="left" w:pos="567"/>
        </w:tabs>
        <w:suppressAutoHyphens/>
        <w:spacing w:after="0" w:line="240" w:lineRule="auto"/>
        <w:jc w:val="both"/>
        <w:rPr>
          <w:rFonts w:ascii="Times New Roman" w:hAnsi="Times New Roman"/>
          <w:color w:val="000000"/>
        </w:rPr>
      </w:pP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Pr="002D3411">
        <w:rPr>
          <w:rFonts w:ascii="Times New Roman" w:hAnsi="Times New Roman"/>
          <w:b/>
          <w:color w:val="000000"/>
        </w:rPr>
        <w:t>Zentiva</w:t>
      </w:r>
      <w:proofErr w:type="spellEnd"/>
      <w:r w:rsidR="000A56F7" w:rsidRPr="002D3411">
        <w:rPr>
          <w:rFonts w:ascii="Times New Roman" w:hAnsi="Times New Roman"/>
          <w:b/>
          <w:color w:val="000000"/>
        </w:rPr>
        <w:t xml:space="preserve"> </w:t>
      </w:r>
      <w:r w:rsidRPr="002D3411">
        <w:rPr>
          <w:rFonts w:ascii="Times New Roman" w:hAnsi="Times New Roman"/>
          <w:b/>
          <w:color w:val="000000"/>
        </w:rPr>
        <w:t xml:space="preserve">sudėtis </w:t>
      </w:r>
    </w:p>
    <w:p w14:paraId="5F86067F" w14:textId="7CB5E5E4" w:rsidR="00952E27" w:rsidRPr="002D3411" w:rsidRDefault="00952E27" w:rsidP="000A56F7">
      <w:pPr>
        <w:numPr>
          <w:ilvl w:val="0"/>
          <w:numId w:val="35"/>
        </w:numPr>
        <w:tabs>
          <w:tab w:val="left" w:pos="567"/>
        </w:tabs>
        <w:suppressAutoHyphens/>
        <w:spacing w:after="0" w:line="260" w:lineRule="exact"/>
        <w:ind w:left="426"/>
        <w:rPr>
          <w:rFonts w:ascii="Times New Roman" w:hAnsi="Times New Roman"/>
          <w:color w:val="000000"/>
        </w:rPr>
      </w:pPr>
      <w:r w:rsidRPr="002D3411">
        <w:rPr>
          <w:rFonts w:ascii="Times New Roman" w:hAnsi="Times New Roman"/>
          <w:color w:val="000000"/>
        </w:rPr>
        <w:t xml:space="preserve">Veiklioji medžiaga yra </w:t>
      </w:r>
      <w:proofErr w:type="spellStart"/>
      <w:r w:rsidRPr="002D3411">
        <w:rPr>
          <w:rFonts w:ascii="Times New Roman" w:hAnsi="Times New Roman"/>
          <w:color w:val="000000"/>
        </w:rPr>
        <w:t>dazatinibas</w:t>
      </w:r>
      <w:proofErr w:type="spellEnd"/>
      <w:r w:rsidRPr="002D3411">
        <w:rPr>
          <w:rFonts w:ascii="Times New Roman" w:hAnsi="Times New Roman"/>
          <w:color w:val="000000"/>
        </w:rPr>
        <w:t>. Kiekvienoje plėvele dengtoje tabletėje yra 50 mg</w:t>
      </w:r>
      <w:r w:rsidR="000A56F7" w:rsidRPr="002D3411">
        <w:rPr>
          <w:rFonts w:ascii="Times New Roman" w:hAnsi="Times New Roman"/>
          <w:color w:val="000000"/>
        </w:rPr>
        <w:t xml:space="preserve"> </w:t>
      </w:r>
      <w:proofErr w:type="spellStart"/>
      <w:r w:rsidRPr="002D3411">
        <w:rPr>
          <w:rFonts w:ascii="Times New Roman" w:hAnsi="Times New Roman"/>
          <w:color w:val="000000"/>
        </w:rPr>
        <w:t>dazatinibo</w:t>
      </w:r>
      <w:proofErr w:type="spellEnd"/>
      <w:r w:rsidRPr="002D3411">
        <w:rPr>
          <w:rFonts w:ascii="Times New Roman" w:hAnsi="Times New Roman"/>
          <w:color w:val="000000"/>
        </w:rPr>
        <w:t xml:space="preserve">. </w:t>
      </w:r>
    </w:p>
    <w:p w14:paraId="33B42003" w14:textId="0CDDDB15" w:rsidR="00952E27" w:rsidRPr="002D3411" w:rsidRDefault="00952E27" w:rsidP="005242E7">
      <w:pPr>
        <w:pStyle w:val="Sraopastraipa"/>
        <w:numPr>
          <w:ilvl w:val="0"/>
          <w:numId w:val="35"/>
        </w:numPr>
        <w:tabs>
          <w:tab w:val="left" w:pos="567"/>
        </w:tabs>
        <w:suppressAutoHyphens/>
        <w:spacing w:after="0" w:line="240" w:lineRule="auto"/>
        <w:ind w:left="426"/>
        <w:rPr>
          <w:rFonts w:ascii="Times New Roman" w:hAnsi="Times New Roman"/>
          <w:color w:val="000000"/>
        </w:rPr>
      </w:pPr>
      <w:r w:rsidRPr="002D3411">
        <w:rPr>
          <w:rFonts w:ascii="Times New Roman" w:hAnsi="Times New Roman"/>
          <w:color w:val="000000"/>
        </w:rPr>
        <w:t>Pagalbinės medžiagos</w:t>
      </w:r>
      <w:r w:rsidR="005242E7" w:rsidRPr="002D3411">
        <w:rPr>
          <w:rFonts w:ascii="Times New Roman" w:hAnsi="Times New Roman"/>
          <w:color w:val="000000"/>
        </w:rPr>
        <w:t xml:space="preserve">. </w:t>
      </w:r>
      <w:r w:rsidRPr="002D3411">
        <w:rPr>
          <w:rFonts w:ascii="Times New Roman" w:hAnsi="Times New Roman"/>
          <w:color w:val="000000"/>
          <w:u w:val="single"/>
        </w:rPr>
        <w:t>Tabletės šerdis:</w:t>
      </w:r>
      <w:r w:rsidRPr="002D3411">
        <w:rPr>
          <w:rFonts w:ascii="Times New Roman" w:hAnsi="Times New Roman"/>
          <w:color w:val="000000"/>
        </w:rPr>
        <w:t xml:space="preserve"> </w:t>
      </w:r>
      <w:r w:rsidR="005242E7" w:rsidRPr="002D3411">
        <w:rPr>
          <w:rFonts w:ascii="Times New Roman" w:hAnsi="Times New Roman"/>
          <w:color w:val="000000"/>
        </w:rPr>
        <w:t xml:space="preserve">laktozė </w:t>
      </w:r>
      <w:proofErr w:type="spellStart"/>
      <w:r w:rsidR="005242E7" w:rsidRPr="002D3411">
        <w:rPr>
          <w:rFonts w:ascii="Times New Roman" w:hAnsi="Times New Roman"/>
          <w:color w:val="000000"/>
        </w:rPr>
        <w:t>monohidratas</w:t>
      </w:r>
      <w:proofErr w:type="spellEnd"/>
      <w:r w:rsidR="005242E7" w:rsidRPr="002D3411">
        <w:rPr>
          <w:rFonts w:ascii="Times New Roman" w:hAnsi="Times New Roman"/>
          <w:color w:val="000000"/>
        </w:rPr>
        <w:t xml:space="preserve">, </w:t>
      </w:r>
      <w:proofErr w:type="spellStart"/>
      <w:r w:rsidR="005242E7" w:rsidRPr="002D3411">
        <w:rPr>
          <w:rFonts w:ascii="Times New Roman" w:hAnsi="Times New Roman"/>
          <w:color w:val="000000"/>
        </w:rPr>
        <w:t>mikrokristalinė</w:t>
      </w:r>
      <w:proofErr w:type="spellEnd"/>
      <w:r w:rsidR="005242E7" w:rsidRPr="002D3411">
        <w:rPr>
          <w:rFonts w:ascii="Times New Roman" w:hAnsi="Times New Roman"/>
          <w:color w:val="000000"/>
        </w:rPr>
        <w:t xml:space="preserve"> celiuliozė,</w:t>
      </w:r>
      <w:r w:rsidR="005F435B" w:rsidRPr="002D3411">
        <w:rPr>
          <w:rFonts w:ascii="Times New Roman" w:hAnsi="Times New Roman"/>
          <w:color w:val="000000"/>
        </w:rPr>
        <w:t xml:space="preserve"> </w:t>
      </w:r>
      <w:proofErr w:type="spellStart"/>
      <w:r w:rsidR="005242E7" w:rsidRPr="002D3411">
        <w:rPr>
          <w:rFonts w:ascii="Times New Roman" w:hAnsi="Times New Roman"/>
          <w:color w:val="000000"/>
        </w:rPr>
        <w:t>kroskarmeliozės</w:t>
      </w:r>
      <w:proofErr w:type="spellEnd"/>
      <w:r w:rsidR="005242E7" w:rsidRPr="002D3411">
        <w:rPr>
          <w:rFonts w:ascii="Times New Roman" w:hAnsi="Times New Roman"/>
          <w:color w:val="000000"/>
        </w:rPr>
        <w:t xml:space="preserve"> natrio druska, </w:t>
      </w:r>
      <w:proofErr w:type="spellStart"/>
      <w:r w:rsidR="005242E7" w:rsidRPr="002D3411">
        <w:rPr>
          <w:rFonts w:ascii="Times New Roman" w:hAnsi="Times New Roman"/>
          <w:color w:val="000000"/>
        </w:rPr>
        <w:t>hidroksipropilceliuliozė</w:t>
      </w:r>
      <w:proofErr w:type="spellEnd"/>
      <w:r w:rsidR="005242E7" w:rsidRPr="002D3411">
        <w:rPr>
          <w:rFonts w:ascii="Times New Roman" w:hAnsi="Times New Roman"/>
          <w:color w:val="000000"/>
        </w:rPr>
        <w:t xml:space="preserve">, magnio </w:t>
      </w:r>
      <w:proofErr w:type="spellStart"/>
      <w:r w:rsidR="005242E7" w:rsidRPr="002D3411">
        <w:rPr>
          <w:rFonts w:ascii="Times New Roman" w:hAnsi="Times New Roman"/>
          <w:color w:val="000000"/>
        </w:rPr>
        <w:t>stearatas</w:t>
      </w:r>
      <w:proofErr w:type="spellEnd"/>
      <w:r w:rsidR="005242E7" w:rsidRPr="002D3411">
        <w:rPr>
          <w:rFonts w:ascii="Times New Roman" w:hAnsi="Times New Roman"/>
          <w:color w:val="000000"/>
        </w:rPr>
        <w:t xml:space="preserve">. </w:t>
      </w:r>
      <w:r w:rsidR="005242E7" w:rsidRPr="002D3411">
        <w:rPr>
          <w:rFonts w:ascii="Times New Roman" w:hAnsi="Times New Roman"/>
          <w:color w:val="000000"/>
          <w:u w:val="single"/>
        </w:rPr>
        <w:t>Tabletės plėvelė:</w:t>
      </w:r>
      <w:r w:rsidR="005242E7" w:rsidRPr="002D3411">
        <w:rPr>
          <w:rFonts w:ascii="Times New Roman" w:hAnsi="Times New Roman"/>
          <w:i/>
          <w:color w:val="000000"/>
        </w:rPr>
        <w:t xml:space="preserve"> </w:t>
      </w:r>
      <w:r w:rsidR="005242E7" w:rsidRPr="002D3411">
        <w:rPr>
          <w:rFonts w:ascii="Times New Roman" w:hAnsi="Times New Roman"/>
          <w:color w:val="000000"/>
        </w:rPr>
        <w:t xml:space="preserve">laktozė </w:t>
      </w:r>
      <w:proofErr w:type="spellStart"/>
      <w:r w:rsidR="005242E7" w:rsidRPr="002D3411">
        <w:rPr>
          <w:rFonts w:ascii="Times New Roman" w:hAnsi="Times New Roman"/>
          <w:color w:val="000000"/>
        </w:rPr>
        <w:t>monohidratas</w:t>
      </w:r>
      <w:proofErr w:type="spellEnd"/>
      <w:r w:rsidR="005242E7" w:rsidRPr="002D3411">
        <w:rPr>
          <w:rFonts w:ascii="Times New Roman" w:hAnsi="Times New Roman"/>
          <w:color w:val="000000"/>
        </w:rPr>
        <w:t xml:space="preserve">, </w:t>
      </w:r>
      <w:proofErr w:type="spellStart"/>
      <w:r w:rsidR="005242E7" w:rsidRPr="002D3411">
        <w:rPr>
          <w:rFonts w:ascii="Times New Roman" w:hAnsi="Times New Roman"/>
          <w:color w:val="000000"/>
        </w:rPr>
        <w:t>hipromeliozė</w:t>
      </w:r>
      <w:proofErr w:type="spellEnd"/>
      <w:r w:rsidR="005242E7" w:rsidRPr="002D3411">
        <w:rPr>
          <w:rFonts w:ascii="Times New Roman" w:hAnsi="Times New Roman"/>
          <w:color w:val="000000"/>
        </w:rPr>
        <w:t xml:space="preserve">, titano dioksidas (E171), </w:t>
      </w:r>
      <w:proofErr w:type="spellStart"/>
      <w:r w:rsidR="005242E7" w:rsidRPr="002D3411">
        <w:rPr>
          <w:rFonts w:ascii="Times New Roman" w:hAnsi="Times New Roman"/>
          <w:color w:val="000000"/>
        </w:rPr>
        <w:t>triacetinas</w:t>
      </w:r>
      <w:proofErr w:type="spellEnd"/>
      <w:r w:rsidR="005242E7" w:rsidRPr="002D3411">
        <w:rPr>
          <w:rFonts w:ascii="Times New Roman" w:hAnsi="Times New Roman"/>
          <w:color w:val="000000"/>
        </w:rPr>
        <w:t>.</w:t>
      </w:r>
    </w:p>
    <w:p w14:paraId="203CDFD2" w14:textId="77777777" w:rsidR="005242E7" w:rsidRPr="002D3411" w:rsidRDefault="005242E7" w:rsidP="005242E7">
      <w:pPr>
        <w:tabs>
          <w:tab w:val="left" w:pos="567"/>
        </w:tabs>
        <w:suppressAutoHyphens/>
        <w:spacing w:after="0" w:line="240" w:lineRule="auto"/>
        <w:ind w:left="426"/>
        <w:rPr>
          <w:rFonts w:ascii="Times New Roman" w:hAnsi="Times New Roman"/>
          <w:color w:val="000000"/>
        </w:rPr>
      </w:pPr>
    </w:p>
    <w:p w14:paraId="5A632EC3" w14:textId="77777777" w:rsidR="00952E27" w:rsidRPr="002D3411" w:rsidRDefault="00952E27" w:rsidP="00DC5862">
      <w:pPr>
        <w:keepNext/>
        <w:suppressAutoHyphens/>
        <w:spacing w:after="0" w:line="240" w:lineRule="auto"/>
        <w:rPr>
          <w:rFonts w:ascii="Times New Roman" w:hAnsi="Times New Roman"/>
          <w:color w:val="000000"/>
        </w:rPr>
      </w:pPr>
      <w:proofErr w:type="spellStart"/>
      <w:r w:rsidRPr="002D3411">
        <w:rPr>
          <w:rFonts w:ascii="Times New Roman" w:hAnsi="Times New Roman"/>
          <w:b/>
          <w:color w:val="000000"/>
        </w:rPr>
        <w:t>Dasatinib</w:t>
      </w:r>
      <w:proofErr w:type="spellEnd"/>
      <w:r w:rsidRPr="002D3411">
        <w:rPr>
          <w:rFonts w:ascii="Times New Roman" w:hAnsi="Times New Roman"/>
          <w:b/>
          <w:color w:val="000000"/>
        </w:rPr>
        <w:t xml:space="preserve"> </w:t>
      </w:r>
      <w:proofErr w:type="spellStart"/>
      <w:r w:rsidRPr="002D3411">
        <w:rPr>
          <w:rFonts w:ascii="Times New Roman" w:hAnsi="Times New Roman"/>
          <w:b/>
          <w:color w:val="000000"/>
        </w:rPr>
        <w:t>Zentiva</w:t>
      </w:r>
      <w:proofErr w:type="spellEnd"/>
      <w:r w:rsidR="005242E7" w:rsidRPr="002D3411">
        <w:rPr>
          <w:rFonts w:ascii="Times New Roman" w:hAnsi="Times New Roman"/>
          <w:b/>
          <w:color w:val="000000"/>
        </w:rPr>
        <w:t xml:space="preserve"> </w:t>
      </w:r>
      <w:r w:rsidRPr="002D3411">
        <w:rPr>
          <w:rFonts w:ascii="Times New Roman" w:hAnsi="Times New Roman"/>
          <w:b/>
          <w:color w:val="000000"/>
        </w:rPr>
        <w:t>išvaizda ir kiekis pakuotėje</w:t>
      </w:r>
    </w:p>
    <w:p w14:paraId="2A05E6E0" w14:textId="623C4250" w:rsidR="005242E7" w:rsidRPr="00975CA4" w:rsidRDefault="00975CA4" w:rsidP="005242E7">
      <w:pPr>
        <w:spacing w:after="0" w:line="240" w:lineRule="auto"/>
        <w:rPr>
          <w:rFonts w:ascii="Times New Roman" w:eastAsia="Calibri" w:hAnsi="Times New Roman" w:cs="Times New Roman"/>
          <w:color w:val="000000"/>
          <w:lang w:eastAsia="ar-SA"/>
        </w:rPr>
      </w:pPr>
      <w:r w:rsidRPr="00975CA4">
        <w:rPr>
          <w:rFonts w:ascii="Times New Roman" w:eastAsia="Calibri" w:hAnsi="Times New Roman" w:cs="Times New Roman"/>
          <w:color w:val="000000"/>
          <w:lang w:eastAsia="ar-SA"/>
        </w:rPr>
        <w:t>P</w:t>
      </w:r>
      <w:r w:rsidR="005242E7" w:rsidRPr="00975CA4">
        <w:rPr>
          <w:rFonts w:ascii="Times New Roman" w:eastAsia="Calibri" w:hAnsi="Times New Roman" w:cs="Times New Roman"/>
          <w:color w:val="000000"/>
          <w:lang w:eastAsia="ar-SA"/>
        </w:rPr>
        <w:t xml:space="preserve">lėvele dengta tabletė (tabletė) yra balta arba balkšva, abipus išgaubta, ovali, apytiksliai 11,0 mm ilgio ir 6,0 mm pločio, kurios vienoje pusėje įspausta „D7SB”, o kitoje pusėje – „50”. </w:t>
      </w:r>
    </w:p>
    <w:p w14:paraId="5232456D" w14:textId="77777777" w:rsidR="00952E27" w:rsidRPr="00975CA4" w:rsidRDefault="00952E27" w:rsidP="00952E27">
      <w:pPr>
        <w:suppressAutoHyphens/>
        <w:spacing w:after="0" w:line="240" w:lineRule="auto"/>
        <w:jc w:val="both"/>
        <w:rPr>
          <w:rFonts w:ascii="Times New Roman" w:eastAsia="Calibri" w:hAnsi="Times New Roman" w:cs="Times New Roman"/>
          <w:color w:val="000000"/>
          <w:lang w:eastAsia="ar-SA"/>
        </w:rPr>
      </w:pPr>
    </w:p>
    <w:p w14:paraId="6D9E58B6" w14:textId="2C4D6C43" w:rsidR="005242E7" w:rsidRPr="002D3411" w:rsidRDefault="00975CA4" w:rsidP="005242E7">
      <w:pPr>
        <w:suppressAutoHyphens/>
        <w:spacing w:after="0" w:line="240" w:lineRule="auto"/>
        <w:rPr>
          <w:rFonts w:ascii="Times New Roman" w:hAnsi="Times New Roman"/>
          <w:color w:val="000000"/>
        </w:rPr>
      </w:pPr>
      <w:r w:rsidRPr="00975CA4">
        <w:rPr>
          <w:rFonts w:ascii="Times New Roman" w:eastAsia="Calibri" w:hAnsi="Times New Roman" w:cs="Times New Roman"/>
          <w:color w:val="000000"/>
          <w:lang w:eastAsia="ar-SA"/>
        </w:rPr>
        <w:t>K</w:t>
      </w:r>
      <w:r w:rsidR="005242E7" w:rsidRPr="00975CA4">
        <w:rPr>
          <w:rFonts w:ascii="Times New Roman" w:eastAsia="Calibri" w:hAnsi="Times New Roman" w:cs="Times New Roman"/>
          <w:color w:val="000000"/>
          <w:lang w:eastAsia="ar-SA"/>
        </w:rPr>
        <w:t>artono</w:t>
      </w:r>
      <w:r w:rsidR="005242E7" w:rsidRPr="002D3411">
        <w:rPr>
          <w:rFonts w:ascii="Times New Roman" w:hAnsi="Times New Roman"/>
          <w:color w:val="000000"/>
        </w:rPr>
        <w:t xml:space="preserve"> dėžutė, kurioje yra 60 plėvele dengtų tablečių lizdinėse plokštelėse arba kartono dėžutė, kurioje yra 60 x 1 plėvele dengtų tablečių perforuotose </w:t>
      </w:r>
      <w:proofErr w:type="spellStart"/>
      <w:r w:rsidR="005242E7" w:rsidRPr="002D3411">
        <w:rPr>
          <w:rFonts w:ascii="Times New Roman" w:hAnsi="Times New Roman"/>
          <w:color w:val="000000"/>
        </w:rPr>
        <w:t>dalomosiose</w:t>
      </w:r>
      <w:proofErr w:type="spellEnd"/>
      <w:r w:rsidR="005242E7" w:rsidRPr="002D3411">
        <w:rPr>
          <w:rFonts w:ascii="Times New Roman" w:hAnsi="Times New Roman"/>
          <w:color w:val="000000"/>
        </w:rPr>
        <w:t xml:space="preserve"> lizdinėse plokštelėse. Kartono dėžutė, kurioje yra viena </w:t>
      </w:r>
      <w:proofErr w:type="spellStart"/>
      <w:r w:rsidR="00CD5DBE" w:rsidRPr="002D3411">
        <w:rPr>
          <w:rFonts w:ascii="Times New Roman" w:hAnsi="Times New Roman"/>
          <w:color w:val="000000"/>
        </w:rPr>
        <w:t>talpyklė</w:t>
      </w:r>
      <w:proofErr w:type="spellEnd"/>
      <w:r w:rsidR="00CD5DBE" w:rsidRPr="002D3411">
        <w:rPr>
          <w:rFonts w:ascii="Times New Roman" w:hAnsi="Times New Roman"/>
          <w:color w:val="000000"/>
        </w:rPr>
        <w:t xml:space="preserve"> </w:t>
      </w:r>
      <w:r w:rsidR="005242E7" w:rsidRPr="002D3411">
        <w:rPr>
          <w:rFonts w:ascii="Times New Roman" w:hAnsi="Times New Roman"/>
          <w:color w:val="000000"/>
        </w:rPr>
        <w:t>su 60 plėvele dengtų tablečių.</w:t>
      </w:r>
    </w:p>
    <w:p w14:paraId="6EBE3075" w14:textId="77777777" w:rsidR="005242E7" w:rsidRPr="002D3411" w:rsidRDefault="005242E7" w:rsidP="005242E7">
      <w:pPr>
        <w:suppressAutoHyphens/>
        <w:spacing w:after="0" w:line="240" w:lineRule="auto"/>
        <w:rPr>
          <w:rFonts w:ascii="Times New Roman" w:hAnsi="Times New Roman"/>
          <w:color w:val="000000"/>
        </w:rPr>
      </w:pPr>
    </w:p>
    <w:p w14:paraId="50944157" w14:textId="77777777" w:rsidR="00952E27" w:rsidRPr="002D3411" w:rsidRDefault="00952E27" w:rsidP="00952E27">
      <w:pPr>
        <w:suppressAutoHyphens/>
        <w:spacing w:after="0" w:line="240" w:lineRule="auto"/>
        <w:jc w:val="both"/>
        <w:rPr>
          <w:rFonts w:ascii="Times New Roman" w:hAnsi="Times New Roman"/>
          <w:color w:val="000000"/>
        </w:rPr>
      </w:pPr>
      <w:r w:rsidRPr="002D3411">
        <w:rPr>
          <w:rFonts w:ascii="Times New Roman" w:hAnsi="Times New Roman"/>
          <w:color w:val="000000"/>
        </w:rPr>
        <w:t>Gali būti tiekiamos ne visų dydžių pakuotės.</w:t>
      </w:r>
    </w:p>
    <w:p w14:paraId="629B94AC" w14:textId="77777777" w:rsidR="00952E27" w:rsidRPr="002D3411" w:rsidRDefault="00952E27" w:rsidP="00952E27">
      <w:pPr>
        <w:tabs>
          <w:tab w:val="left" w:pos="567"/>
        </w:tabs>
        <w:suppressAutoHyphens/>
        <w:spacing w:after="0" w:line="240" w:lineRule="auto"/>
        <w:rPr>
          <w:rFonts w:ascii="Times New Roman" w:hAnsi="Times New Roman"/>
          <w:color w:val="000000"/>
        </w:rPr>
      </w:pPr>
    </w:p>
    <w:p w14:paraId="05A3842C" w14:textId="77777777" w:rsidR="00952E27" w:rsidRPr="002D3411" w:rsidRDefault="00952E27" w:rsidP="00DC5862">
      <w:pPr>
        <w:keepNext/>
        <w:suppressAutoHyphens/>
        <w:spacing w:after="0" w:line="240" w:lineRule="auto"/>
        <w:rPr>
          <w:rFonts w:ascii="Times New Roman" w:hAnsi="Times New Roman"/>
          <w:color w:val="000000"/>
        </w:rPr>
      </w:pPr>
      <w:r w:rsidRPr="002D3411">
        <w:rPr>
          <w:rFonts w:ascii="Times New Roman" w:hAnsi="Times New Roman"/>
          <w:b/>
          <w:color w:val="000000"/>
        </w:rPr>
        <w:t>Registruotojas ir gamintojas</w:t>
      </w:r>
    </w:p>
    <w:p w14:paraId="70026492" w14:textId="77777777" w:rsidR="00952E27" w:rsidRPr="002D3411" w:rsidRDefault="00952E27" w:rsidP="00DC5862">
      <w:pPr>
        <w:keepNext/>
        <w:tabs>
          <w:tab w:val="left" w:pos="425"/>
          <w:tab w:val="left" w:pos="567"/>
        </w:tabs>
        <w:suppressAutoHyphens/>
        <w:spacing w:after="0" w:line="240" w:lineRule="auto"/>
        <w:rPr>
          <w:rFonts w:ascii="Times New Roman" w:hAnsi="Times New Roman"/>
          <w:color w:val="000000"/>
        </w:rPr>
      </w:pPr>
      <w:r w:rsidRPr="002D3411">
        <w:rPr>
          <w:rFonts w:ascii="Times New Roman" w:hAnsi="Times New Roman"/>
          <w:i/>
          <w:color w:val="000000"/>
        </w:rPr>
        <w:t>Registruotojas</w:t>
      </w:r>
    </w:p>
    <w:p w14:paraId="26D92F8C" w14:textId="77777777" w:rsidR="003455B6" w:rsidRPr="00975CA4" w:rsidRDefault="003455B6" w:rsidP="00DC5862">
      <w:pPr>
        <w:keepNext/>
        <w:tabs>
          <w:tab w:val="left" w:pos="425"/>
          <w:tab w:val="left" w:pos="567"/>
        </w:tabs>
        <w:suppressAutoHyphens/>
        <w:spacing w:after="0" w:line="240" w:lineRule="auto"/>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Zentiva</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k.s</w:t>
      </w:r>
      <w:proofErr w:type="spellEnd"/>
      <w:r w:rsidRPr="00975CA4">
        <w:rPr>
          <w:rFonts w:ascii="Times New Roman" w:eastAsia="Times New Roman" w:hAnsi="Times New Roman" w:cs="Times New Roman"/>
          <w:color w:val="000000"/>
          <w:lang w:eastAsia="ar-SA"/>
        </w:rPr>
        <w:t>.</w:t>
      </w:r>
    </w:p>
    <w:p w14:paraId="7501E719" w14:textId="77777777" w:rsidR="003455B6" w:rsidRPr="00975CA4" w:rsidRDefault="003455B6" w:rsidP="00DC5862">
      <w:pPr>
        <w:keepNext/>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 xml:space="preserve">U </w:t>
      </w:r>
      <w:proofErr w:type="spellStart"/>
      <w:r w:rsidRPr="00975CA4">
        <w:rPr>
          <w:rFonts w:ascii="Times New Roman" w:eastAsia="Times New Roman" w:hAnsi="Times New Roman" w:cs="Times New Roman"/>
          <w:color w:val="000000"/>
          <w:lang w:eastAsia="ar-SA"/>
        </w:rPr>
        <w:t>kabelovny</w:t>
      </w:r>
      <w:proofErr w:type="spellEnd"/>
      <w:r w:rsidRPr="00975CA4">
        <w:rPr>
          <w:rFonts w:ascii="Times New Roman" w:eastAsia="Times New Roman" w:hAnsi="Times New Roman" w:cs="Times New Roman"/>
          <w:color w:val="000000"/>
          <w:lang w:eastAsia="ar-SA"/>
        </w:rPr>
        <w:t xml:space="preserve"> 130</w:t>
      </w:r>
    </w:p>
    <w:p w14:paraId="650B90BB" w14:textId="77777777" w:rsidR="003455B6" w:rsidRPr="00975CA4" w:rsidRDefault="003455B6" w:rsidP="00DC5862">
      <w:pPr>
        <w:keepNext/>
        <w:tabs>
          <w:tab w:val="left" w:pos="425"/>
          <w:tab w:val="left" w:pos="567"/>
        </w:tabs>
        <w:suppressAutoHyphens/>
        <w:spacing w:after="0" w:line="240" w:lineRule="auto"/>
        <w:rPr>
          <w:rFonts w:ascii="Times New Roman" w:eastAsia="Times New Roman" w:hAnsi="Times New Roman" w:cs="Times New Roman"/>
          <w:color w:val="000000"/>
          <w:lang w:eastAsia="ar-SA"/>
        </w:rPr>
      </w:pPr>
      <w:proofErr w:type="spellStart"/>
      <w:r w:rsidRPr="00975CA4">
        <w:rPr>
          <w:rFonts w:ascii="Times New Roman" w:eastAsia="Times New Roman" w:hAnsi="Times New Roman" w:cs="Times New Roman"/>
          <w:color w:val="000000"/>
          <w:lang w:eastAsia="ar-SA"/>
        </w:rPr>
        <w:t>Dolní</w:t>
      </w:r>
      <w:proofErr w:type="spellEnd"/>
      <w:r w:rsidRPr="00975CA4">
        <w:rPr>
          <w:rFonts w:ascii="Times New Roman" w:eastAsia="Times New Roman" w:hAnsi="Times New Roman" w:cs="Times New Roman"/>
          <w:color w:val="000000"/>
          <w:lang w:eastAsia="ar-SA"/>
        </w:rPr>
        <w:t xml:space="preserve"> </w:t>
      </w:r>
      <w:proofErr w:type="spellStart"/>
      <w:r w:rsidRPr="00975CA4">
        <w:rPr>
          <w:rFonts w:ascii="Times New Roman" w:eastAsia="Times New Roman" w:hAnsi="Times New Roman" w:cs="Times New Roman"/>
          <w:color w:val="000000"/>
          <w:lang w:eastAsia="ar-SA"/>
        </w:rPr>
        <w:t>Měcholupy</w:t>
      </w:r>
      <w:proofErr w:type="spellEnd"/>
    </w:p>
    <w:p w14:paraId="07BC5072" w14:textId="77777777" w:rsidR="003455B6" w:rsidRPr="00975CA4" w:rsidRDefault="003455B6" w:rsidP="00DC5862">
      <w:pPr>
        <w:keepNext/>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102 37 Praha 10</w:t>
      </w:r>
    </w:p>
    <w:p w14:paraId="5E66D837" w14:textId="77777777" w:rsidR="003455B6" w:rsidRPr="00975CA4" w:rsidRDefault="003455B6" w:rsidP="003455B6">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975CA4">
        <w:rPr>
          <w:rFonts w:ascii="Times New Roman" w:eastAsia="Times New Roman" w:hAnsi="Times New Roman" w:cs="Times New Roman"/>
          <w:color w:val="000000"/>
          <w:lang w:eastAsia="ar-SA"/>
        </w:rPr>
        <w:t>Čekija</w:t>
      </w:r>
    </w:p>
    <w:p w14:paraId="2A8195AA" w14:textId="77777777" w:rsidR="00952E27" w:rsidRPr="002D3411" w:rsidRDefault="00952E27" w:rsidP="00952E27">
      <w:pPr>
        <w:widowControl w:val="0"/>
        <w:tabs>
          <w:tab w:val="left" w:pos="567"/>
        </w:tabs>
        <w:suppressAutoHyphens/>
        <w:spacing w:after="0" w:line="240" w:lineRule="auto"/>
        <w:ind w:right="7956"/>
        <w:rPr>
          <w:rFonts w:ascii="Times New Roman" w:hAnsi="Times New Roman"/>
          <w:b/>
          <w:color w:val="000000"/>
          <w:shd w:val="clear" w:color="auto" w:fill="FFFF00"/>
        </w:rPr>
      </w:pPr>
    </w:p>
    <w:p w14:paraId="485772E0" w14:textId="123A2D9C" w:rsidR="00952E27" w:rsidRPr="002D3411" w:rsidRDefault="00952E27"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i/>
          <w:color w:val="000000"/>
        </w:rPr>
        <w:t>Gamintoja</w:t>
      </w:r>
      <w:r w:rsidR="00CD5DBE" w:rsidRPr="002D3411">
        <w:rPr>
          <w:rFonts w:ascii="Times New Roman" w:hAnsi="Times New Roman"/>
          <w:i/>
          <w:color w:val="000000"/>
        </w:rPr>
        <w:t>s</w:t>
      </w:r>
    </w:p>
    <w:p w14:paraId="5DDEC63A" w14:textId="77777777" w:rsidR="003455B6" w:rsidRPr="00975CA4" w:rsidRDefault="003455B6" w:rsidP="00DC5862">
      <w:pPr>
        <w:keepNext/>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Synthon</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Hispania</w:t>
      </w:r>
      <w:proofErr w:type="spellEnd"/>
      <w:r w:rsidRPr="00975CA4">
        <w:rPr>
          <w:rFonts w:ascii="Times New Roman" w:eastAsia="Times New Roman" w:hAnsi="Times New Roman" w:cs="Times New Roman"/>
        </w:rPr>
        <w:t xml:space="preserve"> S.L. </w:t>
      </w:r>
    </w:p>
    <w:p w14:paraId="46678A84" w14:textId="77777777" w:rsidR="003455B6" w:rsidRPr="00975CA4" w:rsidRDefault="003455B6" w:rsidP="00DC5862">
      <w:pPr>
        <w:keepNext/>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Calle</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Castello</w:t>
      </w:r>
      <w:proofErr w:type="spellEnd"/>
      <w:r w:rsidRPr="00975CA4">
        <w:rPr>
          <w:rFonts w:ascii="Times New Roman" w:eastAsia="Times New Roman" w:hAnsi="Times New Roman" w:cs="Times New Roman"/>
        </w:rPr>
        <w:t xml:space="preserve"> 1 </w:t>
      </w:r>
    </w:p>
    <w:p w14:paraId="0D39D5EE" w14:textId="77777777" w:rsidR="003455B6" w:rsidRPr="00975CA4" w:rsidRDefault="003455B6" w:rsidP="00DC5862">
      <w:pPr>
        <w:keepNext/>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xml:space="preserve">Poligono </w:t>
      </w:r>
      <w:proofErr w:type="spellStart"/>
      <w:r w:rsidRPr="00975CA4">
        <w:rPr>
          <w:rFonts w:ascii="Times New Roman" w:eastAsia="Times New Roman" w:hAnsi="Times New Roman" w:cs="Times New Roman"/>
        </w:rPr>
        <w:t>Las</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Salinas</w:t>
      </w:r>
      <w:proofErr w:type="spellEnd"/>
      <w:r w:rsidRPr="00975CA4">
        <w:rPr>
          <w:rFonts w:ascii="Times New Roman" w:eastAsia="Times New Roman" w:hAnsi="Times New Roman" w:cs="Times New Roman"/>
        </w:rPr>
        <w:t xml:space="preserve"> </w:t>
      </w:r>
    </w:p>
    <w:p w14:paraId="7ED0B51E" w14:textId="77777777" w:rsidR="003455B6" w:rsidRPr="00975CA4" w:rsidRDefault="003455B6" w:rsidP="00DC5862">
      <w:pPr>
        <w:keepNext/>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xml:space="preserve">08830 </w:t>
      </w:r>
      <w:proofErr w:type="spellStart"/>
      <w:r w:rsidRPr="00975CA4">
        <w:rPr>
          <w:rFonts w:ascii="Times New Roman" w:eastAsia="Times New Roman" w:hAnsi="Times New Roman" w:cs="Times New Roman"/>
        </w:rPr>
        <w:t>Sant</w:t>
      </w:r>
      <w:proofErr w:type="spellEnd"/>
      <w:r w:rsidRPr="00975CA4">
        <w:rPr>
          <w:rFonts w:ascii="Times New Roman" w:eastAsia="Times New Roman" w:hAnsi="Times New Roman" w:cs="Times New Roman"/>
        </w:rPr>
        <w:t xml:space="preserve"> </w:t>
      </w:r>
      <w:proofErr w:type="spellStart"/>
      <w:r w:rsidRPr="00975CA4">
        <w:rPr>
          <w:rFonts w:ascii="Times New Roman" w:eastAsia="Times New Roman" w:hAnsi="Times New Roman" w:cs="Times New Roman"/>
        </w:rPr>
        <w:t>Boi</w:t>
      </w:r>
      <w:proofErr w:type="spellEnd"/>
      <w:r w:rsidRPr="00975CA4">
        <w:rPr>
          <w:rFonts w:ascii="Times New Roman" w:eastAsia="Times New Roman" w:hAnsi="Times New Roman" w:cs="Times New Roman"/>
        </w:rPr>
        <w:t xml:space="preserve"> de </w:t>
      </w:r>
      <w:proofErr w:type="spellStart"/>
      <w:r w:rsidRPr="00975CA4">
        <w:rPr>
          <w:rFonts w:ascii="Times New Roman" w:eastAsia="Times New Roman" w:hAnsi="Times New Roman" w:cs="Times New Roman"/>
        </w:rPr>
        <w:t>Llobregat</w:t>
      </w:r>
      <w:proofErr w:type="spellEnd"/>
      <w:r w:rsidRPr="00975CA4">
        <w:rPr>
          <w:rFonts w:ascii="Times New Roman" w:eastAsia="Times New Roman" w:hAnsi="Times New Roman" w:cs="Times New Roman"/>
        </w:rPr>
        <w:t xml:space="preserve"> </w:t>
      </w:r>
    </w:p>
    <w:p w14:paraId="27C13FCE" w14:textId="77777777" w:rsidR="003455B6" w:rsidRPr="00975CA4" w:rsidRDefault="003455B6" w:rsidP="00DC5862">
      <w:pPr>
        <w:keepNext/>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Barcelona</w:t>
      </w:r>
      <w:proofErr w:type="spellEnd"/>
    </w:p>
    <w:p w14:paraId="3BB977B6" w14:textId="77777777" w:rsidR="003455B6" w:rsidRPr="00975CA4" w:rsidRDefault="003455B6" w:rsidP="003455B6">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Ispanija</w:t>
      </w:r>
    </w:p>
    <w:p w14:paraId="55324B98" w14:textId="77777777" w:rsidR="003455B6" w:rsidRPr="00975CA4" w:rsidRDefault="003455B6" w:rsidP="003455B6">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w:t>
      </w:r>
    </w:p>
    <w:p w14:paraId="058AF531" w14:textId="77777777" w:rsidR="003455B6" w:rsidRPr="00975CA4" w:rsidRDefault="003455B6" w:rsidP="003455B6">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arba</w:t>
      </w:r>
    </w:p>
    <w:p w14:paraId="3EED0CA7" w14:textId="77777777" w:rsidR="003455B6" w:rsidRPr="00975CA4" w:rsidRDefault="003455B6" w:rsidP="003455B6">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w:t>
      </w:r>
    </w:p>
    <w:p w14:paraId="270B30D2" w14:textId="77777777" w:rsidR="003455B6" w:rsidRPr="00975CA4" w:rsidRDefault="003455B6" w:rsidP="00DC5862">
      <w:pPr>
        <w:keepNext/>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Synthon</w:t>
      </w:r>
      <w:proofErr w:type="spellEnd"/>
      <w:r w:rsidRPr="00975CA4">
        <w:rPr>
          <w:rFonts w:ascii="Times New Roman" w:eastAsia="Times New Roman" w:hAnsi="Times New Roman" w:cs="Times New Roman"/>
        </w:rPr>
        <w:t xml:space="preserve"> BV </w:t>
      </w:r>
    </w:p>
    <w:p w14:paraId="735CAD12" w14:textId="77777777" w:rsidR="003455B6" w:rsidRPr="00975CA4" w:rsidRDefault="003455B6" w:rsidP="00DC5862">
      <w:pPr>
        <w:keepNext/>
        <w:widowControl w:val="0"/>
        <w:autoSpaceDE w:val="0"/>
        <w:autoSpaceDN w:val="0"/>
        <w:spacing w:after="0" w:line="240" w:lineRule="auto"/>
        <w:rPr>
          <w:rFonts w:ascii="Times New Roman" w:eastAsia="Times New Roman" w:hAnsi="Times New Roman" w:cs="Times New Roman"/>
        </w:rPr>
      </w:pPr>
      <w:proofErr w:type="spellStart"/>
      <w:r w:rsidRPr="00975CA4">
        <w:rPr>
          <w:rFonts w:ascii="Times New Roman" w:eastAsia="Times New Roman" w:hAnsi="Times New Roman" w:cs="Times New Roman"/>
        </w:rPr>
        <w:t>Microweg</w:t>
      </w:r>
      <w:proofErr w:type="spellEnd"/>
      <w:r w:rsidRPr="00975CA4">
        <w:rPr>
          <w:rFonts w:ascii="Times New Roman" w:eastAsia="Times New Roman" w:hAnsi="Times New Roman" w:cs="Times New Roman"/>
        </w:rPr>
        <w:t xml:space="preserve"> 22 </w:t>
      </w:r>
    </w:p>
    <w:p w14:paraId="45688200" w14:textId="77777777" w:rsidR="003455B6" w:rsidRPr="00975CA4" w:rsidRDefault="003455B6" w:rsidP="00DC5862">
      <w:pPr>
        <w:keepNext/>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 xml:space="preserve">6545 CM </w:t>
      </w:r>
      <w:proofErr w:type="spellStart"/>
      <w:r w:rsidRPr="00975CA4">
        <w:rPr>
          <w:rFonts w:ascii="Times New Roman" w:eastAsia="Times New Roman" w:hAnsi="Times New Roman" w:cs="Times New Roman"/>
        </w:rPr>
        <w:t>Nijmegen</w:t>
      </w:r>
      <w:proofErr w:type="spellEnd"/>
      <w:r w:rsidRPr="00975CA4">
        <w:rPr>
          <w:rFonts w:ascii="Times New Roman" w:eastAsia="Times New Roman" w:hAnsi="Times New Roman" w:cs="Times New Roman"/>
        </w:rPr>
        <w:t xml:space="preserve"> </w:t>
      </w:r>
    </w:p>
    <w:p w14:paraId="55501A95" w14:textId="77777777" w:rsidR="003455B6" w:rsidRPr="00975CA4" w:rsidRDefault="003455B6" w:rsidP="003455B6">
      <w:pPr>
        <w:widowControl w:val="0"/>
        <w:autoSpaceDE w:val="0"/>
        <w:autoSpaceDN w:val="0"/>
        <w:spacing w:after="0" w:line="240" w:lineRule="auto"/>
        <w:rPr>
          <w:rFonts w:ascii="Times New Roman" w:eastAsia="Times New Roman" w:hAnsi="Times New Roman" w:cs="Times New Roman"/>
        </w:rPr>
      </w:pPr>
      <w:r w:rsidRPr="00975CA4">
        <w:rPr>
          <w:rFonts w:ascii="Times New Roman" w:eastAsia="Times New Roman" w:hAnsi="Times New Roman" w:cs="Times New Roman"/>
        </w:rPr>
        <w:t>Nyderlandai</w:t>
      </w:r>
    </w:p>
    <w:p w14:paraId="7D18A522" w14:textId="77777777" w:rsidR="00952E27" w:rsidRPr="002D3411" w:rsidRDefault="00952E27" w:rsidP="003455B6">
      <w:pPr>
        <w:suppressAutoHyphens/>
        <w:spacing w:after="0" w:line="240" w:lineRule="auto"/>
        <w:rPr>
          <w:rFonts w:ascii="Times New Roman" w:hAnsi="Times New Roman"/>
          <w:color w:val="000000"/>
        </w:rPr>
      </w:pPr>
    </w:p>
    <w:p w14:paraId="358415D8" w14:textId="3B03C0D3" w:rsidR="00952E27" w:rsidRPr="002D3411" w:rsidRDefault="00952E27" w:rsidP="00DC5862">
      <w:pPr>
        <w:keepNext/>
        <w:tabs>
          <w:tab w:val="left" w:pos="567"/>
        </w:tabs>
        <w:suppressAutoHyphens/>
        <w:spacing w:after="0" w:line="240" w:lineRule="auto"/>
        <w:rPr>
          <w:rFonts w:ascii="Times New Roman" w:hAnsi="Times New Roman"/>
          <w:color w:val="000000"/>
        </w:rPr>
      </w:pPr>
      <w:r w:rsidRPr="002D3411">
        <w:rPr>
          <w:rFonts w:ascii="Times New Roman" w:hAnsi="Times New Roman"/>
          <w:b/>
          <w:color w:val="000000"/>
        </w:rPr>
        <w:t>Šis vaistas E</w:t>
      </w:r>
      <w:r w:rsidR="005B486D" w:rsidRPr="002D3411">
        <w:rPr>
          <w:rFonts w:ascii="Times New Roman" w:hAnsi="Times New Roman"/>
          <w:b/>
          <w:color w:val="000000"/>
        </w:rPr>
        <w:t>uropos ekonominės erdvės</w:t>
      </w:r>
      <w:r w:rsidRPr="002D3411">
        <w:rPr>
          <w:rFonts w:ascii="Times New Roman" w:hAnsi="Times New Roman"/>
          <w:b/>
          <w:color w:val="000000"/>
        </w:rPr>
        <w:t xml:space="preserve"> valstybėse narėse </w:t>
      </w:r>
      <w:r w:rsidR="00C04CDA" w:rsidRPr="002D3411">
        <w:rPr>
          <w:rFonts w:ascii="Times New Roman" w:hAnsi="Times New Roman"/>
          <w:b/>
          <w:color w:val="000000"/>
        </w:rPr>
        <w:t xml:space="preserve">ir Jungtinėje Karalystėje (Šiaurės Airijoje) </w:t>
      </w:r>
      <w:r w:rsidRPr="002D3411">
        <w:rPr>
          <w:rFonts w:ascii="Times New Roman" w:hAnsi="Times New Roman"/>
          <w:b/>
          <w:color w:val="000000"/>
        </w:rPr>
        <w:t>registruotas tokiais pavadinimais</w:t>
      </w:r>
      <w:r w:rsidRPr="002D3411">
        <w:rPr>
          <w:rFonts w:ascii="Times New Roman" w:hAnsi="Times New Roman"/>
          <w:color w:val="000000"/>
        </w:rPr>
        <w:t>:</w:t>
      </w:r>
    </w:p>
    <w:p w14:paraId="2746C920" w14:textId="1A092C48" w:rsidR="00952E27" w:rsidRPr="002D3411" w:rsidRDefault="003455B6" w:rsidP="00952E27">
      <w:pPr>
        <w:tabs>
          <w:tab w:val="left" w:pos="567"/>
        </w:tabs>
        <w:suppressAutoHyphens/>
        <w:spacing w:after="0" w:line="240" w:lineRule="auto"/>
        <w:rPr>
          <w:rFonts w:ascii="Times New Roman" w:hAnsi="Times New Roman"/>
          <w:color w:val="000000"/>
        </w:rPr>
      </w:pPr>
      <w:r w:rsidRPr="002D3411">
        <w:rPr>
          <w:rFonts w:ascii="Times New Roman" w:hAnsi="Times New Roman"/>
          <w:color w:val="000000"/>
        </w:rPr>
        <w:t>Bulgarija, Čekija, Danija, Estija, Italija, Jungtinė Karalystė</w:t>
      </w:r>
      <w:r w:rsidR="00C04CDA" w:rsidRPr="002D3411">
        <w:rPr>
          <w:rFonts w:ascii="Times New Roman" w:hAnsi="Times New Roman"/>
          <w:color w:val="000000"/>
        </w:rPr>
        <w:t xml:space="preserve"> (</w:t>
      </w:r>
      <w:r w:rsidR="00C04CDA" w:rsidRPr="00975CA4">
        <w:rPr>
          <w:rFonts w:ascii="Times New Roman" w:eastAsia="SimSun" w:hAnsi="Times New Roman" w:cs="Times New Roman"/>
          <w:color w:val="000000"/>
          <w:lang w:eastAsia="ar-SA"/>
        </w:rPr>
        <w:t>Šiaurės Airija)</w:t>
      </w:r>
      <w:r w:rsidRPr="002D3411">
        <w:rPr>
          <w:rFonts w:ascii="Times New Roman" w:hAnsi="Times New Roman"/>
          <w:color w:val="000000"/>
        </w:rPr>
        <w:t xml:space="preserve">, Kroatija, Latvija, Lenkija, Lietuva, Nyderlandai, Portugalija, Prancūzija, Rumunija, Slovakija, Švedija, Vengrija – </w:t>
      </w:r>
      <w:proofErr w:type="spellStart"/>
      <w:r w:rsidRPr="002D3411">
        <w:rPr>
          <w:rFonts w:ascii="Times New Roman" w:hAnsi="Times New Roman"/>
          <w:color w:val="000000"/>
        </w:rPr>
        <w:t>Dasatinib</w:t>
      </w:r>
      <w:proofErr w:type="spellEnd"/>
      <w:r w:rsidRPr="002D3411">
        <w:rPr>
          <w:rFonts w:ascii="Times New Roman" w:hAnsi="Times New Roman"/>
          <w:color w:val="000000"/>
        </w:rPr>
        <w:t xml:space="preserve"> </w:t>
      </w:r>
      <w:proofErr w:type="spellStart"/>
      <w:r w:rsidRPr="002D3411">
        <w:rPr>
          <w:rFonts w:ascii="Times New Roman" w:hAnsi="Times New Roman"/>
          <w:color w:val="000000"/>
        </w:rPr>
        <w:t>Zentiva</w:t>
      </w:r>
      <w:proofErr w:type="spellEnd"/>
      <w:r w:rsidRPr="002D3411">
        <w:rPr>
          <w:rFonts w:ascii="Times New Roman" w:hAnsi="Times New Roman"/>
          <w:color w:val="000000"/>
        </w:rPr>
        <w:t>.</w:t>
      </w:r>
    </w:p>
    <w:p w14:paraId="619E994E" w14:textId="77777777" w:rsidR="00952E27" w:rsidRPr="002D3411" w:rsidRDefault="00952E27" w:rsidP="00952E27">
      <w:pPr>
        <w:tabs>
          <w:tab w:val="left" w:pos="567"/>
          <w:tab w:val="center" w:pos="2089"/>
        </w:tabs>
        <w:suppressAutoHyphens/>
        <w:spacing w:after="0" w:line="260" w:lineRule="exact"/>
        <w:rPr>
          <w:rFonts w:ascii="Times New Roman" w:hAnsi="Times New Roman"/>
          <w:color w:val="000000"/>
        </w:rPr>
      </w:pPr>
    </w:p>
    <w:p w14:paraId="1C6C2685" w14:textId="71F10BE5" w:rsidR="00952E27" w:rsidRPr="002D3411" w:rsidRDefault="00952E27" w:rsidP="00952E27">
      <w:pPr>
        <w:tabs>
          <w:tab w:val="left" w:pos="567"/>
        </w:tabs>
        <w:suppressAutoHyphens/>
        <w:spacing w:after="0" w:line="240" w:lineRule="auto"/>
        <w:rPr>
          <w:rFonts w:ascii="Times New Roman" w:hAnsi="Times New Roman"/>
          <w:b/>
          <w:color w:val="000000"/>
        </w:rPr>
      </w:pPr>
      <w:r w:rsidRPr="002D3411">
        <w:rPr>
          <w:rFonts w:ascii="Times New Roman" w:hAnsi="Times New Roman"/>
          <w:b/>
          <w:color w:val="000000"/>
        </w:rPr>
        <w:t xml:space="preserve">Šis pakuotės lapelis paskutinį kartą peržiūrėtas </w:t>
      </w:r>
      <w:r w:rsidR="00F414D6">
        <w:rPr>
          <w:rFonts w:ascii="Times New Roman" w:eastAsia="SimSun" w:hAnsi="Times New Roman" w:cs="Times New Roman"/>
          <w:b/>
          <w:bCs/>
          <w:color w:val="000000"/>
          <w:lang w:eastAsia="ar-SA"/>
        </w:rPr>
        <w:t>2024-02-14</w:t>
      </w:r>
      <w:r w:rsidR="003455B6" w:rsidRPr="00975CA4">
        <w:rPr>
          <w:rFonts w:ascii="Times New Roman" w:eastAsia="SimSun" w:hAnsi="Times New Roman" w:cs="Times New Roman"/>
          <w:b/>
          <w:bCs/>
          <w:color w:val="000000"/>
          <w:lang w:eastAsia="ar-SA"/>
        </w:rPr>
        <w:t>.</w:t>
      </w:r>
    </w:p>
    <w:p w14:paraId="7C0E8658" w14:textId="77777777" w:rsidR="00952E27" w:rsidRPr="002D3411" w:rsidRDefault="00952E27" w:rsidP="00952E27">
      <w:pPr>
        <w:tabs>
          <w:tab w:val="left" w:pos="567"/>
        </w:tabs>
        <w:suppressAutoHyphens/>
        <w:spacing w:after="0" w:line="240" w:lineRule="auto"/>
        <w:rPr>
          <w:rFonts w:ascii="Times New Roman" w:hAnsi="Times New Roman"/>
          <w:color w:val="000000"/>
          <w:shd w:val="clear" w:color="auto" w:fill="FFFF00"/>
        </w:rPr>
      </w:pPr>
    </w:p>
    <w:p w14:paraId="5444C97D" w14:textId="77777777" w:rsidR="00952E27" w:rsidRPr="002D3411" w:rsidRDefault="00952E27" w:rsidP="00952E27">
      <w:pPr>
        <w:tabs>
          <w:tab w:val="left" w:pos="567"/>
        </w:tabs>
        <w:suppressAutoHyphens/>
        <w:spacing w:after="0" w:line="240" w:lineRule="auto"/>
        <w:ind w:right="-2"/>
        <w:rPr>
          <w:rFonts w:ascii="Times New Roman" w:hAnsi="Times New Roman"/>
          <w:color w:val="000000"/>
        </w:rPr>
      </w:pPr>
      <w:r w:rsidRPr="002D3411">
        <w:rPr>
          <w:rFonts w:ascii="Times New Roman" w:hAnsi="Times New Roman"/>
          <w:color w:val="000000"/>
        </w:rPr>
        <w:t>Išsami informacija apie šį vaistą pateikiama Valstybinės vaistų kontrolės tarnybos prie Lietuvos Respublikos sveikatos apsaugos ministerijos tinklalapyje</w:t>
      </w:r>
      <w:r w:rsidRPr="002D3411">
        <w:rPr>
          <w:rFonts w:ascii="Times New Roman" w:hAnsi="Times New Roman"/>
          <w:i/>
          <w:color w:val="000000"/>
        </w:rPr>
        <w:t xml:space="preserve"> </w:t>
      </w:r>
      <w:hyperlink r:id="rId15" w:history="1">
        <w:r w:rsidRPr="002D3411">
          <w:rPr>
            <w:rStyle w:val="Hipersaitas"/>
            <w:rFonts w:ascii="Times New Roman" w:hAnsi="Times New Roman"/>
          </w:rPr>
          <w:t>http://www.vvkt.lt</w:t>
        </w:r>
      </w:hyperlink>
      <w:r w:rsidRPr="002D3411">
        <w:rPr>
          <w:rFonts w:ascii="Times New Roman" w:hAnsi="Times New Roman"/>
          <w:color w:val="000000"/>
        </w:rPr>
        <w:t>.</w:t>
      </w:r>
    </w:p>
    <w:p w14:paraId="6DF2B36C" w14:textId="77777777" w:rsidR="00952E27" w:rsidRPr="002D3411" w:rsidRDefault="00952E27" w:rsidP="00952E27">
      <w:pPr>
        <w:tabs>
          <w:tab w:val="left" w:pos="567"/>
        </w:tabs>
        <w:suppressAutoHyphens/>
        <w:spacing w:after="0" w:line="240" w:lineRule="auto"/>
        <w:rPr>
          <w:rFonts w:ascii="Times New Roman" w:hAnsi="Times New Roman"/>
          <w:color w:val="000000"/>
        </w:rPr>
      </w:pPr>
    </w:p>
    <w:sectPr w:rsidR="00952E27" w:rsidRPr="002D3411" w:rsidSect="002D3411">
      <w:headerReference w:type="default" r:id="rId16"/>
      <w:footerReference w:type="default" r:id="rId17"/>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8F63C" w14:textId="77777777" w:rsidR="002D3411" w:rsidRDefault="002D3411" w:rsidP="00937879">
      <w:pPr>
        <w:spacing w:after="0" w:line="240" w:lineRule="auto"/>
      </w:pPr>
      <w:r>
        <w:separator/>
      </w:r>
    </w:p>
  </w:endnote>
  <w:endnote w:type="continuationSeparator" w:id="0">
    <w:p w14:paraId="1634D3C0" w14:textId="77777777" w:rsidR="002D3411" w:rsidRDefault="002D3411" w:rsidP="00937879">
      <w:pPr>
        <w:spacing w:after="0" w:line="240" w:lineRule="auto"/>
      </w:pPr>
      <w:r>
        <w:continuationSeparator/>
      </w:r>
    </w:p>
  </w:endnote>
  <w:endnote w:type="continuationNotice" w:id="1">
    <w:p w14:paraId="7DBBFE79" w14:textId="77777777" w:rsidR="002D3411" w:rsidRDefault="002D3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949562"/>
      <w:docPartObj>
        <w:docPartGallery w:val="Page Numbers (Bottom of Page)"/>
        <w:docPartUnique/>
      </w:docPartObj>
    </w:sdtPr>
    <w:sdtEndPr>
      <w:rPr>
        <w:noProof/>
      </w:rPr>
    </w:sdtEndPr>
    <w:sdtContent>
      <w:p w14:paraId="4E21E1ED" w14:textId="4CF918C4" w:rsidR="00B43F42" w:rsidRDefault="00B43F42">
        <w:pPr>
          <w:pStyle w:val="Porat"/>
          <w:jc w:val="center"/>
        </w:pPr>
        <w:r>
          <w:fldChar w:fldCharType="begin"/>
        </w:r>
        <w:r>
          <w:instrText xml:space="preserve"> PAGE   \* MERGEFORMAT </w:instrText>
        </w:r>
        <w:r>
          <w:fldChar w:fldCharType="separate"/>
        </w:r>
        <w:r w:rsidR="002D3411">
          <w:rPr>
            <w:noProof/>
          </w:rPr>
          <w:t>1</w:t>
        </w:r>
        <w:r>
          <w:rPr>
            <w:noProof/>
          </w:rPr>
          <w:fldChar w:fldCharType="end"/>
        </w:r>
      </w:p>
    </w:sdtContent>
  </w:sdt>
  <w:p w14:paraId="04E51060" w14:textId="77777777" w:rsidR="00B43F42" w:rsidRDefault="00B43F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67D5D" w14:textId="77777777" w:rsidR="002D3411" w:rsidRDefault="002D3411" w:rsidP="00937879">
      <w:pPr>
        <w:spacing w:after="0" w:line="240" w:lineRule="auto"/>
      </w:pPr>
      <w:r>
        <w:separator/>
      </w:r>
    </w:p>
  </w:footnote>
  <w:footnote w:type="continuationSeparator" w:id="0">
    <w:p w14:paraId="1D9EC82A" w14:textId="77777777" w:rsidR="002D3411" w:rsidRDefault="002D3411" w:rsidP="00937879">
      <w:pPr>
        <w:spacing w:after="0" w:line="240" w:lineRule="auto"/>
      </w:pPr>
      <w:r>
        <w:continuationSeparator/>
      </w:r>
    </w:p>
  </w:footnote>
  <w:footnote w:type="continuationNotice" w:id="1">
    <w:p w14:paraId="777ABBEE" w14:textId="77777777" w:rsidR="002D3411" w:rsidRDefault="002D3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C9BE4" w14:textId="77777777" w:rsidR="002D3411" w:rsidRDefault="002D34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0329098"/>
    <w:name w:val="WW8Num2"/>
    <w:lvl w:ilvl="0">
      <w:start w:val="6"/>
      <w:numFmt w:val="decimal"/>
      <w:lvlText w:val="%1"/>
      <w:lvlJc w:val="left"/>
      <w:pPr>
        <w:tabs>
          <w:tab w:val="num" w:pos="570"/>
        </w:tabs>
        <w:ind w:left="570" w:hanging="570"/>
      </w:pPr>
    </w:lvl>
    <w:lvl w:ilvl="1">
      <w:start w:val="4"/>
      <w:numFmt w:val="decimal"/>
      <w:lvlText w:val="%1.%2"/>
      <w:lvlJc w:val="left"/>
      <w:pPr>
        <w:tabs>
          <w:tab w:val="num" w:pos="570"/>
        </w:tabs>
        <w:ind w:left="570" w:hanging="57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80" w:hanging="360"/>
      </w:pPr>
      <w:rPr>
        <w:rFonts w:ascii="Symbol" w:hAnsi="Symbol" w:cs="Times New Roman"/>
        <w:sz w:val="22"/>
        <w:szCs w:val="22"/>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abstractNum w:abstractNumId="13" w15:restartNumberingAfterBreak="0">
    <w:nsid w:val="09827BCB"/>
    <w:multiLevelType w:val="multilevel"/>
    <w:tmpl w:val="CA501570"/>
    <w:lvl w:ilvl="0">
      <w:start w:val="1"/>
      <w:numFmt w:val="bullet"/>
      <w:lvlText w:val="‒"/>
      <w:lvlJc w:val="left"/>
      <w:pPr>
        <w:tabs>
          <w:tab w:val="num" w:pos="720"/>
        </w:tabs>
        <w:ind w:left="720" w:hanging="360"/>
      </w:pPr>
      <w:rPr>
        <w:rFonts w:ascii="Times New Roman" w:hAnsi="Times New Roman" w:cs="Times New Roman" w:hint="default"/>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abstractNum w:abstractNumId="14" w15:restartNumberingAfterBreak="0">
    <w:nsid w:val="10A9566B"/>
    <w:multiLevelType w:val="hybridMultilevel"/>
    <w:tmpl w:val="DDB287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484480D"/>
    <w:multiLevelType w:val="hybridMultilevel"/>
    <w:tmpl w:val="DDB287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153F50DA"/>
    <w:multiLevelType w:val="hybridMultilevel"/>
    <w:tmpl w:val="115E994A"/>
    <w:lvl w:ilvl="0" w:tplc="EF1CA2A4">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18785E65"/>
    <w:multiLevelType w:val="hybridMultilevel"/>
    <w:tmpl w:val="42A896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19411570"/>
    <w:multiLevelType w:val="hybridMultilevel"/>
    <w:tmpl w:val="42A896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D6A1A51"/>
    <w:multiLevelType w:val="hybridMultilevel"/>
    <w:tmpl w:val="A8A2B80C"/>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F54644"/>
    <w:multiLevelType w:val="multilevel"/>
    <w:tmpl w:val="BD200D5E"/>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204B23FA"/>
    <w:multiLevelType w:val="hybridMultilevel"/>
    <w:tmpl w:val="C84C7F8A"/>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0A1CBD"/>
    <w:multiLevelType w:val="hybridMultilevel"/>
    <w:tmpl w:val="63264344"/>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55D2F"/>
    <w:multiLevelType w:val="multilevel"/>
    <w:tmpl w:val="4D24F76A"/>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34124CC6"/>
    <w:multiLevelType w:val="multilevel"/>
    <w:tmpl w:val="18EED58C"/>
    <w:lvl w:ilvl="0">
      <w:start w:val="1"/>
      <w:numFmt w:val="bullet"/>
      <w:lvlText w:val="‒"/>
      <w:lvlJc w:val="left"/>
      <w:pPr>
        <w:tabs>
          <w:tab w:val="num" w:pos="0"/>
        </w:tabs>
        <w:ind w:left="720" w:hanging="360"/>
      </w:pPr>
      <w:rPr>
        <w:rFonts w:ascii="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5" w15:restartNumberingAfterBreak="0">
    <w:nsid w:val="3B7D7D78"/>
    <w:multiLevelType w:val="multilevel"/>
    <w:tmpl w:val="541AD030"/>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3F501F1E"/>
    <w:multiLevelType w:val="multilevel"/>
    <w:tmpl w:val="D1FE859C"/>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48A11B6C"/>
    <w:multiLevelType w:val="multilevel"/>
    <w:tmpl w:val="51AC8C0A"/>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51642D8B"/>
    <w:multiLevelType w:val="multilevel"/>
    <w:tmpl w:val="F594F996"/>
    <w:lvl w:ilvl="0">
      <w:start w:val="1"/>
      <w:numFmt w:val="bullet"/>
      <w:lvlText w:val="‒"/>
      <w:lvlJc w:val="left"/>
      <w:pPr>
        <w:tabs>
          <w:tab w:val="num" w:pos="0"/>
        </w:tabs>
        <w:ind w:left="720" w:hanging="360"/>
      </w:pPr>
      <w:rPr>
        <w:rFonts w:ascii="Times New Roman" w:hAnsi="Times New Roman" w:cs="Times New Roman" w:hint="default"/>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0" w15:restartNumberingAfterBreak="0">
    <w:nsid w:val="682B785B"/>
    <w:multiLevelType w:val="hybridMultilevel"/>
    <w:tmpl w:val="13200218"/>
    <w:lvl w:ilvl="0" w:tplc="EF1CA2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78245F5D"/>
    <w:multiLevelType w:val="multilevel"/>
    <w:tmpl w:val="6DDABE76"/>
    <w:lvl w:ilvl="0">
      <w:start w:val="1"/>
      <w:numFmt w:val="bullet"/>
      <w:lvlText w:val="‒"/>
      <w:lvlJc w:val="left"/>
      <w:pPr>
        <w:tabs>
          <w:tab w:val="num" w:pos="720"/>
        </w:tabs>
        <w:ind w:left="720" w:hanging="360"/>
      </w:pPr>
      <w:rPr>
        <w:rFonts w:ascii="Times New Roman" w:hAnsi="Times New Roman" w:cs="Times New Roman" w:hint="default"/>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num w:numId="1" w16cid:durableId="1646203152">
    <w:abstractNumId w:val="30"/>
  </w:num>
  <w:num w:numId="2" w16cid:durableId="1356687847">
    <w:abstractNumId w:val="12"/>
  </w:num>
  <w:num w:numId="3" w16cid:durableId="1237087216">
    <w:abstractNumId w:val="13"/>
  </w:num>
  <w:num w:numId="4" w16cid:durableId="9768332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2272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00147">
    <w:abstractNumId w:val="14"/>
  </w:num>
  <w:num w:numId="7" w16cid:durableId="875194905">
    <w:abstractNumId w:val="18"/>
  </w:num>
  <w:num w:numId="8" w16cid:durableId="224730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3546655">
    <w:abstractNumId w:val="11"/>
  </w:num>
  <w:num w:numId="10" w16cid:durableId="1931230074">
    <w:abstractNumId w:val="32"/>
  </w:num>
  <w:num w:numId="11" w16cid:durableId="1774402092">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77406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6130320">
    <w:abstractNumId w:val="27"/>
  </w:num>
  <w:num w:numId="14" w16cid:durableId="1160004959">
    <w:abstractNumId w:val="1"/>
  </w:num>
  <w:num w:numId="15" w16cid:durableId="28995454">
    <w:abstractNumId w:val="4"/>
  </w:num>
  <w:num w:numId="16" w16cid:durableId="734091208">
    <w:abstractNumId w:val="3"/>
  </w:num>
  <w:num w:numId="17" w16cid:durableId="373967326">
    <w:abstractNumId w:val="5"/>
  </w:num>
  <w:num w:numId="18" w16cid:durableId="2091534079">
    <w:abstractNumId w:val="22"/>
  </w:num>
  <w:num w:numId="19" w16cid:durableId="1996252886">
    <w:abstractNumId w:val="27"/>
  </w:num>
  <w:num w:numId="20" w16cid:durableId="2006979464">
    <w:abstractNumId w:val="16"/>
  </w:num>
  <w:num w:numId="21" w16cid:durableId="880748967">
    <w:abstractNumId w:val="21"/>
  </w:num>
  <w:num w:numId="22" w16cid:durableId="1274938687">
    <w:abstractNumId w:val="25"/>
  </w:num>
  <w:num w:numId="23" w16cid:durableId="847986592">
    <w:abstractNumId w:val="6"/>
  </w:num>
  <w:num w:numId="24" w16cid:durableId="882399740">
    <w:abstractNumId w:val="7"/>
  </w:num>
  <w:num w:numId="25" w16cid:durableId="1626427107">
    <w:abstractNumId w:val="8"/>
  </w:num>
  <w:num w:numId="26" w16cid:durableId="495847324">
    <w:abstractNumId w:val="9"/>
  </w:num>
  <w:num w:numId="27" w16cid:durableId="1880849461">
    <w:abstractNumId w:val="10"/>
  </w:num>
  <w:num w:numId="28" w16cid:durableId="1446391108">
    <w:abstractNumId w:val="2"/>
  </w:num>
  <w:num w:numId="29" w16cid:durableId="357631412">
    <w:abstractNumId w:val="26"/>
  </w:num>
  <w:num w:numId="30" w16cid:durableId="1407728334">
    <w:abstractNumId w:val="20"/>
  </w:num>
  <w:num w:numId="31" w16cid:durableId="840048567">
    <w:abstractNumId w:val="23"/>
  </w:num>
  <w:num w:numId="32" w16cid:durableId="1851600270">
    <w:abstractNumId w:val="29"/>
  </w:num>
  <w:num w:numId="33" w16cid:durableId="2142915604">
    <w:abstractNumId w:val="28"/>
  </w:num>
  <w:num w:numId="34" w16cid:durableId="5837912">
    <w:abstractNumId w:val="19"/>
  </w:num>
  <w:num w:numId="35" w16cid:durableId="12321093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hideSpellingErrors/>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01"/>
    <w:rsid w:val="000068FC"/>
    <w:rsid w:val="00020F50"/>
    <w:rsid w:val="00031EB0"/>
    <w:rsid w:val="00043461"/>
    <w:rsid w:val="0004599C"/>
    <w:rsid w:val="00051110"/>
    <w:rsid w:val="0005410E"/>
    <w:rsid w:val="000542E4"/>
    <w:rsid w:val="00062B8E"/>
    <w:rsid w:val="000722EC"/>
    <w:rsid w:val="00072B1E"/>
    <w:rsid w:val="000759A5"/>
    <w:rsid w:val="00076D8F"/>
    <w:rsid w:val="0008099C"/>
    <w:rsid w:val="000839CA"/>
    <w:rsid w:val="00083F06"/>
    <w:rsid w:val="000A43F7"/>
    <w:rsid w:val="000A56F7"/>
    <w:rsid w:val="000B7F9B"/>
    <w:rsid w:val="000C215A"/>
    <w:rsid w:val="000C5A16"/>
    <w:rsid w:val="000C624B"/>
    <w:rsid w:val="000C6372"/>
    <w:rsid w:val="000E037D"/>
    <w:rsid w:val="000E6813"/>
    <w:rsid w:val="000F73D0"/>
    <w:rsid w:val="00100CF3"/>
    <w:rsid w:val="00101458"/>
    <w:rsid w:val="00105BC0"/>
    <w:rsid w:val="001136EA"/>
    <w:rsid w:val="00117660"/>
    <w:rsid w:val="00133EAC"/>
    <w:rsid w:val="00146E7F"/>
    <w:rsid w:val="001511D0"/>
    <w:rsid w:val="00151D84"/>
    <w:rsid w:val="0015572F"/>
    <w:rsid w:val="00156791"/>
    <w:rsid w:val="001618EA"/>
    <w:rsid w:val="00166F1B"/>
    <w:rsid w:val="00172E57"/>
    <w:rsid w:val="001773E9"/>
    <w:rsid w:val="00185F80"/>
    <w:rsid w:val="001876CC"/>
    <w:rsid w:val="00197F05"/>
    <w:rsid w:val="001A3715"/>
    <w:rsid w:val="001B2750"/>
    <w:rsid w:val="001D2A2B"/>
    <w:rsid w:val="001E2CB8"/>
    <w:rsid w:val="001F4BCF"/>
    <w:rsid w:val="001F5876"/>
    <w:rsid w:val="00213A25"/>
    <w:rsid w:val="00214CF4"/>
    <w:rsid w:val="00221356"/>
    <w:rsid w:val="002263B5"/>
    <w:rsid w:val="00234EDE"/>
    <w:rsid w:val="00235A1D"/>
    <w:rsid w:val="00236F6D"/>
    <w:rsid w:val="00237E2F"/>
    <w:rsid w:val="00244D68"/>
    <w:rsid w:val="00252FE0"/>
    <w:rsid w:val="00257133"/>
    <w:rsid w:val="00257752"/>
    <w:rsid w:val="00260691"/>
    <w:rsid w:val="00266648"/>
    <w:rsid w:val="0026776B"/>
    <w:rsid w:val="00275E2B"/>
    <w:rsid w:val="002818DF"/>
    <w:rsid w:val="002938B7"/>
    <w:rsid w:val="002B0FC9"/>
    <w:rsid w:val="002B2995"/>
    <w:rsid w:val="002B7AD3"/>
    <w:rsid w:val="002C3E56"/>
    <w:rsid w:val="002C7D31"/>
    <w:rsid w:val="002D3411"/>
    <w:rsid w:val="002D6BC6"/>
    <w:rsid w:val="002E08F1"/>
    <w:rsid w:val="002E39B6"/>
    <w:rsid w:val="002E6B66"/>
    <w:rsid w:val="002F55DB"/>
    <w:rsid w:val="003018D4"/>
    <w:rsid w:val="00310C11"/>
    <w:rsid w:val="003121EE"/>
    <w:rsid w:val="00316862"/>
    <w:rsid w:val="003320D4"/>
    <w:rsid w:val="00332D63"/>
    <w:rsid w:val="003346B4"/>
    <w:rsid w:val="00341AEC"/>
    <w:rsid w:val="003455B6"/>
    <w:rsid w:val="003459F7"/>
    <w:rsid w:val="003468AC"/>
    <w:rsid w:val="00360AE2"/>
    <w:rsid w:val="00374125"/>
    <w:rsid w:val="003771AF"/>
    <w:rsid w:val="00382757"/>
    <w:rsid w:val="00386646"/>
    <w:rsid w:val="00386FDB"/>
    <w:rsid w:val="0039262D"/>
    <w:rsid w:val="00395A5C"/>
    <w:rsid w:val="003A0B67"/>
    <w:rsid w:val="003A1AAD"/>
    <w:rsid w:val="003A37DF"/>
    <w:rsid w:val="003A50C6"/>
    <w:rsid w:val="003A5CBF"/>
    <w:rsid w:val="003B138D"/>
    <w:rsid w:val="003B47D1"/>
    <w:rsid w:val="003B5809"/>
    <w:rsid w:val="003B5A5C"/>
    <w:rsid w:val="003B7F81"/>
    <w:rsid w:val="003C3022"/>
    <w:rsid w:val="003C65E1"/>
    <w:rsid w:val="003D2556"/>
    <w:rsid w:val="003E3A23"/>
    <w:rsid w:val="003E4DE3"/>
    <w:rsid w:val="003F01A5"/>
    <w:rsid w:val="003F05AC"/>
    <w:rsid w:val="004237CC"/>
    <w:rsid w:val="00423E70"/>
    <w:rsid w:val="004270EF"/>
    <w:rsid w:val="004271E2"/>
    <w:rsid w:val="00432C28"/>
    <w:rsid w:val="00436397"/>
    <w:rsid w:val="00442A56"/>
    <w:rsid w:val="00456664"/>
    <w:rsid w:val="0046310B"/>
    <w:rsid w:val="004638E7"/>
    <w:rsid w:val="00466B13"/>
    <w:rsid w:val="00467B83"/>
    <w:rsid w:val="0047356C"/>
    <w:rsid w:val="00475E10"/>
    <w:rsid w:val="00477FED"/>
    <w:rsid w:val="00484532"/>
    <w:rsid w:val="004845DB"/>
    <w:rsid w:val="0048641A"/>
    <w:rsid w:val="004877E7"/>
    <w:rsid w:val="00497D16"/>
    <w:rsid w:val="00497F39"/>
    <w:rsid w:val="004A024A"/>
    <w:rsid w:val="004A4D8D"/>
    <w:rsid w:val="004B04C5"/>
    <w:rsid w:val="004D0125"/>
    <w:rsid w:val="004F2D5F"/>
    <w:rsid w:val="005016AE"/>
    <w:rsid w:val="00513076"/>
    <w:rsid w:val="00514AF8"/>
    <w:rsid w:val="00520615"/>
    <w:rsid w:val="005242E7"/>
    <w:rsid w:val="00526967"/>
    <w:rsid w:val="00550507"/>
    <w:rsid w:val="00550AFB"/>
    <w:rsid w:val="005523EE"/>
    <w:rsid w:val="00553F25"/>
    <w:rsid w:val="0055634C"/>
    <w:rsid w:val="005620FE"/>
    <w:rsid w:val="0056350B"/>
    <w:rsid w:val="00566FBF"/>
    <w:rsid w:val="005779AF"/>
    <w:rsid w:val="00582378"/>
    <w:rsid w:val="00586B39"/>
    <w:rsid w:val="005941C3"/>
    <w:rsid w:val="005A321B"/>
    <w:rsid w:val="005A4CE0"/>
    <w:rsid w:val="005B486D"/>
    <w:rsid w:val="005B4BAC"/>
    <w:rsid w:val="005C28B1"/>
    <w:rsid w:val="005C783A"/>
    <w:rsid w:val="005D65A5"/>
    <w:rsid w:val="005E0CEB"/>
    <w:rsid w:val="005E3EAE"/>
    <w:rsid w:val="005F00DB"/>
    <w:rsid w:val="005F435B"/>
    <w:rsid w:val="00602A32"/>
    <w:rsid w:val="00604172"/>
    <w:rsid w:val="00604522"/>
    <w:rsid w:val="00612CCC"/>
    <w:rsid w:val="0062175B"/>
    <w:rsid w:val="00621D2E"/>
    <w:rsid w:val="00623C70"/>
    <w:rsid w:val="00627BC8"/>
    <w:rsid w:val="006401E8"/>
    <w:rsid w:val="00646C52"/>
    <w:rsid w:val="0065015F"/>
    <w:rsid w:val="00650AF2"/>
    <w:rsid w:val="00655ACF"/>
    <w:rsid w:val="00666328"/>
    <w:rsid w:val="006668FC"/>
    <w:rsid w:val="00674039"/>
    <w:rsid w:val="00676DBC"/>
    <w:rsid w:val="0068164B"/>
    <w:rsid w:val="006864CA"/>
    <w:rsid w:val="00691399"/>
    <w:rsid w:val="006955F7"/>
    <w:rsid w:val="006A15BD"/>
    <w:rsid w:val="006A665A"/>
    <w:rsid w:val="006B326C"/>
    <w:rsid w:val="006B67D2"/>
    <w:rsid w:val="006C568D"/>
    <w:rsid w:val="006D442A"/>
    <w:rsid w:val="006D56F9"/>
    <w:rsid w:val="006D7C38"/>
    <w:rsid w:val="006E09F3"/>
    <w:rsid w:val="006E12CE"/>
    <w:rsid w:val="006E28EE"/>
    <w:rsid w:val="006F6FFC"/>
    <w:rsid w:val="00703720"/>
    <w:rsid w:val="00704262"/>
    <w:rsid w:val="007042ED"/>
    <w:rsid w:val="0071328F"/>
    <w:rsid w:val="0072676B"/>
    <w:rsid w:val="00733FA1"/>
    <w:rsid w:val="00737285"/>
    <w:rsid w:val="00742E63"/>
    <w:rsid w:val="0074346C"/>
    <w:rsid w:val="00746845"/>
    <w:rsid w:val="00755743"/>
    <w:rsid w:val="00772BAE"/>
    <w:rsid w:val="00773DF9"/>
    <w:rsid w:val="00780314"/>
    <w:rsid w:val="007832AE"/>
    <w:rsid w:val="0078375B"/>
    <w:rsid w:val="007A26B4"/>
    <w:rsid w:val="007A4745"/>
    <w:rsid w:val="007A4D50"/>
    <w:rsid w:val="007A5970"/>
    <w:rsid w:val="007C169D"/>
    <w:rsid w:val="007C42AD"/>
    <w:rsid w:val="007C5206"/>
    <w:rsid w:val="007D3BC4"/>
    <w:rsid w:val="007F5B3F"/>
    <w:rsid w:val="0081353C"/>
    <w:rsid w:val="008218F9"/>
    <w:rsid w:val="00821BF4"/>
    <w:rsid w:val="00823001"/>
    <w:rsid w:val="00823973"/>
    <w:rsid w:val="0083148E"/>
    <w:rsid w:val="00831FCC"/>
    <w:rsid w:val="0083730C"/>
    <w:rsid w:val="00840414"/>
    <w:rsid w:val="00852B23"/>
    <w:rsid w:val="00853098"/>
    <w:rsid w:val="00880B35"/>
    <w:rsid w:val="0089774E"/>
    <w:rsid w:val="008A256E"/>
    <w:rsid w:val="008F1744"/>
    <w:rsid w:val="0090640C"/>
    <w:rsid w:val="00906C63"/>
    <w:rsid w:val="00915925"/>
    <w:rsid w:val="0091668D"/>
    <w:rsid w:val="009176FF"/>
    <w:rsid w:val="009200DE"/>
    <w:rsid w:val="00921D1A"/>
    <w:rsid w:val="0092378F"/>
    <w:rsid w:val="00925A4B"/>
    <w:rsid w:val="00930F63"/>
    <w:rsid w:val="00934FA2"/>
    <w:rsid w:val="00937879"/>
    <w:rsid w:val="0094126D"/>
    <w:rsid w:val="00952E27"/>
    <w:rsid w:val="00953C7B"/>
    <w:rsid w:val="009659E9"/>
    <w:rsid w:val="00967072"/>
    <w:rsid w:val="009723AB"/>
    <w:rsid w:val="00975CA4"/>
    <w:rsid w:val="009863B1"/>
    <w:rsid w:val="00995740"/>
    <w:rsid w:val="00995BA4"/>
    <w:rsid w:val="009A2007"/>
    <w:rsid w:val="009B387D"/>
    <w:rsid w:val="009B67DE"/>
    <w:rsid w:val="009C0532"/>
    <w:rsid w:val="009C5240"/>
    <w:rsid w:val="009C582D"/>
    <w:rsid w:val="009D33C2"/>
    <w:rsid w:val="009D6C67"/>
    <w:rsid w:val="009F296E"/>
    <w:rsid w:val="009F334E"/>
    <w:rsid w:val="009F6927"/>
    <w:rsid w:val="00A05C99"/>
    <w:rsid w:val="00A06C0A"/>
    <w:rsid w:val="00A174B9"/>
    <w:rsid w:val="00A17A47"/>
    <w:rsid w:val="00A23B3C"/>
    <w:rsid w:val="00A23CC7"/>
    <w:rsid w:val="00A30E1A"/>
    <w:rsid w:val="00A324CE"/>
    <w:rsid w:val="00A44C3B"/>
    <w:rsid w:val="00A5395B"/>
    <w:rsid w:val="00A7325A"/>
    <w:rsid w:val="00A73E2C"/>
    <w:rsid w:val="00A76078"/>
    <w:rsid w:val="00A85AA1"/>
    <w:rsid w:val="00A913F8"/>
    <w:rsid w:val="00AA28A3"/>
    <w:rsid w:val="00AB6EB1"/>
    <w:rsid w:val="00AC175F"/>
    <w:rsid w:val="00AC1FAE"/>
    <w:rsid w:val="00AD4E71"/>
    <w:rsid w:val="00B113F9"/>
    <w:rsid w:val="00B22A74"/>
    <w:rsid w:val="00B308A2"/>
    <w:rsid w:val="00B42740"/>
    <w:rsid w:val="00B43237"/>
    <w:rsid w:val="00B436E7"/>
    <w:rsid w:val="00B43F42"/>
    <w:rsid w:val="00B44A45"/>
    <w:rsid w:val="00B510AB"/>
    <w:rsid w:val="00B544BB"/>
    <w:rsid w:val="00B62E18"/>
    <w:rsid w:val="00B757C9"/>
    <w:rsid w:val="00B8430B"/>
    <w:rsid w:val="00B943C2"/>
    <w:rsid w:val="00BB2E1E"/>
    <w:rsid w:val="00BB4362"/>
    <w:rsid w:val="00BC483D"/>
    <w:rsid w:val="00BC60CD"/>
    <w:rsid w:val="00BC6DDE"/>
    <w:rsid w:val="00BD2E4D"/>
    <w:rsid w:val="00BE2DD1"/>
    <w:rsid w:val="00BE3DF1"/>
    <w:rsid w:val="00C0161B"/>
    <w:rsid w:val="00C01840"/>
    <w:rsid w:val="00C01A8C"/>
    <w:rsid w:val="00C03780"/>
    <w:rsid w:val="00C04CDA"/>
    <w:rsid w:val="00C05A55"/>
    <w:rsid w:val="00C14699"/>
    <w:rsid w:val="00C16369"/>
    <w:rsid w:val="00C17E41"/>
    <w:rsid w:val="00C20DD5"/>
    <w:rsid w:val="00C27905"/>
    <w:rsid w:val="00C32909"/>
    <w:rsid w:val="00C32EC1"/>
    <w:rsid w:val="00C33938"/>
    <w:rsid w:val="00C343F8"/>
    <w:rsid w:val="00C416D0"/>
    <w:rsid w:val="00C5072F"/>
    <w:rsid w:val="00C51E45"/>
    <w:rsid w:val="00C609FE"/>
    <w:rsid w:val="00C64402"/>
    <w:rsid w:val="00C77881"/>
    <w:rsid w:val="00C8061B"/>
    <w:rsid w:val="00C8270F"/>
    <w:rsid w:val="00C83B8B"/>
    <w:rsid w:val="00C85C46"/>
    <w:rsid w:val="00C8797B"/>
    <w:rsid w:val="00C95917"/>
    <w:rsid w:val="00CA0C33"/>
    <w:rsid w:val="00CA4EFF"/>
    <w:rsid w:val="00CA6F65"/>
    <w:rsid w:val="00CB4E24"/>
    <w:rsid w:val="00CC3C73"/>
    <w:rsid w:val="00CC7EBD"/>
    <w:rsid w:val="00CD4D7A"/>
    <w:rsid w:val="00CD5DBE"/>
    <w:rsid w:val="00CD7302"/>
    <w:rsid w:val="00CE2C6F"/>
    <w:rsid w:val="00CE6200"/>
    <w:rsid w:val="00CF10F8"/>
    <w:rsid w:val="00CF173B"/>
    <w:rsid w:val="00CF6041"/>
    <w:rsid w:val="00D02523"/>
    <w:rsid w:val="00D125F0"/>
    <w:rsid w:val="00D1676C"/>
    <w:rsid w:val="00D179DE"/>
    <w:rsid w:val="00D335F8"/>
    <w:rsid w:val="00D3657D"/>
    <w:rsid w:val="00D37AFE"/>
    <w:rsid w:val="00D37C83"/>
    <w:rsid w:val="00D61FD8"/>
    <w:rsid w:val="00D64388"/>
    <w:rsid w:val="00D8045A"/>
    <w:rsid w:val="00D951F5"/>
    <w:rsid w:val="00DA51E1"/>
    <w:rsid w:val="00DC5862"/>
    <w:rsid w:val="00DC663C"/>
    <w:rsid w:val="00DD6A0A"/>
    <w:rsid w:val="00DE290D"/>
    <w:rsid w:val="00DE6231"/>
    <w:rsid w:val="00DF41C1"/>
    <w:rsid w:val="00DF41ED"/>
    <w:rsid w:val="00E12AC2"/>
    <w:rsid w:val="00E156B8"/>
    <w:rsid w:val="00E2221E"/>
    <w:rsid w:val="00E3400C"/>
    <w:rsid w:val="00E34C1C"/>
    <w:rsid w:val="00E40B51"/>
    <w:rsid w:val="00E52937"/>
    <w:rsid w:val="00E54F9C"/>
    <w:rsid w:val="00E6579B"/>
    <w:rsid w:val="00E74857"/>
    <w:rsid w:val="00E96DB2"/>
    <w:rsid w:val="00E97B92"/>
    <w:rsid w:val="00EB18C8"/>
    <w:rsid w:val="00EB5423"/>
    <w:rsid w:val="00EB5B68"/>
    <w:rsid w:val="00EB6E8F"/>
    <w:rsid w:val="00ED5F32"/>
    <w:rsid w:val="00ED79FE"/>
    <w:rsid w:val="00ED7C4E"/>
    <w:rsid w:val="00EE07F5"/>
    <w:rsid w:val="00EE285B"/>
    <w:rsid w:val="00EF50CD"/>
    <w:rsid w:val="00F07B95"/>
    <w:rsid w:val="00F07BD5"/>
    <w:rsid w:val="00F12DF8"/>
    <w:rsid w:val="00F24F61"/>
    <w:rsid w:val="00F26399"/>
    <w:rsid w:val="00F30828"/>
    <w:rsid w:val="00F30E90"/>
    <w:rsid w:val="00F366D7"/>
    <w:rsid w:val="00F36CE2"/>
    <w:rsid w:val="00F414D6"/>
    <w:rsid w:val="00F466BC"/>
    <w:rsid w:val="00F51B35"/>
    <w:rsid w:val="00F5329E"/>
    <w:rsid w:val="00F63910"/>
    <w:rsid w:val="00F8424F"/>
    <w:rsid w:val="00F8523B"/>
    <w:rsid w:val="00FA46FF"/>
    <w:rsid w:val="00FA5ED3"/>
    <w:rsid w:val="00FB5469"/>
    <w:rsid w:val="00FC1BA7"/>
    <w:rsid w:val="00FD153F"/>
    <w:rsid w:val="00FD61B7"/>
    <w:rsid w:val="00FD7D1C"/>
    <w:rsid w:val="00FE18E1"/>
    <w:rsid w:val="00FF1C0D"/>
    <w:rsid w:val="00FF31EE"/>
    <w:rsid w:val="00FF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7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2E5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16369"/>
    <w:pPr>
      <w:ind w:left="720"/>
      <w:contextualSpacing/>
    </w:pPr>
  </w:style>
  <w:style w:type="paragraph" w:styleId="Antrats">
    <w:name w:val="header"/>
    <w:basedOn w:val="prastasis"/>
    <w:link w:val="AntratsDiagrama"/>
    <w:uiPriority w:val="99"/>
    <w:unhideWhenUsed/>
    <w:rsid w:val="0093787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37879"/>
    <w:rPr>
      <w:lang w:val="lt-LT"/>
    </w:rPr>
  </w:style>
  <w:style w:type="paragraph" w:styleId="Porat">
    <w:name w:val="footer"/>
    <w:basedOn w:val="prastasis"/>
    <w:link w:val="PoratDiagrama"/>
    <w:uiPriority w:val="99"/>
    <w:unhideWhenUsed/>
    <w:rsid w:val="0093787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37879"/>
    <w:rPr>
      <w:lang w:val="lt-LT"/>
    </w:rPr>
  </w:style>
  <w:style w:type="paragraph" w:styleId="Debesliotekstas">
    <w:name w:val="Balloon Text"/>
    <w:basedOn w:val="prastasis"/>
    <w:link w:val="DebesliotekstasDiagrama"/>
    <w:uiPriority w:val="99"/>
    <w:semiHidden/>
    <w:unhideWhenUsed/>
    <w:rsid w:val="005206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0615"/>
    <w:rPr>
      <w:rFonts w:ascii="Segoe UI" w:hAnsi="Segoe UI" w:cs="Segoe UI"/>
      <w:sz w:val="18"/>
      <w:szCs w:val="18"/>
      <w:lang w:val="lt-LT"/>
    </w:rPr>
  </w:style>
  <w:style w:type="table" w:styleId="Lentelstinklelis">
    <w:name w:val="Table Grid"/>
    <w:basedOn w:val="prastojilentel"/>
    <w:uiPriority w:val="59"/>
    <w:rsid w:val="00C32909"/>
    <w:pPr>
      <w:spacing w:after="0" w:line="240" w:lineRule="auto"/>
    </w:pPr>
    <w:rPr>
      <w:rFonts w:ascii="Times New Roman" w:eastAsia="MS Mincho" w:hAnsi="Times New Roman" w:cs="Times New Roman"/>
      <w:sz w:val="20"/>
      <w:szCs w:val="20"/>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59"/>
    <w:rsid w:val="00166F1B"/>
    <w:pPr>
      <w:spacing w:after="0" w:line="240" w:lineRule="auto"/>
    </w:pPr>
    <w:rPr>
      <w:rFonts w:ascii="Times New Roman" w:eastAsia="MS Mincho" w:hAnsi="Times New Roman" w:cs="Times New Roman"/>
      <w:sz w:val="20"/>
      <w:szCs w:val="20"/>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prastojilentel"/>
    <w:uiPriority w:val="59"/>
    <w:rsid w:val="005A4CE0"/>
    <w:pPr>
      <w:spacing w:after="0" w:line="240" w:lineRule="auto"/>
    </w:pPr>
    <w:rPr>
      <w:rFonts w:ascii="Times New Roman" w:eastAsia="MS Mincho" w:hAnsi="Times New Roman" w:cs="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01840"/>
    <w:rPr>
      <w:color w:val="0000FF"/>
      <w:u w:val="single"/>
    </w:rPr>
  </w:style>
  <w:style w:type="character" w:styleId="Komentaronuoroda">
    <w:name w:val="annotation reference"/>
    <w:basedOn w:val="Numatytasispastraiposriftas"/>
    <w:uiPriority w:val="99"/>
    <w:unhideWhenUsed/>
    <w:rsid w:val="00DE290D"/>
    <w:rPr>
      <w:sz w:val="16"/>
      <w:szCs w:val="16"/>
    </w:rPr>
  </w:style>
  <w:style w:type="paragraph" w:styleId="Komentarotekstas">
    <w:name w:val="annotation text"/>
    <w:basedOn w:val="prastasis"/>
    <w:link w:val="KomentarotekstasDiagrama"/>
    <w:uiPriority w:val="99"/>
    <w:unhideWhenUsed/>
    <w:rsid w:val="00DE29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90D"/>
    <w:rPr>
      <w:sz w:val="20"/>
      <w:szCs w:val="20"/>
      <w:lang w:val="lt-LT"/>
    </w:rPr>
  </w:style>
  <w:style w:type="paragraph" w:styleId="Komentarotema">
    <w:name w:val="annotation subject"/>
    <w:basedOn w:val="Komentarotekstas"/>
    <w:next w:val="Komentarotekstas"/>
    <w:link w:val="KomentarotemaDiagrama"/>
    <w:uiPriority w:val="99"/>
    <w:semiHidden/>
    <w:unhideWhenUsed/>
    <w:rsid w:val="00DE290D"/>
    <w:rPr>
      <w:b/>
      <w:bCs/>
    </w:rPr>
  </w:style>
  <w:style w:type="character" w:customStyle="1" w:styleId="KomentarotemaDiagrama">
    <w:name w:val="Komentaro tema Diagrama"/>
    <w:basedOn w:val="KomentarotekstasDiagrama"/>
    <w:link w:val="Komentarotema"/>
    <w:uiPriority w:val="99"/>
    <w:semiHidden/>
    <w:rsid w:val="00DE290D"/>
    <w:rPr>
      <w:b/>
      <w:bCs/>
      <w:sz w:val="20"/>
      <w:szCs w:val="20"/>
      <w:lang w:val="lt-LT"/>
    </w:rPr>
  </w:style>
  <w:style w:type="character" w:customStyle="1" w:styleId="CommentTextChar1">
    <w:name w:val="Comment Text Char1"/>
    <w:rsid w:val="00953C7B"/>
    <w:rPr>
      <w:lang w:val="lt-LT" w:eastAsia="lt-LT" w:bidi="lt-LT"/>
    </w:rPr>
  </w:style>
  <w:style w:type="paragraph" w:styleId="Pataisymai">
    <w:name w:val="Revision"/>
    <w:hidden/>
    <w:uiPriority w:val="99"/>
    <w:semiHidden/>
    <w:rsid w:val="002E39B6"/>
    <w:pPr>
      <w:spacing w:after="0" w:line="240" w:lineRule="auto"/>
    </w:pPr>
    <w:rPr>
      <w:lang w:val="lt-LT"/>
    </w:rPr>
  </w:style>
  <w:style w:type="character" w:customStyle="1" w:styleId="resultoftext">
    <w:name w:val="resultoftext"/>
    <w:basedOn w:val="Numatytasispastraiposriftas"/>
    <w:rsid w:val="00D125F0"/>
  </w:style>
  <w:style w:type="character" w:styleId="Emfaz">
    <w:name w:val="Emphasis"/>
    <w:basedOn w:val="Numatytasispastraiposriftas"/>
    <w:uiPriority w:val="20"/>
    <w:qFormat/>
    <w:rsid w:val="00C95917"/>
    <w:rPr>
      <w:i/>
      <w:iCs/>
    </w:rPr>
  </w:style>
  <w:style w:type="character" w:styleId="Grietas">
    <w:name w:val="Strong"/>
    <w:basedOn w:val="Numatytasispastraiposriftas"/>
    <w:uiPriority w:val="22"/>
    <w:qFormat/>
    <w:rsid w:val="00C95917"/>
    <w:rPr>
      <w:b/>
      <w:bCs/>
    </w:rPr>
  </w:style>
  <w:style w:type="paragraph" w:customStyle="1" w:styleId="Betarp1">
    <w:name w:val="Be tarpų1"/>
    <w:qFormat/>
    <w:rsid w:val="00031EB0"/>
    <w:pPr>
      <w:spacing w:after="0" w:line="240" w:lineRule="auto"/>
    </w:pPr>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45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1700">
      <w:bodyDiv w:val="1"/>
      <w:marLeft w:val="0"/>
      <w:marRight w:val="0"/>
      <w:marTop w:val="0"/>
      <w:marBottom w:val="0"/>
      <w:divBdr>
        <w:top w:val="none" w:sz="0" w:space="0" w:color="auto"/>
        <w:left w:val="none" w:sz="0" w:space="0" w:color="auto"/>
        <w:bottom w:val="none" w:sz="0" w:space="0" w:color="auto"/>
        <w:right w:val="none" w:sz="0" w:space="0" w:color="auto"/>
      </w:divBdr>
    </w:div>
    <w:div w:id="58331632">
      <w:bodyDiv w:val="1"/>
      <w:marLeft w:val="0"/>
      <w:marRight w:val="0"/>
      <w:marTop w:val="0"/>
      <w:marBottom w:val="0"/>
      <w:divBdr>
        <w:top w:val="none" w:sz="0" w:space="0" w:color="auto"/>
        <w:left w:val="none" w:sz="0" w:space="0" w:color="auto"/>
        <w:bottom w:val="none" w:sz="0" w:space="0" w:color="auto"/>
        <w:right w:val="none" w:sz="0" w:space="0" w:color="auto"/>
      </w:divBdr>
    </w:div>
    <w:div w:id="92869970">
      <w:bodyDiv w:val="1"/>
      <w:marLeft w:val="0"/>
      <w:marRight w:val="0"/>
      <w:marTop w:val="0"/>
      <w:marBottom w:val="0"/>
      <w:divBdr>
        <w:top w:val="none" w:sz="0" w:space="0" w:color="auto"/>
        <w:left w:val="none" w:sz="0" w:space="0" w:color="auto"/>
        <w:bottom w:val="none" w:sz="0" w:space="0" w:color="auto"/>
        <w:right w:val="none" w:sz="0" w:space="0" w:color="auto"/>
      </w:divBdr>
    </w:div>
    <w:div w:id="100996257">
      <w:bodyDiv w:val="1"/>
      <w:marLeft w:val="0"/>
      <w:marRight w:val="0"/>
      <w:marTop w:val="0"/>
      <w:marBottom w:val="0"/>
      <w:divBdr>
        <w:top w:val="none" w:sz="0" w:space="0" w:color="auto"/>
        <w:left w:val="none" w:sz="0" w:space="0" w:color="auto"/>
        <w:bottom w:val="none" w:sz="0" w:space="0" w:color="auto"/>
        <w:right w:val="none" w:sz="0" w:space="0" w:color="auto"/>
      </w:divBdr>
    </w:div>
    <w:div w:id="150221057">
      <w:bodyDiv w:val="1"/>
      <w:marLeft w:val="0"/>
      <w:marRight w:val="0"/>
      <w:marTop w:val="0"/>
      <w:marBottom w:val="0"/>
      <w:divBdr>
        <w:top w:val="none" w:sz="0" w:space="0" w:color="auto"/>
        <w:left w:val="none" w:sz="0" w:space="0" w:color="auto"/>
        <w:bottom w:val="none" w:sz="0" w:space="0" w:color="auto"/>
        <w:right w:val="none" w:sz="0" w:space="0" w:color="auto"/>
      </w:divBdr>
    </w:div>
    <w:div w:id="192886048">
      <w:bodyDiv w:val="1"/>
      <w:marLeft w:val="0"/>
      <w:marRight w:val="0"/>
      <w:marTop w:val="0"/>
      <w:marBottom w:val="0"/>
      <w:divBdr>
        <w:top w:val="none" w:sz="0" w:space="0" w:color="auto"/>
        <w:left w:val="none" w:sz="0" w:space="0" w:color="auto"/>
        <w:bottom w:val="none" w:sz="0" w:space="0" w:color="auto"/>
        <w:right w:val="none" w:sz="0" w:space="0" w:color="auto"/>
      </w:divBdr>
    </w:div>
    <w:div w:id="224339230">
      <w:bodyDiv w:val="1"/>
      <w:marLeft w:val="0"/>
      <w:marRight w:val="0"/>
      <w:marTop w:val="0"/>
      <w:marBottom w:val="0"/>
      <w:divBdr>
        <w:top w:val="none" w:sz="0" w:space="0" w:color="auto"/>
        <w:left w:val="none" w:sz="0" w:space="0" w:color="auto"/>
        <w:bottom w:val="none" w:sz="0" w:space="0" w:color="auto"/>
        <w:right w:val="none" w:sz="0" w:space="0" w:color="auto"/>
      </w:divBdr>
    </w:div>
    <w:div w:id="240067219">
      <w:bodyDiv w:val="1"/>
      <w:marLeft w:val="0"/>
      <w:marRight w:val="0"/>
      <w:marTop w:val="0"/>
      <w:marBottom w:val="0"/>
      <w:divBdr>
        <w:top w:val="none" w:sz="0" w:space="0" w:color="auto"/>
        <w:left w:val="none" w:sz="0" w:space="0" w:color="auto"/>
        <w:bottom w:val="none" w:sz="0" w:space="0" w:color="auto"/>
        <w:right w:val="none" w:sz="0" w:space="0" w:color="auto"/>
      </w:divBdr>
    </w:div>
    <w:div w:id="251818204">
      <w:bodyDiv w:val="1"/>
      <w:marLeft w:val="0"/>
      <w:marRight w:val="0"/>
      <w:marTop w:val="0"/>
      <w:marBottom w:val="0"/>
      <w:divBdr>
        <w:top w:val="none" w:sz="0" w:space="0" w:color="auto"/>
        <w:left w:val="none" w:sz="0" w:space="0" w:color="auto"/>
        <w:bottom w:val="none" w:sz="0" w:space="0" w:color="auto"/>
        <w:right w:val="none" w:sz="0" w:space="0" w:color="auto"/>
      </w:divBdr>
    </w:div>
    <w:div w:id="252933148">
      <w:bodyDiv w:val="1"/>
      <w:marLeft w:val="0"/>
      <w:marRight w:val="0"/>
      <w:marTop w:val="0"/>
      <w:marBottom w:val="0"/>
      <w:divBdr>
        <w:top w:val="none" w:sz="0" w:space="0" w:color="auto"/>
        <w:left w:val="none" w:sz="0" w:space="0" w:color="auto"/>
        <w:bottom w:val="none" w:sz="0" w:space="0" w:color="auto"/>
        <w:right w:val="none" w:sz="0" w:space="0" w:color="auto"/>
      </w:divBdr>
    </w:div>
    <w:div w:id="335770439">
      <w:bodyDiv w:val="1"/>
      <w:marLeft w:val="0"/>
      <w:marRight w:val="0"/>
      <w:marTop w:val="0"/>
      <w:marBottom w:val="0"/>
      <w:divBdr>
        <w:top w:val="none" w:sz="0" w:space="0" w:color="auto"/>
        <w:left w:val="none" w:sz="0" w:space="0" w:color="auto"/>
        <w:bottom w:val="none" w:sz="0" w:space="0" w:color="auto"/>
        <w:right w:val="none" w:sz="0" w:space="0" w:color="auto"/>
      </w:divBdr>
    </w:div>
    <w:div w:id="346759657">
      <w:bodyDiv w:val="1"/>
      <w:marLeft w:val="0"/>
      <w:marRight w:val="0"/>
      <w:marTop w:val="0"/>
      <w:marBottom w:val="0"/>
      <w:divBdr>
        <w:top w:val="none" w:sz="0" w:space="0" w:color="auto"/>
        <w:left w:val="none" w:sz="0" w:space="0" w:color="auto"/>
        <w:bottom w:val="none" w:sz="0" w:space="0" w:color="auto"/>
        <w:right w:val="none" w:sz="0" w:space="0" w:color="auto"/>
      </w:divBdr>
    </w:div>
    <w:div w:id="355932072">
      <w:bodyDiv w:val="1"/>
      <w:marLeft w:val="0"/>
      <w:marRight w:val="0"/>
      <w:marTop w:val="0"/>
      <w:marBottom w:val="0"/>
      <w:divBdr>
        <w:top w:val="none" w:sz="0" w:space="0" w:color="auto"/>
        <w:left w:val="none" w:sz="0" w:space="0" w:color="auto"/>
        <w:bottom w:val="none" w:sz="0" w:space="0" w:color="auto"/>
        <w:right w:val="none" w:sz="0" w:space="0" w:color="auto"/>
      </w:divBdr>
    </w:div>
    <w:div w:id="359210546">
      <w:bodyDiv w:val="1"/>
      <w:marLeft w:val="0"/>
      <w:marRight w:val="0"/>
      <w:marTop w:val="0"/>
      <w:marBottom w:val="0"/>
      <w:divBdr>
        <w:top w:val="none" w:sz="0" w:space="0" w:color="auto"/>
        <w:left w:val="none" w:sz="0" w:space="0" w:color="auto"/>
        <w:bottom w:val="none" w:sz="0" w:space="0" w:color="auto"/>
        <w:right w:val="none" w:sz="0" w:space="0" w:color="auto"/>
      </w:divBdr>
    </w:div>
    <w:div w:id="359401704">
      <w:bodyDiv w:val="1"/>
      <w:marLeft w:val="0"/>
      <w:marRight w:val="0"/>
      <w:marTop w:val="0"/>
      <w:marBottom w:val="0"/>
      <w:divBdr>
        <w:top w:val="none" w:sz="0" w:space="0" w:color="auto"/>
        <w:left w:val="none" w:sz="0" w:space="0" w:color="auto"/>
        <w:bottom w:val="none" w:sz="0" w:space="0" w:color="auto"/>
        <w:right w:val="none" w:sz="0" w:space="0" w:color="auto"/>
      </w:divBdr>
    </w:div>
    <w:div w:id="425806559">
      <w:bodyDiv w:val="1"/>
      <w:marLeft w:val="0"/>
      <w:marRight w:val="0"/>
      <w:marTop w:val="0"/>
      <w:marBottom w:val="0"/>
      <w:divBdr>
        <w:top w:val="none" w:sz="0" w:space="0" w:color="auto"/>
        <w:left w:val="none" w:sz="0" w:space="0" w:color="auto"/>
        <w:bottom w:val="none" w:sz="0" w:space="0" w:color="auto"/>
        <w:right w:val="none" w:sz="0" w:space="0" w:color="auto"/>
      </w:divBdr>
    </w:div>
    <w:div w:id="429664378">
      <w:bodyDiv w:val="1"/>
      <w:marLeft w:val="0"/>
      <w:marRight w:val="0"/>
      <w:marTop w:val="0"/>
      <w:marBottom w:val="0"/>
      <w:divBdr>
        <w:top w:val="none" w:sz="0" w:space="0" w:color="auto"/>
        <w:left w:val="none" w:sz="0" w:space="0" w:color="auto"/>
        <w:bottom w:val="none" w:sz="0" w:space="0" w:color="auto"/>
        <w:right w:val="none" w:sz="0" w:space="0" w:color="auto"/>
      </w:divBdr>
    </w:div>
    <w:div w:id="442506046">
      <w:bodyDiv w:val="1"/>
      <w:marLeft w:val="0"/>
      <w:marRight w:val="0"/>
      <w:marTop w:val="0"/>
      <w:marBottom w:val="0"/>
      <w:divBdr>
        <w:top w:val="none" w:sz="0" w:space="0" w:color="auto"/>
        <w:left w:val="none" w:sz="0" w:space="0" w:color="auto"/>
        <w:bottom w:val="none" w:sz="0" w:space="0" w:color="auto"/>
        <w:right w:val="none" w:sz="0" w:space="0" w:color="auto"/>
      </w:divBdr>
      <w:divsChild>
        <w:div w:id="493885679">
          <w:marLeft w:val="0"/>
          <w:marRight w:val="0"/>
          <w:marTop w:val="0"/>
          <w:marBottom w:val="0"/>
          <w:divBdr>
            <w:top w:val="none" w:sz="0" w:space="0" w:color="auto"/>
            <w:left w:val="none" w:sz="0" w:space="0" w:color="auto"/>
            <w:bottom w:val="none" w:sz="0" w:space="0" w:color="auto"/>
            <w:right w:val="none" w:sz="0" w:space="0" w:color="auto"/>
          </w:divBdr>
        </w:div>
      </w:divsChild>
    </w:div>
    <w:div w:id="444882802">
      <w:bodyDiv w:val="1"/>
      <w:marLeft w:val="0"/>
      <w:marRight w:val="0"/>
      <w:marTop w:val="0"/>
      <w:marBottom w:val="0"/>
      <w:divBdr>
        <w:top w:val="none" w:sz="0" w:space="0" w:color="auto"/>
        <w:left w:val="none" w:sz="0" w:space="0" w:color="auto"/>
        <w:bottom w:val="none" w:sz="0" w:space="0" w:color="auto"/>
        <w:right w:val="none" w:sz="0" w:space="0" w:color="auto"/>
      </w:divBdr>
    </w:div>
    <w:div w:id="515651615">
      <w:bodyDiv w:val="1"/>
      <w:marLeft w:val="0"/>
      <w:marRight w:val="0"/>
      <w:marTop w:val="0"/>
      <w:marBottom w:val="0"/>
      <w:divBdr>
        <w:top w:val="none" w:sz="0" w:space="0" w:color="auto"/>
        <w:left w:val="none" w:sz="0" w:space="0" w:color="auto"/>
        <w:bottom w:val="none" w:sz="0" w:space="0" w:color="auto"/>
        <w:right w:val="none" w:sz="0" w:space="0" w:color="auto"/>
      </w:divBdr>
    </w:div>
    <w:div w:id="524292659">
      <w:bodyDiv w:val="1"/>
      <w:marLeft w:val="0"/>
      <w:marRight w:val="0"/>
      <w:marTop w:val="0"/>
      <w:marBottom w:val="0"/>
      <w:divBdr>
        <w:top w:val="none" w:sz="0" w:space="0" w:color="auto"/>
        <w:left w:val="none" w:sz="0" w:space="0" w:color="auto"/>
        <w:bottom w:val="none" w:sz="0" w:space="0" w:color="auto"/>
        <w:right w:val="none" w:sz="0" w:space="0" w:color="auto"/>
      </w:divBdr>
    </w:div>
    <w:div w:id="525295677">
      <w:bodyDiv w:val="1"/>
      <w:marLeft w:val="0"/>
      <w:marRight w:val="0"/>
      <w:marTop w:val="0"/>
      <w:marBottom w:val="0"/>
      <w:divBdr>
        <w:top w:val="none" w:sz="0" w:space="0" w:color="auto"/>
        <w:left w:val="none" w:sz="0" w:space="0" w:color="auto"/>
        <w:bottom w:val="none" w:sz="0" w:space="0" w:color="auto"/>
        <w:right w:val="none" w:sz="0" w:space="0" w:color="auto"/>
      </w:divBdr>
    </w:div>
    <w:div w:id="526067502">
      <w:bodyDiv w:val="1"/>
      <w:marLeft w:val="0"/>
      <w:marRight w:val="0"/>
      <w:marTop w:val="0"/>
      <w:marBottom w:val="0"/>
      <w:divBdr>
        <w:top w:val="none" w:sz="0" w:space="0" w:color="auto"/>
        <w:left w:val="none" w:sz="0" w:space="0" w:color="auto"/>
        <w:bottom w:val="none" w:sz="0" w:space="0" w:color="auto"/>
        <w:right w:val="none" w:sz="0" w:space="0" w:color="auto"/>
      </w:divBdr>
    </w:div>
    <w:div w:id="530074939">
      <w:bodyDiv w:val="1"/>
      <w:marLeft w:val="0"/>
      <w:marRight w:val="0"/>
      <w:marTop w:val="0"/>
      <w:marBottom w:val="0"/>
      <w:divBdr>
        <w:top w:val="none" w:sz="0" w:space="0" w:color="auto"/>
        <w:left w:val="none" w:sz="0" w:space="0" w:color="auto"/>
        <w:bottom w:val="none" w:sz="0" w:space="0" w:color="auto"/>
        <w:right w:val="none" w:sz="0" w:space="0" w:color="auto"/>
      </w:divBdr>
    </w:div>
    <w:div w:id="535393425">
      <w:bodyDiv w:val="1"/>
      <w:marLeft w:val="0"/>
      <w:marRight w:val="0"/>
      <w:marTop w:val="0"/>
      <w:marBottom w:val="0"/>
      <w:divBdr>
        <w:top w:val="none" w:sz="0" w:space="0" w:color="auto"/>
        <w:left w:val="none" w:sz="0" w:space="0" w:color="auto"/>
        <w:bottom w:val="none" w:sz="0" w:space="0" w:color="auto"/>
        <w:right w:val="none" w:sz="0" w:space="0" w:color="auto"/>
      </w:divBdr>
    </w:div>
    <w:div w:id="562451877">
      <w:bodyDiv w:val="1"/>
      <w:marLeft w:val="0"/>
      <w:marRight w:val="0"/>
      <w:marTop w:val="0"/>
      <w:marBottom w:val="0"/>
      <w:divBdr>
        <w:top w:val="none" w:sz="0" w:space="0" w:color="auto"/>
        <w:left w:val="none" w:sz="0" w:space="0" w:color="auto"/>
        <w:bottom w:val="none" w:sz="0" w:space="0" w:color="auto"/>
        <w:right w:val="none" w:sz="0" w:space="0" w:color="auto"/>
      </w:divBdr>
    </w:div>
    <w:div w:id="563024114">
      <w:bodyDiv w:val="1"/>
      <w:marLeft w:val="0"/>
      <w:marRight w:val="0"/>
      <w:marTop w:val="0"/>
      <w:marBottom w:val="0"/>
      <w:divBdr>
        <w:top w:val="none" w:sz="0" w:space="0" w:color="auto"/>
        <w:left w:val="none" w:sz="0" w:space="0" w:color="auto"/>
        <w:bottom w:val="none" w:sz="0" w:space="0" w:color="auto"/>
        <w:right w:val="none" w:sz="0" w:space="0" w:color="auto"/>
      </w:divBdr>
    </w:div>
    <w:div w:id="571038141">
      <w:bodyDiv w:val="1"/>
      <w:marLeft w:val="0"/>
      <w:marRight w:val="0"/>
      <w:marTop w:val="0"/>
      <w:marBottom w:val="0"/>
      <w:divBdr>
        <w:top w:val="none" w:sz="0" w:space="0" w:color="auto"/>
        <w:left w:val="none" w:sz="0" w:space="0" w:color="auto"/>
        <w:bottom w:val="none" w:sz="0" w:space="0" w:color="auto"/>
        <w:right w:val="none" w:sz="0" w:space="0" w:color="auto"/>
      </w:divBdr>
    </w:div>
    <w:div w:id="574895478">
      <w:bodyDiv w:val="1"/>
      <w:marLeft w:val="0"/>
      <w:marRight w:val="0"/>
      <w:marTop w:val="0"/>
      <w:marBottom w:val="0"/>
      <w:divBdr>
        <w:top w:val="none" w:sz="0" w:space="0" w:color="auto"/>
        <w:left w:val="none" w:sz="0" w:space="0" w:color="auto"/>
        <w:bottom w:val="none" w:sz="0" w:space="0" w:color="auto"/>
        <w:right w:val="none" w:sz="0" w:space="0" w:color="auto"/>
      </w:divBdr>
    </w:div>
    <w:div w:id="578098033">
      <w:bodyDiv w:val="1"/>
      <w:marLeft w:val="0"/>
      <w:marRight w:val="0"/>
      <w:marTop w:val="0"/>
      <w:marBottom w:val="0"/>
      <w:divBdr>
        <w:top w:val="none" w:sz="0" w:space="0" w:color="auto"/>
        <w:left w:val="none" w:sz="0" w:space="0" w:color="auto"/>
        <w:bottom w:val="none" w:sz="0" w:space="0" w:color="auto"/>
        <w:right w:val="none" w:sz="0" w:space="0" w:color="auto"/>
      </w:divBdr>
    </w:div>
    <w:div w:id="604119860">
      <w:bodyDiv w:val="1"/>
      <w:marLeft w:val="0"/>
      <w:marRight w:val="0"/>
      <w:marTop w:val="0"/>
      <w:marBottom w:val="0"/>
      <w:divBdr>
        <w:top w:val="none" w:sz="0" w:space="0" w:color="auto"/>
        <w:left w:val="none" w:sz="0" w:space="0" w:color="auto"/>
        <w:bottom w:val="none" w:sz="0" w:space="0" w:color="auto"/>
        <w:right w:val="none" w:sz="0" w:space="0" w:color="auto"/>
      </w:divBdr>
    </w:div>
    <w:div w:id="607082600">
      <w:bodyDiv w:val="1"/>
      <w:marLeft w:val="0"/>
      <w:marRight w:val="0"/>
      <w:marTop w:val="0"/>
      <w:marBottom w:val="0"/>
      <w:divBdr>
        <w:top w:val="none" w:sz="0" w:space="0" w:color="auto"/>
        <w:left w:val="none" w:sz="0" w:space="0" w:color="auto"/>
        <w:bottom w:val="none" w:sz="0" w:space="0" w:color="auto"/>
        <w:right w:val="none" w:sz="0" w:space="0" w:color="auto"/>
      </w:divBdr>
    </w:div>
    <w:div w:id="624625080">
      <w:bodyDiv w:val="1"/>
      <w:marLeft w:val="0"/>
      <w:marRight w:val="0"/>
      <w:marTop w:val="0"/>
      <w:marBottom w:val="0"/>
      <w:divBdr>
        <w:top w:val="none" w:sz="0" w:space="0" w:color="auto"/>
        <w:left w:val="none" w:sz="0" w:space="0" w:color="auto"/>
        <w:bottom w:val="none" w:sz="0" w:space="0" w:color="auto"/>
        <w:right w:val="none" w:sz="0" w:space="0" w:color="auto"/>
      </w:divBdr>
    </w:div>
    <w:div w:id="645666526">
      <w:bodyDiv w:val="1"/>
      <w:marLeft w:val="0"/>
      <w:marRight w:val="0"/>
      <w:marTop w:val="0"/>
      <w:marBottom w:val="0"/>
      <w:divBdr>
        <w:top w:val="none" w:sz="0" w:space="0" w:color="auto"/>
        <w:left w:val="none" w:sz="0" w:space="0" w:color="auto"/>
        <w:bottom w:val="none" w:sz="0" w:space="0" w:color="auto"/>
        <w:right w:val="none" w:sz="0" w:space="0" w:color="auto"/>
      </w:divBdr>
    </w:div>
    <w:div w:id="689256636">
      <w:bodyDiv w:val="1"/>
      <w:marLeft w:val="0"/>
      <w:marRight w:val="0"/>
      <w:marTop w:val="0"/>
      <w:marBottom w:val="0"/>
      <w:divBdr>
        <w:top w:val="none" w:sz="0" w:space="0" w:color="auto"/>
        <w:left w:val="none" w:sz="0" w:space="0" w:color="auto"/>
        <w:bottom w:val="none" w:sz="0" w:space="0" w:color="auto"/>
        <w:right w:val="none" w:sz="0" w:space="0" w:color="auto"/>
      </w:divBdr>
    </w:div>
    <w:div w:id="716710639">
      <w:bodyDiv w:val="1"/>
      <w:marLeft w:val="0"/>
      <w:marRight w:val="0"/>
      <w:marTop w:val="0"/>
      <w:marBottom w:val="0"/>
      <w:divBdr>
        <w:top w:val="none" w:sz="0" w:space="0" w:color="auto"/>
        <w:left w:val="none" w:sz="0" w:space="0" w:color="auto"/>
        <w:bottom w:val="none" w:sz="0" w:space="0" w:color="auto"/>
        <w:right w:val="none" w:sz="0" w:space="0" w:color="auto"/>
      </w:divBdr>
      <w:divsChild>
        <w:div w:id="1489590726">
          <w:marLeft w:val="0"/>
          <w:marRight w:val="0"/>
          <w:marTop w:val="0"/>
          <w:marBottom w:val="0"/>
          <w:divBdr>
            <w:top w:val="none" w:sz="0" w:space="0" w:color="auto"/>
            <w:left w:val="none" w:sz="0" w:space="0" w:color="auto"/>
            <w:bottom w:val="none" w:sz="0" w:space="0" w:color="auto"/>
            <w:right w:val="none" w:sz="0" w:space="0" w:color="auto"/>
          </w:divBdr>
        </w:div>
        <w:div w:id="770201250">
          <w:marLeft w:val="0"/>
          <w:marRight w:val="0"/>
          <w:marTop w:val="0"/>
          <w:marBottom w:val="0"/>
          <w:divBdr>
            <w:top w:val="none" w:sz="0" w:space="0" w:color="auto"/>
            <w:left w:val="none" w:sz="0" w:space="0" w:color="auto"/>
            <w:bottom w:val="none" w:sz="0" w:space="0" w:color="auto"/>
            <w:right w:val="none" w:sz="0" w:space="0" w:color="auto"/>
          </w:divBdr>
        </w:div>
      </w:divsChild>
    </w:div>
    <w:div w:id="723337364">
      <w:bodyDiv w:val="1"/>
      <w:marLeft w:val="0"/>
      <w:marRight w:val="0"/>
      <w:marTop w:val="0"/>
      <w:marBottom w:val="0"/>
      <w:divBdr>
        <w:top w:val="none" w:sz="0" w:space="0" w:color="auto"/>
        <w:left w:val="none" w:sz="0" w:space="0" w:color="auto"/>
        <w:bottom w:val="none" w:sz="0" w:space="0" w:color="auto"/>
        <w:right w:val="none" w:sz="0" w:space="0" w:color="auto"/>
      </w:divBdr>
    </w:div>
    <w:div w:id="794522933">
      <w:bodyDiv w:val="1"/>
      <w:marLeft w:val="0"/>
      <w:marRight w:val="0"/>
      <w:marTop w:val="0"/>
      <w:marBottom w:val="0"/>
      <w:divBdr>
        <w:top w:val="none" w:sz="0" w:space="0" w:color="auto"/>
        <w:left w:val="none" w:sz="0" w:space="0" w:color="auto"/>
        <w:bottom w:val="none" w:sz="0" w:space="0" w:color="auto"/>
        <w:right w:val="none" w:sz="0" w:space="0" w:color="auto"/>
      </w:divBdr>
    </w:div>
    <w:div w:id="804618110">
      <w:bodyDiv w:val="1"/>
      <w:marLeft w:val="0"/>
      <w:marRight w:val="0"/>
      <w:marTop w:val="0"/>
      <w:marBottom w:val="0"/>
      <w:divBdr>
        <w:top w:val="none" w:sz="0" w:space="0" w:color="auto"/>
        <w:left w:val="none" w:sz="0" w:space="0" w:color="auto"/>
        <w:bottom w:val="none" w:sz="0" w:space="0" w:color="auto"/>
        <w:right w:val="none" w:sz="0" w:space="0" w:color="auto"/>
      </w:divBdr>
    </w:div>
    <w:div w:id="815991185">
      <w:bodyDiv w:val="1"/>
      <w:marLeft w:val="0"/>
      <w:marRight w:val="0"/>
      <w:marTop w:val="0"/>
      <w:marBottom w:val="0"/>
      <w:divBdr>
        <w:top w:val="none" w:sz="0" w:space="0" w:color="auto"/>
        <w:left w:val="none" w:sz="0" w:space="0" w:color="auto"/>
        <w:bottom w:val="none" w:sz="0" w:space="0" w:color="auto"/>
        <w:right w:val="none" w:sz="0" w:space="0" w:color="auto"/>
      </w:divBdr>
    </w:div>
    <w:div w:id="820343871">
      <w:bodyDiv w:val="1"/>
      <w:marLeft w:val="0"/>
      <w:marRight w:val="0"/>
      <w:marTop w:val="0"/>
      <w:marBottom w:val="0"/>
      <w:divBdr>
        <w:top w:val="none" w:sz="0" w:space="0" w:color="auto"/>
        <w:left w:val="none" w:sz="0" w:space="0" w:color="auto"/>
        <w:bottom w:val="none" w:sz="0" w:space="0" w:color="auto"/>
        <w:right w:val="none" w:sz="0" w:space="0" w:color="auto"/>
      </w:divBdr>
    </w:div>
    <w:div w:id="845440062">
      <w:bodyDiv w:val="1"/>
      <w:marLeft w:val="0"/>
      <w:marRight w:val="0"/>
      <w:marTop w:val="0"/>
      <w:marBottom w:val="0"/>
      <w:divBdr>
        <w:top w:val="none" w:sz="0" w:space="0" w:color="auto"/>
        <w:left w:val="none" w:sz="0" w:space="0" w:color="auto"/>
        <w:bottom w:val="none" w:sz="0" w:space="0" w:color="auto"/>
        <w:right w:val="none" w:sz="0" w:space="0" w:color="auto"/>
      </w:divBdr>
    </w:div>
    <w:div w:id="848720468">
      <w:bodyDiv w:val="1"/>
      <w:marLeft w:val="0"/>
      <w:marRight w:val="0"/>
      <w:marTop w:val="0"/>
      <w:marBottom w:val="0"/>
      <w:divBdr>
        <w:top w:val="none" w:sz="0" w:space="0" w:color="auto"/>
        <w:left w:val="none" w:sz="0" w:space="0" w:color="auto"/>
        <w:bottom w:val="none" w:sz="0" w:space="0" w:color="auto"/>
        <w:right w:val="none" w:sz="0" w:space="0" w:color="auto"/>
      </w:divBdr>
    </w:div>
    <w:div w:id="873732207">
      <w:bodyDiv w:val="1"/>
      <w:marLeft w:val="0"/>
      <w:marRight w:val="0"/>
      <w:marTop w:val="0"/>
      <w:marBottom w:val="0"/>
      <w:divBdr>
        <w:top w:val="none" w:sz="0" w:space="0" w:color="auto"/>
        <w:left w:val="none" w:sz="0" w:space="0" w:color="auto"/>
        <w:bottom w:val="none" w:sz="0" w:space="0" w:color="auto"/>
        <w:right w:val="none" w:sz="0" w:space="0" w:color="auto"/>
      </w:divBdr>
      <w:divsChild>
        <w:div w:id="1203327329">
          <w:marLeft w:val="0"/>
          <w:marRight w:val="0"/>
          <w:marTop w:val="0"/>
          <w:marBottom w:val="0"/>
          <w:divBdr>
            <w:top w:val="none" w:sz="0" w:space="0" w:color="auto"/>
            <w:left w:val="none" w:sz="0" w:space="0" w:color="auto"/>
            <w:bottom w:val="none" w:sz="0" w:space="0" w:color="auto"/>
            <w:right w:val="none" w:sz="0" w:space="0" w:color="auto"/>
          </w:divBdr>
        </w:div>
        <w:div w:id="638458963">
          <w:marLeft w:val="0"/>
          <w:marRight w:val="0"/>
          <w:marTop w:val="0"/>
          <w:marBottom w:val="0"/>
          <w:divBdr>
            <w:top w:val="none" w:sz="0" w:space="0" w:color="auto"/>
            <w:left w:val="none" w:sz="0" w:space="0" w:color="auto"/>
            <w:bottom w:val="none" w:sz="0" w:space="0" w:color="auto"/>
            <w:right w:val="none" w:sz="0" w:space="0" w:color="auto"/>
          </w:divBdr>
        </w:div>
      </w:divsChild>
    </w:div>
    <w:div w:id="886374812">
      <w:bodyDiv w:val="1"/>
      <w:marLeft w:val="0"/>
      <w:marRight w:val="0"/>
      <w:marTop w:val="0"/>
      <w:marBottom w:val="0"/>
      <w:divBdr>
        <w:top w:val="none" w:sz="0" w:space="0" w:color="auto"/>
        <w:left w:val="none" w:sz="0" w:space="0" w:color="auto"/>
        <w:bottom w:val="none" w:sz="0" w:space="0" w:color="auto"/>
        <w:right w:val="none" w:sz="0" w:space="0" w:color="auto"/>
      </w:divBdr>
    </w:div>
    <w:div w:id="897015617">
      <w:bodyDiv w:val="1"/>
      <w:marLeft w:val="0"/>
      <w:marRight w:val="0"/>
      <w:marTop w:val="0"/>
      <w:marBottom w:val="0"/>
      <w:divBdr>
        <w:top w:val="none" w:sz="0" w:space="0" w:color="auto"/>
        <w:left w:val="none" w:sz="0" w:space="0" w:color="auto"/>
        <w:bottom w:val="none" w:sz="0" w:space="0" w:color="auto"/>
        <w:right w:val="none" w:sz="0" w:space="0" w:color="auto"/>
      </w:divBdr>
    </w:div>
    <w:div w:id="939216630">
      <w:bodyDiv w:val="1"/>
      <w:marLeft w:val="0"/>
      <w:marRight w:val="0"/>
      <w:marTop w:val="0"/>
      <w:marBottom w:val="0"/>
      <w:divBdr>
        <w:top w:val="none" w:sz="0" w:space="0" w:color="auto"/>
        <w:left w:val="none" w:sz="0" w:space="0" w:color="auto"/>
        <w:bottom w:val="none" w:sz="0" w:space="0" w:color="auto"/>
        <w:right w:val="none" w:sz="0" w:space="0" w:color="auto"/>
      </w:divBdr>
    </w:div>
    <w:div w:id="946276887">
      <w:bodyDiv w:val="1"/>
      <w:marLeft w:val="0"/>
      <w:marRight w:val="0"/>
      <w:marTop w:val="0"/>
      <w:marBottom w:val="0"/>
      <w:divBdr>
        <w:top w:val="none" w:sz="0" w:space="0" w:color="auto"/>
        <w:left w:val="none" w:sz="0" w:space="0" w:color="auto"/>
        <w:bottom w:val="none" w:sz="0" w:space="0" w:color="auto"/>
        <w:right w:val="none" w:sz="0" w:space="0" w:color="auto"/>
      </w:divBdr>
    </w:div>
    <w:div w:id="966930273">
      <w:bodyDiv w:val="1"/>
      <w:marLeft w:val="0"/>
      <w:marRight w:val="0"/>
      <w:marTop w:val="0"/>
      <w:marBottom w:val="0"/>
      <w:divBdr>
        <w:top w:val="none" w:sz="0" w:space="0" w:color="auto"/>
        <w:left w:val="none" w:sz="0" w:space="0" w:color="auto"/>
        <w:bottom w:val="none" w:sz="0" w:space="0" w:color="auto"/>
        <w:right w:val="none" w:sz="0" w:space="0" w:color="auto"/>
      </w:divBdr>
    </w:div>
    <w:div w:id="972633910">
      <w:bodyDiv w:val="1"/>
      <w:marLeft w:val="0"/>
      <w:marRight w:val="0"/>
      <w:marTop w:val="0"/>
      <w:marBottom w:val="0"/>
      <w:divBdr>
        <w:top w:val="none" w:sz="0" w:space="0" w:color="auto"/>
        <w:left w:val="none" w:sz="0" w:space="0" w:color="auto"/>
        <w:bottom w:val="none" w:sz="0" w:space="0" w:color="auto"/>
        <w:right w:val="none" w:sz="0" w:space="0" w:color="auto"/>
      </w:divBdr>
    </w:div>
    <w:div w:id="997266730">
      <w:bodyDiv w:val="1"/>
      <w:marLeft w:val="0"/>
      <w:marRight w:val="0"/>
      <w:marTop w:val="0"/>
      <w:marBottom w:val="0"/>
      <w:divBdr>
        <w:top w:val="none" w:sz="0" w:space="0" w:color="auto"/>
        <w:left w:val="none" w:sz="0" w:space="0" w:color="auto"/>
        <w:bottom w:val="none" w:sz="0" w:space="0" w:color="auto"/>
        <w:right w:val="none" w:sz="0" w:space="0" w:color="auto"/>
      </w:divBdr>
    </w:div>
    <w:div w:id="1017267846">
      <w:bodyDiv w:val="1"/>
      <w:marLeft w:val="0"/>
      <w:marRight w:val="0"/>
      <w:marTop w:val="0"/>
      <w:marBottom w:val="0"/>
      <w:divBdr>
        <w:top w:val="none" w:sz="0" w:space="0" w:color="auto"/>
        <w:left w:val="none" w:sz="0" w:space="0" w:color="auto"/>
        <w:bottom w:val="none" w:sz="0" w:space="0" w:color="auto"/>
        <w:right w:val="none" w:sz="0" w:space="0" w:color="auto"/>
      </w:divBdr>
    </w:div>
    <w:div w:id="1028262555">
      <w:bodyDiv w:val="1"/>
      <w:marLeft w:val="0"/>
      <w:marRight w:val="0"/>
      <w:marTop w:val="0"/>
      <w:marBottom w:val="0"/>
      <w:divBdr>
        <w:top w:val="none" w:sz="0" w:space="0" w:color="auto"/>
        <w:left w:val="none" w:sz="0" w:space="0" w:color="auto"/>
        <w:bottom w:val="none" w:sz="0" w:space="0" w:color="auto"/>
        <w:right w:val="none" w:sz="0" w:space="0" w:color="auto"/>
      </w:divBdr>
    </w:div>
    <w:div w:id="1063142457">
      <w:bodyDiv w:val="1"/>
      <w:marLeft w:val="0"/>
      <w:marRight w:val="0"/>
      <w:marTop w:val="0"/>
      <w:marBottom w:val="0"/>
      <w:divBdr>
        <w:top w:val="none" w:sz="0" w:space="0" w:color="auto"/>
        <w:left w:val="none" w:sz="0" w:space="0" w:color="auto"/>
        <w:bottom w:val="none" w:sz="0" w:space="0" w:color="auto"/>
        <w:right w:val="none" w:sz="0" w:space="0" w:color="auto"/>
      </w:divBdr>
    </w:div>
    <w:div w:id="1071120435">
      <w:bodyDiv w:val="1"/>
      <w:marLeft w:val="0"/>
      <w:marRight w:val="0"/>
      <w:marTop w:val="0"/>
      <w:marBottom w:val="0"/>
      <w:divBdr>
        <w:top w:val="none" w:sz="0" w:space="0" w:color="auto"/>
        <w:left w:val="none" w:sz="0" w:space="0" w:color="auto"/>
        <w:bottom w:val="none" w:sz="0" w:space="0" w:color="auto"/>
        <w:right w:val="none" w:sz="0" w:space="0" w:color="auto"/>
      </w:divBdr>
    </w:div>
    <w:div w:id="1108625538">
      <w:bodyDiv w:val="1"/>
      <w:marLeft w:val="0"/>
      <w:marRight w:val="0"/>
      <w:marTop w:val="0"/>
      <w:marBottom w:val="0"/>
      <w:divBdr>
        <w:top w:val="none" w:sz="0" w:space="0" w:color="auto"/>
        <w:left w:val="none" w:sz="0" w:space="0" w:color="auto"/>
        <w:bottom w:val="none" w:sz="0" w:space="0" w:color="auto"/>
        <w:right w:val="none" w:sz="0" w:space="0" w:color="auto"/>
      </w:divBdr>
    </w:div>
    <w:div w:id="1113405812">
      <w:bodyDiv w:val="1"/>
      <w:marLeft w:val="0"/>
      <w:marRight w:val="0"/>
      <w:marTop w:val="0"/>
      <w:marBottom w:val="0"/>
      <w:divBdr>
        <w:top w:val="none" w:sz="0" w:space="0" w:color="auto"/>
        <w:left w:val="none" w:sz="0" w:space="0" w:color="auto"/>
        <w:bottom w:val="none" w:sz="0" w:space="0" w:color="auto"/>
        <w:right w:val="none" w:sz="0" w:space="0" w:color="auto"/>
      </w:divBdr>
    </w:div>
    <w:div w:id="1142386922">
      <w:bodyDiv w:val="1"/>
      <w:marLeft w:val="0"/>
      <w:marRight w:val="0"/>
      <w:marTop w:val="0"/>
      <w:marBottom w:val="0"/>
      <w:divBdr>
        <w:top w:val="none" w:sz="0" w:space="0" w:color="auto"/>
        <w:left w:val="none" w:sz="0" w:space="0" w:color="auto"/>
        <w:bottom w:val="none" w:sz="0" w:space="0" w:color="auto"/>
        <w:right w:val="none" w:sz="0" w:space="0" w:color="auto"/>
      </w:divBdr>
    </w:div>
    <w:div w:id="1189873798">
      <w:bodyDiv w:val="1"/>
      <w:marLeft w:val="0"/>
      <w:marRight w:val="0"/>
      <w:marTop w:val="0"/>
      <w:marBottom w:val="0"/>
      <w:divBdr>
        <w:top w:val="none" w:sz="0" w:space="0" w:color="auto"/>
        <w:left w:val="none" w:sz="0" w:space="0" w:color="auto"/>
        <w:bottom w:val="none" w:sz="0" w:space="0" w:color="auto"/>
        <w:right w:val="none" w:sz="0" w:space="0" w:color="auto"/>
      </w:divBdr>
    </w:div>
    <w:div w:id="1207720117">
      <w:bodyDiv w:val="1"/>
      <w:marLeft w:val="0"/>
      <w:marRight w:val="0"/>
      <w:marTop w:val="0"/>
      <w:marBottom w:val="0"/>
      <w:divBdr>
        <w:top w:val="none" w:sz="0" w:space="0" w:color="auto"/>
        <w:left w:val="none" w:sz="0" w:space="0" w:color="auto"/>
        <w:bottom w:val="none" w:sz="0" w:space="0" w:color="auto"/>
        <w:right w:val="none" w:sz="0" w:space="0" w:color="auto"/>
      </w:divBdr>
    </w:div>
    <w:div w:id="1216432825">
      <w:bodyDiv w:val="1"/>
      <w:marLeft w:val="0"/>
      <w:marRight w:val="0"/>
      <w:marTop w:val="0"/>
      <w:marBottom w:val="0"/>
      <w:divBdr>
        <w:top w:val="none" w:sz="0" w:space="0" w:color="auto"/>
        <w:left w:val="none" w:sz="0" w:space="0" w:color="auto"/>
        <w:bottom w:val="none" w:sz="0" w:space="0" w:color="auto"/>
        <w:right w:val="none" w:sz="0" w:space="0" w:color="auto"/>
      </w:divBdr>
    </w:div>
    <w:div w:id="1290207883">
      <w:bodyDiv w:val="1"/>
      <w:marLeft w:val="0"/>
      <w:marRight w:val="0"/>
      <w:marTop w:val="0"/>
      <w:marBottom w:val="0"/>
      <w:divBdr>
        <w:top w:val="none" w:sz="0" w:space="0" w:color="auto"/>
        <w:left w:val="none" w:sz="0" w:space="0" w:color="auto"/>
        <w:bottom w:val="none" w:sz="0" w:space="0" w:color="auto"/>
        <w:right w:val="none" w:sz="0" w:space="0" w:color="auto"/>
      </w:divBdr>
    </w:div>
    <w:div w:id="1297025205">
      <w:bodyDiv w:val="1"/>
      <w:marLeft w:val="0"/>
      <w:marRight w:val="0"/>
      <w:marTop w:val="0"/>
      <w:marBottom w:val="0"/>
      <w:divBdr>
        <w:top w:val="none" w:sz="0" w:space="0" w:color="auto"/>
        <w:left w:val="none" w:sz="0" w:space="0" w:color="auto"/>
        <w:bottom w:val="none" w:sz="0" w:space="0" w:color="auto"/>
        <w:right w:val="none" w:sz="0" w:space="0" w:color="auto"/>
      </w:divBdr>
    </w:div>
    <w:div w:id="1317077111">
      <w:bodyDiv w:val="1"/>
      <w:marLeft w:val="0"/>
      <w:marRight w:val="0"/>
      <w:marTop w:val="0"/>
      <w:marBottom w:val="0"/>
      <w:divBdr>
        <w:top w:val="none" w:sz="0" w:space="0" w:color="auto"/>
        <w:left w:val="none" w:sz="0" w:space="0" w:color="auto"/>
        <w:bottom w:val="none" w:sz="0" w:space="0" w:color="auto"/>
        <w:right w:val="none" w:sz="0" w:space="0" w:color="auto"/>
      </w:divBdr>
    </w:div>
    <w:div w:id="1324163462">
      <w:bodyDiv w:val="1"/>
      <w:marLeft w:val="0"/>
      <w:marRight w:val="0"/>
      <w:marTop w:val="0"/>
      <w:marBottom w:val="0"/>
      <w:divBdr>
        <w:top w:val="none" w:sz="0" w:space="0" w:color="auto"/>
        <w:left w:val="none" w:sz="0" w:space="0" w:color="auto"/>
        <w:bottom w:val="none" w:sz="0" w:space="0" w:color="auto"/>
        <w:right w:val="none" w:sz="0" w:space="0" w:color="auto"/>
      </w:divBdr>
    </w:div>
    <w:div w:id="1334382816">
      <w:bodyDiv w:val="1"/>
      <w:marLeft w:val="0"/>
      <w:marRight w:val="0"/>
      <w:marTop w:val="0"/>
      <w:marBottom w:val="0"/>
      <w:divBdr>
        <w:top w:val="none" w:sz="0" w:space="0" w:color="auto"/>
        <w:left w:val="none" w:sz="0" w:space="0" w:color="auto"/>
        <w:bottom w:val="none" w:sz="0" w:space="0" w:color="auto"/>
        <w:right w:val="none" w:sz="0" w:space="0" w:color="auto"/>
      </w:divBdr>
    </w:div>
    <w:div w:id="1340811744">
      <w:bodyDiv w:val="1"/>
      <w:marLeft w:val="0"/>
      <w:marRight w:val="0"/>
      <w:marTop w:val="0"/>
      <w:marBottom w:val="0"/>
      <w:divBdr>
        <w:top w:val="none" w:sz="0" w:space="0" w:color="auto"/>
        <w:left w:val="none" w:sz="0" w:space="0" w:color="auto"/>
        <w:bottom w:val="none" w:sz="0" w:space="0" w:color="auto"/>
        <w:right w:val="none" w:sz="0" w:space="0" w:color="auto"/>
      </w:divBdr>
    </w:div>
    <w:div w:id="1380478036">
      <w:bodyDiv w:val="1"/>
      <w:marLeft w:val="0"/>
      <w:marRight w:val="0"/>
      <w:marTop w:val="0"/>
      <w:marBottom w:val="0"/>
      <w:divBdr>
        <w:top w:val="none" w:sz="0" w:space="0" w:color="auto"/>
        <w:left w:val="none" w:sz="0" w:space="0" w:color="auto"/>
        <w:bottom w:val="none" w:sz="0" w:space="0" w:color="auto"/>
        <w:right w:val="none" w:sz="0" w:space="0" w:color="auto"/>
      </w:divBdr>
    </w:div>
    <w:div w:id="1392657439">
      <w:bodyDiv w:val="1"/>
      <w:marLeft w:val="0"/>
      <w:marRight w:val="0"/>
      <w:marTop w:val="0"/>
      <w:marBottom w:val="0"/>
      <w:divBdr>
        <w:top w:val="none" w:sz="0" w:space="0" w:color="auto"/>
        <w:left w:val="none" w:sz="0" w:space="0" w:color="auto"/>
        <w:bottom w:val="none" w:sz="0" w:space="0" w:color="auto"/>
        <w:right w:val="none" w:sz="0" w:space="0" w:color="auto"/>
      </w:divBdr>
    </w:div>
    <w:div w:id="1396851849">
      <w:bodyDiv w:val="1"/>
      <w:marLeft w:val="0"/>
      <w:marRight w:val="0"/>
      <w:marTop w:val="0"/>
      <w:marBottom w:val="0"/>
      <w:divBdr>
        <w:top w:val="none" w:sz="0" w:space="0" w:color="auto"/>
        <w:left w:val="none" w:sz="0" w:space="0" w:color="auto"/>
        <w:bottom w:val="none" w:sz="0" w:space="0" w:color="auto"/>
        <w:right w:val="none" w:sz="0" w:space="0" w:color="auto"/>
      </w:divBdr>
    </w:div>
    <w:div w:id="1417434573">
      <w:bodyDiv w:val="1"/>
      <w:marLeft w:val="0"/>
      <w:marRight w:val="0"/>
      <w:marTop w:val="0"/>
      <w:marBottom w:val="0"/>
      <w:divBdr>
        <w:top w:val="none" w:sz="0" w:space="0" w:color="auto"/>
        <w:left w:val="none" w:sz="0" w:space="0" w:color="auto"/>
        <w:bottom w:val="none" w:sz="0" w:space="0" w:color="auto"/>
        <w:right w:val="none" w:sz="0" w:space="0" w:color="auto"/>
      </w:divBdr>
    </w:div>
    <w:div w:id="1422217566">
      <w:bodyDiv w:val="1"/>
      <w:marLeft w:val="0"/>
      <w:marRight w:val="0"/>
      <w:marTop w:val="0"/>
      <w:marBottom w:val="0"/>
      <w:divBdr>
        <w:top w:val="none" w:sz="0" w:space="0" w:color="auto"/>
        <w:left w:val="none" w:sz="0" w:space="0" w:color="auto"/>
        <w:bottom w:val="none" w:sz="0" w:space="0" w:color="auto"/>
        <w:right w:val="none" w:sz="0" w:space="0" w:color="auto"/>
      </w:divBdr>
    </w:div>
    <w:div w:id="1443259148">
      <w:bodyDiv w:val="1"/>
      <w:marLeft w:val="0"/>
      <w:marRight w:val="0"/>
      <w:marTop w:val="0"/>
      <w:marBottom w:val="0"/>
      <w:divBdr>
        <w:top w:val="none" w:sz="0" w:space="0" w:color="auto"/>
        <w:left w:val="none" w:sz="0" w:space="0" w:color="auto"/>
        <w:bottom w:val="none" w:sz="0" w:space="0" w:color="auto"/>
        <w:right w:val="none" w:sz="0" w:space="0" w:color="auto"/>
      </w:divBdr>
    </w:div>
    <w:div w:id="1468082785">
      <w:bodyDiv w:val="1"/>
      <w:marLeft w:val="0"/>
      <w:marRight w:val="0"/>
      <w:marTop w:val="0"/>
      <w:marBottom w:val="0"/>
      <w:divBdr>
        <w:top w:val="none" w:sz="0" w:space="0" w:color="auto"/>
        <w:left w:val="none" w:sz="0" w:space="0" w:color="auto"/>
        <w:bottom w:val="none" w:sz="0" w:space="0" w:color="auto"/>
        <w:right w:val="none" w:sz="0" w:space="0" w:color="auto"/>
      </w:divBdr>
    </w:div>
    <w:div w:id="1500577878">
      <w:bodyDiv w:val="1"/>
      <w:marLeft w:val="0"/>
      <w:marRight w:val="0"/>
      <w:marTop w:val="0"/>
      <w:marBottom w:val="0"/>
      <w:divBdr>
        <w:top w:val="none" w:sz="0" w:space="0" w:color="auto"/>
        <w:left w:val="none" w:sz="0" w:space="0" w:color="auto"/>
        <w:bottom w:val="none" w:sz="0" w:space="0" w:color="auto"/>
        <w:right w:val="none" w:sz="0" w:space="0" w:color="auto"/>
      </w:divBdr>
    </w:div>
    <w:div w:id="1539858086">
      <w:bodyDiv w:val="1"/>
      <w:marLeft w:val="0"/>
      <w:marRight w:val="0"/>
      <w:marTop w:val="0"/>
      <w:marBottom w:val="0"/>
      <w:divBdr>
        <w:top w:val="none" w:sz="0" w:space="0" w:color="auto"/>
        <w:left w:val="none" w:sz="0" w:space="0" w:color="auto"/>
        <w:bottom w:val="none" w:sz="0" w:space="0" w:color="auto"/>
        <w:right w:val="none" w:sz="0" w:space="0" w:color="auto"/>
      </w:divBdr>
    </w:div>
    <w:div w:id="1571623495">
      <w:bodyDiv w:val="1"/>
      <w:marLeft w:val="0"/>
      <w:marRight w:val="0"/>
      <w:marTop w:val="0"/>
      <w:marBottom w:val="0"/>
      <w:divBdr>
        <w:top w:val="none" w:sz="0" w:space="0" w:color="auto"/>
        <w:left w:val="none" w:sz="0" w:space="0" w:color="auto"/>
        <w:bottom w:val="none" w:sz="0" w:space="0" w:color="auto"/>
        <w:right w:val="none" w:sz="0" w:space="0" w:color="auto"/>
      </w:divBdr>
    </w:div>
    <w:div w:id="1591740024">
      <w:bodyDiv w:val="1"/>
      <w:marLeft w:val="0"/>
      <w:marRight w:val="0"/>
      <w:marTop w:val="0"/>
      <w:marBottom w:val="0"/>
      <w:divBdr>
        <w:top w:val="none" w:sz="0" w:space="0" w:color="auto"/>
        <w:left w:val="none" w:sz="0" w:space="0" w:color="auto"/>
        <w:bottom w:val="none" w:sz="0" w:space="0" w:color="auto"/>
        <w:right w:val="none" w:sz="0" w:space="0" w:color="auto"/>
      </w:divBdr>
    </w:div>
    <w:div w:id="1603143400">
      <w:bodyDiv w:val="1"/>
      <w:marLeft w:val="0"/>
      <w:marRight w:val="0"/>
      <w:marTop w:val="0"/>
      <w:marBottom w:val="0"/>
      <w:divBdr>
        <w:top w:val="none" w:sz="0" w:space="0" w:color="auto"/>
        <w:left w:val="none" w:sz="0" w:space="0" w:color="auto"/>
        <w:bottom w:val="none" w:sz="0" w:space="0" w:color="auto"/>
        <w:right w:val="none" w:sz="0" w:space="0" w:color="auto"/>
      </w:divBdr>
    </w:div>
    <w:div w:id="1634826596">
      <w:bodyDiv w:val="1"/>
      <w:marLeft w:val="0"/>
      <w:marRight w:val="0"/>
      <w:marTop w:val="0"/>
      <w:marBottom w:val="0"/>
      <w:divBdr>
        <w:top w:val="none" w:sz="0" w:space="0" w:color="auto"/>
        <w:left w:val="none" w:sz="0" w:space="0" w:color="auto"/>
        <w:bottom w:val="none" w:sz="0" w:space="0" w:color="auto"/>
        <w:right w:val="none" w:sz="0" w:space="0" w:color="auto"/>
      </w:divBdr>
    </w:div>
    <w:div w:id="1639257803">
      <w:bodyDiv w:val="1"/>
      <w:marLeft w:val="0"/>
      <w:marRight w:val="0"/>
      <w:marTop w:val="0"/>
      <w:marBottom w:val="0"/>
      <w:divBdr>
        <w:top w:val="none" w:sz="0" w:space="0" w:color="auto"/>
        <w:left w:val="none" w:sz="0" w:space="0" w:color="auto"/>
        <w:bottom w:val="none" w:sz="0" w:space="0" w:color="auto"/>
        <w:right w:val="none" w:sz="0" w:space="0" w:color="auto"/>
      </w:divBdr>
      <w:divsChild>
        <w:div w:id="1563448966">
          <w:marLeft w:val="0"/>
          <w:marRight w:val="0"/>
          <w:marTop w:val="0"/>
          <w:marBottom w:val="0"/>
          <w:divBdr>
            <w:top w:val="none" w:sz="0" w:space="0" w:color="auto"/>
            <w:left w:val="none" w:sz="0" w:space="0" w:color="auto"/>
            <w:bottom w:val="none" w:sz="0" w:space="0" w:color="auto"/>
            <w:right w:val="none" w:sz="0" w:space="0" w:color="auto"/>
          </w:divBdr>
        </w:div>
      </w:divsChild>
    </w:div>
    <w:div w:id="1692219187">
      <w:bodyDiv w:val="1"/>
      <w:marLeft w:val="0"/>
      <w:marRight w:val="0"/>
      <w:marTop w:val="0"/>
      <w:marBottom w:val="0"/>
      <w:divBdr>
        <w:top w:val="none" w:sz="0" w:space="0" w:color="auto"/>
        <w:left w:val="none" w:sz="0" w:space="0" w:color="auto"/>
        <w:bottom w:val="none" w:sz="0" w:space="0" w:color="auto"/>
        <w:right w:val="none" w:sz="0" w:space="0" w:color="auto"/>
      </w:divBdr>
    </w:div>
    <w:div w:id="1705061653">
      <w:bodyDiv w:val="1"/>
      <w:marLeft w:val="0"/>
      <w:marRight w:val="0"/>
      <w:marTop w:val="0"/>
      <w:marBottom w:val="0"/>
      <w:divBdr>
        <w:top w:val="none" w:sz="0" w:space="0" w:color="auto"/>
        <w:left w:val="none" w:sz="0" w:space="0" w:color="auto"/>
        <w:bottom w:val="none" w:sz="0" w:space="0" w:color="auto"/>
        <w:right w:val="none" w:sz="0" w:space="0" w:color="auto"/>
      </w:divBdr>
      <w:divsChild>
        <w:div w:id="42683603">
          <w:marLeft w:val="0"/>
          <w:marRight w:val="0"/>
          <w:marTop w:val="0"/>
          <w:marBottom w:val="0"/>
          <w:divBdr>
            <w:top w:val="none" w:sz="0" w:space="0" w:color="auto"/>
            <w:left w:val="none" w:sz="0" w:space="0" w:color="auto"/>
            <w:bottom w:val="none" w:sz="0" w:space="0" w:color="auto"/>
            <w:right w:val="none" w:sz="0" w:space="0" w:color="auto"/>
          </w:divBdr>
        </w:div>
      </w:divsChild>
    </w:div>
    <w:div w:id="1711420051">
      <w:bodyDiv w:val="1"/>
      <w:marLeft w:val="0"/>
      <w:marRight w:val="0"/>
      <w:marTop w:val="0"/>
      <w:marBottom w:val="0"/>
      <w:divBdr>
        <w:top w:val="none" w:sz="0" w:space="0" w:color="auto"/>
        <w:left w:val="none" w:sz="0" w:space="0" w:color="auto"/>
        <w:bottom w:val="none" w:sz="0" w:space="0" w:color="auto"/>
        <w:right w:val="none" w:sz="0" w:space="0" w:color="auto"/>
      </w:divBdr>
    </w:div>
    <w:div w:id="1715617074">
      <w:bodyDiv w:val="1"/>
      <w:marLeft w:val="0"/>
      <w:marRight w:val="0"/>
      <w:marTop w:val="0"/>
      <w:marBottom w:val="0"/>
      <w:divBdr>
        <w:top w:val="none" w:sz="0" w:space="0" w:color="auto"/>
        <w:left w:val="none" w:sz="0" w:space="0" w:color="auto"/>
        <w:bottom w:val="none" w:sz="0" w:space="0" w:color="auto"/>
        <w:right w:val="none" w:sz="0" w:space="0" w:color="auto"/>
      </w:divBdr>
    </w:div>
    <w:div w:id="1736707749">
      <w:bodyDiv w:val="1"/>
      <w:marLeft w:val="0"/>
      <w:marRight w:val="0"/>
      <w:marTop w:val="0"/>
      <w:marBottom w:val="0"/>
      <w:divBdr>
        <w:top w:val="none" w:sz="0" w:space="0" w:color="auto"/>
        <w:left w:val="none" w:sz="0" w:space="0" w:color="auto"/>
        <w:bottom w:val="none" w:sz="0" w:space="0" w:color="auto"/>
        <w:right w:val="none" w:sz="0" w:space="0" w:color="auto"/>
      </w:divBdr>
    </w:div>
    <w:div w:id="1743789409">
      <w:bodyDiv w:val="1"/>
      <w:marLeft w:val="0"/>
      <w:marRight w:val="0"/>
      <w:marTop w:val="0"/>
      <w:marBottom w:val="0"/>
      <w:divBdr>
        <w:top w:val="none" w:sz="0" w:space="0" w:color="auto"/>
        <w:left w:val="none" w:sz="0" w:space="0" w:color="auto"/>
        <w:bottom w:val="none" w:sz="0" w:space="0" w:color="auto"/>
        <w:right w:val="none" w:sz="0" w:space="0" w:color="auto"/>
      </w:divBdr>
    </w:div>
    <w:div w:id="1749377063">
      <w:bodyDiv w:val="1"/>
      <w:marLeft w:val="0"/>
      <w:marRight w:val="0"/>
      <w:marTop w:val="0"/>
      <w:marBottom w:val="0"/>
      <w:divBdr>
        <w:top w:val="none" w:sz="0" w:space="0" w:color="auto"/>
        <w:left w:val="none" w:sz="0" w:space="0" w:color="auto"/>
        <w:bottom w:val="none" w:sz="0" w:space="0" w:color="auto"/>
        <w:right w:val="none" w:sz="0" w:space="0" w:color="auto"/>
      </w:divBdr>
    </w:div>
    <w:div w:id="1757286152">
      <w:bodyDiv w:val="1"/>
      <w:marLeft w:val="0"/>
      <w:marRight w:val="0"/>
      <w:marTop w:val="0"/>
      <w:marBottom w:val="0"/>
      <w:divBdr>
        <w:top w:val="none" w:sz="0" w:space="0" w:color="auto"/>
        <w:left w:val="none" w:sz="0" w:space="0" w:color="auto"/>
        <w:bottom w:val="none" w:sz="0" w:space="0" w:color="auto"/>
        <w:right w:val="none" w:sz="0" w:space="0" w:color="auto"/>
      </w:divBdr>
    </w:div>
    <w:div w:id="1938363088">
      <w:bodyDiv w:val="1"/>
      <w:marLeft w:val="0"/>
      <w:marRight w:val="0"/>
      <w:marTop w:val="0"/>
      <w:marBottom w:val="0"/>
      <w:divBdr>
        <w:top w:val="none" w:sz="0" w:space="0" w:color="auto"/>
        <w:left w:val="none" w:sz="0" w:space="0" w:color="auto"/>
        <w:bottom w:val="none" w:sz="0" w:space="0" w:color="auto"/>
        <w:right w:val="none" w:sz="0" w:space="0" w:color="auto"/>
      </w:divBdr>
    </w:div>
    <w:div w:id="1979912725">
      <w:bodyDiv w:val="1"/>
      <w:marLeft w:val="0"/>
      <w:marRight w:val="0"/>
      <w:marTop w:val="0"/>
      <w:marBottom w:val="0"/>
      <w:divBdr>
        <w:top w:val="none" w:sz="0" w:space="0" w:color="auto"/>
        <w:left w:val="none" w:sz="0" w:space="0" w:color="auto"/>
        <w:bottom w:val="none" w:sz="0" w:space="0" w:color="auto"/>
        <w:right w:val="none" w:sz="0" w:space="0" w:color="auto"/>
      </w:divBdr>
    </w:div>
    <w:div w:id="2009483530">
      <w:bodyDiv w:val="1"/>
      <w:marLeft w:val="0"/>
      <w:marRight w:val="0"/>
      <w:marTop w:val="0"/>
      <w:marBottom w:val="0"/>
      <w:divBdr>
        <w:top w:val="none" w:sz="0" w:space="0" w:color="auto"/>
        <w:left w:val="none" w:sz="0" w:space="0" w:color="auto"/>
        <w:bottom w:val="none" w:sz="0" w:space="0" w:color="auto"/>
        <w:right w:val="none" w:sz="0" w:space="0" w:color="auto"/>
      </w:divBdr>
    </w:div>
    <w:div w:id="2014380932">
      <w:bodyDiv w:val="1"/>
      <w:marLeft w:val="0"/>
      <w:marRight w:val="0"/>
      <w:marTop w:val="0"/>
      <w:marBottom w:val="0"/>
      <w:divBdr>
        <w:top w:val="none" w:sz="0" w:space="0" w:color="auto"/>
        <w:left w:val="none" w:sz="0" w:space="0" w:color="auto"/>
        <w:bottom w:val="none" w:sz="0" w:space="0" w:color="auto"/>
        <w:right w:val="none" w:sz="0" w:space="0" w:color="auto"/>
      </w:divBdr>
    </w:div>
    <w:div w:id="2037536912">
      <w:bodyDiv w:val="1"/>
      <w:marLeft w:val="0"/>
      <w:marRight w:val="0"/>
      <w:marTop w:val="0"/>
      <w:marBottom w:val="0"/>
      <w:divBdr>
        <w:top w:val="none" w:sz="0" w:space="0" w:color="auto"/>
        <w:left w:val="none" w:sz="0" w:space="0" w:color="auto"/>
        <w:bottom w:val="none" w:sz="0" w:space="0" w:color="auto"/>
        <w:right w:val="none" w:sz="0" w:space="0" w:color="auto"/>
      </w:divBdr>
    </w:div>
    <w:div w:id="2059889925">
      <w:bodyDiv w:val="1"/>
      <w:marLeft w:val="0"/>
      <w:marRight w:val="0"/>
      <w:marTop w:val="0"/>
      <w:marBottom w:val="0"/>
      <w:divBdr>
        <w:top w:val="none" w:sz="0" w:space="0" w:color="auto"/>
        <w:left w:val="none" w:sz="0" w:space="0" w:color="auto"/>
        <w:bottom w:val="none" w:sz="0" w:space="0" w:color="auto"/>
        <w:right w:val="none" w:sz="0" w:space="0" w:color="auto"/>
      </w:divBdr>
    </w:div>
    <w:div w:id="2074503821">
      <w:bodyDiv w:val="1"/>
      <w:marLeft w:val="0"/>
      <w:marRight w:val="0"/>
      <w:marTop w:val="0"/>
      <w:marBottom w:val="0"/>
      <w:divBdr>
        <w:top w:val="none" w:sz="0" w:space="0" w:color="auto"/>
        <w:left w:val="none" w:sz="0" w:space="0" w:color="auto"/>
        <w:bottom w:val="none" w:sz="0" w:space="0" w:color="auto"/>
        <w:right w:val="none" w:sz="0" w:space="0" w:color="auto"/>
      </w:divBdr>
    </w:div>
    <w:div w:id="2075733974">
      <w:bodyDiv w:val="1"/>
      <w:marLeft w:val="0"/>
      <w:marRight w:val="0"/>
      <w:marTop w:val="0"/>
      <w:marBottom w:val="0"/>
      <w:divBdr>
        <w:top w:val="none" w:sz="0" w:space="0" w:color="auto"/>
        <w:left w:val="none" w:sz="0" w:space="0" w:color="auto"/>
        <w:bottom w:val="none" w:sz="0" w:space="0" w:color="auto"/>
        <w:right w:val="none" w:sz="0" w:space="0" w:color="auto"/>
      </w:divBdr>
      <w:divsChild>
        <w:div w:id="2101633658">
          <w:marLeft w:val="0"/>
          <w:marRight w:val="0"/>
          <w:marTop w:val="0"/>
          <w:marBottom w:val="0"/>
          <w:divBdr>
            <w:top w:val="none" w:sz="0" w:space="0" w:color="auto"/>
            <w:left w:val="none" w:sz="0" w:space="0" w:color="auto"/>
            <w:bottom w:val="none" w:sz="0" w:space="0" w:color="auto"/>
            <w:right w:val="none" w:sz="0" w:space="0" w:color="auto"/>
          </w:divBdr>
        </w:div>
      </w:divsChild>
    </w:div>
    <w:div w:id="209604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B878-6673-4CEC-8FB0-6170439A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89346</Words>
  <Characters>50928</Characters>
  <Application>Microsoft Office Word</Application>
  <DocSecurity>0</DocSecurity>
  <Lines>424</Lines>
  <Paragraphs>279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2024-02-14T11:05:00Z</dcterms:created>
  <dcterms:modified xsi:type="dcterms:W3CDTF">2024-02-14T11:05:00Z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2022-09-04T06:19:10Z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86073e32-55ce-421c-b152-9c38cd79c583</vt:lpwstr>
  </property>
  <property fmtid="{D5CDD505-2E9C-101B-9397-08002B2CF9AE}" pid="8" name="MSIP_Label_c63a0701-319b-41bf-8431-58956e491e60_ContentBits">
    <vt:lpwstr>0</vt:lpwstr>
  </property>
</Properties>
</file>