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58A1C" w14:textId="493231E8" w:rsidR="00B60FD8" w:rsidRDefault="00B60FD8" w:rsidP="00B60FD8">
      <w:pPr>
        <w:jc w:val="center"/>
        <w:outlineLvl w:val="0"/>
        <w:rPr>
          <w:rFonts w:eastAsia="Times New Roman" w:cs="Times New Roman"/>
          <w:noProof/>
          <w:sz w:val="22"/>
          <w:szCs w:val="22"/>
          <w:lang w:val="lt-LT" w:eastAsia="lt-LT" w:bidi="lt-LT"/>
        </w:rPr>
      </w:pPr>
      <w:bookmarkStart w:id="0" w:name="_GoBack"/>
      <w:bookmarkEnd w:id="0"/>
      <w:r>
        <w:rPr>
          <w:rFonts w:eastAsia="Times New Roman" w:cs="Times New Roman"/>
          <w:b/>
          <w:noProof/>
          <w:sz w:val="22"/>
          <w:szCs w:val="22"/>
          <w:lang w:val="lt-LT" w:eastAsia="lt-LT" w:bidi="lt-LT"/>
        </w:rPr>
        <w:t>Pakuotės lapelis: informacija pacientui</w:t>
      </w:r>
    </w:p>
    <w:p w14:paraId="31D00D6B" w14:textId="77777777" w:rsidR="00B60FD8" w:rsidRDefault="00B60FD8" w:rsidP="00B60FD8">
      <w:pPr>
        <w:numPr>
          <w:ilvl w:val="12"/>
          <w:numId w:val="0"/>
        </w:numPr>
        <w:shd w:val="clear" w:color="auto" w:fill="FFFFFF"/>
        <w:jc w:val="center"/>
        <w:rPr>
          <w:rFonts w:eastAsia="Times New Roman" w:cs="Times New Roman"/>
          <w:noProof/>
          <w:sz w:val="22"/>
          <w:szCs w:val="22"/>
          <w:lang w:val="lt-LT" w:eastAsia="lt-LT" w:bidi="lt-LT"/>
        </w:rPr>
      </w:pPr>
    </w:p>
    <w:p w14:paraId="159F9305" w14:textId="77777777" w:rsidR="00B60FD8" w:rsidRDefault="00B60FD8" w:rsidP="00B60FD8">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JIDINUM 25 mg plėvele dengtos tabletės</w:t>
      </w:r>
    </w:p>
    <w:p w14:paraId="25D7F5CB" w14:textId="77777777" w:rsidR="00B60FD8" w:rsidRDefault="00B60FD8" w:rsidP="00B60FD8">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JIDINUM 50 mg plėvele dengtos tabletės</w:t>
      </w:r>
    </w:p>
    <w:p w14:paraId="68FD3174" w14:textId="77777777" w:rsidR="00B60FD8" w:rsidRDefault="00B60FD8" w:rsidP="00B60FD8">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JIDINUM 100 mg plėvele dengtos tabletės</w:t>
      </w:r>
    </w:p>
    <w:p w14:paraId="545F1EA2" w14:textId="77777777" w:rsidR="00B60FD8" w:rsidRDefault="00B60FD8" w:rsidP="00B60FD8">
      <w:pPr>
        <w:numPr>
          <w:ilvl w:val="12"/>
          <w:numId w:val="0"/>
        </w:numPr>
        <w:jc w:val="center"/>
        <w:rPr>
          <w:rFonts w:eastAsia="Times New Roman" w:cs="Times New Roman"/>
          <w:noProof/>
          <w:sz w:val="22"/>
          <w:szCs w:val="22"/>
          <w:lang w:val="lt-LT" w:eastAsia="lt-LT" w:bidi="lt-LT"/>
        </w:rPr>
      </w:pPr>
      <w:r>
        <w:rPr>
          <w:rFonts w:eastAsia="Times New Roman" w:cs="Times New Roman"/>
          <w:sz w:val="22"/>
          <w:szCs w:val="22"/>
          <w:lang w:val="lt-LT" w:eastAsia="lt-LT" w:bidi="lt-LT"/>
        </w:rPr>
        <w:t>sitagliptinas</w:t>
      </w:r>
    </w:p>
    <w:p w14:paraId="6027117B" w14:textId="77777777" w:rsidR="00B60FD8" w:rsidRDefault="00B60FD8" w:rsidP="00B60FD8">
      <w:pPr>
        <w:rPr>
          <w:rFonts w:eastAsia="Times New Roman" w:cs="Times New Roman"/>
          <w:noProof/>
          <w:sz w:val="22"/>
          <w:szCs w:val="22"/>
          <w:lang w:val="lt-LT" w:eastAsia="lt-LT" w:bidi="lt-LT"/>
        </w:rPr>
      </w:pPr>
    </w:p>
    <w:p w14:paraId="55D67359" w14:textId="77777777" w:rsidR="00B60FD8" w:rsidRDefault="00B60FD8" w:rsidP="00B60FD8">
      <w:pPr>
        <w:suppressAutoHyphens/>
        <w:rPr>
          <w:rFonts w:eastAsia="Times New Roman" w:cs="Times New Roman"/>
          <w:noProof/>
          <w:sz w:val="22"/>
          <w:szCs w:val="22"/>
          <w:lang w:val="lt-LT" w:eastAsia="lt-LT" w:bidi="lt-LT"/>
        </w:rPr>
      </w:pPr>
      <w:r>
        <w:rPr>
          <w:rFonts w:eastAsia="Times New Roman" w:cs="Times New Roman"/>
          <w:b/>
          <w:sz w:val="22"/>
          <w:szCs w:val="22"/>
          <w:lang w:val="lt-LT" w:eastAsia="lt-LT" w:bidi="lt-LT"/>
        </w:rPr>
        <w:t>Atidžiai perskaitykite visą šį lapelį, prieš pradėdami vartoti vaistą, nes jame pateikiama Jums svarbi informacija</w:t>
      </w:r>
      <w:r>
        <w:rPr>
          <w:rFonts w:eastAsia="Times New Roman" w:cs="Times New Roman"/>
          <w:b/>
          <w:noProof/>
          <w:sz w:val="22"/>
          <w:szCs w:val="22"/>
          <w:lang w:val="lt-LT" w:eastAsia="lt-LT" w:bidi="lt-LT"/>
        </w:rPr>
        <w:t>.</w:t>
      </w:r>
    </w:p>
    <w:p w14:paraId="1F140B1B" w14:textId="77777777" w:rsidR="00B60FD8" w:rsidRDefault="00B60FD8" w:rsidP="00B60FD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Neišmeskite šio lapelio, nes vėl gali prireikti jį perskaityti. </w:t>
      </w:r>
    </w:p>
    <w:p w14:paraId="5EFAC241" w14:textId="77777777" w:rsidR="00B60FD8" w:rsidRDefault="00B60FD8" w:rsidP="00B60FD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Jeigu kiltų daugiau klausimų, kreipkitės į gydytoją, vaistininką arba slaugytoją.</w:t>
      </w:r>
    </w:p>
    <w:p w14:paraId="54FB2156" w14:textId="77777777" w:rsidR="00B60FD8" w:rsidRDefault="00B60FD8" w:rsidP="00B60FD8">
      <w:pPr>
        <w:tabs>
          <w:tab w:val="left" w:pos="567"/>
        </w:tabs>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w:t>
      </w:r>
      <w:r>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Pr>
          <w:rFonts w:eastAsia="Times New Roman" w:cs="Times New Roman"/>
          <w:noProof/>
          <w:color w:val="008000"/>
          <w:sz w:val="22"/>
          <w:szCs w:val="22"/>
          <w:lang w:val="lt-LT" w:eastAsia="lt-LT" w:bidi="lt-LT"/>
        </w:rPr>
        <w:t xml:space="preserve"> </w:t>
      </w:r>
    </w:p>
    <w:p w14:paraId="413AC565" w14:textId="77777777" w:rsidR="00B60FD8" w:rsidRDefault="00B60FD8" w:rsidP="00B60FD8">
      <w:pPr>
        <w:numPr>
          <w:ilvl w:val="0"/>
          <w:numId w:val="1"/>
        </w:numPr>
        <w:tabs>
          <w:tab w:val="left" w:pos="567"/>
        </w:tabs>
        <w:spacing w:line="260" w:lineRule="exact"/>
        <w:ind w:left="567" w:hanging="567"/>
        <w:rPr>
          <w:rFonts w:eastAsia="Times New Roman" w:cs="Times New Roman"/>
          <w:sz w:val="22"/>
          <w:szCs w:val="22"/>
          <w:lang w:val="lt-LT" w:eastAsia="lt-LT" w:bidi="lt-LT"/>
        </w:rPr>
      </w:pPr>
      <w:r>
        <w:rPr>
          <w:rFonts w:eastAsia="Times New Roman" w:cs="Times New Roman"/>
          <w:sz w:val="22"/>
          <w:szCs w:val="22"/>
          <w:lang w:val="lt-LT" w:eastAsia="lt-LT" w:bidi="lt-LT"/>
        </w:rPr>
        <w:t>Jeigu pasireiškė šalutinis poveikis (net jeigu jis šiame lapelyje nenurodytas),</w:t>
      </w:r>
      <w:r>
        <w:rPr>
          <w:rFonts w:eastAsia="Times New Roman" w:cs="Times New Roman"/>
          <w:color w:val="FF0000"/>
          <w:sz w:val="22"/>
          <w:szCs w:val="22"/>
          <w:lang w:val="lt-LT" w:eastAsia="lt-LT" w:bidi="lt-LT"/>
        </w:rPr>
        <w:t xml:space="preserve"> </w:t>
      </w:r>
      <w:r>
        <w:rPr>
          <w:rFonts w:eastAsia="Times New Roman" w:cs="Times New Roman"/>
          <w:sz w:val="22"/>
          <w:szCs w:val="22"/>
          <w:lang w:val="lt-LT" w:eastAsia="lt-LT" w:bidi="lt-LT"/>
        </w:rPr>
        <w:t>kreipkitės į gydytoją, vaistininką arba slaugytoją. Žr. 4 skyrių.</w:t>
      </w:r>
    </w:p>
    <w:p w14:paraId="06B395C7" w14:textId="77777777" w:rsidR="00B60FD8" w:rsidRDefault="00B60FD8" w:rsidP="00B60FD8">
      <w:pPr>
        <w:ind w:right="-2"/>
        <w:rPr>
          <w:rFonts w:eastAsia="Times New Roman" w:cs="Times New Roman"/>
          <w:sz w:val="22"/>
          <w:szCs w:val="22"/>
          <w:lang w:val="lt-LT" w:eastAsia="lt-LT" w:bidi="lt-LT"/>
        </w:rPr>
      </w:pPr>
    </w:p>
    <w:p w14:paraId="32859DDA" w14:textId="77777777" w:rsidR="00B60FD8" w:rsidRDefault="00B60FD8" w:rsidP="00B60FD8">
      <w:pPr>
        <w:ind w:right="-2"/>
        <w:rPr>
          <w:rFonts w:eastAsia="Times New Roman" w:cs="Times New Roman"/>
          <w:noProof/>
          <w:sz w:val="22"/>
          <w:szCs w:val="22"/>
          <w:lang w:val="lt-LT" w:eastAsia="lt-LT" w:bidi="lt-LT"/>
        </w:rPr>
      </w:pPr>
    </w:p>
    <w:p w14:paraId="4B0594A1" w14:textId="77777777" w:rsidR="00B60FD8" w:rsidRDefault="00B60FD8" w:rsidP="00B60FD8">
      <w:pPr>
        <w:keepNext/>
        <w:numPr>
          <w:ilvl w:val="12"/>
          <w:numId w:val="0"/>
        </w:numPr>
        <w:ind w:right="-2"/>
        <w:outlineLvl w:val="0"/>
        <w:rPr>
          <w:rFonts w:eastAsia="Times New Roman" w:cs="Times New Roman"/>
          <w:noProof/>
          <w:sz w:val="22"/>
          <w:szCs w:val="22"/>
          <w:lang w:val="lt-LT" w:eastAsia="lt-LT" w:bidi="lt-LT"/>
        </w:rPr>
      </w:pPr>
      <w:r>
        <w:rPr>
          <w:rFonts w:eastAsia="Times New Roman" w:cs="Times New Roman"/>
          <w:b/>
          <w:sz w:val="22"/>
          <w:szCs w:val="22"/>
          <w:lang w:val="lt-LT" w:eastAsia="lt-LT" w:bidi="lt-LT"/>
        </w:rPr>
        <w:t>Apie ką rašoma šiame lapelyje?</w:t>
      </w:r>
    </w:p>
    <w:p w14:paraId="3023B590" w14:textId="77777777" w:rsidR="00B60FD8" w:rsidRDefault="00B60FD8" w:rsidP="00B60FD8">
      <w:pPr>
        <w:keepNext/>
        <w:numPr>
          <w:ilvl w:val="12"/>
          <w:numId w:val="0"/>
        </w:numPr>
        <w:ind w:right="-2"/>
        <w:outlineLvl w:val="0"/>
        <w:rPr>
          <w:rFonts w:eastAsia="Times New Roman" w:cs="Times New Roman"/>
          <w:noProof/>
          <w:sz w:val="22"/>
          <w:szCs w:val="22"/>
          <w:lang w:val="lt-LT" w:eastAsia="lt-LT" w:bidi="lt-LT"/>
        </w:rPr>
      </w:pPr>
    </w:p>
    <w:p w14:paraId="64F91D51"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Kas yra JIDINUM ir kam jis vartojamas </w:t>
      </w:r>
    </w:p>
    <w:p w14:paraId="43E69B9F"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Kas žinotina prieš vartojant JIDINUM</w:t>
      </w:r>
    </w:p>
    <w:p w14:paraId="00ECEB85"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Kaip vartoti JIDINUM</w:t>
      </w:r>
    </w:p>
    <w:p w14:paraId="1C140F1B"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Galimas šalutinis poveikis </w:t>
      </w:r>
    </w:p>
    <w:p w14:paraId="489444B8"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Kaip laikyti JIDINUM</w:t>
      </w:r>
    </w:p>
    <w:p w14:paraId="7B1D17E0"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Pakuotės turinys ir kita informacija</w:t>
      </w:r>
    </w:p>
    <w:p w14:paraId="2629EA68"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31125F57" w14:textId="77777777" w:rsidR="00B60FD8" w:rsidRDefault="00B60FD8" w:rsidP="00B60FD8">
      <w:pPr>
        <w:numPr>
          <w:ilvl w:val="12"/>
          <w:numId w:val="0"/>
        </w:numPr>
        <w:rPr>
          <w:rFonts w:eastAsia="Times New Roman" w:cs="Times New Roman"/>
          <w:noProof/>
          <w:sz w:val="22"/>
          <w:szCs w:val="22"/>
          <w:lang w:val="lt-LT" w:eastAsia="lt-LT" w:bidi="lt-LT"/>
        </w:rPr>
      </w:pPr>
    </w:p>
    <w:p w14:paraId="28E051FE"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Kas yra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ir kam jis vartojamas</w:t>
      </w:r>
    </w:p>
    <w:p w14:paraId="40B63864" w14:textId="77777777" w:rsidR="00B60FD8" w:rsidRDefault="00B60FD8" w:rsidP="00B60FD8">
      <w:pPr>
        <w:numPr>
          <w:ilvl w:val="12"/>
          <w:numId w:val="0"/>
        </w:numPr>
        <w:rPr>
          <w:rFonts w:eastAsia="Times New Roman" w:cs="Times New Roman"/>
          <w:noProof/>
          <w:sz w:val="22"/>
          <w:szCs w:val="22"/>
          <w:lang w:val="lt-LT" w:eastAsia="lt-LT" w:bidi="lt-LT"/>
        </w:rPr>
      </w:pPr>
    </w:p>
    <w:p w14:paraId="299E3A3B" w14:textId="77777777" w:rsidR="00B60FD8" w:rsidRDefault="00B60FD8" w:rsidP="00B60FD8">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JIDINUM</w:t>
      </w:r>
      <w:r>
        <w:rPr>
          <w:rFonts w:cs="Times New Roman"/>
          <w:sz w:val="22"/>
          <w:szCs w:val="22"/>
          <w:lang w:val="lt-LT" w:eastAsia="en-US"/>
        </w:rPr>
        <w:t xml:space="preserve"> sudėtyje yra veikliosios medžiagos sitagliptino, kuris yra vaistų klasės, vadinamos DPP-4 inhibitoriais (dipeptidilpeptidazės-4 inhibitoriais), atstovas, mažinantis cukraus kiekį kraujyje pacientams, kuriems yra 2 tipo cukrinis diabetas.</w:t>
      </w:r>
    </w:p>
    <w:p w14:paraId="362CC479" w14:textId="77777777" w:rsidR="00B60FD8" w:rsidRDefault="00B60FD8" w:rsidP="00B60FD8">
      <w:pPr>
        <w:autoSpaceDE w:val="0"/>
        <w:autoSpaceDN w:val="0"/>
        <w:adjustRightInd w:val="0"/>
        <w:rPr>
          <w:rFonts w:cs="Times New Roman"/>
          <w:sz w:val="22"/>
          <w:szCs w:val="22"/>
          <w:lang w:val="lt-LT" w:eastAsia="en-US"/>
        </w:rPr>
      </w:pPr>
    </w:p>
    <w:p w14:paraId="6E7A2408"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Šis vaistas padeda padidinti insulino kiekį pavalgius ir sumažina paties organizmo gaminamo cukraus kiekį.</w:t>
      </w:r>
    </w:p>
    <w:p w14:paraId="5EC52B15" w14:textId="77777777" w:rsidR="00B60FD8" w:rsidRDefault="00B60FD8" w:rsidP="00B60FD8">
      <w:pPr>
        <w:autoSpaceDE w:val="0"/>
        <w:autoSpaceDN w:val="0"/>
        <w:adjustRightInd w:val="0"/>
        <w:rPr>
          <w:rFonts w:cs="Times New Roman"/>
          <w:sz w:val="22"/>
          <w:szCs w:val="22"/>
          <w:lang w:val="lt-LT" w:eastAsia="en-US"/>
        </w:rPr>
      </w:pPr>
    </w:p>
    <w:p w14:paraId="4D12BF49"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Gydytojas paskyrė šį vaistą, kad jis padėtų sumažinti cukraus kiekį kraujyje, kuris yra per didelis, nes sergate 2 tipo cukriniu diabetu. Šis vaistas gali būti vartojamas vienas arba kartu su kitais cukraus kiekį kraujyje mažinančiais vaistais (insulinu, metforminu, sulfonilurėjos dariniu ar glitazonais), kurių Jūs nuo cukrinio diabeto galbūt jau vartojate kartu su mitybos rekomendacijomis ir fiziniu aktyvumu.</w:t>
      </w:r>
    </w:p>
    <w:p w14:paraId="63413A9E" w14:textId="77777777" w:rsidR="00B60FD8" w:rsidRDefault="00B60FD8" w:rsidP="00B60FD8">
      <w:pPr>
        <w:autoSpaceDE w:val="0"/>
        <w:autoSpaceDN w:val="0"/>
        <w:adjustRightInd w:val="0"/>
        <w:rPr>
          <w:rFonts w:cs="Times New Roman"/>
          <w:sz w:val="22"/>
          <w:szCs w:val="22"/>
          <w:lang w:val="lt-LT" w:eastAsia="en-US"/>
        </w:rPr>
      </w:pPr>
    </w:p>
    <w:p w14:paraId="5872BD34" w14:textId="77777777" w:rsidR="00B60FD8" w:rsidRDefault="00B60FD8" w:rsidP="00B60FD8">
      <w:pPr>
        <w:autoSpaceDE w:val="0"/>
        <w:autoSpaceDN w:val="0"/>
        <w:adjustRightInd w:val="0"/>
        <w:rPr>
          <w:rFonts w:cs="Times New Roman"/>
          <w:b/>
          <w:bCs/>
          <w:sz w:val="22"/>
          <w:szCs w:val="22"/>
          <w:lang w:val="lt-LT" w:eastAsia="en-US"/>
        </w:rPr>
      </w:pPr>
      <w:r>
        <w:rPr>
          <w:rFonts w:cs="Times New Roman"/>
          <w:b/>
          <w:bCs/>
          <w:sz w:val="22"/>
          <w:szCs w:val="22"/>
          <w:lang w:val="lt-LT" w:eastAsia="en-US"/>
        </w:rPr>
        <w:t>Kas yra 2 tipo cukrinis diabetas?</w:t>
      </w:r>
    </w:p>
    <w:p w14:paraId="44D14CC1"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 tipo cukrinis diabetas yra būklė, kai Jūsų organizmas gamina nepakankamai insulino, o  insulinas, kurį Jūsų organizmas pagamina, neveikia taip gerai, kaip turėtų veikti. Be to, Jūsų organizmas gali gaminti per daug cukraus. Kai taip atsitinka, kraujyje cukraus (gliukozės) kiekis padidėja. Tai gali sukelti sunkių sveikatos sutrikimų, įskaitant širdies, inkstų ligas, aklumą ir amputaciją.</w:t>
      </w:r>
    </w:p>
    <w:p w14:paraId="2C7A724A" w14:textId="77777777" w:rsidR="00B60FD8" w:rsidRDefault="00B60FD8" w:rsidP="00B60FD8">
      <w:pPr>
        <w:ind w:right="-2"/>
        <w:rPr>
          <w:rFonts w:eastAsia="Times New Roman" w:cs="Times New Roman"/>
          <w:noProof/>
          <w:sz w:val="22"/>
          <w:szCs w:val="22"/>
          <w:lang w:val="lt-LT" w:eastAsia="lt-LT" w:bidi="lt-LT"/>
        </w:rPr>
      </w:pPr>
    </w:p>
    <w:p w14:paraId="707F431E" w14:textId="77777777" w:rsidR="00B60FD8" w:rsidRDefault="00B60FD8" w:rsidP="00B60FD8">
      <w:pPr>
        <w:ind w:right="-2"/>
        <w:rPr>
          <w:rFonts w:eastAsia="Times New Roman" w:cs="Times New Roman"/>
          <w:noProof/>
          <w:sz w:val="22"/>
          <w:szCs w:val="22"/>
          <w:lang w:val="lt-LT" w:eastAsia="lt-LT" w:bidi="lt-LT"/>
        </w:rPr>
      </w:pPr>
    </w:p>
    <w:p w14:paraId="5D3EC59D"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Kas žinotina prieš vartojant </w:t>
      </w:r>
      <w:r>
        <w:rPr>
          <w:rFonts w:eastAsia="Times New Roman" w:cs="Times New Roman"/>
          <w:b/>
          <w:sz w:val="22"/>
          <w:szCs w:val="22"/>
          <w:lang w:val="lt-LT" w:eastAsia="lt-LT" w:bidi="lt-LT"/>
        </w:rPr>
        <w:t>JIDINUM</w:t>
      </w:r>
    </w:p>
    <w:p w14:paraId="4C3011A5" w14:textId="77777777" w:rsidR="00B60FD8" w:rsidRDefault="00B60FD8" w:rsidP="00B60FD8">
      <w:pPr>
        <w:keepNext/>
        <w:numPr>
          <w:ilvl w:val="12"/>
          <w:numId w:val="0"/>
        </w:numPr>
        <w:outlineLvl w:val="0"/>
        <w:rPr>
          <w:rFonts w:eastAsia="Times New Roman" w:cs="Times New Roman"/>
          <w:i/>
          <w:noProof/>
          <w:sz w:val="22"/>
          <w:szCs w:val="22"/>
          <w:lang w:val="lt-LT" w:eastAsia="lt-LT" w:bidi="lt-LT"/>
        </w:rPr>
      </w:pPr>
    </w:p>
    <w:p w14:paraId="6B21B936" w14:textId="77777777" w:rsidR="00B60FD8" w:rsidRDefault="00B60FD8" w:rsidP="00B60FD8">
      <w:pPr>
        <w:keepNext/>
        <w:numPr>
          <w:ilvl w:val="12"/>
          <w:numId w:val="0"/>
        </w:numPr>
        <w:outlineLvl w:val="0"/>
        <w:rPr>
          <w:rFonts w:eastAsia="Times New Roman" w:cs="Times New Roman"/>
          <w:noProof/>
          <w:sz w:val="22"/>
          <w:szCs w:val="22"/>
          <w:lang w:val="lt-LT" w:eastAsia="lt-LT" w:bidi="lt-LT"/>
        </w:rPr>
      </w:pP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vartoti draudžiama</w:t>
      </w:r>
    </w:p>
    <w:p w14:paraId="07CB3765" w14:textId="77777777" w:rsidR="00B60FD8" w:rsidRDefault="00B60FD8" w:rsidP="00B60FD8">
      <w:pPr>
        <w:numPr>
          <w:ilvl w:val="0"/>
          <w:numId w:val="1"/>
        </w:numPr>
        <w:tabs>
          <w:tab w:val="left" w:pos="567"/>
        </w:tabs>
        <w:spacing w:line="260" w:lineRule="exact"/>
        <w:ind w:left="567" w:hanging="567"/>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jeigu yra alergija sitagliptinui arba bet kuriai pagalbinei šio vaisto medžiagai (jos išvardytos 6 skyriuje).</w:t>
      </w:r>
    </w:p>
    <w:p w14:paraId="1A18CB07" w14:textId="77777777" w:rsidR="00B60FD8" w:rsidRDefault="00B60FD8" w:rsidP="00B60FD8">
      <w:pPr>
        <w:numPr>
          <w:ilvl w:val="12"/>
          <w:numId w:val="0"/>
        </w:numPr>
        <w:rPr>
          <w:rFonts w:eastAsia="Times New Roman" w:cs="Times New Roman"/>
          <w:noProof/>
          <w:sz w:val="22"/>
          <w:szCs w:val="22"/>
          <w:lang w:val="lt-LT" w:eastAsia="lt-LT" w:bidi="lt-LT"/>
        </w:rPr>
      </w:pPr>
    </w:p>
    <w:p w14:paraId="44317AE6" w14:textId="77777777" w:rsidR="00B60FD8" w:rsidRDefault="00B60FD8" w:rsidP="00B60FD8">
      <w:pPr>
        <w:numPr>
          <w:ilvl w:val="12"/>
          <w:numId w:val="0"/>
        </w:numPr>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Įspėjimai ir atsargumo priemonės </w:t>
      </w:r>
    </w:p>
    <w:p w14:paraId="39449B9A" w14:textId="77777777" w:rsidR="00B60FD8" w:rsidRDefault="00B60FD8" w:rsidP="00B60FD8">
      <w:pPr>
        <w:numPr>
          <w:ilvl w:val="12"/>
          <w:numId w:val="0"/>
        </w:numPr>
        <w:ind w:right="-2"/>
        <w:rPr>
          <w:rFonts w:cs="Times New Roman"/>
          <w:sz w:val="22"/>
          <w:szCs w:val="22"/>
          <w:lang w:val="lt-LT" w:eastAsia="en-US"/>
        </w:rPr>
      </w:pPr>
      <w:r>
        <w:rPr>
          <w:rFonts w:eastAsia="Times New Roman" w:cs="Times New Roman"/>
          <w:sz w:val="22"/>
          <w:szCs w:val="22"/>
          <w:lang w:val="lt-LT" w:eastAsia="en-US"/>
        </w:rPr>
        <w:t>Pranešta apie kasos uždegimo (pankreatito) atvejus sitagliptino vartojusiems pacientams</w:t>
      </w:r>
      <w:r>
        <w:rPr>
          <w:rFonts w:cs="Times New Roman"/>
          <w:sz w:val="22"/>
          <w:szCs w:val="22"/>
          <w:lang w:val="lt-LT" w:eastAsia="en-US"/>
        </w:rPr>
        <w:t xml:space="preserve"> (žr. 4 skyrių).</w:t>
      </w:r>
    </w:p>
    <w:p w14:paraId="181238D1" w14:textId="77777777" w:rsidR="00B60FD8" w:rsidRDefault="00B60FD8" w:rsidP="00B60FD8">
      <w:pPr>
        <w:numPr>
          <w:ilvl w:val="12"/>
          <w:numId w:val="0"/>
        </w:numPr>
        <w:ind w:right="-2"/>
        <w:rPr>
          <w:rFonts w:cs="Times New Roman"/>
          <w:sz w:val="22"/>
          <w:szCs w:val="22"/>
          <w:lang w:val="lt-LT" w:eastAsia="en-US"/>
        </w:rPr>
      </w:pPr>
    </w:p>
    <w:p w14:paraId="0E1A638D" w14:textId="77777777" w:rsidR="00B60FD8" w:rsidRDefault="00B60FD8" w:rsidP="00B60FD8">
      <w:pPr>
        <w:numPr>
          <w:ilvl w:val="12"/>
          <w:numId w:val="0"/>
        </w:numPr>
        <w:ind w:right="-2"/>
        <w:rPr>
          <w:rFonts w:cs="Times New Roman"/>
          <w:sz w:val="22"/>
          <w:szCs w:val="22"/>
          <w:lang w:val="lt-LT" w:eastAsia="en-US"/>
        </w:rPr>
      </w:pPr>
      <w:r>
        <w:rPr>
          <w:rFonts w:cs="Times New Roman"/>
          <w:sz w:val="22"/>
          <w:szCs w:val="22"/>
          <w:lang w:val="lt-LT" w:eastAsia="en-US"/>
        </w:rPr>
        <w:lastRenderedPageBreak/>
        <w:t>Jeigu Jums netik</w:t>
      </w:r>
      <w:r>
        <w:rPr>
          <w:rFonts w:cs="Times New Roman" w:hint="eastAsia"/>
          <w:sz w:val="22"/>
          <w:szCs w:val="22"/>
          <w:lang w:val="lt-LT" w:eastAsia="en-US"/>
        </w:rPr>
        <w:t>ė</w:t>
      </w:r>
      <w:r>
        <w:rPr>
          <w:rFonts w:cs="Times New Roman"/>
          <w:sz w:val="22"/>
          <w:szCs w:val="22"/>
          <w:lang w:val="lt-LT" w:eastAsia="en-US"/>
        </w:rPr>
        <w:t>tai ant odos susidarė p</w:t>
      </w:r>
      <w:r>
        <w:rPr>
          <w:rFonts w:cs="Times New Roman" w:hint="eastAsia"/>
          <w:sz w:val="22"/>
          <w:szCs w:val="22"/>
          <w:lang w:val="lt-LT" w:eastAsia="en-US"/>
        </w:rPr>
        <w:t>ū</w:t>
      </w:r>
      <w:r>
        <w:rPr>
          <w:rFonts w:cs="Times New Roman"/>
          <w:sz w:val="22"/>
          <w:szCs w:val="22"/>
          <w:lang w:val="lt-LT" w:eastAsia="en-US"/>
        </w:rPr>
        <w:t>sli</w:t>
      </w:r>
      <w:r>
        <w:rPr>
          <w:rFonts w:cs="Times New Roman" w:hint="eastAsia"/>
          <w:sz w:val="22"/>
          <w:szCs w:val="22"/>
          <w:lang w:val="lt-LT" w:eastAsia="en-US"/>
        </w:rPr>
        <w:t>ų</w:t>
      </w:r>
      <w:r>
        <w:rPr>
          <w:rFonts w:cs="Times New Roman"/>
          <w:sz w:val="22"/>
          <w:szCs w:val="22"/>
          <w:lang w:val="lt-LT" w:eastAsia="en-US"/>
        </w:rPr>
        <w:t>, tai gali b</w:t>
      </w:r>
      <w:r>
        <w:rPr>
          <w:rFonts w:cs="Times New Roman" w:hint="eastAsia"/>
          <w:sz w:val="22"/>
          <w:szCs w:val="22"/>
          <w:lang w:val="lt-LT" w:eastAsia="en-US"/>
        </w:rPr>
        <w:t>ū</w:t>
      </w:r>
      <w:r>
        <w:rPr>
          <w:rFonts w:cs="Times New Roman"/>
          <w:sz w:val="22"/>
          <w:szCs w:val="22"/>
          <w:lang w:val="lt-LT" w:eastAsia="en-US"/>
        </w:rPr>
        <w:t>ti p</w:t>
      </w:r>
      <w:r>
        <w:rPr>
          <w:rFonts w:cs="Times New Roman" w:hint="eastAsia"/>
          <w:sz w:val="22"/>
          <w:szCs w:val="22"/>
          <w:lang w:val="lt-LT" w:eastAsia="en-US"/>
        </w:rPr>
        <w:t>ū</w:t>
      </w:r>
      <w:r>
        <w:rPr>
          <w:rFonts w:cs="Times New Roman"/>
          <w:sz w:val="22"/>
          <w:szCs w:val="22"/>
          <w:lang w:val="lt-LT" w:eastAsia="en-US"/>
        </w:rPr>
        <w:t>sliniu pemfigoidu vadinamos b</w:t>
      </w:r>
      <w:r>
        <w:rPr>
          <w:rFonts w:cs="Times New Roman" w:hint="eastAsia"/>
          <w:sz w:val="22"/>
          <w:szCs w:val="22"/>
          <w:lang w:val="lt-LT" w:eastAsia="en-US"/>
        </w:rPr>
        <w:t>ū</w:t>
      </w:r>
      <w:r>
        <w:rPr>
          <w:rFonts w:cs="Times New Roman"/>
          <w:sz w:val="22"/>
          <w:szCs w:val="22"/>
          <w:lang w:val="lt-LT" w:eastAsia="en-US"/>
        </w:rPr>
        <w:t>kl</w:t>
      </w:r>
      <w:r>
        <w:rPr>
          <w:rFonts w:cs="Times New Roman" w:hint="eastAsia"/>
          <w:sz w:val="22"/>
          <w:szCs w:val="22"/>
          <w:lang w:val="lt-LT" w:eastAsia="en-US"/>
        </w:rPr>
        <w:t>ė</w:t>
      </w:r>
      <w:r>
        <w:rPr>
          <w:rFonts w:cs="Times New Roman"/>
          <w:sz w:val="22"/>
          <w:szCs w:val="22"/>
          <w:lang w:val="lt-LT" w:eastAsia="en-US"/>
        </w:rPr>
        <w:t>s po</w:t>
      </w:r>
      <w:r>
        <w:rPr>
          <w:rFonts w:cs="Times New Roman" w:hint="eastAsia"/>
          <w:sz w:val="22"/>
          <w:szCs w:val="22"/>
          <w:lang w:val="lt-LT" w:eastAsia="en-US"/>
        </w:rPr>
        <w:t>ž</w:t>
      </w:r>
      <w:r>
        <w:rPr>
          <w:rFonts w:cs="Times New Roman"/>
          <w:sz w:val="22"/>
          <w:szCs w:val="22"/>
          <w:lang w:val="lt-LT" w:eastAsia="en-US"/>
        </w:rPr>
        <w:t>ymis.</w:t>
      </w:r>
    </w:p>
    <w:p w14:paraId="2569BF7D" w14:textId="77777777" w:rsidR="00B60FD8" w:rsidRDefault="00B60FD8" w:rsidP="00B60FD8">
      <w:pPr>
        <w:numPr>
          <w:ilvl w:val="12"/>
          <w:numId w:val="0"/>
        </w:numPr>
        <w:ind w:right="-2"/>
        <w:rPr>
          <w:rFonts w:cs="Times New Roman"/>
          <w:sz w:val="22"/>
          <w:szCs w:val="22"/>
          <w:lang w:val="lt-LT" w:eastAsia="en-US"/>
        </w:rPr>
      </w:pPr>
      <w:r>
        <w:rPr>
          <w:rFonts w:cs="Times New Roman"/>
          <w:sz w:val="22"/>
          <w:szCs w:val="22"/>
          <w:lang w:val="lt-LT" w:eastAsia="en-US"/>
        </w:rPr>
        <w:t>Gydytojas gali Jums nurodyti nutraukti JIDINUM vartojim</w:t>
      </w:r>
      <w:r>
        <w:rPr>
          <w:rFonts w:cs="Times New Roman" w:hint="eastAsia"/>
          <w:sz w:val="22"/>
          <w:szCs w:val="22"/>
          <w:lang w:val="lt-LT" w:eastAsia="en-US"/>
        </w:rPr>
        <w:t>ą</w:t>
      </w:r>
      <w:r>
        <w:rPr>
          <w:rFonts w:cs="Times New Roman"/>
          <w:sz w:val="22"/>
          <w:szCs w:val="22"/>
          <w:lang w:val="lt-LT" w:eastAsia="en-US"/>
        </w:rPr>
        <w:t>.</w:t>
      </w:r>
    </w:p>
    <w:p w14:paraId="64E3D8C7" w14:textId="77777777" w:rsidR="00B60FD8" w:rsidRDefault="00B60FD8" w:rsidP="00B60FD8">
      <w:pPr>
        <w:numPr>
          <w:ilvl w:val="12"/>
          <w:numId w:val="0"/>
        </w:numPr>
        <w:ind w:right="-2"/>
        <w:rPr>
          <w:rFonts w:cs="Times New Roman"/>
          <w:sz w:val="22"/>
          <w:szCs w:val="22"/>
          <w:lang w:val="lt-LT" w:eastAsia="en-US"/>
        </w:rPr>
      </w:pPr>
    </w:p>
    <w:p w14:paraId="1400373E"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Pasakykite gydytojui, jeigu Jums buvo ar yra:</w:t>
      </w:r>
    </w:p>
    <w:p w14:paraId="6753FD0B"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kasos liga (pavyzdžiui, pankreatitas);</w:t>
      </w:r>
    </w:p>
    <w:p w14:paraId="1C1F7FB1"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tulžies akmenų, priklausomybė nuo alkoholio ar labai didelis trigliceridų (tam tikros rūšies riebalų) kiekis kraujyje. Šie sutrikimai gali padidinti tikimybę susirgti pankreatitu (žr. 4 skyrių);</w:t>
      </w:r>
    </w:p>
    <w:p w14:paraId="7F7263F7"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1 tipo cukrinis diabetas;</w:t>
      </w:r>
    </w:p>
    <w:p w14:paraId="6272038C"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diabetinė ketoacidozė (cukrinio diabeto komplikacija, kuomet labai padidėja cukraus kiekis kraujyje, greitai krenta kūno svoris, pasireiškia pykinimas arba vėmimas);</w:t>
      </w:r>
    </w:p>
    <w:p w14:paraId="4AFF05C6"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bet koks ankstesnis ar dabartinis inkstų funkcijos sutrikimas;</w:t>
      </w:r>
    </w:p>
    <w:p w14:paraId="348D56B2"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alerginė reakcija į JIDINUM (žr. 4 skyrių).</w:t>
      </w:r>
    </w:p>
    <w:p w14:paraId="2D43B55E" w14:textId="77777777" w:rsidR="00B60FD8" w:rsidRDefault="00B60FD8" w:rsidP="00B60FD8">
      <w:pPr>
        <w:autoSpaceDE w:val="0"/>
        <w:autoSpaceDN w:val="0"/>
        <w:adjustRightInd w:val="0"/>
        <w:rPr>
          <w:rFonts w:cs="Times New Roman"/>
          <w:sz w:val="22"/>
          <w:szCs w:val="22"/>
          <w:lang w:val="lt-LT" w:eastAsia="en-US"/>
        </w:rPr>
      </w:pPr>
    </w:p>
    <w:p w14:paraId="1991B4A9"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Nėra tikėtina, kad šis vaistas per daug sumažintų cukraus kiekį kraujyje, nes jis neveikia, jeigu cukraus kraujyje yra mažai. Vis dėlto, jeigu šio vaisto vartojate kartu su sulfonilurėjos dariniu arba insulinu, gali per daug sumažėti cukraus kiekis kraujyje (pasireikšti hipoglikemija). Gydytojas gali sumažinti vartojamo sulfonilurėjos darinio arba insulino dozę.</w:t>
      </w:r>
    </w:p>
    <w:p w14:paraId="05CC8540" w14:textId="77777777" w:rsidR="00B60FD8" w:rsidRDefault="00B60FD8" w:rsidP="00B60FD8">
      <w:pPr>
        <w:keepNext/>
        <w:numPr>
          <w:ilvl w:val="12"/>
          <w:numId w:val="0"/>
        </w:numPr>
        <w:rPr>
          <w:rFonts w:eastAsia="Times New Roman" w:cs="Times New Roman"/>
          <w:b/>
          <w:noProof/>
          <w:sz w:val="22"/>
          <w:szCs w:val="22"/>
          <w:lang w:val="lt-LT" w:eastAsia="lt-LT" w:bidi="lt-LT"/>
        </w:rPr>
      </w:pPr>
    </w:p>
    <w:p w14:paraId="1220912A" w14:textId="77777777" w:rsidR="00B60FD8" w:rsidRDefault="00B60FD8" w:rsidP="00B60FD8">
      <w:pPr>
        <w:keepNext/>
        <w:numPr>
          <w:ilvl w:val="12"/>
          <w:numId w:val="0"/>
        </w:numPr>
        <w:rPr>
          <w:rFonts w:eastAsia="Times New Roman" w:cs="Times New Roman"/>
          <w:b/>
          <w:bCs/>
          <w:noProof/>
          <w:sz w:val="22"/>
          <w:szCs w:val="22"/>
          <w:lang w:val="lt-LT" w:eastAsia="lt-LT" w:bidi="lt-LT"/>
        </w:rPr>
      </w:pPr>
      <w:r>
        <w:rPr>
          <w:rFonts w:eastAsia="Times New Roman" w:cs="Times New Roman"/>
          <w:b/>
          <w:noProof/>
          <w:sz w:val="22"/>
          <w:szCs w:val="22"/>
          <w:lang w:val="lt-LT" w:eastAsia="lt-LT" w:bidi="lt-LT"/>
        </w:rPr>
        <w:t>Vaikams ir paaugliams</w:t>
      </w:r>
    </w:p>
    <w:p w14:paraId="066DB27B" w14:textId="77777777" w:rsidR="00B60FD8" w:rsidRDefault="00B60FD8" w:rsidP="00B60FD8">
      <w:pPr>
        <w:autoSpaceDE w:val="0"/>
        <w:autoSpaceDN w:val="0"/>
        <w:adjustRightInd w:val="0"/>
        <w:rPr>
          <w:rFonts w:eastAsia="Times New Roman" w:cs="Times New Roman"/>
          <w:b/>
          <w:sz w:val="22"/>
          <w:szCs w:val="22"/>
          <w:lang w:val="lt-LT" w:eastAsia="lt-LT" w:bidi="lt-LT"/>
        </w:rPr>
      </w:pPr>
      <w:r>
        <w:rPr>
          <w:rFonts w:cs="Times New Roman"/>
          <w:sz w:val="22"/>
          <w:szCs w:val="22"/>
          <w:lang w:val="lt-LT" w:eastAsia="en-US"/>
        </w:rPr>
        <w:t>Vaikai ir jaunesni kaip 18 metų paaugliai šio vaisto turi nevartoti. Jis nėra veiksmingas vaikams ir nuo 10 iki 17 met</w:t>
      </w:r>
      <w:r>
        <w:rPr>
          <w:rFonts w:cs="Times New Roman" w:hint="eastAsia"/>
          <w:sz w:val="22"/>
          <w:szCs w:val="22"/>
          <w:lang w:val="lt-LT" w:eastAsia="en-US"/>
        </w:rPr>
        <w:t>ų</w:t>
      </w:r>
      <w:r>
        <w:rPr>
          <w:rFonts w:cs="Times New Roman"/>
          <w:sz w:val="22"/>
          <w:szCs w:val="22"/>
          <w:lang w:val="lt-LT" w:eastAsia="en-US"/>
        </w:rPr>
        <w:t xml:space="preserve"> paaugliams. Nežinoma, ar </w:t>
      </w:r>
      <w:r>
        <w:rPr>
          <w:rFonts w:cs="Times New Roman" w:hint="eastAsia"/>
          <w:sz w:val="22"/>
          <w:szCs w:val="22"/>
          <w:lang w:val="lt-LT" w:eastAsia="en-US"/>
        </w:rPr>
        <w:t>š</w:t>
      </w:r>
      <w:r>
        <w:rPr>
          <w:rFonts w:cs="Times New Roman"/>
          <w:sz w:val="22"/>
          <w:szCs w:val="22"/>
          <w:lang w:val="lt-LT" w:eastAsia="en-US"/>
        </w:rPr>
        <w:t>is vaistas yra saugus ir veiksmingas jaunesniems kaip 10 met</w:t>
      </w:r>
      <w:r>
        <w:rPr>
          <w:rFonts w:cs="Times New Roman" w:hint="eastAsia"/>
          <w:sz w:val="22"/>
          <w:szCs w:val="22"/>
          <w:lang w:val="lt-LT" w:eastAsia="en-US"/>
        </w:rPr>
        <w:t>ų</w:t>
      </w:r>
      <w:r>
        <w:rPr>
          <w:rFonts w:cs="Times New Roman"/>
          <w:sz w:val="22"/>
          <w:szCs w:val="22"/>
          <w:lang w:val="lt-LT" w:eastAsia="en-US"/>
        </w:rPr>
        <w:t xml:space="preserve"> vaikams.</w:t>
      </w:r>
    </w:p>
    <w:p w14:paraId="3964D155" w14:textId="77777777" w:rsidR="00B60FD8" w:rsidRDefault="00B60FD8" w:rsidP="00B60FD8">
      <w:pPr>
        <w:keepNext/>
        <w:numPr>
          <w:ilvl w:val="12"/>
          <w:numId w:val="0"/>
        </w:numPr>
        <w:ind w:right="-2"/>
        <w:rPr>
          <w:rFonts w:eastAsia="Times New Roman" w:cs="Times New Roman"/>
          <w:b/>
          <w:sz w:val="22"/>
          <w:szCs w:val="22"/>
          <w:lang w:val="lt-LT" w:eastAsia="lt-LT" w:bidi="lt-LT"/>
        </w:rPr>
      </w:pPr>
    </w:p>
    <w:p w14:paraId="6BBF69A4" w14:textId="77777777" w:rsidR="00B60FD8" w:rsidRDefault="00B60FD8" w:rsidP="00B60FD8">
      <w:pPr>
        <w:keepNext/>
        <w:numPr>
          <w:ilvl w:val="12"/>
          <w:numId w:val="0"/>
        </w:numPr>
        <w:ind w:right="-2"/>
        <w:rPr>
          <w:rFonts w:eastAsia="Times New Roman" w:cs="Times New Roman"/>
          <w:sz w:val="22"/>
          <w:szCs w:val="22"/>
          <w:lang w:val="lt-LT" w:eastAsia="lt-LT" w:bidi="lt-LT"/>
        </w:rPr>
      </w:pPr>
      <w:r>
        <w:rPr>
          <w:rFonts w:eastAsia="Times New Roman" w:cs="Times New Roman"/>
          <w:b/>
          <w:sz w:val="22"/>
          <w:szCs w:val="22"/>
          <w:lang w:val="lt-LT" w:eastAsia="lt-LT" w:bidi="lt-LT"/>
        </w:rPr>
        <w:t>Kiti vaistai ir JIDINUM</w:t>
      </w:r>
    </w:p>
    <w:p w14:paraId="2944A886" w14:textId="77777777" w:rsidR="00B60FD8" w:rsidRDefault="00B60FD8" w:rsidP="00B60FD8">
      <w:pPr>
        <w:numPr>
          <w:ilvl w:val="12"/>
          <w:numId w:val="0"/>
        </w:numPr>
        <w:ind w:right="-2"/>
        <w:rPr>
          <w:rFonts w:eastAsia="Times New Roman" w:cs="Times New Roman"/>
          <w:sz w:val="22"/>
          <w:szCs w:val="22"/>
          <w:lang w:val="lt-LT" w:eastAsia="lt-LT" w:bidi="lt-LT"/>
        </w:rPr>
      </w:pPr>
      <w:r>
        <w:rPr>
          <w:rFonts w:eastAsia="Times New Roman" w:cs="Times New Roman"/>
          <w:sz w:val="22"/>
          <w:szCs w:val="22"/>
          <w:lang w:val="lt-LT" w:eastAsia="lt-LT" w:bidi="lt-LT"/>
        </w:rPr>
        <w:t>Jeigu vartojate ar neseniai vartojote kitų vaistų arba dėl to nesate tikri, apie tai pasakykite gydytojui arba vaistininkui.</w:t>
      </w:r>
    </w:p>
    <w:p w14:paraId="4A01DE8B"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44C3475F" w14:textId="77777777" w:rsidR="00B60FD8" w:rsidRDefault="00B60FD8" w:rsidP="00B60FD8">
      <w:pPr>
        <w:widowControl w:val="0"/>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Būtinai pasakykite gydytojui, jeigu vartojate digoksino (vaisto nuo nereguliaraus širdies plakimo ir kitų širdies problemų). Gali reikėti patikrinti digoksino koncentraciją Jūsų kraujyje, jeigu kartu vartojate JIDINUM.</w:t>
      </w:r>
    </w:p>
    <w:p w14:paraId="1295EF4A"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1D09B351"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Nėštumas ir žindymo laikotarpis</w:t>
      </w:r>
    </w:p>
    <w:p w14:paraId="1830DE34" w14:textId="77777777" w:rsidR="00B60FD8" w:rsidRDefault="00B60FD8" w:rsidP="00B60FD8">
      <w:pPr>
        <w:numPr>
          <w:ilvl w:val="12"/>
          <w:numId w:val="0"/>
        </w:numPr>
        <w:rPr>
          <w:rFonts w:cs="Times New Roman"/>
          <w:sz w:val="22"/>
          <w:szCs w:val="22"/>
          <w:lang w:val="lt-LT" w:eastAsia="en-US"/>
        </w:rPr>
      </w:pPr>
      <w:r>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w:t>
      </w:r>
    </w:p>
    <w:p w14:paraId="25C93813" w14:textId="77777777" w:rsidR="00B60FD8" w:rsidRDefault="00B60FD8" w:rsidP="00B60FD8">
      <w:pPr>
        <w:numPr>
          <w:ilvl w:val="12"/>
          <w:numId w:val="0"/>
        </w:numPr>
        <w:rPr>
          <w:rFonts w:cs="Times New Roman"/>
          <w:sz w:val="22"/>
          <w:szCs w:val="22"/>
          <w:lang w:val="lt-LT" w:eastAsia="en-US"/>
        </w:rPr>
      </w:pPr>
    </w:p>
    <w:p w14:paraId="3378F9CF" w14:textId="77777777" w:rsidR="00B60FD8" w:rsidRDefault="00B60FD8" w:rsidP="00B60FD8">
      <w:pPr>
        <w:numPr>
          <w:ilvl w:val="12"/>
          <w:numId w:val="0"/>
        </w:numPr>
        <w:rPr>
          <w:rFonts w:cs="Times New Roman"/>
          <w:sz w:val="22"/>
          <w:szCs w:val="22"/>
          <w:lang w:val="lt-LT" w:eastAsia="en-US"/>
        </w:rPr>
      </w:pPr>
      <w:r>
        <w:rPr>
          <w:rFonts w:cs="Times New Roman"/>
          <w:sz w:val="22"/>
          <w:szCs w:val="22"/>
          <w:lang w:val="lt-LT" w:eastAsia="en-US"/>
        </w:rPr>
        <w:t>Nėštumo metu šio vaisto vartoti negalima.</w:t>
      </w:r>
    </w:p>
    <w:p w14:paraId="431449EC"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Ar šio vaisto patenka į žindyvės pieną, nežinoma. Jūs turite šio vaisto nevartoti, jeigu žindote kūdikį ar planuojate tai daryti.</w:t>
      </w:r>
    </w:p>
    <w:p w14:paraId="7C64C6C3"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p>
    <w:p w14:paraId="412A137C" w14:textId="77777777" w:rsidR="00B60FD8" w:rsidRDefault="00B60FD8" w:rsidP="00B60FD8">
      <w:pPr>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Vairavimas ir mechanizmų valdymas</w:t>
      </w:r>
    </w:p>
    <w:p w14:paraId="063A649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Šis vaistas gebėjimo vairuoti ir valdyti mechanizmus neveikia arba veikia nereikšmingai. Tačiau gauta pranešimų apie galvos svaigimą ir mieguistumą, kurie gali paveikti Jūsų gebėjimą vairuoti ar valdyti mechanizmus.</w:t>
      </w:r>
    </w:p>
    <w:p w14:paraId="09311DCB"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Šio vaisto vartojimas kartu su vaistais, vadinamais sulfonilurėjos dariniais, arba su insulinu gali sukelti cukraus kiekio kraujyje sumažėjimą (hipoglikemiją), kuri gali pakenkti Jūsų gebėjimui vairuoti, valdyti mechanizmus arba dirbti nesant saugios atramos kojoms.</w:t>
      </w:r>
    </w:p>
    <w:p w14:paraId="3C50A5AD" w14:textId="77777777" w:rsidR="00B60FD8" w:rsidRDefault="00B60FD8" w:rsidP="00B60FD8">
      <w:pPr>
        <w:rPr>
          <w:rFonts w:eastAsia="Times New Roman" w:cs="Times New Roman"/>
          <w:b/>
          <w:sz w:val="22"/>
          <w:szCs w:val="22"/>
          <w:lang w:val="lt-LT" w:eastAsia="lt-LT" w:bidi="lt-LT"/>
        </w:rPr>
      </w:pPr>
    </w:p>
    <w:p w14:paraId="7CF0A8C6" w14:textId="77777777" w:rsidR="00B60FD8" w:rsidRDefault="00B60FD8" w:rsidP="00B60FD8">
      <w:pPr>
        <w:rPr>
          <w:rFonts w:eastAsia="Arial Unicode MS" w:cs="Times New Roman"/>
          <w:b/>
          <w:noProof/>
          <w:sz w:val="22"/>
          <w:szCs w:val="22"/>
          <w:lang w:val="lt-LT" w:eastAsia="lt-LT"/>
        </w:rPr>
      </w:pPr>
      <w:r>
        <w:rPr>
          <w:rFonts w:eastAsia="Times New Roman" w:cs="Times New Roman"/>
          <w:b/>
          <w:sz w:val="22"/>
          <w:szCs w:val="22"/>
          <w:lang w:val="lt-LT" w:eastAsia="lt-LT" w:bidi="lt-LT"/>
        </w:rPr>
        <w:t>JIDINUM</w:t>
      </w:r>
      <w:r>
        <w:rPr>
          <w:rFonts w:eastAsia="Arial Unicode MS" w:cs="Times New Roman"/>
          <w:b/>
          <w:noProof/>
          <w:sz w:val="22"/>
          <w:szCs w:val="22"/>
          <w:lang w:val="lt-LT" w:eastAsia="lt-LT"/>
        </w:rPr>
        <w:t xml:space="preserve"> sudėtyje yra natrio</w:t>
      </w:r>
    </w:p>
    <w:p w14:paraId="3787A659" w14:textId="77777777" w:rsidR="00B60FD8" w:rsidRDefault="00B60FD8" w:rsidP="00B60FD8">
      <w:pPr>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Šio vaisto kiekvienoje tabletėje yra mažiau kaip 1 mmol (23 mg) natrio, t. y. jis beveik neturi reikšmės.</w:t>
      </w:r>
    </w:p>
    <w:p w14:paraId="6A0565E4" w14:textId="77777777" w:rsidR="00B60FD8" w:rsidRDefault="00B60FD8" w:rsidP="00B60FD8">
      <w:pPr>
        <w:numPr>
          <w:ilvl w:val="12"/>
          <w:numId w:val="0"/>
        </w:numPr>
        <w:rPr>
          <w:rFonts w:eastAsia="Times New Roman" w:cs="Times New Roman"/>
          <w:b/>
          <w:noProof/>
          <w:sz w:val="22"/>
          <w:szCs w:val="22"/>
          <w:lang w:val="lt-LT" w:eastAsia="en-US"/>
        </w:rPr>
      </w:pPr>
    </w:p>
    <w:p w14:paraId="6C22D98E"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100114D9"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Kaip vartoti </w:t>
      </w:r>
      <w:r>
        <w:rPr>
          <w:rFonts w:eastAsia="Times New Roman" w:cs="Times New Roman"/>
          <w:b/>
          <w:sz w:val="22"/>
          <w:szCs w:val="22"/>
          <w:lang w:val="lt-LT" w:eastAsia="lt-LT" w:bidi="lt-LT"/>
        </w:rPr>
        <w:t>JIDINUM</w:t>
      </w:r>
    </w:p>
    <w:p w14:paraId="148990D7" w14:textId="77777777" w:rsidR="00B60FD8" w:rsidRDefault="00B60FD8" w:rsidP="00B60FD8">
      <w:pPr>
        <w:keepNext/>
        <w:numPr>
          <w:ilvl w:val="12"/>
          <w:numId w:val="0"/>
        </w:numPr>
        <w:ind w:right="-2"/>
        <w:rPr>
          <w:rFonts w:eastAsia="Times New Roman" w:cs="Times New Roman"/>
          <w:noProof/>
          <w:sz w:val="22"/>
          <w:szCs w:val="22"/>
          <w:lang w:val="lt-LT" w:eastAsia="lt-LT" w:bidi="lt-LT"/>
        </w:rPr>
      </w:pPr>
    </w:p>
    <w:p w14:paraId="7C8650EF" w14:textId="77777777" w:rsidR="00B60FD8" w:rsidRDefault="00B60FD8" w:rsidP="00B60FD8">
      <w:pPr>
        <w:numPr>
          <w:ilvl w:val="12"/>
          <w:numId w:val="0"/>
        </w:numPr>
        <w:ind w:right="-2"/>
        <w:rPr>
          <w:rFonts w:eastAsia="Times New Roman" w:cs="Times New Roman"/>
          <w:noProof/>
          <w:sz w:val="22"/>
          <w:szCs w:val="22"/>
          <w:lang w:val="lt-LT" w:eastAsia="lt-LT" w:bidi="lt-LT"/>
        </w:rPr>
      </w:pPr>
      <w:r>
        <w:rPr>
          <w:rFonts w:eastAsia="Times New Roman" w:cs="Times New Roman"/>
          <w:sz w:val="22"/>
          <w:szCs w:val="22"/>
          <w:lang w:val="lt-LT" w:eastAsia="lt-LT" w:bidi="lt-LT"/>
        </w:rPr>
        <w:t>Visada vartokite šį vaistą tiksliai kaip nurodė gydytojas. Jeigu abejojate, kreipkitės į gydytoją arba vaistininką.</w:t>
      </w:r>
    </w:p>
    <w:p w14:paraId="47DBCFF1"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56C538C6" w14:textId="77777777" w:rsidR="00B60FD8" w:rsidRDefault="00B60FD8" w:rsidP="00B60FD8">
      <w:pPr>
        <w:numPr>
          <w:ilvl w:val="12"/>
          <w:numId w:val="0"/>
        </w:numPr>
        <w:ind w:right="-2"/>
        <w:rPr>
          <w:rFonts w:eastAsia="Times New Roman" w:cs="Times New Roman"/>
          <w:noProof/>
          <w:sz w:val="22"/>
          <w:szCs w:val="22"/>
          <w:lang w:val="lt-LT" w:eastAsia="lt-LT" w:bidi="lt-LT"/>
        </w:rPr>
      </w:pPr>
      <w:r>
        <w:rPr>
          <w:rFonts w:eastAsia="Times New Roman" w:cs="Times New Roman"/>
          <w:sz w:val="22"/>
          <w:szCs w:val="22"/>
          <w:lang w:val="lt-LT" w:eastAsia="lt-LT" w:bidi="lt-LT"/>
        </w:rPr>
        <w:t>Rekomenduojama dozė yra:</w:t>
      </w:r>
    </w:p>
    <w:p w14:paraId="671FF72B"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viena 100 mg plėvele dengta tabletė,</w:t>
      </w:r>
    </w:p>
    <w:p w14:paraId="505A1465"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vieną kartą per parą,</w:t>
      </w:r>
    </w:p>
    <w:p w14:paraId="2ACD567C"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vartoti per burną.</w:t>
      </w:r>
    </w:p>
    <w:p w14:paraId="227BAD30" w14:textId="77777777" w:rsidR="00B60FD8" w:rsidRDefault="00B60FD8" w:rsidP="00B60FD8">
      <w:pPr>
        <w:pStyle w:val="BT-EMEASMCA"/>
        <w:numPr>
          <w:ilvl w:val="0"/>
          <w:numId w:val="0"/>
        </w:numPr>
        <w:rPr>
          <w:rFonts w:cs="Times New Roman"/>
          <w:sz w:val="22"/>
          <w:szCs w:val="22"/>
          <w:lang w:val="lt-LT" w:eastAsia="en-US"/>
        </w:rPr>
      </w:pPr>
    </w:p>
    <w:p w14:paraId="7DAFD19E" w14:textId="77777777" w:rsidR="00B60FD8" w:rsidRDefault="00B60FD8" w:rsidP="00B60FD8">
      <w:pPr>
        <w:pStyle w:val="BT-EMEASMCA"/>
        <w:numPr>
          <w:ilvl w:val="0"/>
          <w:numId w:val="0"/>
        </w:numPr>
        <w:rPr>
          <w:rFonts w:cs="Times New Roman"/>
          <w:sz w:val="22"/>
          <w:szCs w:val="22"/>
          <w:lang w:val="lt-LT" w:eastAsia="en-US"/>
        </w:rPr>
      </w:pPr>
      <w:r>
        <w:rPr>
          <w:rFonts w:cs="Times New Roman"/>
          <w:sz w:val="22"/>
          <w:szCs w:val="22"/>
          <w:lang w:val="lt-LT" w:eastAsia="en-US"/>
        </w:rPr>
        <w:t>Jeigu Jums yra inkstų funkcijos sutrikimas, Jūsų gydytojas gali paskirti mažesnę dozę (pvz., 25 mg ar 50 mg).</w:t>
      </w:r>
    </w:p>
    <w:p w14:paraId="5D0989AA" w14:textId="77777777" w:rsidR="00B60FD8" w:rsidRDefault="00B60FD8" w:rsidP="00B60FD8">
      <w:pPr>
        <w:pStyle w:val="BT-EMEASMCA"/>
        <w:numPr>
          <w:ilvl w:val="0"/>
          <w:numId w:val="0"/>
        </w:numPr>
        <w:rPr>
          <w:rFonts w:eastAsia="Times New Roman" w:cs="Times New Roman"/>
          <w:noProof/>
          <w:sz w:val="22"/>
          <w:szCs w:val="22"/>
          <w:lang w:val="lt-LT" w:eastAsia="lt-LT" w:bidi="lt-LT"/>
        </w:rPr>
      </w:pPr>
    </w:p>
    <w:p w14:paraId="51F334EB"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Jūs galite šio vaisto vartoti nepriklausomai nuo valgymo ir gėrimo.</w:t>
      </w:r>
    </w:p>
    <w:p w14:paraId="7A42065E" w14:textId="77777777" w:rsidR="00B60FD8" w:rsidRDefault="00B60FD8" w:rsidP="00B60FD8">
      <w:pPr>
        <w:autoSpaceDE w:val="0"/>
        <w:autoSpaceDN w:val="0"/>
        <w:adjustRightInd w:val="0"/>
        <w:rPr>
          <w:rFonts w:cs="Times New Roman"/>
          <w:sz w:val="22"/>
          <w:szCs w:val="22"/>
          <w:lang w:val="lt-LT" w:eastAsia="en-US"/>
        </w:rPr>
      </w:pPr>
    </w:p>
    <w:p w14:paraId="51FB2CAC"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Gydytojas Jums gali paskirti šio vaisto vartoti vieno arba kartu su kitais cukraus kiekį kraujyje mažinančiais vaistais.</w:t>
      </w:r>
    </w:p>
    <w:p w14:paraId="2BEDAB50" w14:textId="77777777" w:rsidR="00B60FD8" w:rsidRDefault="00B60FD8" w:rsidP="00B60FD8">
      <w:pPr>
        <w:autoSpaceDE w:val="0"/>
        <w:autoSpaceDN w:val="0"/>
        <w:adjustRightInd w:val="0"/>
        <w:rPr>
          <w:rFonts w:cs="Times New Roman"/>
          <w:sz w:val="22"/>
          <w:szCs w:val="22"/>
          <w:lang w:val="lt-LT" w:eastAsia="en-US"/>
        </w:rPr>
      </w:pPr>
    </w:p>
    <w:p w14:paraId="57D1D3F5" w14:textId="77777777" w:rsidR="00B60FD8" w:rsidRDefault="00B60FD8" w:rsidP="00B60FD8">
      <w:pPr>
        <w:autoSpaceDE w:val="0"/>
        <w:autoSpaceDN w:val="0"/>
        <w:adjustRightInd w:val="0"/>
        <w:rPr>
          <w:rFonts w:eastAsia="Times New Roman" w:cs="Times New Roman"/>
          <w:sz w:val="22"/>
          <w:szCs w:val="22"/>
          <w:lang w:val="lt-LT" w:eastAsia="lt-LT" w:bidi="lt-LT"/>
        </w:rPr>
      </w:pPr>
      <w:r>
        <w:rPr>
          <w:rFonts w:cs="Times New Roman"/>
          <w:sz w:val="22"/>
          <w:szCs w:val="22"/>
          <w:lang w:val="lt-LT" w:eastAsia="en-US"/>
        </w:rPr>
        <w:t xml:space="preserve">Tinkama mityba ir fizinis aktyvumas gali padėti Jūsų organizmui geriau panaudoti kraujyje esantį cukrų. Vartojant </w:t>
      </w:r>
      <w:r>
        <w:rPr>
          <w:rFonts w:eastAsia="Times New Roman" w:cs="Times New Roman"/>
          <w:sz w:val="22"/>
          <w:szCs w:val="22"/>
          <w:lang w:val="lt-LT" w:eastAsia="lt-LT" w:bidi="lt-LT"/>
        </w:rPr>
        <w:t>JIDINUM</w:t>
      </w:r>
      <w:r>
        <w:rPr>
          <w:rFonts w:cs="Times New Roman"/>
          <w:sz w:val="22"/>
          <w:szCs w:val="22"/>
          <w:lang w:val="lt-LT" w:eastAsia="en-US"/>
        </w:rPr>
        <w:t xml:space="preserve"> labai svarbu laikytis dietos ir palaikyti fizinį aktyvumą, kaip rekomendavo Jūsų gydytojas.</w:t>
      </w:r>
    </w:p>
    <w:p w14:paraId="27BD4B2D"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23F9C9C7" w14:textId="77777777" w:rsidR="00B60FD8" w:rsidRDefault="00B60FD8" w:rsidP="00B60FD8">
      <w:pPr>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 xml:space="preserve">Ką daryti pavartojus per didelę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dozę</w:t>
      </w:r>
    </w:p>
    <w:p w14:paraId="40BE9542" w14:textId="77777777" w:rsidR="00B60FD8" w:rsidRDefault="00B60FD8" w:rsidP="00B60FD8">
      <w:pPr>
        <w:numPr>
          <w:ilvl w:val="12"/>
          <w:numId w:val="0"/>
        </w:numPr>
        <w:ind w:right="-2"/>
        <w:outlineLvl w:val="0"/>
        <w:rPr>
          <w:rFonts w:eastAsia="Times New Roman" w:cs="Times New Roman"/>
          <w:i/>
          <w:noProof/>
          <w:sz w:val="22"/>
          <w:szCs w:val="22"/>
          <w:lang w:val="lt-LT" w:eastAsia="lt-LT" w:bidi="lt-LT"/>
        </w:rPr>
      </w:pPr>
      <w:r>
        <w:rPr>
          <w:rFonts w:cs="Times New Roman"/>
          <w:sz w:val="22"/>
          <w:szCs w:val="22"/>
          <w:lang w:val="lt-LT" w:eastAsia="en-US"/>
        </w:rPr>
        <w:t xml:space="preserve">Jei pavartojote didesnę šio vaisto dozę, nei gydytojo skirta, </w:t>
      </w:r>
      <w:r>
        <w:rPr>
          <w:rFonts w:cs="Times New Roman"/>
          <w:bCs/>
          <w:sz w:val="22"/>
          <w:szCs w:val="22"/>
          <w:lang w:val="lt-LT" w:eastAsia="en-US"/>
        </w:rPr>
        <w:t>nedelsdami</w:t>
      </w:r>
      <w:r>
        <w:rPr>
          <w:rFonts w:cs="Times New Roman"/>
          <w:sz w:val="22"/>
          <w:szCs w:val="22"/>
          <w:lang w:val="lt-LT" w:eastAsia="en-US"/>
        </w:rPr>
        <w:t xml:space="preserve"> susisiekite su gydytoju.</w:t>
      </w:r>
    </w:p>
    <w:p w14:paraId="6A70E721"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p>
    <w:p w14:paraId="085FDB3F" w14:textId="77777777" w:rsidR="00B60FD8" w:rsidRDefault="00B60FD8" w:rsidP="00B60FD8">
      <w:pPr>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 xml:space="preserve">Pamiršus pavartoti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w:t>
      </w:r>
    </w:p>
    <w:p w14:paraId="606AB5D5"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 xml:space="preserve">Jei pamiršote pavartoti vaisto dozę, išgerkite ją tuoj pat, kai tik prisiminsite. Jei neprisiminėte iki kol bus atėjęs kitos dozės vartojimo laikas, pamirštąją dozę praleiskite ir kitas dozes vartokite įprastu metu. </w:t>
      </w:r>
      <w:r>
        <w:rPr>
          <w:rFonts w:eastAsia="TimesNewRoman,Bold" w:cs="Times New Roman"/>
          <w:sz w:val="22"/>
          <w:szCs w:val="22"/>
          <w:lang w:val="lt-LT" w:eastAsia="en-US"/>
        </w:rPr>
        <w:t>Negalima vartoti dvigubos dozės norint kompensuoti praleistą dozę</w:t>
      </w:r>
      <w:r>
        <w:rPr>
          <w:rFonts w:cs="Times New Roman"/>
          <w:sz w:val="22"/>
          <w:szCs w:val="22"/>
          <w:lang w:val="lt-LT" w:eastAsia="en-US"/>
        </w:rPr>
        <w:t>.</w:t>
      </w:r>
    </w:p>
    <w:p w14:paraId="78CEA430"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p>
    <w:p w14:paraId="2A7DB049"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Nustojus vartoti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w:t>
      </w:r>
    </w:p>
    <w:p w14:paraId="32E0BB42" w14:textId="77777777" w:rsidR="00B60FD8" w:rsidRDefault="00B60FD8" w:rsidP="00B60FD8">
      <w:pPr>
        <w:widowControl w:val="0"/>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Vartokite šio vaisto tiek laiko, kiek skyrė Jūsų gydytojas, kad galėtumėte reguliuoti cukraus kiekį kraujyje. Nenustokite vartoti šio vaisto, prieš tai nepasitarę su gydytoju.</w:t>
      </w:r>
    </w:p>
    <w:p w14:paraId="727CAB8A" w14:textId="77777777" w:rsidR="00B60FD8" w:rsidRDefault="00B60FD8" w:rsidP="00B60FD8">
      <w:pPr>
        <w:numPr>
          <w:ilvl w:val="12"/>
          <w:numId w:val="0"/>
        </w:numPr>
        <w:ind w:right="-29"/>
        <w:rPr>
          <w:rFonts w:cs="Times New Roman"/>
          <w:sz w:val="22"/>
          <w:szCs w:val="22"/>
          <w:lang w:val="lt-LT" w:eastAsia="en-US"/>
        </w:rPr>
      </w:pPr>
    </w:p>
    <w:p w14:paraId="33CDC1CC" w14:textId="77777777" w:rsidR="00B60FD8" w:rsidRDefault="00B60FD8" w:rsidP="00B60FD8">
      <w:pPr>
        <w:numPr>
          <w:ilvl w:val="12"/>
          <w:numId w:val="0"/>
        </w:numPr>
        <w:ind w:right="-29"/>
        <w:rPr>
          <w:rFonts w:eastAsia="Times New Roman" w:cs="Times New Roman"/>
          <w:sz w:val="22"/>
          <w:szCs w:val="22"/>
          <w:lang w:val="lt-LT" w:eastAsia="lt-LT" w:bidi="lt-LT"/>
        </w:rPr>
      </w:pPr>
      <w:r>
        <w:rPr>
          <w:rFonts w:cs="Times New Roman"/>
          <w:sz w:val="22"/>
          <w:szCs w:val="22"/>
          <w:lang w:val="lt-LT" w:eastAsia="en-US"/>
        </w:rPr>
        <w:t>Jeigu kiltų daugiau klausimų dėl šio vaisto vartojimo, kreipkitės į gydytoją arba vaistininką.</w:t>
      </w:r>
      <w:r>
        <w:rPr>
          <w:rFonts w:eastAsia="Times New Roman" w:cs="Times New Roman"/>
          <w:sz w:val="22"/>
          <w:szCs w:val="22"/>
          <w:lang w:val="lt-LT" w:eastAsia="lt-LT" w:bidi="lt-LT"/>
        </w:rPr>
        <w:t xml:space="preserve"> </w:t>
      </w:r>
    </w:p>
    <w:p w14:paraId="779081E7" w14:textId="77777777" w:rsidR="00B60FD8" w:rsidRDefault="00B60FD8" w:rsidP="00B60FD8">
      <w:pPr>
        <w:numPr>
          <w:ilvl w:val="12"/>
          <w:numId w:val="0"/>
        </w:numPr>
        <w:rPr>
          <w:rFonts w:eastAsia="Times New Roman" w:cs="Times New Roman"/>
          <w:sz w:val="22"/>
          <w:szCs w:val="22"/>
          <w:lang w:val="lt-LT" w:eastAsia="lt-LT" w:bidi="lt-LT"/>
        </w:rPr>
      </w:pPr>
    </w:p>
    <w:p w14:paraId="7DD4701A" w14:textId="77777777" w:rsidR="00B60FD8" w:rsidRDefault="00B60FD8" w:rsidP="00B60FD8">
      <w:pPr>
        <w:numPr>
          <w:ilvl w:val="12"/>
          <w:numId w:val="0"/>
        </w:numPr>
        <w:rPr>
          <w:rFonts w:eastAsia="Times New Roman" w:cs="Times New Roman"/>
          <w:sz w:val="22"/>
          <w:szCs w:val="22"/>
          <w:lang w:val="lt-LT" w:eastAsia="lt-LT" w:bidi="lt-LT"/>
        </w:rPr>
      </w:pPr>
    </w:p>
    <w:p w14:paraId="59DD98F1" w14:textId="77777777" w:rsidR="00B60FD8" w:rsidRDefault="00B60FD8" w:rsidP="00B60FD8">
      <w:pPr>
        <w:keepNext/>
        <w:numPr>
          <w:ilvl w:val="0"/>
          <w:numId w:val="5"/>
        </w:numPr>
        <w:tabs>
          <w:tab w:val="left" w:pos="567"/>
        </w:tabs>
        <w:spacing w:line="260" w:lineRule="exact"/>
        <w:ind w:left="567" w:right="-2"/>
        <w:rPr>
          <w:rFonts w:eastAsia="Times New Roman" w:cs="Times New Roman"/>
          <w:sz w:val="22"/>
          <w:szCs w:val="22"/>
          <w:lang w:val="lt-LT" w:eastAsia="lt-LT" w:bidi="lt-LT"/>
        </w:rPr>
      </w:pPr>
      <w:r>
        <w:rPr>
          <w:rFonts w:eastAsia="Times New Roman" w:cs="Times New Roman"/>
          <w:b/>
          <w:sz w:val="22"/>
          <w:szCs w:val="22"/>
          <w:lang w:val="lt-LT" w:eastAsia="lt-LT" w:bidi="lt-LT"/>
        </w:rPr>
        <w:t>Galimas šalutinis poveikis</w:t>
      </w:r>
    </w:p>
    <w:p w14:paraId="25414D5D" w14:textId="77777777" w:rsidR="00B60FD8" w:rsidRDefault="00B60FD8" w:rsidP="00B60FD8">
      <w:pPr>
        <w:keepNext/>
        <w:numPr>
          <w:ilvl w:val="12"/>
          <w:numId w:val="0"/>
        </w:numPr>
        <w:rPr>
          <w:rFonts w:eastAsia="Times New Roman" w:cs="Times New Roman"/>
          <w:sz w:val="22"/>
          <w:szCs w:val="22"/>
          <w:lang w:val="lt-LT" w:eastAsia="lt-LT" w:bidi="lt-LT"/>
        </w:rPr>
      </w:pPr>
    </w:p>
    <w:p w14:paraId="5541AD45" w14:textId="77777777" w:rsidR="00B60FD8" w:rsidRDefault="00B60FD8" w:rsidP="00B60FD8">
      <w:pPr>
        <w:numPr>
          <w:ilvl w:val="12"/>
          <w:numId w:val="0"/>
        </w:numPr>
        <w:ind w:right="-29"/>
        <w:rPr>
          <w:rFonts w:eastAsia="Times New Roman" w:cs="Times New Roman"/>
          <w:noProof/>
          <w:sz w:val="22"/>
          <w:szCs w:val="22"/>
          <w:lang w:val="lt-LT" w:eastAsia="lt-LT" w:bidi="lt-LT"/>
        </w:rPr>
      </w:pPr>
      <w:r>
        <w:rPr>
          <w:rFonts w:eastAsia="Times New Roman" w:cs="Times New Roman"/>
          <w:sz w:val="22"/>
          <w:szCs w:val="22"/>
          <w:lang w:val="lt-LT" w:eastAsia="lt-LT" w:bidi="lt-LT"/>
        </w:rPr>
        <w:t>Šis vaistas, kaip ir visi kiti, gali sukelti šalutinį poveikį, nors jis pasireiškia ne visiems žmonėms.</w:t>
      </w:r>
    </w:p>
    <w:p w14:paraId="53A10AA7" w14:textId="77777777" w:rsidR="00B60FD8" w:rsidRDefault="00B60FD8" w:rsidP="00B60FD8">
      <w:pPr>
        <w:autoSpaceDE w:val="0"/>
        <w:autoSpaceDN w:val="0"/>
        <w:adjustRightInd w:val="0"/>
        <w:rPr>
          <w:rFonts w:cs="Times New Roman"/>
          <w:sz w:val="22"/>
          <w:szCs w:val="22"/>
          <w:lang w:val="lt-LT" w:eastAsia="en-US"/>
        </w:rPr>
      </w:pPr>
    </w:p>
    <w:p w14:paraId="642299A8" w14:textId="77777777" w:rsidR="00B60FD8" w:rsidRDefault="00B60FD8" w:rsidP="00B60FD8">
      <w:pPr>
        <w:autoSpaceDE w:val="0"/>
        <w:autoSpaceDN w:val="0"/>
        <w:adjustRightInd w:val="0"/>
        <w:rPr>
          <w:rFonts w:cs="Times New Roman"/>
          <w:b/>
          <w:bCs/>
          <w:sz w:val="22"/>
          <w:szCs w:val="22"/>
          <w:lang w:val="lt-LT" w:eastAsia="en-US"/>
        </w:rPr>
      </w:pPr>
      <w:r>
        <w:rPr>
          <w:rFonts w:cs="Times New Roman"/>
          <w:b/>
          <w:bCs/>
          <w:sz w:val="22"/>
          <w:szCs w:val="22"/>
          <w:lang w:val="lt-LT" w:eastAsia="en-US"/>
        </w:rPr>
        <w:t xml:space="preserve">Pastebėję bet kurį iš toliau išvardintų sunkių šalutinių poveikių, nustokite vartoti </w:t>
      </w:r>
      <w:r>
        <w:rPr>
          <w:rFonts w:eastAsia="Times New Roman" w:cs="Times New Roman"/>
          <w:b/>
          <w:bCs/>
          <w:sz w:val="22"/>
          <w:szCs w:val="22"/>
          <w:lang w:val="lt-LT" w:eastAsia="lt-LT" w:bidi="lt-LT"/>
        </w:rPr>
        <w:t>JIDINUM</w:t>
      </w:r>
      <w:r>
        <w:rPr>
          <w:rFonts w:cs="Times New Roman"/>
          <w:b/>
          <w:bCs/>
          <w:sz w:val="22"/>
          <w:szCs w:val="22"/>
          <w:lang w:val="lt-LT" w:eastAsia="en-US"/>
        </w:rPr>
        <w:t xml:space="preserve"> ir nedelsdami kreipkitės į gydytoją, jeigu:</w:t>
      </w:r>
    </w:p>
    <w:p w14:paraId="1E6DBEF0"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 xml:space="preserve">pasireiškė stiprus nepraeinantis pilvo skausmas (skrandžio srityje), kuris gali plisti į nugarą, </w:t>
      </w:r>
      <w:r>
        <w:rPr>
          <w:rFonts w:eastAsia="Times New Roman" w:cs="Times New Roman"/>
          <w:sz w:val="22"/>
          <w:szCs w:val="22"/>
          <w:lang w:val="lt-LT" w:eastAsia="en-US"/>
        </w:rPr>
        <w:t>(kartu gali pasireikšti ar nepasireikšti pykinimas ar vėmimas), nes tai gali būti kasos uždegimo (pankreatito) požymiai</w:t>
      </w:r>
      <w:r>
        <w:rPr>
          <w:rFonts w:cs="Times New Roman"/>
          <w:sz w:val="22"/>
          <w:szCs w:val="22"/>
          <w:lang w:val="lt-LT" w:eastAsia="en-US"/>
        </w:rPr>
        <w:t>.</w:t>
      </w:r>
    </w:p>
    <w:p w14:paraId="7342CF28"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Jeigu Jums pasireiškė sunki alerginė reakcija (dažnis nežinomas), įskaitant išbėrimą, dilgėlinę, pūslelinę odoje ar odos lupimąsi bei veido, lūpų, liežuvio ir gerklės patinimą, kuris gali pasunkinti kvėpavimą arba rijimą, šio vaisto nebevartokite ir nedelsdami kreipkitės į gydytoją. Gydytojas gali Jums paskirti vaistų nuo alerginės reakcijos ir kitų vaistų nuo cukrinio diabeto.</w:t>
      </w:r>
    </w:p>
    <w:p w14:paraId="651226CB" w14:textId="77777777" w:rsidR="00B60FD8" w:rsidRDefault="00B60FD8" w:rsidP="00B60FD8">
      <w:pPr>
        <w:autoSpaceDE w:val="0"/>
        <w:autoSpaceDN w:val="0"/>
        <w:adjustRightInd w:val="0"/>
        <w:rPr>
          <w:rFonts w:cs="Times New Roman"/>
          <w:sz w:val="22"/>
          <w:szCs w:val="22"/>
          <w:lang w:val="lt-LT" w:eastAsia="en-US"/>
        </w:rPr>
      </w:pPr>
    </w:p>
    <w:p w14:paraId="04671DEE"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Šalutinis poveikis, pasireiškęs kai kuriems pacientams, kuriems gydymas metforminu buvo papildytas sitagliptinu:</w:t>
      </w:r>
    </w:p>
    <w:p w14:paraId="02F3E152" w14:textId="77777777" w:rsidR="00B60FD8" w:rsidRDefault="00B60FD8" w:rsidP="00B60FD8">
      <w:pPr>
        <w:autoSpaceDE w:val="0"/>
        <w:autoSpaceDN w:val="0"/>
        <w:adjustRightInd w:val="0"/>
        <w:rPr>
          <w:rFonts w:cs="Times New Roman"/>
          <w:bCs/>
          <w:sz w:val="22"/>
          <w:szCs w:val="22"/>
          <w:lang w:val="lt-LT" w:eastAsia="en-US"/>
        </w:rPr>
      </w:pPr>
      <w:r>
        <w:rPr>
          <w:b/>
          <w:bCs/>
          <w:noProof/>
          <w:sz w:val="22"/>
          <w:szCs w:val="22"/>
          <w:lang w:val="lt-LT"/>
        </w:rPr>
        <w:t xml:space="preserve">Dažni </w:t>
      </w:r>
      <w:r>
        <w:rPr>
          <w:noProof/>
          <w:sz w:val="22"/>
          <w:szCs w:val="22"/>
          <w:lang w:val="lt-LT"/>
        </w:rPr>
        <w:t>šalutinio poveikio reiškiniai (gali pasireikšti rečiau kaip 1 iš 10 asmenų)</w:t>
      </w:r>
      <w:r>
        <w:rPr>
          <w:rFonts w:cs="Times New Roman"/>
          <w:bCs/>
          <w:sz w:val="22"/>
          <w:szCs w:val="22"/>
          <w:lang w:val="lt-LT" w:eastAsia="en-US"/>
        </w:rPr>
        <w:t>: mažas cukraus kiekis kraujyje, pykinimas, pilvo pūtimas, vėmimas.</w:t>
      </w:r>
    </w:p>
    <w:p w14:paraId="6117C08F" w14:textId="77777777" w:rsidR="00B60FD8" w:rsidRDefault="00B60FD8" w:rsidP="00B60FD8">
      <w:pPr>
        <w:autoSpaceDE w:val="0"/>
        <w:autoSpaceDN w:val="0"/>
        <w:adjustRightInd w:val="0"/>
        <w:rPr>
          <w:rFonts w:cs="Times New Roman"/>
          <w:sz w:val="22"/>
          <w:szCs w:val="22"/>
          <w:lang w:val="lt-LT" w:eastAsia="en-US"/>
        </w:rPr>
      </w:pPr>
      <w:r>
        <w:rPr>
          <w:b/>
          <w:bCs/>
          <w:noProof/>
          <w:sz w:val="22"/>
          <w:szCs w:val="22"/>
          <w:lang w:val="lt-LT"/>
        </w:rPr>
        <w:t xml:space="preserve">Nedažni </w:t>
      </w:r>
      <w:r>
        <w:rPr>
          <w:noProof/>
          <w:sz w:val="22"/>
          <w:szCs w:val="22"/>
          <w:lang w:val="lt-LT"/>
        </w:rPr>
        <w:t>šalutinio poveikio reiškiniai (gali pasireikšti rečiau kaip 1 iš 100 asmenų):</w:t>
      </w:r>
      <w:r>
        <w:rPr>
          <w:rFonts w:cs="Times New Roman"/>
          <w:sz w:val="22"/>
          <w:szCs w:val="22"/>
          <w:lang w:val="lt-LT" w:eastAsia="en-US"/>
        </w:rPr>
        <w:t xml:space="preserve"> skrandžio skausmas, viduriavimas, vidurių užkietėjimas, mieguistumas.</w:t>
      </w:r>
    </w:p>
    <w:p w14:paraId="67430983" w14:textId="77777777" w:rsidR="00B60FD8" w:rsidRDefault="00B60FD8" w:rsidP="00B60FD8">
      <w:pPr>
        <w:numPr>
          <w:ilvl w:val="12"/>
          <w:numId w:val="0"/>
        </w:numPr>
        <w:ind w:right="-29"/>
        <w:rPr>
          <w:rFonts w:cs="Times New Roman"/>
          <w:sz w:val="22"/>
          <w:szCs w:val="22"/>
          <w:lang w:val="lt-LT" w:eastAsia="en-US"/>
        </w:rPr>
      </w:pPr>
    </w:p>
    <w:p w14:paraId="11D0D616" w14:textId="77777777" w:rsidR="00B60FD8" w:rsidRDefault="00B60FD8" w:rsidP="00B60FD8">
      <w:pPr>
        <w:numPr>
          <w:ilvl w:val="12"/>
          <w:numId w:val="0"/>
        </w:numPr>
        <w:ind w:right="-29"/>
        <w:rPr>
          <w:rFonts w:cs="Times New Roman"/>
          <w:sz w:val="22"/>
          <w:szCs w:val="22"/>
          <w:lang w:val="lt-LT" w:eastAsia="en-US"/>
        </w:rPr>
      </w:pPr>
      <w:r>
        <w:rPr>
          <w:rFonts w:cs="Times New Roman"/>
          <w:b/>
          <w:bCs/>
          <w:sz w:val="22"/>
          <w:szCs w:val="22"/>
          <w:lang w:val="lt-LT" w:eastAsia="en-US"/>
        </w:rPr>
        <w:t>Kai kuriems sitagliptino ir metformino derinio pradėjusiems vartoti pacientams</w:t>
      </w:r>
      <w:r>
        <w:rPr>
          <w:rFonts w:cs="Times New Roman"/>
          <w:sz w:val="22"/>
          <w:szCs w:val="22"/>
          <w:lang w:val="lt-LT" w:eastAsia="en-US"/>
        </w:rPr>
        <w:t xml:space="preserve"> pasireiškė šie šalutinio poveikio reiškiniai:</w:t>
      </w:r>
    </w:p>
    <w:p w14:paraId="13B1C843" w14:textId="77777777" w:rsidR="00B60FD8" w:rsidRDefault="00B60FD8" w:rsidP="00B60FD8">
      <w:pPr>
        <w:numPr>
          <w:ilvl w:val="12"/>
          <w:numId w:val="0"/>
        </w:numPr>
        <w:ind w:right="-29"/>
        <w:rPr>
          <w:rFonts w:cs="Times New Roman"/>
          <w:sz w:val="22"/>
          <w:szCs w:val="22"/>
          <w:lang w:val="lt-LT" w:eastAsia="en-US"/>
        </w:rPr>
      </w:pPr>
      <w:r>
        <w:rPr>
          <w:rFonts w:cs="Times New Roman"/>
          <w:sz w:val="22"/>
          <w:szCs w:val="22"/>
          <w:lang w:val="lt-LT" w:eastAsia="en-US"/>
        </w:rPr>
        <w:t>Dažni: įvairaus pobūdžio nemalonūs pojūčiai skrandyje.</w:t>
      </w:r>
    </w:p>
    <w:p w14:paraId="265C63A5" w14:textId="77777777" w:rsidR="00B60FD8" w:rsidRDefault="00B60FD8" w:rsidP="00B60FD8">
      <w:pPr>
        <w:autoSpaceDE w:val="0"/>
        <w:autoSpaceDN w:val="0"/>
        <w:adjustRightInd w:val="0"/>
        <w:rPr>
          <w:rFonts w:cs="Times New Roman"/>
          <w:sz w:val="22"/>
          <w:szCs w:val="22"/>
          <w:lang w:val="lt-LT" w:eastAsia="en-US"/>
        </w:rPr>
      </w:pPr>
    </w:p>
    <w:p w14:paraId="41677859"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Kai kuriems pacientams vartojusiems sitagliptino derinį su sulfonilurėjos dariniu ir metforminu pasireiškęs šalutinis poveikis:</w:t>
      </w:r>
    </w:p>
    <w:p w14:paraId="3980CC25" w14:textId="77777777" w:rsidR="00B60FD8" w:rsidRDefault="00B60FD8" w:rsidP="00B60FD8">
      <w:pPr>
        <w:autoSpaceDE w:val="0"/>
        <w:autoSpaceDN w:val="0"/>
        <w:adjustRightInd w:val="0"/>
        <w:rPr>
          <w:rFonts w:cs="Times New Roman"/>
          <w:bCs/>
          <w:sz w:val="22"/>
          <w:szCs w:val="22"/>
          <w:lang w:val="lt-LT" w:eastAsia="en-US"/>
        </w:rPr>
      </w:pPr>
      <w:r>
        <w:rPr>
          <w:b/>
          <w:bCs/>
          <w:noProof/>
          <w:sz w:val="22"/>
          <w:szCs w:val="22"/>
          <w:lang w:val="lt-LT"/>
        </w:rPr>
        <w:t xml:space="preserve">Labai dažni </w:t>
      </w:r>
      <w:r>
        <w:rPr>
          <w:noProof/>
          <w:sz w:val="22"/>
          <w:szCs w:val="22"/>
          <w:lang w:val="lt-LT"/>
        </w:rPr>
        <w:t>šalutinio poveikio reiškiniai (gali pasireikšti ne rečiau kaip 1 iš 10 asmenų):</w:t>
      </w:r>
      <w:r>
        <w:rPr>
          <w:rFonts w:cs="Times New Roman"/>
          <w:bCs/>
          <w:sz w:val="22"/>
          <w:szCs w:val="22"/>
          <w:lang w:val="lt-LT" w:eastAsia="en-US"/>
        </w:rPr>
        <w:t xml:space="preserve"> mažas cukraus kiekis kraujyje.</w:t>
      </w:r>
    </w:p>
    <w:p w14:paraId="1D246ACE" w14:textId="77777777" w:rsidR="00B60FD8" w:rsidRDefault="00B60FD8" w:rsidP="00B60FD8">
      <w:pPr>
        <w:autoSpaceDE w:val="0"/>
        <w:autoSpaceDN w:val="0"/>
        <w:adjustRightInd w:val="0"/>
        <w:rPr>
          <w:rFonts w:cs="Times New Roman"/>
          <w:sz w:val="22"/>
          <w:szCs w:val="22"/>
          <w:lang w:val="lt-LT" w:eastAsia="en-US"/>
        </w:rPr>
      </w:pPr>
      <w:r>
        <w:rPr>
          <w:b/>
          <w:bCs/>
          <w:noProof/>
          <w:sz w:val="22"/>
          <w:szCs w:val="22"/>
          <w:lang w:val="lt-LT"/>
        </w:rPr>
        <w:t>Dažni</w:t>
      </w:r>
      <w:r>
        <w:rPr>
          <w:rFonts w:cs="Times New Roman"/>
          <w:b/>
          <w:sz w:val="22"/>
          <w:szCs w:val="22"/>
          <w:lang w:val="lt-LT" w:eastAsia="en-US"/>
        </w:rPr>
        <w:t>:</w:t>
      </w:r>
      <w:r>
        <w:rPr>
          <w:rFonts w:cs="Times New Roman"/>
          <w:bCs/>
          <w:sz w:val="22"/>
          <w:szCs w:val="22"/>
          <w:lang w:val="lt-LT" w:eastAsia="en-US"/>
        </w:rPr>
        <w:t xml:space="preserve"> vidurių užkietėjimas</w:t>
      </w:r>
      <w:r>
        <w:rPr>
          <w:rFonts w:cs="Times New Roman"/>
          <w:sz w:val="22"/>
          <w:szCs w:val="22"/>
          <w:lang w:val="lt-LT" w:eastAsia="en-US"/>
        </w:rPr>
        <w:t>.</w:t>
      </w:r>
    </w:p>
    <w:p w14:paraId="19221FA1" w14:textId="77777777" w:rsidR="00B60FD8" w:rsidRDefault="00B60FD8" w:rsidP="00B60FD8">
      <w:pPr>
        <w:autoSpaceDE w:val="0"/>
        <w:autoSpaceDN w:val="0"/>
        <w:adjustRightInd w:val="0"/>
        <w:rPr>
          <w:rFonts w:cs="Times New Roman"/>
          <w:sz w:val="22"/>
          <w:szCs w:val="22"/>
          <w:lang w:val="lt-LT" w:eastAsia="en-US"/>
        </w:rPr>
      </w:pPr>
    </w:p>
    <w:p w14:paraId="4D241F35"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 xml:space="preserve">Kai kuriems sitagliptino derinį su pioglitazonu vartojusiems pacientams pasireiškęs šalutinis poveikis: </w:t>
      </w:r>
    </w:p>
    <w:p w14:paraId="7DCE052C" w14:textId="77777777" w:rsidR="00B60FD8" w:rsidRDefault="00B60FD8" w:rsidP="00B60FD8">
      <w:pPr>
        <w:autoSpaceDE w:val="0"/>
        <w:autoSpaceDN w:val="0"/>
        <w:adjustRightInd w:val="0"/>
        <w:rPr>
          <w:rFonts w:eastAsia="Times New Roman" w:cs="Times New Roman"/>
          <w:bCs/>
          <w:noProof/>
          <w:sz w:val="22"/>
          <w:szCs w:val="22"/>
          <w:lang w:val="lt-LT" w:eastAsia="lt-LT" w:bidi="lt-LT"/>
        </w:rPr>
      </w:pPr>
      <w:r>
        <w:rPr>
          <w:rFonts w:cs="Times New Roman"/>
          <w:b/>
          <w:sz w:val="22"/>
          <w:szCs w:val="22"/>
          <w:lang w:val="lt-LT" w:eastAsia="en-US"/>
        </w:rPr>
        <w:t>Dažni:</w:t>
      </w:r>
      <w:r>
        <w:rPr>
          <w:rFonts w:cs="Times New Roman"/>
          <w:bCs/>
          <w:sz w:val="22"/>
          <w:szCs w:val="22"/>
          <w:lang w:val="lt-LT" w:eastAsia="en-US"/>
        </w:rPr>
        <w:t xml:space="preserve"> vidurių pūtimas, rankų arba pėdų patinimas.</w:t>
      </w:r>
    </w:p>
    <w:p w14:paraId="63A96FC7" w14:textId="77777777" w:rsidR="00B60FD8" w:rsidRDefault="00B60FD8" w:rsidP="00B60FD8">
      <w:pPr>
        <w:autoSpaceDE w:val="0"/>
        <w:autoSpaceDN w:val="0"/>
        <w:adjustRightInd w:val="0"/>
        <w:rPr>
          <w:rFonts w:cs="Times New Roman"/>
          <w:bCs/>
          <w:sz w:val="22"/>
          <w:szCs w:val="22"/>
          <w:lang w:val="lt-LT" w:eastAsia="en-US"/>
        </w:rPr>
      </w:pPr>
    </w:p>
    <w:p w14:paraId="76321CCD"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Kai kuriems sitagliptino derinį su pioglitazonu ir metforminu vartojusiems pacientams pasireiškę šalutinio poveikio reiškiniai:</w:t>
      </w:r>
    </w:p>
    <w:p w14:paraId="7B87D9CF"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Dažni:</w:t>
      </w:r>
      <w:r>
        <w:rPr>
          <w:rFonts w:cs="Times New Roman"/>
          <w:bCs/>
          <w:sz w:val="22"/>
          <w:szCs w:val="22"/>
          <w:lang w:val="lt-LT" w:eastAsia="en-US"/>
        </w:rPr>
        <w:t xml:space="preserve"> rankų arba kojų patinimas.</w:t>
      </w:r>
    </w:p>
    <w:p w14:paraId="25BBC56C" w14:textId="77777777" w:rsidR="00B60FD8" w:rsidRDefault="00B60FD8" w:rsidP="00B60FD8">
      <w:pPr>
        <w:autoSpaceDE w:val="0"/>
        <w:autoSpaceDN w:val="0"/>
        <w:adjustRightInd w:val="0"/>
        <w:rPr>
          <w:rFonts w:cs="Times New Roman"/>
          <w:sz w:val="22"/>
          <w:szCs w:val="22"/>
          <w:lang w:val="lt-LT" w:eastAsia="en-US"/>
        </w:rPr>
      </w:pPr>
    </w:p>
    <w:p w14:paraId="2F919761"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Kai kuriems sitagliptino derinį su insulinu (kartu su metforminu arba be jo) vartojusiems pacientams pasireiškę šalutinio poveikio reiškiniai:</w:t>
      </w:r>
    </w:p>
    <w:p w14:paraId="7F69213A"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Dažni:</w:t>
      </w:r>
      <w:r>
        <w:rPr>
          <w:rFonts w:cs="Times New Roman"/>
          <w:bCs/>
          <w:sz w:val="22"/>
          <w:szCs w:val="22"/>
          <w:lang w:val="lt-LT" w:eastAsia="en-US"/>
        </w:rPr>
        <w:t xml:space="preserve"> gripas.</w:t>
      </w:r>
    </w:p>
    <w:p w14:paraId="7F2CA8B9"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Nedažni:</w:t>
      </w:r>
      <w:r>
        <w:rPr>
          <w:rFonts w:cs="Times New Roman"/>
          <w:bCs/>
          <w:sz w:val="22"/>
          <w:szCs w:val="22"/>
          <w:lang w:val="lt-LT" w:eastAsia="en-US"/>
        </w:rPr>
        <w:t xml:space="preserve"> burnos džiūvimas.</w:t>
      </w:r>
    </w:p>
    <w:p w14:paraId="6F51CEBE" w14:textId="77777777" w:rsidR="00B60FD8" w:rsidRDefault="00B60FD8" w:rsidP="00B60FD8">
      <w:pPr>
        <w:autoSpaceDE w:val="0"/>
        <w:autoSpaceDN w:val="0"/>
        <w:adjustRightInd w:val="0"/>
        <w:rPr>
          <w:rFonts w:cs="Times New Roman"/>
          <w:bCs/>
          <w:sz w:val="22"/>
          <w:szCs w:val="22"/>
          <w:lang w:val="lt-LT" w:eastAsia="en-US"/>
        </w:rPr>
      </w:pPr>
    </w:p>
    <w:p w14:paraId="307553DF"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Šalutinis poveikis, pasireiškęs kai kuriems ligoniams, klinikinių tyrimų metu arba po vaisto registracijos vartojusiems vien sitagliptino ir (arba) jo derinį su kitais vaistais nuo cukrinio diabeto:</w:t>
      </w:r>
    </w:p>
    <w:p w14:paraId="201F6DCD"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Dažni:</w:t>
      </w:r>
      <w:r>
        <w:rPr>
          <w:rFonts w:cs="Times New Roman"/>
          <w:bCs/>
          <w:sz w:val="22"/>
          <w:szCs w:val="22"/>
          <w:lang w:val="lt-LT" w:eastAsia="en-US"/>
        </w:rPr>
        <w:t xml:space="preserve"> mažas cukraus kiekis kraujyje, galvos skausmas, viršutinių kvėpavimo takų infekcinė liga, užsikimšusi arba varvanti nosis ir kartu gerklės skausmas, osteoartritas, rankos ar kojos skausmas.</w:t>
      </w:r>
    </w:p>
    <w:p w14:paraId="70C41881" w14:textId="77777777" w:rsidR="00B60FD8" w:rsidRDefault="00B60FD8" w:rsidP="00B60FD8">
      <w:pPr>
        <w:autoSpaceDE w:val="0"/>
        <w:autoSpaceDN w:val="0"/>
        <w:adjustRightInd w:val="0"/>
        <w:ind w:left="709" w:hanging="709"/>
        <w:rPr>
          <w:rFonts w:cs="Times New Roman"/>
          <w:bCs/>
          <w:sz w:val="22"/>
          <w:szCs w:val="22"/>
          <w:lang w:val="lt-LT" w:eastAsia="en-US"/>
        </w:rPr>
      </w:pPr>
      <w:r>
        <w:rPr>
          <w:rFonts w:cs="Times New Roman"/>
          <w:b/>
          <w:sz w:val="22"/>
          <w:szCs w:val="22"/>
          <w:lang w:val="lt-LT" w:eastAsia="en-US"/>
        </w:rPr>
        <w:t>Nedažni:</w:t>
      </w:r>
      <w:r>
        <w:rPr>
          <w:rFonts w:cs="Times New Roman"/>
          <w:bCs/>
          <w:sz w:val="22"/>
          <w:szCs w:val="22"/>
          <w:lang w:val="lt-LT" w:eastAsia="en-US"/>
        </w:rPr>
        <w:t xml:space="preserve"> svaigulys, vidurių užkietėjimas, niežulys.</w:t>
      </w:r>
    </w:p>
    <w:p w14:paraId="2DECEE32" w14:textId="77777777" w:rsidR="00B60FD8" w:rsidRDefault="00B60FD8" w:rsidP="00B60FD8">
      <w:pPr>
        <w:autoSpaceDE w:val="0"/>
        <w:autoSpaceDN w:val="0"/>
        <w:adjustRightInd w:val="0"/>
        <w:ind w:left="709" w:hanging="709"/>
        <w:rPr>
          <w:rFonts w:cs="Times New Roman"/>
          <w:bCs/>
          <w:sz w:val="22"/>
          <w:szCs w:val="22"/>
          <w:lang w:val="lt-LT" w:eastAsia="en-US"/>
        </w:rPr>
      </w:pPr>
      <w:r w:rsidRPr="00E92394">
        <w:rPr>
          <w:rFonts w:cs="Times New Roman"/>
          <w:b/>
          <w:bCs/>
          <w:sz w:val="22"/>
          <w:szCs w:val="22"/>
          <w:lang w:val="lt-LT" w:eastAsia="en-US"/>
        </w:rPr>
        <w:t>Retas</w:t>
      </w:r>
      <w:r>
        <w:rPr>
          <w:rFonts w:cs="Times New Roman"/>
          <w:bCs/>
          <w:sz w:val="22"/>
          <w:szCs w:val="22"/>
          <w:lang w:val="lt-LT" w:eastAsia="en-US"/>
        </w:rPr>
        <w:t>: sumažėjęs trombocitų skaičius.</w:t>
      </w:r>
    </w:p>
    <w:p w14:paraId="757ACC34" w14:textId="77777777" w:rsidR="00B60FD8" w:rsidRDefault="00B60FD8" w:rsidP="00B60FD8">
      <w:pPr>
        <w:autoSpaceDE w:val="0"/>
        <w:autoSpaceDN w:val="0"/>
        <w:adjustRightInd w:val="0"/>
        <w:rPr>
          <w:rFonts w:eastAsia="Times New Roman" w:cs="Times New Roman"/>
          <w:bCs/>
          <w:noProof/>
          <w:sz w:val="22"/>
          <w:szCs w:val="22"/>
          <w:lang w:val="lt-LT" w:eastAsia="lt-LT" w:bidi="lt-LT"/>
        </w:rPr>
      </w:pPr>
      <w:r>
        <w:rPr>
          <w:rFonts w:cs="Times New Roman"/>
          <w:b/>
          <w:sz w:val="22"/>
          <w:szCs w:val="22"/>
          <w:lang w:val="lt-LT" w:eastAsia="en-US"/>
        </w:rPr>
        <w:t>Dažnis nežinomas:</w:t>
      </w:r>
      <w:r>
        <w:rPr>
          <w:rFonts w:cs="Times New Roman"/>
          <w:bCs/>
          <w:sz w:val="22"/>
          <w:szCs w:val="22"/>
          <w:lang w:val="lt-LT" w:eastAsia="en-US"/>
        </w:rPr>
        <w:t xml:space="preserve"> inkstų funkcijos sutrikimai (kartais prireikė dializės), vėmimas, sąnarių skausmas, raumenų skausmas, nugaros skausmas, plaučių uždegimas (intersticinė plaučių liga)</w:t>
      </w:r>
      <w:r>
        <w:rPr>
          <w:rFonts w:eastAsia="Times New Roman" w:cs="Times New Roman"/>
          <w:sz w:val="22"/>
          <w:szCs w:val="22"/>
          <w:lang w:val="lt-LT" w:eastAsia="en-US"/>
        </w:rPr>
        <w:t>, pūslinis pemfigoidas (tam tikro tipo odos pūslės)</w:t>
      </w:r>
      <w:r>
        <w:rPr>
          <w:rFonts w:cs="Times New Roman"/>
          <w:bCs/>
          <w:sz w:val="22"/>
          <w:szCs w:val="22"/>
          <w:lang w:val="lt-LT" w:eastAsia="en-US"/>
        </w:rPr>
        <w:t>.</w:t>
      </w:r>
    </w:p>
    <w:p w14:paraId="02F8D125" w14:textId="77777777" w:rsidR="00B60FD8" w:rsidRDefault="00B60FD8" w:rsidP="00B60FD8">
      <w:pPr>
        <w:numPr>
          <w:ilvl w:val="12"/>
          <w:numId w:val="0"/>
        </w:numPr>
        <w:outlineLvl w:val="0"/>
        <w:rPr>
          <w:rFonts w:eastAsia="Times New Roman" w:cs="Times New Roman"/>
          <w:bCs/>
          <w:noProof/>
          <w:sz w:val="22"/>
          <w:szCs w:val="22"/>
          <w:lang w:val="lt-LT" w:eastAsia="lt-LT" w:bidi="lt-LT"/>
        </w:rPr>
      </w:pPr>
    </w:p>
    <w:p w14:paraId="1E7C1B6F" w14:textId="77777777" w:rsidR="00B60FD8" w:rsidRDefault="00B60FD8" w:rsidP="00B60FD8">
      <w:pPr>
        <w:tabs>
          <w:tab w:val="left" w:pos="567"/>
        </w:tabs>
        <w:rPr>
          <w:rFonts w:eastAsia="Times New Roman" w:cs="Times New Roman"/>
          <w:b/>
          <w:snapToGrid w:val="0"/>
          <w:sz w:val="22"/>
          <w:szCs w:val="22"/>
          <w:lang w:val="lt-LT" w:eastAsia="en-US"/>
        </w:rPr>
      </w:pPr>
      <w:r>
        <w:rPr>
          <w:rFonts w:eastAsia="Times New Roman" w:cs="Times New Roman"/>
          <w:b/>
          <w:noProof/>
          <w:snapToGrid w:val="0"/>
          <w:sz w:val="22"/>
          <w:szCs w:val="22"/>
          <w:lang w:val="lt-LT" w:eastAsia="en-US"/>
        </w:rPr>
        <w:t>Pranešimas apie šalutinį poveikį</w:t>
      </w:r>
    </w:p>
    <w:p w14:paraId="1A354480" w14:textId="77777777" w:rsidR="00B60FD8" w:rsidRDefault="00B60FD8" w:rsidP="00B60FD8">
      <w:pPr>
        <w:tabs>
          <w:tab w:val="left" w:pos="567"/>
        </w:tabs>
        <w:autoSpaceDE w:val="0"/>
        <w:autoSpaceDN w:val="0"/>
        <w:adjustRightInd w:val="0"/>
        <w:rPr>
          <w:rFonts w:eastAsia="Times New Roman" w:cs="Times New Roman"/>
          <w:snapToGrid w:val="0"/>
          <w:sz w:val="22"/>
          <w:lang w:val="lt-LT" w:eastAsia="en-US"/>
        </w:rPr>
      </w:pPr>
      <w:r>
        <w:rPr>
          <w:rFonts w:eastAsia="Times New Roman" w:cs="Times New Roman"/>
          <w:snapToGrid w:val="0"/>
          <w:sz w:val="22"/>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Pr>
            <w:rFonts w:eastAsia="Times New Roman" w:cs="Times New Roman"/>
            <w:snapToGrid w:val="0"/>
            <w:color w:val="0000FF"/>
            <w:sz w:val="22"/>
            <w:u w:val="single"/>
            <w:lang w:val="lt-LT" w:eastAsia="en-US"/>
          </w:rPr>
          <w:t>https://vapris.vvkt.lt/vvkt-web/public/nrv</w:t>
        </w:r>
      </w:hyperlink>
      <w:r>
        <w:rPr>
          <w:rFonts w:eastAsia="Times New Roman" w:cs="Times New Roman"/>
          <w:snapToGrid w:val="0"/>
          <w:sz w:val="22"/>
          <w:lang w:val="lt-LT" w:eastAsia="en-US"/>
        </w:rPr>
        <w:t xml:space="preserve"> arba užpildant Paciento pranešimo apie įtariamą nepageidaujamą reakciją (ĮNR) formą, kuri skelbiama </w:t>
      </w:r>
      <w:hyperlink r:id="rId9" w:history="1">
        <w:r>
          <w:rPr>
            <w:rFonts w:eastAsia="Times New Roman" w:cs="Times New Roman"/>
            <w:snapToGrid w:val="0"/>
            <w:color w:val="0000FF"/>
            <w:sz w:val="22"/>
            <w:u w:val="single"/>
            <w:lang w:val="lt-LT" w:eastAsia="en-US"/>
          </w:rPr>
          <w:t>https://www.vvkt.lt/index.php?4004286486</w:t>
        </w:r>
      </w:hyperlink>
      <w:r>
        <w:rPr>
          <w:rFonts w:eastAsia="Times New Roman" w:cs="Times New Roman"/>
          <w:snapToGrid w:val="0"/>
          <w:sz w:val="22"/>
          <w:lang w:val="lt-LT" w:eastAsia="en-US"/>
        </w:rPr>
        <w:t xml:space="preserve">, ir atsiunčiant elektroniniu paštu (adresu </w:t>
      </w:r>
      <w:hyperlink r:id="rId10" w:history="1">
        <w:r>
          <w:rPr>
            <w:rFonts w:eastAsia="Times New Roman" w:cs="Times New Roman"/>
            <w:snapToGrid w:val="0"/>
            <w:color w:val="0000FF"/>
            <w:sz w:val="22"/>
            <w:u w:val="single"/>
            <w:lang w:val="lt-LT" w:eastAsia="en-US"/>
          </w:rPr>
          <w:t>NepageidaujamaR@vvkt.lt</w:t>
        </w:r>
      </w:hyperlink>
      <w:r>
        <w:rPr>
          <w:rFonts w:eastAsia="Times New Roman" w:cs="Times New Roman"/>
          <w:snapToGrid w:val="0"/>
          <w:sz w:val="22"/>
          <w:lang w:val="lt-LT" w:eastAsia="en-US"/>
        </w:rPr>
        <w:t>) arba nemokamu telefonu 8 800 73 568. Pranešdami apie šalutinį poveikį galite mums padėti gauti daugiau informacijos apie šio vaisto saugumą.</w:t>
      </w:r>
    </w:p>
    <w:p w14:paraId="08919E72" w14:textId="77777777" w:rsidR="00B60FD8" w:rsidRDefault="00B60FD8" w:rsidP="00B60FD8">
      <w:pPr>
        <w:tabs>
          <w:tab w:val="left" w:pos="567"/>
        </w:tabs>
        <w:autoSpaceDE w:val="0"/>
        <w:autoSpaceDN w:val="0"/>
        <w:adjustRightInd w:val="0"/>
        <w:rPr>
          <w:rFonts w:eastAsia="Times New Roman" w:cs="Times New Roman"/>
          <w:sz w:val="22"/>
          <w:szCs w:val="22"/>
          <w:lang w:val="lt-LT" w:eastAsia="lt-LT" w:bidi="lt-LT"/>
        </w:rPr>
      </w:pPr>
    </w:p>
    <w:p w14:paraId="55783AE1" w14:textId="77777777" w:rsidR="00B60FD8" w:rsidRDefault="00B60FD8" w:rsidP="00B60FD8">
      <w:pPr>
        <w:tabs>
          <w:tab w:val="left" w:pos="567"/>
        </w:tabs>
        <w:autoSpaceDE w:val="0"/>
        <w:autoSpaceDN w:val="0"/>
        <w:adjustRightInd w:val="0"/>
        <w:rPr>
          <w:rFonts w:eastAsia="Times New Roman" w:cs="Times New Roman"/>
          <w:sz w:val="22"/>
          <w:szCs w:val="22"/>
          <w:lang w:val="lt-LT" w:eastAsia="lt-LT" w:bidi="lt-LT"/>
        </w:rPr>
      </w:pPr>
    </w:p>
    <w:p w14:paraId="00779DD0"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Kaip laikyti </w:t>
      </w:r>
      <w:r>
        <w:rPr>
          <w:rFonts w:eastAsia="Times New Roman" w:cs="Times New Roman"/>
          <w:b/>
          <w:sz w:val="22"/>
          <w:szCs w:val="22"/>
          <w:lang w:val="lt-LT" w:eastAsia="lt-LT" w:bidi="lt-LT"/>
        </w:rPr>
        <w:t>JIDINUM</w:t>
      </w:r>
    </w:p>
    <w:p w14:paraId="07EDE066" w14:textId="77777777" w:rsidR="00B60FD8" w:rsidRDefault="00B60FD8" w:rsidP="00B60FD8">
      <w:pPr>
        <w:keepNext/>
        <w:numPr>
          <w:ilvl w:val="12"/>
          <w:numId w:val="0"/>
        </w:numPr>
        <w:ind w:right="-2"/>
        <w:rPr>
          <w:rFonts w:eastAsia="Times New Roman" w:cs="Times New Roman"/>
          <w:noProof/>
          <w:sz w:val="22"/>
          <w:szCs w:val="22"/>
          <w:lang w:val="lt-LT" w:eastAsia="lt-LT" w:bidi="lt-LT"/>
        </w:rPr>
      </w:pPr>
    </w:p>
    <w:p w14:paraId="4BC6667F" w14:textId="77777777" w:rsidR="00B60FD8" w:rsidRDefault="00B60FD8" w:rsidP="00B60FD8">
      <w:pPr>
        <w:numPr>
          <w:ilvl w:val="12"/>
          <w:numId w:val="0"/>
        </w:numPr>
        <w:ind w:right="-2"/>
        <w:rPr>
          <w:rFonts w:eastAsia="Times New Roman" w:cs="Times New Roman"/>
          <w:bCs/>
          <w:noProof/>
          <w:sz w:val="22"/>
          <w:szCs w:val="22"/>
          <w:lang w:val="lt-LT" w:eastAsia="lt-LT" w:bidi="lt-LT"/>
        </w:rPr>
      </w:pPr>
      <w:r>
        <w:rPr>
          <w:rFonts w:eastAsia="Times New Roman" w:cs="Times New Roman"/>
          <w:bCs/>
          <w:sz w:val="22"/>
          <w:szCs w:val="22"/>
          <w:lang w:val="lt-LT" w:eastAsia="lt-LT" w:bidi="lt-LT"/>
        </w:rPr>
        <w:t>Šį vaistą laikykite vaikams nepastebimoje ir nepasiekiamoje vietoje.</w:t>
      </w:r>
    </w:p>
    <w:p w14:paraId="1556F962"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44A9DB4D"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Ant dėžutės po „EXP“ ir lizdinės plokštelės nurodytam tinkamumo laikui pasibaigus, šio vaisto vartoti negalima. Vaistas tinkamas vartoti iki paskutinės nurodyto mėnesio dienos.</w:t>
      </w:r>
    </w:p>
    <w:p w14:paraId="434EE360" w14:textId="77777777" w:rsidR="00B60FD8" w:rsidRDefault="00B60FD8" w:rsidP="00B60FD8">
      <w:pPr>
        <w:autoSpaceDE w:val="0"/>
        <w:autoSpaceDN w:val="0"/>
        <w:adjustRightInd w:val="0"/>
        <w:rPr>
          <w:rFonts w:cs="Times New Roman"/>
          <w:sz w:val="22"/>
          <w:szCs w:val="22"/>
          <w:lang w:val="lt-LT" w:eastAsia="en-US"/>
        </w:rPr>
      </w:pPr>
    </w:p>
    <w:p w14:paraId="4475C1E0"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Šiam vaistui specialių laikymo sąlygų nereikia.</w:t>
      </w:r>
    </w:p>
    <w:p w14:paraId="749B8CB5" w14:textId="77777777" w:rsidR="00B60FD8" w:rsidRDefault="00B60FD8" w:rsidP="00B60FD8">
      <w:pPr>
        <w:autoSpaceDE w:val="0"/>
        <w:autoSpaceDN w:val="0"/>
        <w:adjustRightInd w:val="0"/>
        <w:rPr>
          <w:rFonts w:cs="Times New Roman"/>
          <w:sz w:val="22"/>
          <w:szCs w:val="22"/>
          <w:lang w:val="lt-LT" w:eastAsia="en-US"/>
        </w:rPr>
      </w:pPr>
    </w:p>
    <w:p w14:paraId="0E71EFE5" w14:textId="77777777" w:rsidR="00B60FD8" w:rsidRDefault="00B60FD8" w:rsidP="00B60FD8">
      <w:pPr>
        <w:numPr>
          <w:ilvl w:val="12"/>
          <w:numId w:val="0"/>
        </w:numPr>
        <w:ind w:right="-2"/>
        <w:rPr>
          <w:rFonts w:eastAsia="Times New Roman" w:cs="Times New Roman"/>
          <w:i/>
          <w:iCs/>
          <w:noProof/>
          <w:sz w:val="22"/>
          <w:szCs w:val="22"/>
          <w:lang w:val="lt-LT" w:eastAsia="lt-LT" w:bidi="lt-LT"/>
        </w:rPr>
      </w:pPr>
      <w:r>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440CECA6"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3EDF6895"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1BBBF286" w14:textId="77777777" w:rsidR="00B60FD8" w:rsidRDefault="00B60FD8" w:rsidP="00B60FD8">
      <w:pPr>
        <w:keepNext/>
        <w:numPr>
          <w:ilvl w:val="0"/>
          <w:numId w:val="5"/>
        </w:numPr>
        <w:tabs>
          <w:tab w:val="left" w:pos="567"/>
        </w:tabs>
        <w:spacing w:line="260" w:lineRule="exact"/>
        <w:ind w:left="567" w:right="-2"/>
        <w:rPr>
          <w:rFonts w:eastAsia="Times New Roman" w:cs="Times New Roman"/>
          <w:b/>
          <w:sz w:val="22"/>
          <w:szCs w:val="22"/>
          <w:lang w:val="lt-LT" w:eastAsia="lt-LT" w:bidi="lt-LT"/>
        </w:rPr>
      </w:pPr>
      <w:r>
        <w:rPr>
          <w:rFonts w:eastAsia="Times New Roman" w:cs="Times New Roman"/>
          <w:b/>
          <w:sz w:val="22"/>
          <w:szCs w:val="22"/>
          <w:lang w:val="lt-LT" w:eastAsia="lt-LT" w:bidi="lt-LT"/>
        </w:rPr>
        <w:lastRenderedPageBreak/>
        <w:t>Pakuotės turinys ir kita informacija</w:t>
      </w:r>
    </w:p>
    <w:p w14:paraId="1453C2B8" w14:textId="77777777" w:rsidR="00B60FD8" w:rsidRDefault="00B60FD8" w:rsidP="00B60FD8">
      <w:pPr>
        <w:keepNext/>
        <w:numPr>
          <w:ilvl w:val="12"/>
          <w:numId w:val="0"/>
        </w:numPr>
        <w:rPr>
          <w:rFonts w:eastAsia="Times New Roman" w:cs="Times New Roman"/>
          <w:sz w:val="22"/>
          <w:szCs w:val="22"/>
          <w:lang w:val="lt-LT" w:eastAsia="lt-LT" w:bidi="lt-LT"/>
        </w:rPr>
      </w:pPr>
    </w:p>
    <w:p w14:paraId="6C61BD9F" w14:textId="77777777" w:rsidR="00B60FD8" w:rsidRDefault="00B60FD8" w:rsidP="00B60FD8">
      <w:pPr>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 xml:space="preserve">JIDINUM sudėtis </w:t>
      </w:r>
    </w:p>
    <w:p w14:paraId="7CB4601D" w14:textId="77777777" w:rsidR="00B60FD8" w:rsidRDefault="00B60FD8" w:rsidP="00B60FD8">
      <w:pPr>
        <w:pStyle w:val="Sraopastraipa"/>
        <w:numPr>
          <w:ilvl w:val="0"/>
          <w:numId w:val="11"/>
        </w:numPr>
        <w:ind w:left="567" w:hanging="567"/>
        <w:rPr>
          <w:i/>
          <w:iCs/>
          <w:noProof/>
          <w:sz w:val="22"/>
          <w:szCs w:val="22"/>
          <w:lang w:val="lt-LT" w:eastAsia="lt-LT" w:bidi="lt-LT"/>
        </w:rPr>
      </w:pPr>
      <w:r>
        <w:rPr>
          <w:sz w:val="22"/>
          <w:szCs w:val="22"/>
          <w:lang w:val="lt-LT" w:eastAsia="lt-LT" w:bidi="lt-LT"/>
        </w:rPr>
        <w:t xml:space="preserve">Veiklioji medžiaga yra sitagliptinas. Kiekvienoje tabletėje yra sitagliptino hidrochlorido monohidrato, atitinkančio 25 mg, 50 mg arba 100 mg sitagliptino. </w:t>
      </w:r>
    </w:p>
    <w:p w14:paraId="2ED83358" w14:textId="40F03F9B" w:rsidR="00B60FD8" w:rsidRDefault="00B60FD8" w:rsidP="00B60FD8">
      <w:pPr>
        <w:pStyle w:val="Sraopastraipa"/>
        <w:widowControl w:val="0"/>
        <w:numPr>
          <w:ilvl w:val="0"/>
          <w:numId w:val="1"/>
        </w:numPr>
        <w:autoSpaceDE w:val="0"/>
        <w:autoSpaceDN w:val="0"/>
        <w:adjustRightInd w:val="0"/>
        <w:ind w:left="567" w:hanging="567"/>
        <w:rPr>
          <w:rFonts w:eastAsia="TimesNewRoman"/>
          <w:sz w:val="22"/>
          <w:szCs w:val="22"/>
          <w:lang w:val="lt-LT" w:eastAsia="en-US"/>
        </w:rPr>
      </w:pPr>
      <w:r>
        <w:rPr>
          <w:sz w:val="22"/>
          <w:szCs w:val="22"/>
          <w:lang w:val="lt-LT" w:eastAsia="lt-LT" w:bidi="lt-LT"/>
        </w:rPr>
        <w:t>Pagalbinės medžiagos. Tabletės šerdyje:</w:t>
      </w:r>
      <w:r>
        <w:rPr>
          <w:sz w:val="22"/>
          <w:szCs w:val="22"/>
          <w:lang w:val="lt-LT" w:eastAsia="en-US"/>
        </w:rPr>
        <w:t xml:space="preserve"> bevandenis kalcio-vandenilio fosfatas, mikrokristalinė celiuliozė (E 460), kroskarmeliozės natrio druska, magnio </w:t>
      </w:r>
      <w:proofErr w:type="spellStart"/>
      <w:r>
        <w:rPr>
          <w:sz w:val="22"/>
          <w:szCs w:val="22"/>
          <w:lang w:val="lt-LT" w:eastAsia="en-US"/>
        </w:rPr>
        <w:t>stearatas</w:t>
      </w:r>
      <w:proofErr w:type="spellEnd"/>
      <w:r>
        <w:rPr>
          <w:sz w:val="22"/>
          <w:szCs w:val="22"/>
          <w:lang w:val="lt-LT" w:eastAsia="en-US"/>
        </w:rPr>
        <w:t>, n</w:t>
      </w:r>
      <w:r>
        <w:rPr>
          <w:rFonts w:eastAsia="TimesNewRoman"/>
          <w:sz w:val="22"/>
          <w:szCs w:val="22"/>
          <w:lang w:val="lt-LT" w:eastAsia="en-US"/>
        </w:rPr>
        <w:t xml:space="preserve">atrio </w:t>
      </w:r>
      <w:proofErr w:type="spellStart"/>
      <w:r>
        <w:rPr>
          <w:rFonts w:eastAsia="TimesNewRoman"/>
          <w:sz w:val="22"/>
          <w:szCs w:val="22"/>
          <w:lang w:val="lt-LT" w:eastAsia="en-US"/>
        </w:rPr>
        <w:t>stearilfumaratas</w:t>
      </w:r>
      <w:proofErr w:type="spellEnd"/>
      <w:r>
        <w:rPr>
          <w:rFonts w:eastAsia="TimesNewRoman"/>
          <w:sz w:val="22"/>
          <w:szCs w:val="22"/>
          <w:lang w:val="lt-LT" w:eastAsia="en-US"/>
        </w:rPr>
        <w:t xml:space="preserve">; tabletės plėvelėje: </w:t>
      </w:r>
      <w:proofErr w:type="spellStart"/>
      <w:r>
        <w:rPr>
          <w:rFonts w:eastAsia="TimesNewRoman"/>
          <w:sz w:val="22"/>
          <w:szCs w:val="22"/>
          <w:lang w:val="lt-LT" w:eastAsia="en-US"/>
        </w:rPr>
        <w:t>Opadry</w:t>
      </w:r>
      <w:proofErr w:type="spellEnd"/>
      <w:r>
        <w:rPr>
          <w:rFonts w:eastAsia="TimesNewRoman"/>
          <w:sz w:val="22"/>
          <w:szCs w:val="22"/>
          <w:lang w:val="lt-LT" w:eastAsia="en-US"/>
        </w:rPr>
        <w:t xml:space="preserve"> II baltasis 85F18422 (polivinilo alkoholis, titano dioksidas (E171), makrogolis, talkas), raudonasis geležis oksidas (E172)</w:t>
      </w:r>
      <w:r>
        <w:rPr>
          <w:sz w:val="22"/>
          <w:szCs w:val="22"/>
          <w:lang w:val="lt-LT" w:eastAsia="en-US"/>
        </w:rPr>
        <w:t xml:space="preserve"> (50 mg ir 100 mg tabletėse), geltonasis geležies oksidas (E 172) (25 mg ir 100 mg tabletėse).</w:t>
      </w:r>
    </w:p>
    <w:p w14:paraId="373685B8" w14:textId="77777777" w:rsidR="00B60FD8" w:rsidRDefault="00B60FD8" w:rsidP="00B60FD8">
      <w:pPr>
        <w:rPr>
          <w:noProof/>
          <w:sz w:val="22"/>
          <w:szCs w:val="22"/>
          <w:lang w:val="lt-LT" w:eastAsia="lt-LT" w:bidi="lt-LT"/>
        </w:rPr>
      </w:pPr>
    </w:p>
    <w:p w14:paraId="41B4BA03" w14:textId="77777777" w:rsidR="00B60FD8" w:rsidRDefault="00B60FD8" w:rsidP="00B60FD8">
      <w:pPr>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JIDINUM išvaizda ir kiekis pakuotėje</w:t>
      </w:r>
    </w:p>
    <w:p w14:paraId="4D50DA95"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25 mg plėvele dengtos tabletės</w:t>
      </w:r>
    </w:p>
    <w:p w14:paraId="31DE69A3"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Geltonos, apvalios, abipus išgaubtos, apytiksliai 6 mm skersmens plėvele dengtos tabletės, kurių vienoje pusėje yra įspaudas „25“.</w:t>
      </w:r>
    </w:p>
    <w:p w14:paraId="3C874E15" w14:textId="77777777" w:rsidR="00B60FD8" w:rsidRDefault="00B60FD8" w:rsidP="00B60FD8">
      <w:pPr>
        <w:tabs>
          <w:tab w:val="left" w:pos="567"/>
        </w:tabs>
        <w:rPr>
          <w:rFonts w:cs="Times New Roman"/>
          <w:sz w:val="22"/>
          <w:szCs w:val="22"/>
          <w:lang w:val="lt-LT" w:eastAsia="en-US"/>
        </w:rPr>
      </w:pPr>
    </w:p>
    <w:p w14:paraId="2DCB5A7D"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50 mg plėvele dengtos tabletės</w:t>
      </w:r>
    </w:p>
    <w:p w14:paraId="6D5B4599"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Šviesiai rausvos, apvalios, abipus išgaubtos, apytiksliai 8 mm skersmens plėvele dengtos tabletės, kurių vienoje pusėje yra įspaudas „50“.</w:t>
      </w:r>
    </w:p>
    <w:p w14:paraId="6189F6C4" w14:textId="77777777" w:rsidR="00B60FD8" w:rsidRDefault="00B60FD8" w:rsidP="00B60FD8">
      <w:pPr>
        <w:tabs>
          <w:tab w:val="left" w:pos="567"/>
        </w:tabs>
        <w:rPr>
          <w:rFonts w:cs="Times New Roman"/>
          <w:sz w:val="22"/>
          <w:szCs w:val="22"/>
          <w:lang w:val="lt-LT" w:eastAsia="en-US"/>
        </w:rPr>
      </w:pPr>
    </w:p>
    <w:p w14:paraId="04CCA488"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100 mg plėvele dengtos tabletės</w:t>
      </w:r>
    </w:p>
    <w:p w14:paraId="39D0BB64"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Šviesiai rudos, apvalios, abipus išgaubtos, apytiksliai 10 mm skersmens plėvele dengtos tabletės, kurių vienoje pusėje yra įspaudas „MC“.</w:t>
      </w:r>
    </w:p>
    <w:p w14:paraId="17B1B7D5" w14:textId="77777777" w:rsidR="00B60FD8" w:rsidRDefault="00B60FD8" w:rsidP="00B60FD8">
      <w:pPr>
        <w:numPr>
          <w:ilvl w:val="12"/>
          <w:numId w:val="0"/>
        </w:numPr>
        <w:ind w:right="-2"/>
        <w:rPr>
          <w:rFonts w:eastAsia="Times New Roman" w:cs="Times New Roman"/>
          <w:b/>
          <w:sz w:val="22"/>
          <w:szCs w:val="22"/>
          <w:highlight w:val="yellow"/>
          <w:lang w:val="lt-LT" w:eastAsia="lt-LT" w:bidi="lt-LT"/>
        </w:rPr>
      </w:pPr>
    </w:p>
    <w:p w14:paraId="17E62B51" w14:textId="77777777" w:rsidR="00B60FD8" w:rsidRDefault="00B60FD8" w:rsidP="00B60FD8">
      <w:pPr>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Poliamido/aliuminio/PVC/aliuminio lizdinės plokštelės, kuriose yra 14, 28, 30, 56, 84, 90 arba 98 tabletės.</w:t>
      </w:r>
    </w:p>
    <w:p w14:paraId="74187A18"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lang w:val="lt-LT" w:eastAsia="lt-LT" w:bidi="lt-LT"/>
        </w:rPr>
        <w:t>Gali būti tiekiamos ne visų dydžių pakuotės.</w:t>
      </w:r>
    </w:p>
    <w:p w14:paraId="6A10E958" w14:textId="77777777" w:rsidR="00B60FD8" w:rsidRDefault="00B60FD8" w:rsidP="00B60FD8">
      <w:pPr>
        <w:keepNext/>
        <w:numPr>
          <w:ilvl w:val="12"/>
          <w:numId w:val="0"/>
        </w:numPr>
        <w:ind w:right="-2"/>
        <w:rPr>
          <w:rFonts w:eastAsia="Times New Roman" w:cs="Times New Roman"/>
          <w:b/>
          <w:sz w:val="22"/>
          <w:szCs w:val="22"/>
          <w:lang w:val="lt-LT" w:eastAsia="lt-LT" w:bidi="lt-LT"/>
        </w:rPr>
      </w:pPr>
    </w:p>
    <w:p w14:paraId="25D4D446" w14:textId="77777777" w:rsidR="00B60FD8" w:rsidRDefault="00B60FD8" w:rsidP="00B60FD8">
      <w:pPr>
        <w:keepNext/>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Registruotojas ir gamintojas</w:t>
      </w:r>
    </w:p>
    <w:p w14:paraId="70E04C35" w14:textId="77777777" w:rsidR="00B60FD8" w:rsidRDefault="00B60FD8" w:rsidP="00B60FD8">
      <w:pPr>
        <w:rPr>
          <w:rFonts w:eastAsia="Times New Roman" w:cs="Times New Roman"/>
          <w:bCs/>
          <w:i/>
          <w:sz w:val="22"/>
          <w:szCs w:val="22"/>
          <w:lang w:val="lt-LT" w:eastAsia="en-US"/>
        </w:rPr>
      </w:pPr>
      <w:r>
        <w:rPr>
          <w:rFonts w:eastAsia="Times New Roman" w:cs="Times New Roman"/>
          <w:bCs/>
          <w:i/>
          <w:sz w:val="22"/>
          <w:szCs w:val="22"/>
          <w:lang w:val="lt-LT" w:eastAsia="en-US"/>
        </w:rPr>
        <w:t>Registruotojas</w:t>
      </w:r>
    </w:p>
    <w:p w14:paraId="67D871BB"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Medochemie Ltd.</w:t>
      </w:r>
    </w:p>
    <w:p w14:paraId="75900319"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1-10 Constantinoupoleos Street</w:t>
      </w:r>
    </w:p>
    <w:p w14:paraId="30D3D310"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3011 Limassol</w:t>
      </w:r>
    </w:p>
    <w:p w14:paraId="4954E5C1"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Kipras</w:t>
      </w:r>
    </w:p>
    <w:p w14:paraId="58FEE7E4" w14:textId="77777777" w:rsidR="00B60FD8" w:rsidRDefault="00B60FD8" w:rsidP="00B60FD8">
      <w:pPr>
        <w:tabs>
          <w:tab w:val="left" w:pos="567"/>
        </w:tabs>
        <w:rPr>
          <w:rFonts w:eastAsia="Times New Roman" w:cs="Times New Roman"/>
          <w:noProof/>
          <w:sz w:val="22"/>
          <w:szCs w:val="22"/>
          <w:lang w:val="lt-LT" w:eastAsia="lt-LT" w:bidi="lt-LT"/>
        </w:rPr>
      </w:pPr>
    </w:p>
    <w:p w14:paraId="4612FA4F" w14:textId="77777777" w:rsidR="00B60FD8" w:rsidRDefault="00B60FD8" w:rsidP="00B60FD8">
      <w:pPr>
        <w:rPr>
          <w:rFonts w:eastAsia="Times New Roman" w:cs="Times New Roman"/>
          <w:bCs/>
          <w:i/>
          <w:sz w:val="22"/>
          <w:szCs w:val="22"/>
          <w:lang w:val="lt-LT" w:eastAsia="en-US"/>
        </w:rPr>
      </w:pPr>
      <w:r>
        <w:rPr>
          <w:rFonts w:eastAsia="Times New Roman" w:cs="Times New Roman"/>
          <w:bCs/>
          <w:i/>
          <w:sz w:val="22"/>
          <w:szCs w:val="22"/>
          <w:lang w:val="lt-LT" w:eastAsia="en-US"/>
        </w:rPr>
        <w:t>Gamintojas</w:t>
      </w:r>
    </w:p>
    <w:p w14:paraId="6119726D"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Medochemie Ltd.</w:t>
      </w:r>
    </w:p>
    <w:p w14:paraId="2847B59D" w14:textId="77777777" w:rsidR="00B60FD8" w:rsidRDefault="00B60FD8" w:rsidP="00B60FD8">
      <w:pPr>
        <w:tabs>
          <w:tab w:val="left" w:pos="567"/>
        </w:tabs>
        <w:rPr>
          <w:rFonts w:eastAsia="Times New Roman" w:cs="Times New Roman"/>
          <w:sz w:val="22"/>
          <w:szCs w:val="22"/>
          <w:lang w:val="lt-LT" w:eastAsia="en-US"/>
        </w:rPr>
      </w:pPr>
      <w:proofErr w:type="spellStart"/>
      <w:r>
        <w:rPr>
          <w:rFonts w:eastAsia="Times New Roman" w:cs="Times New Roman"/>
          <w:sz w:val="22"/>
          <w:szCs w:val="22"/>
          <w:lang w:val="lt-LT" w:eastAsia="en-US"/>
        </w:rPr>
        <w:t>Central</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Factory</w:t>
      </w:r>
      <w:proofErr w:type="spellEnd"/>
    </w:p>
    <w:p w14:paraId="620EFEBB"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 xml:space="preserve">1-10 </w:t>
      </w:r>
      <w:proofErr w:type="spellStart"/>
      <w:r>
        <w:rPr>
          <w:rFonts w:eastAsia="Times New Roman" w:cs="Times New Roman"/>
          <w:sz w:val="22"/>
          <w:szCs w:val="22"/>
          <w:lang w:val="lt-LT" w:eastAsia="en-US"/>
        </w:rPr>
        <w:t>Constantinoupoleos</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Street</w:t>
      </w:r>
      <w:proofErr w:type="spellEnd"/>
    </w:p>
    <w:p w14:paraId="744F3CB3"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 xml:space="preserve">3011 </w:t>
      </w:r>
      <w:proofErr w:type="spellStart"/>
      <w:r>
        <w:rPr>
          <w:rFonts w:eastAsia="Times New Roman" w:cs="Times New Roman"/>
          <w:sz w:val="22"/>
          <w:szCs w:val="22"/>
          <w:lang w:val="lt-LT" w:eastAsia="en-US"/>
        </w:rPr>
        <w:t>Limassol</w:t>
      </w:r>
      <w:proofErr w:type="spellEnd"/>
    </w:p>
    <w:p w14:paraId="1ED88708"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Kipras</w:t>
      </w:r>
    </w:p>
    <w:p w14:paraId="73C0F5E0" w14:textId="77777777" w:rsidR="00B60FD8" w:rsidRDefault="00B60FD8" w:rsidP="00B60FD8">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4CA58683" w14:textId="77777777" w:rsidR="00B60FD8" w:rsidRDefault="00B60FD8" w:rsidP="00B60FD8">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Pr>
          <w:rFonts w:eastAsia="Times New Roman" w:cs="Times New Roman"/>
          <w:bCs/>
          <w:snapToGrid w:val="0"/>
          <w:sz w:val="22"/>
          <w:szCs w:val="22"/>
          <w:lang w:val="lt-LT" w:eastAsia="en-US"/>
        </w:rPr>
        <w:t>Jeigu apie šį vaistą norite sužinoti daugiau, kreipkitės į vietinį registruotojo atstovą:</w:t>
      </w:r>
    </w:p>
    <w:p w14:paraId="05263E6A" w14:textId="77777777" w:rsidR="00B60FD8" w:rsidRDefault="00B60FD8" w:rsidP="00B60FD8">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27350E6C" w14:textId="77777777" w:rsidR="00B60FD8" w:rsidRDefault="00B60FD8" w:rsidP="00B60FD8">
      <w:pPr>
        <w:rPr>
          <w:color w:val="000000" w:themeColor="text1"/>
          <w:sz w:val="22"/>
          <w:szCs w:val="22"/>
        </w:rPr>
      </w:pPr>
      <w:r>
        <w:rPr>
          <w:color w:val="000000" w:themeColor="text1"/>
          <w:sz w:val="22"/>
          <w:szCs w:val="22"/>
        </w:rPr>
        <w:t>UAB „Medochemie Lithuania“</w:t>
      </w:r>
    </w:p>
    <w:p w14:paraId="39771BA1" w14:textId="77777777" w:rsidR="00B60FD8" w:rsidRDefault="00B60FD8" w:rsidP="00B60FD8">
      <w:pPr>
        <w:rPr>
          <w:color w:val="000000" w:themeColor="text1"/>
          <w:sz w:val="22"/>
          <w:szCs w:val="22"/>
        </w:rPr>
      </w:pPr>
      <w:r>
        <w:rPr>
          <w:color w:val="000000" w:themeColor="text1"/>
          <w:sz w:val="22"/>
          <w:szCs w:val="22"/>
        </w:rPr>
        <w:t>Gintaro 9-36</w:t>
      </w:r>
    </w:p>
    <w:p w14:paraId="296BB386" w14:textId="77777777" w:rsidR="00B60FD8" w:rsidRDefault="00B60FD8" w:rsidP="00B60FD8">
      <w:pPr>
        <w:rPr>
          <w:color w:val="000000" w:themeColor="text1"/>
          <w:sz w:val="22"/>
          <w:szCs w:val="22"/>
        </w:rPr>
      </w:pPr>
      <w:r>
        <w:rPr>
          <w:color w:val="000000" w:themeColor="text1"/>
          <w:sz w:val="22"/>
          <w:szCs w:val="22"/>
        </w:rPr>
        <w:t>LT – 47198 Kaunas</w:t>
      </w:r>
    </w:p>
    <w:p w14:paraId="23D2F2D3" w14:textId="77777777" w:rsidR="00B60FD8" w:rsidRDefault="00B60FD8" w:rsidP="00B60FD8">
      <w:pPr>
        <w:rPr>
          <w:color w:val="000000" w:themeColor="text1"/>
          <w:sz w:val="22"/>
          <w:szCs w:val="22"/>
        </w:rPr>
      </w:pPr>
      <w:r>
        <w:rPr>
          <w:color w:val="000000" w:themeColor="text1"/>
          <w:sz w:val="22"/>
          <w:szCs w:val="22"/>
        </w:rPr>
        <w:t>Tel. +370 37 338358</w:t>
      </w:r>
    </w:p>
    <w:p w14:paraId="6EBA45A4" w14:textId="77777777" w:rsidR="00B60FD8" w:rsidRDefault="00B60FD8" w:rsidP="00B60FD8">
      <w:pPr>
        <w:rPr>
          <w:sz w:val="22"/>
          <w:szCs w:val="22"/>
        </w:rPr>
      </w:pPr>
      <w:r>
        <w:rPr>
          <w:color w:val="000000" w:themeColor="text1"/>
          <w:sz w:val="22"/>
          <w:szCs w:val="22"/>
        </w:rPr>
        <w:t>El. paštas: lithuania@medochemie.com</w:t>
      </w:r>
    </w:p>
    <w:p w14:paraId="7B0E9F3C" w14:textId="77777777" w:rsidR="00B60FD8" w:rsidRDefault="00B60FD8" w:rsidP="00B60FD8">
      <w:pPr>
        <w:tabs>
          <w:tab w:val="left" w:pos="567"/>
        </w:tabs>
        <w:suppressAutoHyphens/>
        <w:spacing w:line="260" w:lineRule="exact"/>
        <w:rPr>
          <w:rFonts w:eastAsia="Times New Roman" w:cs="Times New Roman"/>
          <w:color w:val="000000"/>
          <w:sz w:val="22"/>
          <w:szCs w:val="22"/>
          <w:u w:val="single"/>
          <w:lang w:val="lt-LT" w:eastAsia="ar-SA"/>
        </w:rPr>
      </w:pPr>
    </w:p>
    <w:p w14:paraId="7AFFA7F8" w14:textId="77777777" w:rsidR="00B60FD8" w:rsidRDefault="00B60FD8" w:rsidP="00B60FD8">
      <w:pPr>
        <w:keepNext/>
        <w:tabs>
          <w:tab w:val="left" w:pos="567"/>
        </w:tabs>
        <w:suppressAutoHyphens/>
        <w:spacing w:after="120"/>
        <w:rPr>
          <w:rFonts w:eastAsia="SimSun" w:cs="Times New Roman"/>
          <w:color w:val="000000"/>
          <w:sz w:val="22"/>
          <w:szCs w:val="22"/>
          <w:lang w:val="lt-LT" w:eastAsia="ar-SA"/>
        </w:rPr>
      </w:pPr>
      <w:r>
        <w:rPr>
          <w:rFonts w:eastAsia="SimSun" w:cs="Times New Roman"/>
          <w:b/>
          <w:color w:val="000000"/>
          <w:sz w:val="22"/>
          <w:szCs w:val="22"/>
          <w:lang w:val="lt-LT" w:eastAsia="ar-SA"/>
        </w:rPr>
        <w:t>Šis vaistas Europos ekonominės erdvės valstybėse narėse registruotas tokiais pavadinimais</w:t>
      </w:r>
      <w:r>
        <w:rPr>
          <w:rFonts w:eastAsia="SimSun" w:cs="Times New Roman"/>
          <w:color w:val="000000"/>
          <w:sz w:val="22"/>
          <w:szCs w:val="22"/>
          <w:lang w:val="lt-LT" w:eastAsia="ar-SA"/>
        </w:rPr>
        <w:t>:</w:t>
      </w:r>
    </w:p>
    <w:p w14:paraId="3CDBD9F1" w14:textId="77777777" w:rsidR="00B60FD8" w:rsidRDefault="00B60FD8" w:rsidP="00B60FD8">
      <w:pPr>
        <w:keepNext/>
        <w:tabs>
          <w:tab w:val="left" w:pos="567"/>
        </w:tabs>
        <w:suppressAutoHyphens/>
        <w:rPr>
          <w:rFonts w:eastAsia="SimSun" w:cs="Times New Roman"/>
          <w:color w:val="000000"/>
          <w:sz w:val="22"/>
          <w:szCs w:val="22"/>
          <w:lang w:val="lt-LT" w:eastAsia="ar-SA"/>
        </w:rPr>
      </w:pPr>
      <w:r>
        <w:rPr>
          <w:rFonts w:eastAsia="SimSun" w:cs="Times New Roman"/>
          <w:color w:val="000000"/>
          <w:sz w:val="22"/>
          <w:szCs w:val="22"/>
          <w:lang w:val="lt-LT" w:eastAsia="ar-SA"/>
        </w:rPr>
        <w:t>Švedija, Bulgarija, Kipras, Čekija, Portugalija, Graikija, Lietuva, Ispanija, Malta, Rumunija, Slovakija: Jidinum.</w:t>
      </w:r>
    </w:p>
    <w:p w14:paraId="5944CE56" w14:textId="77777777" w:rsidR="00B60FD8" w:rsidRDefault="00B60FD8" w:rsidP="00B60FD8">
      <w:pPr>
        <w:rPr>
          <w:rFonts w:cs="Times New Roman"/>
          <w:noProof/>
          <w:sz w:val="22"/>
          <w:szCs w:val="22"/>
          <w:lang w:val="lt-LT" w:eastAsia="lt-LT" w:bidi="lt-LT"/>
        </w:rPr>
      </w:pPr>
    </w:p>
    <w:p w14:paraId="3FACA6A3" w14:textId="5E28A08C" w:rsidR="00B60FD8" w:rsidRDefault="00B60FD8" w:rsidP="00B60FD8">
      <w:pPr>
        <w:rPr>
          <w:rFonts w:cs="Times New Roman"/>
          <w:b/>
          <w:bCs/>
          <w:noProof/>
          <w:sz w:val="22"/>
          <w:szCs w:val="22"/>
          <w:lang w:val="lt-LT" w:eastAsia="lt-LT" w:bidi="lt-LT"/>
        </w:rPr>
      </w:pPr>
      <w:r>
        <w:rPr>
          <w:rFonts w:cs="Times New Roman"/>
          <w:b/>
          <w:bCs/>
          <w:noProof/>
          <w:sz w:val="22"/>
          <w:szCs w:val="22"/>
          <w:lang w:val="lt-LT" w:eastAsia="lt-LT" w:bidi="lt-LT"/>
        </w:rPr>
        <w:t>Šis pakuotės lapelis paskutinį kartą peržiūrėtas 2022-01-24.</w:t>
      </w:r>
    </w:p>
    <w:p w14:paraId="5D819C8C" w14:textId="77777777" w:rsidR="00B60FD8" w:rsidRDefault="00B60FD8" w:rsidP="00B60FD8">
      <w:pPr>
        <w:rPr>
          <w:noProof/>
          <w:sz w:val="22"/>
          <w:szCs w:val="22"/>
          <w:lang w:val="lt-LT" w:eastAsia="lt-LT" w:bidi="lt-LT"/>
        </w:rPr>
      </w:pPr>
    </w:p>
    <w:p w14:paraId="505F7ED3" w14:textId="77777777" w:rsidR="00B60FD8" w:rsidRDefault="00B60FD8" w:rsidP="00B60FD8">
      <w:pPr>
        <w:numPr>
          <w:ilvl w:val="12"/>
          <w:numId w:val="0"/>
        </w:numPr>
        <w:tabs>
          <w:tab w:val="left" w:pos="567"/>
        </w:tabs>
        <w:ind w:right="-2"/>
        <w:rPr>
          <w:noProof/>
          <w:sz w:val="22"/>
          <w:szCs w:val="22"/>
          <w:lang w:val="lt-LT" w:eastAsia="lt-LT" w:bidi="lt-LT"/>
        </w:rPr>
      </w:pPr>
      <w:r>
        <w:rPr>
          <w:rFonts w:eastAsia="Times New Roman" w:cs="Times New Roman"/>
          <w:snapToGrid w:val="0"/>
          <w:sz w:val="22"/>
          <w:szCs w:val="22"/>
          <w:lang w:val="lt-LT" w:eastAsia="en-US"/>
        </w:rPr>
        <w:lastRenderedPageBreak/>
        <w:t>Išsami informacija apie šį vaistą pateikiama Valstybinės vaistų kontrolės tarnybos prie Lietuvos Respublikos sveikatos apsaugos ministerijos tinklalapyje</w:t>
      </w:r>
      <w:r>
        <w:rPr>
          <w:rFonts w:eastAsia="Times New Roman" w:cs="Times New Roman"/>
          <w:i/>
          <w:snapToGrid w:val="0"/>
          <w:sz w:val="22"/>
          <w:szCs w:val="22"/>
          <w:lang w:val="lt-LT" w:eastAsia="en-US"/>
        </w:rPr>
        <w:t xml:space="preserve"> </w:t>
      </w:r>
      <w:hyperlink r:id="rId11" w:history="1">
        <w:r>
          <w:rPr>
            <w:rFonts w:eastAsia="SimSun" w:cs="Times New Roman"/>
            <w:snapToGrid w:val="0"/>
            <w:color w:val="0000FF"/>
            <w:sz w:val="22"/>
            <w:szCs w:val="22"/>
            <w:u w:val="single"/>
            <w:lang w:val="lt-LT" w:eastAsia="en-US"/>
          </w:rPr>
          <w:t>http://www.vvkt.lt/</w:t>
        </w:r>
      </w:hyperlink>
      <w:r>
        <w:rPr>
          <w:rFonts w:eastAsia="Times New Roman" w:cs="Times New Roman"/>
          <w:snapToGrid w:val="0"/>
          <w:sz w:val="22"/>
          <w:szCs w:val="22"/>
          <w:lang w:val="lt-LT" w:eastAsia="en-US"/>
        </w:rPr>
        <w:t>.</w:t>
      </w:r>
    </w:p>
    <w:p w14:paraId="7A9147EE" w14:textId="77777777" w:rsidR="00B60FD8" w:rsidRDefault="00B60FD8" w:rsidP="00B60FD8">
      <w:pPr>
        <w:rPr>
          <w:sz w:val="22"/>
          <w:szCs w:val="22"/>
        </w:rPr>
      </w:pPr>
    </w:p>
    <w:p w14:paraId="513851F4" w14:textId="77777777" w:rsidR="0058435B" w:rsidRDefault="0058435B"/>
    <w:sectPr w:rsidR="0058435B">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11A32" w14:textId="77777777" w:rsidR="000F6304" w:rsidRDefault="00C17BA1">
      <w:r>
        <w:separator/>
      </w:r>
    </w:p>
  </w:endnote>
  <w:endnote w:type="continuationSeparator" w:id="0">
    <w:p w14:paraId="1A03413C" w14:textId="77777777" w:rsidR="000F6304" w:rsidRDefault="00C1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Yu Gothic"/>
    <w:panose1 w:val="00000000000000000000"/>
    <w:charset w:val="EE"/>
    <w:family w:val="auto"/>
    <w:notTrueType/>
    <w:pitch w:val="default"/>
    <w:sig w:usb0="00000201" w:usb1="08070000" w:usb2="00000010" w:usb3="00000000" w:csb0="0002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6927" w14:textId="77777777" w:rsidR="00932516" w:rsidRDefault="00B60FD8">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uslapionumeris"/>
        <w:rFonts w:ascii="Times New Roman" w:hAnsi="Times New Roman"/>
        <w:sz w:val="22"/>
        <w:szCs w:val="22"/>
      </w:rPr>
      <w:fldChar w:fldCharType="begin"/>
    </w:r>
    <w:r>
      <w:rPr>
        <w:rStyle w:val="Puslapionumeris"/>
        <w:rFonts w:ascii="Times New Roman" w:hAnsi="Times New Roman"/>
        <w:sz w:val="22"/>
        <w:szCs w:val="22"/>
      </w:rPr>
      <w:instrText xml:space="preserve">PAGE  </w:instrText>
    </w:r>
    <w:r>
      <w:rPr>
        <w:rStyle w:val="Puslapionumeris"/>
        <w:rFonts w:ascii="Times New Roman" w:hAnsi="Times New Roman"/>
        <w:sz w:val="22"/>
        <w:szCs w:val="22"/>
      </w:rPr>
      <w:fldChar w:fldCharType="separate"/>
    </w:r>
    <w:r w:rsidR="00C34705">
      <w:rPr>
        <w:rStyle w:val="Puslapionumeris"/>
        <w:rFonts w:ascii="Times New Roman" w:hAnsi="Times New Roman"/>
        <w:sz w:val="22"/>
        <w:szCs w:val="22"/>
      </w:rPr>
      <w:t>6</w:t>
    </w:r>
    <w:r>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045DE" w14:textId="77777777" w:rsidR="00932516" w:rsidRDefault="00B60FD8">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uslapionumeris"/>
        <w:rFonts w:ascii="Times New Roman" w:hAnsi="Times New Roman"/>
        <w:sz w:val="22"/>
        <w:szCs w:val="22"/>
      </w:rPr>
      <w:fldChar w:fldCharType="begin"/>
    </w:r>
    <w:r>
      <w:rPr>
        <w:rStyle w:val="Puslapionumeris"/>
        <w:rFonts w:ascii="Times New Roman" w:hAnsi="Times New Roman"/>
        <w:sz w:val="22"/>
        <w:szCs w:val="22"/>
      </w:rPr>
      <w:instrText xml:space="preserve">PAGE  </w:instrText>
    </w:r>
    <w:r>
      <w:rPr>
        <w:rStyle w:val="Puslapionumeris"/>
        <w:rFonts w:ascii="Times New Roman" w:hAnsi="Times New Roman"/>
        <w:sz w:val="22"/>
        <w:szCs w:val="22"/>
      </w:rPr>
      <w:fldChar w:fldCharType="separate"/>
    </w:r>
    <w:r w:rsidR="00C34705">
      <w:rPr>
        <w:rStyle w:val="Puslapionumeris"/>
        <w:rFonts w:ascii="Times New Roman" w:hAnsi="Times New Roman"/>
        <w:sz w:val="22"/>
        <w:szCs w:val="22"/>
      </w:rPr>
      <w:t>1</w:t>
    </w:r>
    <w:r>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8E7A2" w14:textId="77777777" w:rsidR="000F6304" w:rsidRDefault="00C17BA1">
      <w:r>
        <w:separator/>
      </w:r>
    </w:p>
  </w:footnote>
  <w:footnote w:type="continuationSeparator" w:id="0">
    <w:p w14:paraId="2018116F" w14:textId="77777777" w:rsidR="000F6304" w:rsidRDefault="00C17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5D9C" w14:textId="77777777" w:rsidR="00932516" w:rsidRDefault="00C34705">
    <w:pPr>
      <w:pStyle w:val="Antrat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5D6158"/>
    <w:multiLevelType w:val="hybridMultilevel"/>
    <w:tmpl w:val="F83E12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02E2A"/>
    <w:multiLevelType w:val="hybridMultilevel"/>
    <w:tmpl w:val="6CFA2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3041758"/>
    <w:multiLevelType w:val="hybridMultilevel"/>
    <w:tmpl w:val="E34A3D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11107"/>
    <w:multiLevelType w:val="hybridMultilevel"/>
    <w:tmpl w:val="C7E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nsid w:val="38455B8F"/>
    <w:multiLevelType w:val="hybridMultilevel"/>
    <w:tmpl w:val="E110D90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nsid w:val="6ECF58CF"/>
    <w:multiLevelType w:val="hybridMultilevel"/>
    <w:tmpl w:val="9756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7521C"/>
    <w:multiLevelType w:val="hybridMultilevel"/>
    <w:tmpl w:val="902A2D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nsid w:val="7E850A02"/>
    <w:multiLevelType w:val="hybridMultilevel"/>
    <w:tmpl w:val="385CA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0"/>
  </w:num>
  <w:num w:numId="3">
    <w:abstractNumId w:val="9"/>
  </w:num>
  <w:num w:numId="4">
    <w:abstractNumId w:val="13"/>
  </w:num>
  <w:num w:numId="5">
    <w:abstractNumId w:val="6"/>
  </w:num>
  <w:num w:numId="6">
    <w:abstractNumId w:val="5"/>
  </w:num>
  <w:num w:numId="7">
    <w:abstractNumId w:val="8"/>
  </w:num>
  <w:num w:numId="8">
    <w:abstractNumId w:val="12"/>
  </w:num>
  <w:num w:numId="9">
    <w:abstractNumId w:val="2"/>
  </w:num>
  <w:num w:numId="10">
    <w:abstractNumId w:val="14"/>
  </w:num>
  <w:num w:numId="11">
    <w:abstractNumId w:val="7"/>
  </w:num>
  <w:num w:numId="12">
    <w:abstractNumId w:val="1"/>
  </w:num>
  <w:num w:numId="13">
    <w:abstractNumId w:val="11"/>
  </w:num>
  <w:num w:numId="14">
    <w:abstractNumId w:val="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das Skyrius">
    <w15:presenceInfo w15:providerId="Windows Live" w15:userId="8f028f8dab22d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D8"/>
    <w:rsid w:val="000F6304"/>
    <w:rsid w:val="0058435B"/>
    <w:rsid w:val="00605DA1"/>
    <w:rsid w:val="00AF3AEF"/>
    <w:rsid w:val="00B60FD8"/>
    <w:rsid w:val="00C17BA1"/>
    <w:rsid w:val="00C3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0FD8"/>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B60FD8"/>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B60FD8"/>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B60FD8"/>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B60FD8"/>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B60FD8"/>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B60FD8"/>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B60FD8"/>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B60FD8"/>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B60FD8"/>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0FD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B60FD8"/>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B60FD8"/>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B60FD8"/>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B60FD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60FD8"/>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B60FD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60FD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60FD8"/>
    <w:rPr>
      <w:rFonts w:ascii="Times New Roman" w:eastAsia="SimSun" w:hAnsi="Times New Roman" w:cs="Times New Roman"/>
      <w:b/>
      <w:i/>
      <w:szCs w:val="20"/>
      <w:lang w:val="en-GB"/>
    </w:rPr>
  </w:style>
  <w:style w:type="paragraph" w:styleId="Antrat">
    <w:name w:val="caption"/>
    <w:basedOn w:val="prastasis"/>
    <w:next w:val="prastasis"/>
    <w:qFormat/>
    <w:rsid w:val="00B60FD8"/>
    <w:pPr>
      <w:jc w:val="both"/>
    </w:pPr>
    <w:rPr>
      <w:rFonts w:eastAsia="Times New Roman" w:cs="Times New Roman"/>
      <w:lang w:val="en-GB"/>
    </w:rPr>
  </w:style>
  <w:style w:type="paragraph" w:styleId="Pavadinimas">
    <w:name w:val="Title"/>
    <w:basedOn w:val="prastasis"/>
    <w:link w:val="PavadinimasDiagrama"/>
    <w:uiPriority w:val="99"/>
    <w:qFormat/>
    <w:rsid w:val="00B60FD8"/>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B60FD8"/>
    <w:rPr>
      <w:rFonts w:ascii="Times New Roman" w:eastAsia="SimSun" w:hAnsi="Times New Roman" w:cs="Times New Roman"/>
      <w:b/>
      <w:szCs w:val="20"/>
      <w:lang w:val="en-GB"/>
    </w:rPr>
  </w:style>
  <w:style w:type="character" w:styleId="Grietas">
    <w:name w:val="Strong"/>
    <w:uiPriority w:val="99"/>
    <w:qFormat/>
    <w:rsid w:val="00B60FD8"/>
    <w:rPr>
      <w:rFonts w:cs="Times New Roman"/>
      <w:b/>
      <w:bCs/>
    </w:rPr>
  </w:style>
  <w:style w:type="paragraph" w:styleId="Betarp">
    <w:name w:val="No Spacing"/>
    <w:uiPriority w:val="1"/>
    <w:qFormat/>
    <w:rsid w:val="00B60FD8"/>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B60FD8"/>
    <w:pPr>
      <w:ind w:left="720"/>
      <w:contextualSpacing/>
    </w:pPr>
    <w:rPr>
      <w:rFonts w:eastAsia="Times New Roman" w:cs="Times New Roman"/>
    </w:rPr>
  </w:style>
  <w:style w:type="numbering" w:customStyle="1" w:styleId="NoList1">
    <w:name w:val="No List1"/>
    <w:next w:val="Sraonra"/>
    <w:uiPriority w:val="99"/>
    <w:semiHidden/>
    <w:unhideWhenUsed/>
    <w:rsid w:val="00B60FD8"/>
  </w:style>
  <w:style w:type="paragraph" w:styleId="Porat">
    <w:name w:val="footer"/>
    <w:basedOn w:val="prastasis"/>
    <w:link w:val="PoratDiagrama"/>
    <w:rsid w:val="00B60FD8"/>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B60FD8"/>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B60FD8"/>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B60FD8"/>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B60FD8"/>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B60FD8"/>
  </w:style>
  <w:style w:type="paragraph" w:styleId="Pagrindinistekstas">
    <w:name w:val="Body Text"/>
    <w:basedOn w:val="prastasis"/>
    <w:link w:val="PagrindinistekstasDiagrama"/>
    <w:rsid w:val="00B60FD8"/>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B60FD8"/>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iPriority w:val="99"/>
    <w:semiHidden/>
    <w:unhideWhenUsed/>
    <w:rsid w:val="00B60FD8"/>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semiHidden/>
    <w:rsid w:val="00B60FD8"/>
    <w:rPr>
      <w:rFonts w:ascii="Times New Roman" w:eastAsia="Times New Roman" w:hAnsi="Times New Roman" w:cs="Times New Roman"/>
      <w:sz w:val="20"/>
      <w:szCs w:val="20"/>
      <w:lang w:val="lt-LT" w:eastAsia="lt-LT" w:bidi="lt-LT"/>
    </w:rPr>
  </w:style>
  <w:style w:type="character" w:styleId="Hipersaitas">
    <w:name w:val="Hyperlink"/>
    <w:uiPriority w:val="99"/>
    <w:rsid w:val="00B60FD8"/>
    <w:rPr>
      <w:color w:val="0000FF"/>
      <w:u w:val="single"/>
    </w:rPr>
  </w:style>
  <w:style w:type="paragraph" w:customStyle="1" w:styleId="EMEAEnBodyText">
    <w:name w:val="EMEA En Body Text"/>
    <w:basedOn w:val="prastasis"/>
    <w:rsid w:val="00B60FD8"/>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B60FD8"/>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B60FD8"/>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B60FD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B60FD8"/>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B60FD8"/>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B60FD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B60FD8"/>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B60FD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60FD8"/>
    <w:pPr>
      <w:keepNext/>
    </w:pPr>
    <w:rPr>
      <w:rFonts w:eastAsia="Times New Roman"/>
      <w:b/>
    </w:rPr>
  </w:style>
  <w:style w:type="paragraph" w:customStyle="1" w:styleId="TabletextrowsAgency">
    <w:name w:val="Table text rows (Agency)"/>
    <w:basedOn w:val="prastasis"/>
    <w:rsid w:val="00B60FD8"/>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B60FD8"/>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rsid w:val="00B60FD8"/>
    <w:rPr>
      <w:sz w:val="16"/>
      <w:szCs w:val="16"/>
    </w:rPr>
  </w:style>
  <w:style w:type="paragraph" w:styleId="Komentarotema">
    <w:name w:val="annotation subject"/>
    <w:basedOn w:val="Komentarotekstas"/>
    <w:next w:val="Komentarotekstas"/>
    <w:link w:val="KomentarotemaDiagrama"/>
    <w:rsid w:val="00B60FD8"/>
    <w:rPr>
      <w:b/>
      <w:bCs/>
    </w:rPr>
  </w:style>
  <w:style w:type="character" w:customStyle="1" w:styleId="KomentarotemaDiagrama">
    <w:name w:val="Komentaro tema Diagrama"/>
    <w:basedOn w:val="KomentarotekstasDiagrama"/>
    <w:link w:val="Komentarotema"/>
    <w:rsid w:val="00B60FD8"/>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B60FD8"/>
    <w:rPr>
      <w:b/>
      <w:noProof/>
      <w:szCs w:val="22"/>
    </w:rPr>
  </w:style>
  <w:style w:type="paragraph" w:customStyle="1" w:styleId="BT-EMEASMCA">
    <w:name w:val="BT- EMEA_SMCA"/>
    <w:basedOn w:val="prastasis"/>
    <w:rsid w:val="00B60FD8"/>
    <w:pPr>
      <w:numPr>
        <w:numId w:val="7"/>
      </w:numPr>
    </w:pPr>
  </w:style>
  <w:style w:type="table" w:styleId="Lentelstinklelis">
    <w:name w:val="Table Grid"/>
    <w:basedOn w:val="prastojilentel"/>
    <w:uiPriority w:val="59"/>
    <w:rsid w:val="00B60F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60FD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60FD8"/>
    <w:rPr>
      <w:color w:val="605E5C"/>
      <w:shd w:val="clear" w:color="auto" w:fill="E1DFDD"/>
    </w:rPr>
  </w:style>
  <w:style w:type="character" w:customStyle="1" w:styleId="acopre">
    <w:name w:val="acopre"/>
    <w:basedOn w:val="Numatytasispastraiposriftas"/>
    <w:rsid w:val="00B60FD8"/>
  </w:style>
  <w:style w:type="character" w:styleId="Emfaz">
    <w:name w:val="Emphasis"/>
    <w:basedOn w:val="Numatytasispastraiposriftas"/>
    <w:uiPriority w:val="20"/>
    <w:qFormat/>
    <w:rsid w:val="00B60FD8"/>
    <w:rPr>
      <w:i/>
      <w:iCs/>
    </w:rPr>
  </w:style>
  <w:style w:type="paragraph" w:customStyle="1" w:styleId="Default">
    <w:name w:val="Default"/>
    <w:rsid w:val="00B60FD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B60FD8"/>
    <w:pPr>
      <w:spacing w:after="0" w:line="240" w:lineRule="auto"/>
    </w:pPr>
    <w:rPr>
      <w:rFonts w:ascii="Times New Roman" w:hAnsi="Times New Roman"/>
      <w:sz w:val="24"/>
      <w:szCs w:val="20"/>
      <w:lang w:val="sl-SI" w:eastAsia="sl-SI"/>
    </w:rPr>
  </w:style>
  <w:style w:type="character" w:customStyle="1" w:styleId="UnresolvedMention2">
    <w:name w:val="Unresolved Mention2"/>
    <w:basedOn w:val="Numatytasispastraiposriftas"/>
    <w:uiPriority w:val="99"/>
    <w:semiHidden/>
    <w:unhideWhenUsed/>
    <w:rsid w:val="00B60F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0FD8"/>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B60FD8"/>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B60FD8"/>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B60FD8"/>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B60FD8"/>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B60FD8"/>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B60FD8"/>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B60FD8"/>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B60FD8"/>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B60FD8"/>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0FD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B60FD8"/>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B60FD8"/>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B60FD8"/>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B60FD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60FD8"/>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B60FD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60FD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60FD8"/>
    <w:rPr>
      <w:rFonts w:ascii="Times New Roman" w:eastAsia="SimSun" w:hAnsi="Times New Roman" w:cs="Times New Roman"/>
      <w:b/>
      <w:i/>
      <w:szCs w:val="20"/>
      <w:lang w:val="en-GB"/>
    </w:rPr>
  </w:style>
  <w:style w:type="paragraph" w:styleId="Antrat">
    <w:name w:val="caption"/>
    <w:basedOn w:val="prastasis"/>
    <w:next w:val="prastasis"/>
    <w:qFormat/>
    <w:rsid w:val="00B60FD8"/>
    <w:pPr>
      <w:jc w:val="both"/>
    </w:pPr>
    <w:rPr>
      <w:rFonts w:eastAsia="Times New Roman" w:cs="Times New Roman"/>
      <w:lang w:val="en-GB"/>
    </w:rPr>
  </w:style>
  <w:style w:type="paragraph" w:styleId="Pavadinimas">
    <w:name w:val="Title"/>
    <w:basedOn w:val="prastasis"/>
    <w:link w:val="PavadinimasDiagrama"/>
    <w:uiPriority w:val="99"/>
    <w:qFormat/>
    <w:rsid w:val="00B60FD8"/>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B60FD8"/>
    <w:rPr>
      <w:rFonts w:ascii="Times New Roman" w:eastAsia="SimSun" w:hAnsi="Times New Roman" w:cs="Times New Roman"/>
      <w:b/>
      <w:szCs w:val="20"/>
      <w:lang w:val="en-GB"/>
    </w:rPr>
  </w:style>
  <w:style w:type="character" w:styleId="Grietas">
    <w:name w:val="Strong"/>
    <w:uiPriority w:val="99"/>
    <w:qFormat/>
    <w:rsid w:val="00B60FD8"/>
    <w:rPr>
      <w:rFonts w:cs="Times New Roman"/>
      <w:b/>
      <w:bCs/>
    </w:rPr>
  </w:style>
  <w:style w:type="paragraph" w:styleId="Betarp">
    <w:name w:val="No Spacing"/>
    <w:uiPriority w:val="1"/>
    <w:qFormat/>
    <w:rsid w:val="00B60FD8"/>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B60FD8"/>
    <w:pPr>
      <w:ind w:left="720"/>
      <w:contextualSpacing/>
    </w:pPr>
    <w:rPr>
      <w:rFonts w:eastAsia="Times New Roman" w:cs="Times New Roman"/>
    </w:rPr>
  </w:style>
  <w:style w:type="numbering" w:customStyle="1" w:styleId="NoList1">
    <w:name w:val="No List1"/>
    <w:next w:val="Sraonra"/>
    <w:uiPriority w:val="99"/>
    <w:semiHidden/>
    <w:unhideWhenUsed/>
    <w:rsid w:val="00B60FD8"/>
  </w:style>
  <w:style w:type="paragraph" w:styleId="Porat">
    <w:name w:val="footer"/>
    <w:basedOn w:val="prastasis"/>
    <w:link w:val="PoratDiagrama"/>
    <w:rsid w:val="00B60FD8"/>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B60FD8"/>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B60FD8"/>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B60FD8"/>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B60FD8"/>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B60FD8"/>
  </w:style>
  <w:style w:type="paragraph" w:styleId="Pagrindinistekstas">
    <w:name w:val="Body Text"/>
    <w:basedOn w:val="prastasis"/>
    <w:link w:val="PagrindinistekstasDiagrama"/>
    <w:rsid w:val="00B60FD8"/>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B60FD8"/>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iPriority w:val="99"/>
    <w:semiHidden/>
    <w:unhideWhenUsed/>
    <w:rsid w:val="00B60FD8"/>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semiHidden/>
    <w:rsid w:val="00B60FD8"/>
    <w:rPr>
      <w:rFonts w:ascii="Times New Roman" w:eastAsia="Times New Roman" w:hAnsi="Times New Roman" w:cs="Times New Roman"/>
      <w:sz w:val="20"/>
      <w:szCs w:val="20"/>
      <w:lang w:val="lt-LT" w:eastAsia="lt-LT" w:bidi="lt-LT"/>
    </w:rPr>
  </w:style>
  <w:style w:type="character" w:styleId="Hipersaitas">
    <w:name w:val="Hyperlink"/>
    <w:uiPriority w:val="99"/>
    <w:rsid w:val="00B60FD8"/>
    <w:rPr>
      <w:color w:val="0000FF"/>
      <w:u w:val="single"/>
    </w:rPr>
  </w:style>
  <w:style w:type="paragraph" w:customStyle="1" w:styleId="EMEAEnBodyText">
    <w:name w:val="EMEA En Body Text"/>
    <w:basedOn w:val="prastasis"/>
    <w:rsid w:val="00B60FD8"/>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B60FD8"/>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B60FD8"/>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B60FD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B60FD8"/>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B60FD8"/>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B60FD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B60FD8"/>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B60FD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60FD8"/>
    <w:pPr>
      <w:keepNext/>
    </w:pPr>
    <w:rPr>
      <w:rFonts w:eastAsia="Times New Roman"/>
      <w:b/>
    </w:rPr>
  </w:style>
  <w:style w:type="paragraph" w:customStyle="1" w:styleId="TabletextrowsAgency">
    <w:name w:val="Table text rows (Agency)"/>
    <w:basedOn w:val="prastasis"/>
    <w:rsid w:val="00B60FD8"/>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B60FD8"/>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rsid w:val="00B60FD8"/>
    <w:rPr>
      <w:sz w:val="16"/>
      <w:szCs w:val="16"/>
    </w:rPr>
  </w:style>
  <w:style w:type="paragraph" w:styleId="Komentarotema">
    <w:name w:val="annotation subject"/>
    <w:basedOn w:val="Komentarotekstas"/>
    <w:next w:val="Komentarotekstas"/>
    <w:link w:val="KomentarotemaDiagrama"/>
    <w:rsid w:val="00B60FD8"/>
    <w:rPr>
      <w:b/>
      <w:bCs/>
    </w:rPr>
  </w:style>
  <w:style w:type="character" w:customStyle="1" w:styleId="KomentarotemaDiagrama">
    <w:name w:val="Komentaro tema Diagrama"/>
    <w:basedOn w:val="KomentarotekstasDiagrama"/>
    <w:link w:val="Komentarotema"/>
    <w:rsid w:val="00B60FD8"/>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B60FD8"/>
    <w:rPr>
      <w:b/>
      <w:noProof/>
      <w:szCs w:val="22"/>
    </w:rPr>
  </w:style>
  <w:style w:type="paragraph" w:customStyle="1" w:styleId="BT-EMEASMCA">
    <w:name w:val="BT- EMEA_SMCA"/>
    <w:basedOn w:val="prastasis"/>
    <w:rsid w:val="00B60FD8"/>
    <w:pPr>
      <w:numPr>
        <w:numId w:val="7"/>
      </w:numPr>
    </w:pPr>
  </w:style>
  <w:style w:type="table" w:styleId="Lentelstinklelis">
    <w:name w:val="Table Grid"/>
    <w:basedOn w:val="prastojilentel"/>
    <w:uiPriority w:val="59"/>
    <w:rsid w:val="00B60F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60FD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60FD8"/>
    <w:rPr>
      <w:color w:val="605E5C"/>
      <w:shd w:val="clear" w:color="auto" w:fill="E1DFDD"/>
    </w:rPr>
  </w:style>
  <w:style w:type="character" w:customStyle="1" w:styleId="acopre">
    <w:name w:val="acopre"/>
    <w:basedOn w:val="Numatytasispastraiposriftas"/>
    <w:rsid w:val="00B60FD8"/>
  </w:style>
  <w:style w:type="character" w:styleId="Emfaz">
    <w:name w:val="Emphasis"/>
    <w:basedOn w:val="Numatytasispastraiposriftas"/>
    <w:uiPriority w:val="20"/>
    <w:qFormat/>
    <w:rsid w:val="00B60FD8"/>
    <w:rPr>
      <w:i/>
      <w:iCs/>
    </w:rPr>
  </w:style>
  <w:style w:type="paragraph" w:customStyle="1" w:styleId="Default">
    <w:name w:val="Default"/>
    <w:rsid w:val="00B60FD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B60FD8"/>
    <w:pPr>
      <w:spacing w:after="0" w:line="240" w:lineRule="auto"/>
    </w:pPr>
    <w:rPr>
      <w:rFonts w:ascii="Times New Roman" w:hAnsi="Times New Roman"/>
      <w:sz w:val="24"/>
      <w:szCs w:val="20"/>
      <w:lang w:val="sl-SI" w:eastAsia="sl-SI"/>
    </w:rPr>
  </w:style>
  <w:style w:type="character" w:customStyle="1" w:styleId="UnresolvedMention2">
    <w:name w:val="Unresolved Mention2"/>
    <w:basedOn w:val="Numatytasispastraiposriftas"/>
    <w:uiPriority w:val="99"/>
    <w:semiHidden/>
    <w:unhideWhenUsed/>
    <w:rsid w:val="00B60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8576</Words>
  <Characters>4889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Birute</cp:lastModifiedBy>
  <cp:revision>2</cp:revision>
  <dcterms:created xsi:type="dcterms:W3CDTF">2022-01-26T08:43:00Z</dcterms:created>
  <dcterms:modified xsi:type="dcterms:W3CDTF">2022-01-26T08:43:00Z</dcterms:modified>
</cp:coreProperties>
</file>