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1AC4" w:rsidRPr="00846A3E" w:rsidRDefault="00A81AC4" w:rsidP="00A81AC4">
      <w:pPr>
        <w:widowControl w:val="0"/>
        <w:tabs>
          <w:tab w:val="left" w:pos="567"/>
        </w:tabs>
        <w:adjustRightInd w:val="0"/>
        <w:snapToGrid w:val="0"/>
        <w:spacing w:after="0" w:line="240" w:lineRule="auto"/>
        <w:jc w:val="center"/>
        <w:outlineLvl w:val="0"/>
        <w:rPr>
          <w:rFonts w:ascii="Times New Roman" w:hAnsi="Times New Roman" w:cs="Times New Roman"/>
          <w:b/>
          <w:lang w:val="lt-LT"/>
        </w:rPr>
      </w:pPr>
      <w:r w:rsidRPr="00846A3E">
        <w:rPr>
          <w:rFonts w:ascii="Times New Roman" w:hAnsi="Times New Roman" w:cs="Times New Roman"/>
          <w:b/>
          <w:lang w:val="lt-LT"/>
        </w:rPr>
        <w:t>Pakuotės lapelis: informacija pacientui</w:t>
      </w:r>
    </w:p>
    <w:p w:rsidR="00A81AC4" w:rsidRPr="00846A3E" w:rsidRDefault="00A81AC4" w:rsidP="00A81AC4">
      <w:pPr>
        <w:widowControl w:val="0"/>
        <w:adjustRightInd w:val="0"/>
        <w:snapToGrid w:val="0"/>
        <w:spacing w:after="0" w:line="240" w:lineRule="auto"/>
        <w:jc w:val="center"/>
        <w:rPr>
          <w:rFonts w:ascii="Times New Roman" w:eastAsia="Calibri" w:hAnsi="Times New Roman" w:cs="Times New Roman"/>
          <w:lang w:val="lt-LT"/>
        </w:rPr>
      </w:pPr>
    </w:p>
    <w:p w:rsidR="00A81AC4" w:rsidRPr="00846A3E" w:rsidRDefault="00A81AC4" w:rsidP="00A81AC4">
      <w:pPr>
        <w:widowControl w:val="0"/>
        <w:autoSpaceDE w:val="0"/>
        <w:autoSpaceDN w:val="0"/>
        <w:adjustRightInd w:val="0"/>
        <w:snapToGrid w:val="0"/>
        <w:spacing w:after="0" w:line="240" w:lineRule="auto"/>
        <w:jc w:val="center"/>
        <w:textAlignment w:val="center"/>
        <w:rPr>
          <w:rFonts w:ascii="Times New Roman" w:eastAsia="Times New Roman" w:hAnsi="Times New Roman" w:cs="Times New Roman"/>
          <w:b/>
          <w:color w:val="000000"/>
          <w:spacing w:val="-1"/>
          <w:lang w:val="lt-LT" w:eastAsia="lt-LT"/>
        </w:rPr>
      </w:pPr>
      <w:r w:rsidRPr="00846A3E">
        <w:rPr>
          <w:rFonts w:ascii="Times New Roman" w:eastAsia="Times New Roman" w:hAnsi="Times New Roman" w:cs="Times New Roman"/>
          <w:b/>
          <w:color w:val="000000"/>
          <w:lang w:val="lt-LT" w:eastAsia="lt-LT"/>
        </w:rPr>
        <w:t xml:space="preserve">Opexa 20 mg </w:t>
      </w:r>
      <w:r w:rsidRPr="00846A3E">
        <w:rPr>
          <w:rFonts w:ascii="Times New Roman" w:eastAsia="Times New Roman" w:hAnsi="Times New Roman" w:cs="Times New Roman"/>
          <w:b/>
          <w:color w:val="000000"/>
          <w:spacing w:val="-1"/>
          <w:lang w:val="lt-LT" w:eastAsia="lt-LT"/>
        </w:rPr>
        <w:t>burnoje disperguojamos tabletės</w:t>
      </w:r>
    </w:p>
    <w:p w:rsidR="00A81AC4" w:rsidRPr="00846A3E" w:rsidRDefault="00A81AC4" w:rsidP="00A81AC4">
      <w:pPr>
        <w:widowControl w:val="0"/>
        <w:autoSpaceDE w:val="0"/>
        <w:autoSpaceDN w:val="0"/>
        <w:adjustRightInd w:val="0"/>
        <w:snapToGrid w:val="0"/>
        <w:spacing w:after="0" w:line="240" w:lineRule="auto"/>
        <w:jc w:val="center"/>
        <w:textAlignment w:val="center"/>
        <w:rPr>
          <w:rFonts w:ascii="Times New Roman" w:eastAsia="Times New Roman" w:hAnsi="Times New Roman" w:cs="Times New Roman"/>
          <w:b/>
          <w:color w:val="000000"/>
          <w:spacing w:val="-1"/>
          <w:lang w:val="lt-LT" w:eastAsia="lt-LT"/>
        </w:rPr>
      </w:pPr>
    </w:p>
    <w:p w:rsidR="00A81AC4" w:rsidRPr="00846A3E" w:rsidRDefault="00A81AC4" w:rsidP="00A81AC4">
      <w:pPr>
        <w:widowControl w:val="0"/>
        <w:adjustRightInd w:val="0"/>
        <w:snapToGrid w:val="0"/>
        <w:spacing w:after="0" w:line="240" w:lineRule="auto"/>
        <w:jc w:val="center"/>
        <w:rPr>
          <w:rFonts w:ascii="Times New Roman" w:eastAsia="Calibri" w:hAnsi="Times New Roman" w:cs="Times New Roman"/>
          <w:lang w:val="lt-LT"/>
        </w:rPr>
      </w:pPr>
      <w:r w:rsidRPr="00846A3E">
        <w:rPr>
          <w:rFonts w:ascii="Times New Roman" w:eastAsia="Calibri" w:hAnsi="Times New Roman" w:cs="Times New Roman"/>
          <w:lang w:val="lt-LT"/>
        </w:rPr>
        <w:t>bilastinas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Atidžiai perskaitykite visą šį lapelį, prieš pradėdami vartoti šį vaistą, nes jame pateikiama Jums svarbi informacija.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b/>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hAnsi="Times New Roman" w:cs="Times New Roman"/>
          <w:lang w:val="lt-LT"/>
        </w:rPr>
        <w:t>Visada vartokite šį vaistą tiksliai kaip aprašyta šiame lapelyje arba kaip nurodė gydytojas arba vaistininkas.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Neišmeskite šio lapelio, nes vėl gali prireikti jį perskaityti.</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Jeigu norite sužinoti daugiau arba pasitarti, kreipkitės į vaistininką.</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Jeigu pasireiškė šalutinis poveikis (net jeigu jis šiame lapelyje nenurodytas), kreipkitės į gydytoją arba vaistininką. Žr. 4</w:t>
      </w:r>
      <w:r w:rsidRPr="00D65358">
        <w:rPr>
          <w:rFonts w:ascii="Times New Roman" w:hAnsi="Times New Roman" w:cs="Times New Roman"/>
          <w:lang w:val="lt-LT"/>
        </w:rPr>
        <w:t> </w:t>
      </w:r>
      <w:r w:rsidRPr="00846A3E">
        <w:rPr>
          <w:rFonts w:ascii="Times New Roman" w:eastAsia="Calibri" w:hAnsi="Times New Roman" w:cs="Times New Roman"/>
          <w:lang w:val="lt-LT"/>
        </w:rPr>
        <w:t>skyrių.</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r>
      <w:r w:rsidRPr="00846A3E">
        <w:rPr>
          <w:rFonts w:ascii="Times New Roman" w:hAnsi="Times New Roman" w:cs="Times New Roman"/>
          <w:lang w:val="lt-LT"/>
        </w:rPr>
        <w:t>Jeigu per 3 dienas Jūsų savijauta nepagerėjo arba net pablogėjo, kreipkitės į gydytoją.</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Apie ką rašoma šiame lapelyje?</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1.</w:t>
      </w:r>
      <w:r w:rsidRPr="00846A3E">
        <w:rPr>
          <w:rFonts w:ascii="Times New Roman" w:eastAsia="Calibri" w:hAnsi="Times New Roman" w:cs="Times New Roman"/>
          <w:lang w:val="lt-LT"/>
        </w:rPr>
        <w:tab/>
        <w:t>Kas yra Opexa ir kam jis vartojamas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2.</w:t>
      </w:r>
      <w:r w:rsidRPr="00846A3E">
        <w:rPr>
          <w:rFonts w:ascii="Times New Roman" w:eastAsia="Calibri" w:hAnsi="Times New Roman" w:cs="Times New Roman"/>
          <w:lang w:val="lt-LT"/>
        </w:rPr>
        <w:tab/>
        <w:t>Kas žinotina prieš vartojant Opexa</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3.</w:t>
      </w:r>
      <w:r w:rsidRPr="00846A3E">
        <w:rPr>
          <w:rFonts w:ascii="Times New Roman" w:eastAsia="Calibri" w:hAnsi="Times New Roman" w:cs="Times New Roman"/>
          <w:lang w:val="lt-LT"/>
        </w:rPr>
        <w:tab/>
        <w:t xml:space="preserve">Kaip vartoti Opexa </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4.</w:t>
      </w:r>
      <w:r w:rsidRPr="00846A3E">
        <w:rPr>
          <w:rFonts w:ascii="Times New Roman" w:eastAsia="Calibri" w:hAnsi="Times New Roman" w:cs="Times New Roman"/>
          <w:lang w:val="lt-LT"/>
        </w:rPr>
        <w:tab/>
        <w:t>Galimas šalutinis poveikis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5.</w:t>
      </w:r>
      <w:r w:rsidRPr="00846A3E">
        <w:rPr>
          <w:rFonts w:ascii="Times New Roman" w:eastAsia="Calibri" w:hAnsi="Times New Roman" w:cs="Times New Roman"/>
          <w:lang w:val="lt-LT"/>
        </w:rPr>
        <w:tab/>
        <w:t>Kaip laikyti Opexa</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6.</w:t>
      </w:r>
      <w:r w:rsidRPr="00846A3E">
        <w:rPr>
          <w:rFonts w:ascii="Times New Roman" w:eastAsia="Calibri" w:hAnsi="Times New Roman" w:cs="Times New Roman"/>
          <w:lang w:val="lt-LT"/>
        </w:rPr>
        <w:tab/>
        <w:t>Pakuotės turinys ir kita informacija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0" w:name="_Toc129243264"/>
      <w:bookmarkStart w:id="1" w:name="_Toc129243139"/>
      <w:r w:rsidRPr="00846A3E">
        <w:rPr>
          <w:rFonts w:ascii="Times New Roman" w:eastAsia="Times New Roman" w:hAnsi="Times New Roman" w:cs="Times New Roman"/>
          <w:b/>
          <w:lang w:val="lt-LT"/>
        </w:rPr>
        <w:t>1.</w:t>
      </w:r>
      <w:r w:rsidRPr="00846A3E">
        <w:rPr>
          <w:rFonts w:ascii="Times New Roman" w:eastAsia="Times New Roman" w:hAnsi="Times New Roman" w:cs="Times New Roman"/>
          <w:b/>
          <w:lang w:val="lt-LT"/>
        </w:rPr>
        <w:tab/>
      </w:r>
      <w:bookmarkEnd w:id="0"/>
      <w:bookmarkEnd w:id="1"/>
      <w:r w:rsidRPr="00846A3E">
        <w:rPr>
          <w:rFonts w:ascii="Times New Roman" w:eastAsia="Times New Roman" w:hAnsi="Times New Roman" w:cs="Times New Roman"/>
          <w:b/>
          <w:lang w:val="lt-LT"/>
        </w:rPr>
        <w:t>Kas yra Opexa ir kam jis vartojamas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Opexa tablečių sudėties veiklioji medžiaga bilastinas yra antihistamininis vaistas. </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846A3E">
        <w:rPr>
          <w:rFonts w:ascii="Times New Roman" w:eastAsia="Times New Roman" w:hAnsi="Times New Roman" w:cs="Times New Roman"/>
          <w:color w:val="000000"/>
          <w:lang w:val="lt-LT" w:eastAsia="lt-LT"/>
        </w:rPr>
        <w:t>Opexa vartojamas šienligės (kuriai būdingi simptomai yra čiaudulys, niežulys, sloga, užgulta nosis, paraudusios ir ašarojančios akys) ir kitų alerginio rinito formų simptomų slopinimui. Jis taip pat gali būti vartojamas niežtinčių odos išbėrimų (</w:t>
      </w:r>
      <w:r w:rsidRPr="00846A3E">
        <w:rPr>
          <w:rFonts w:ascii="Times New Roman" w:hAnsi="Times New Roman" w:cs="Times New Roman"/>
          <w:lang w:val="lt-LT"/>
        </w:rPr>
        <w:t>pūkšlių arba dilgėlinės)</w:t>
      </w:r>
      <w:r w:rsidRPr="00846A3E">
        <w:rPr>
          <w:rFonts w:ascii="Times New Roman" w:eastAsia="Times New Roman" w:hAnsi="Times New Roman" w:cs="Times New Roman"/>
          <w:color w:val="000000"/>
          <w:lang w:val="lt-LT" w:eastAsia="lt-LT"/>
        </w:rPr>
        <w:t xml:space="preserve"> gydymui.</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2" w:name="_Toc129243265"/>
      <w:bookmarkStart w:id="3" w:name="_Toc129243140"/>
      <w:r w:rsidRPr="00846A3E">
        <w:rPr>
          <w:rFonts w:ascii="Times New Roman" w:eastAsia="Times New Roman" w:hAnsi="Times New Roman" w:cs="Times New Roman"/>
          <w:b/>
          <w:lang w:val="lt-LT"/>
        </w:rPr>
        <w:t>2.</w:t>
      </w:r>
      <w:r w:rsidRPr="00846A3E">
        <w:rPr>
          <w:rFonts w:ascii="Times New Roman" w:eastAsia="Times New Roman" w:hAnsi="Times New Roman" w:cs="Times New Roman"/>
          <w:b/>
          <w:lang w:val="lt-LT"/>
        </w:rPr>
        <w:tab/>
      </w:r>
      <w:bookmarkEnd w:id="2"/>
      <w:bookmarkEnd w:id="3"/>
      <w:r w:rsidRPr="00846A3E">
        <w:rPr>
          <w:rFonts w:ascii="Times New Roman" w:eastAsia="Times New Roman" w:hAnsi="Times New Roman" w:cs="Times New Roman"/>
          <w:b/>
          <w:lang w:val="lt-LT"/>
        </w:rPr>
        <w:t>Kas žinotina prieš vartojant Opexa</w:t>
      </w:r>
    </w:p>
    <w:p w:rsidR="00A81AC4" w:rsidRPr="00846A3E" w:rsidRDefault="00A81AC4" w:rsidP="00A81AC4">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p>
    <w:p w:rsidR="00A81AC4" w:rsidRPr="00846A3E" w:rsidRDefault="00A81AC4" w:rsidP="00A81AC4">
      <w:pPr>
        <w:widowControl w:val="0"/>
        <w:adjustRightInd w:val="0"/>
        <w:snapToGrid w:val="0"/>
        <w:spacing w:after="0" w:line="240" w:lineRule="auto"/>
        <w:rPr>
          <w:rFonts w:ascii="Times New Roman" w:eastAsiaTheme="minorEastAsia" w:hAnsi="Times New Roman" w:cs="Times New Roman"/>
          <w:b/>
          <w:caps/>
          <w:lang w:val="lt-LT"/>
        </w:rPr>
      </w:pPr>
      <w:r w:rsidRPr="00846A3E">
        <w:rPr>
          <w:rFonts w:ascii="Times New Roman" w:eastAsiaTheme="minorEastAsia" w:hAnsi="Times New Roman" w:cs="Times New Roman"/>
          <w:b/>
          <w:lang w:val="lt-LT"/>
        </w:rPr>
        <w:t>Opexa</w:t>
      </w:r>
      <w:r w:rsidRPr="00846A3E">
        <w:rPr>
          <w:rFonts w:ascii="Times New Roman" w:eastAsiaTheme="minorEastAsia" w:hAnsi="Times New Roman" w:cs="Times New Roman"/>
          <w:b/>
          <w:bCs/>
          <w:lang w:val="lt-LT"/>
        </w:rPr>
        <w:t xml:space="preserve"> vartoti draudžiama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jeigu Jums yra alergija bilastinui arba bet kuriai pagalbinei šio vaisto medžiagai (jos išvardytos 6</w:t>
      </w:r>
      <w:r w:rsidRPr="00846A3E">
        <w:rPr>
          <w:rFonts w:ascii="Times New Roman" w:eastAsia="Times New Roman" w:hAnsi="Times New Roman" w:cs="Times New Roman"/>
          <w:color w:val="000000"/>
          <w:lang w:val="lt-LT" w:eastAsia="lt-LT"/>
        </w:rPr>
        <w:t> </w:t>
      </w:r>
      <w:r w:rsidRPr="00846A3E">
        <w:rPr>
          <w:rFonts w:ascii="Times New Roman" w:eastAsia="Calibri" w:hAnsi="Times New Roman" w:cs="Times New Roman"/>
          <w:lang w:val="lt-LT"/>
        </w:rPr>
        <w:t>skyriuje).</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Įspėjimai ir atsargumo priemonės</w:t>
      </w: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Cs/>
          <w:lang w:val="lt-LT"/>
        </w:rPr>
      </w:pPr>
      <w:r w:rsidRPr="00846A3E">
        <w:rPr>
          <w:rFonts w:ascii="Times New Roman" w:eastAsia="Times New Roman" w:hAnsi="Times New Roman" w:cs="Times New Roman"/>
          <w:bCs/>
          <w:lang w:val="lt-LT"/>
        </w:rPr>
        <w:t xml:space="preserve">Pasitarkite su gydytoju arba vaistininku prieš pradedant vartoti Opexa, jei Jums nustatytas vidutinio sunkumo arba sunkus inkstų veiklos sutrikimas, </w:t>
      </w:r>
      <w:r w:rsidRPr="00846A3E">
        <w:rPr>
          <w:rFonts w:ascii="Times New Roman" w:hAnsi="Times New Roman" w:cs="Times New Roman"/>
          <w:lang w:val="lt-LT" w:bidi="lt-LT"/>
        </w:rPr>
        <w:t>mažas kalio, magnio, kalcio kiekis kraujyje, jeigu Jums pasireiškia arba pasireiškė širdies ritmo sutrikimų, arba Jūsų širdies susitraukimų dažnis yra labai mažas, jeigu vartojate vaistų, galinčių paveikti širdies ritmą, jeigu Jums yra arba buvo tam tikrų širdies ritmo sutrikimų (vadinamasis QTc intervalo pailgėjimas elektrokardiogramoje), kurie gali pasireikšti sergant kai kuriomis širdies ligų formomis,</w:t>
      </w:r>
      <w:r w:rsidRPr="00846A3E">
        <w:rPr>
          <w:rFonts w:ascii="Times New Roman" w:eastAsia="Times New Roman" w:hAnsi="Times New Roman" w:cs="Times New Roman"/>
          <w:bCs/>
          <w:lang w:val="lt-LT"/>
        </w:rPr>
        <w:t xml:space="preserve"> ir Jūs vartojate kitus vaistus (žr. skyrių žemiau „Kiti vaistai ir Opexa“).</w:t>
      </w: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Vaikams</w:t>
      </w: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Cs/>
          <w:lang w:val="lt-LT"/>
        </w:rPr>
      </w:pPr>
      <w:r w:rsidRPr="00846A3E">
        <w:rPr>
          <w:rFonts w:ascii="Times New Roman" w:eastAsia="Times New Roman" w:hAnsi="Times New Roman" w:cs="Times New Roman"/>
          <w:b/>
          <w:bCs/>
          <w:lang w:val="lt-LT"/>
        </w:rPr>
        <w:t>Neduokite šio vaisto jaunesniems kaip 12 metų vaikams.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b/>
          <w:lang w:val="lt-LT"/>
        </w:rPr>
        <w:t>Neviršykite</w:t>
      </w:r>
      <w:r w:rsidRPr="00846A3E">
        <w:rPr>
          <w:rFonts w:ascii="Times New Roman" w:eastAsia="Calibri" w:hAnsi="Times New Roman" w:cs="Times New Roman"/>
          <w:lang w:val="lt-LT"/>
        </w:rPr>
        <w:t xml:space="preserve"> rekomenduojamos dozės. Jei simptomai išlieka, kreipkitės į gydytoją.</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hAnsi="Times New Roman" w:cs="Times New Roman"/>
          <w:lang w:val="lt-LT"/>
        </w:rPr>
      </w:pPr>
      <w:r w:rsidRPr="00846A3E">
        <w:rPr>
          <w:rFonts w:ascii="Times New Roman" w:hAnsi="Times New Roman" w:cs="Times New Roman"/>
          <w:lang w:val="lt-LT"/>
        </w:rPr>
        <w:t>Rekomenduojama paros dozė yra viena Opexa 20 mg burnoje disperguojama tabletė.</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tabs>
          <w:tab w:val="left" w:pos="709"/>
        </w:tabs>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Nevartokite Opexa ilgiau nei 10 dienų nepasitarę su gydytoju.</w:t>
      </w: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Kiti vaistai ir Opexa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Jeigu Jūs vartojate ar neseniai vartojote kitų vaistų, įskaitant įgytus be recepto, arba dėl to nesate tikri, apie tai pasakykite gydytojui arba vaistininkui. </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Pirmiausia pasitarkite su gydytoju, jeigu vartojate kurį nors iš toliau išvardytų vaistų.</w:t>
      </w:r>
    </w:p>
    <w:p w:rsidR="00A81AC4" w:rsidRPr="00846A3E" w:rsidRDefault="00A81AC4" w:rsidP="00A81AC4">
      <w:pPr>
        <w:pStyle w:val="Sraopastraipa"/>
        <w:widowControl w:val="0"/>
        <w:numPr>
          <w:ilvl w:val="0"/>
          <w:numId w:val="4"/>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Ketokonazolą (vaistą grybelių sukeltoms ligoms gydyti).</w:t>
      </w:r>
    </w:p>
    <w:p w:rsidR="00A81AC4" w:rsidRPr="00846A3E" w:rsidRDefault="00A81AC4" w:rsidP="00A81AC4">
      <w:pPr>
        <w:pStyle w:val="Sraopastraipa"/>
        <w:widowControl w:val="0"/>
        <w:numPr>
          <w:ilvl w:val="0"/>
          <w:numId w:val="4"/>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Eritromiciną (antibiotiką).</w:t>
      </w:r>
    </w:p>
    <w:p w:rsidR="00A81AC4" w:rsidRPr="00846A3E" w:rsidRDefault="00A81AC4" w:rsidP="00A81AC4">
      <w:pPr>
        <w:pStyle w:val="Sraopastraipa"/>
        <w:widowControl w:val="0"/>
        <w:numPr>
          <w:ilvl w:val="0"/>
          <w:numId w:val="4"/>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 xml:space="preserve">Diltiazemą (vaistą </w:t>
      </w:r>
      <w:r w:rsidRPr="00D65358">
        <w:rPr>
          <w:rFonts w:ascii="Times New Roman" w:eastAsia="Calibri" w:hAnsi="Times New Roman" w:cs="Times New Roman"/>
          <w:i/>
          <w:iCs/>
          <w:lang w:val="lt-LT"/>
        </w:rPr>
        <w:t>angina pectoris</w:t>
      </w:r>
      <w:r w:rsidRPr="00846A3E">
        <w:rPr>
          <w:rFonts w:ascii="Times New Roman" w:eastAsia="Calibri" w:hAnsi="Times New Roman" w:cs="Times New Roman"/>
          <w:lang w:val="lt-LT"/>
        </w:rPr>
        <w:t xml:space="preserve"> gydyti </w:t>
      </w:r>
      <w:r w:rsidRPr="00846A3E">
        <w:rPr>
          <w:rFonts w:ascii="Times New Roman" w:hAnsi="Times New Roman" w:cs="Times New Roman"/>
          <w:lang w:val="lt-LT"/>
        </w:rPr>
        <w:t>– skausmui ar spaudimui krūtinės srityje</w:t>
      </w:r>
      <w:r w:rsidRPr="00846A3E">
        <w:rPr>
          <w:rFonts w:ascii="Times New Roman" w:eastAsia="Calibri" w:hAnsi="Times New Roman" w:cs="Times New Roman"/>
          <w:lang w:val="lt-LT"/>
        </w:rPr>
        <w:t>).</w:t>
      </w:r>
    </w:p>
    <w:p w:rsidR="00A81AC4" w:rsidRPr="00846A3E" w:rsidRDefault="00A81AC4" w:rsidP="00A81AC4">
      <w:pPr>
        <w:pStyle w:val="Sraopastraipa"/>
        <w:widowControl w:val="0"/>
        <w:numPr>
          <w:ilvl w:val="0"/>
          <w:numId w:val="4"/>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Ciklosporiną (vaistą, mažinantį imuninės sistemos aktyvumą ir tokiu būdu padedantį išvengti persodinto organo atmetimo arba mažinantį ligos aktyvumą sergant tokiomis ligomis, kaip žvynelinė, atopinis dermatitas ar reumatoidinis artritas).</w:t>
      </w:r>
    </w:p>
    <w:p w:rsidR="00A81AC4" w:rsidRPr="00846A3E" w:rsidRDefault="00A81AC4" w:rsidP="00A81AC4">
      <w:pPr>
        <w:pStyle w:val="Sraopastraipa"/>
        <w:widowControl w:val="0"/>
        <w:numPr>
          <w:ilvl w:val="0"/>
          <w:numId w:val="4"/>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Ritonavirą (vaistą ŽIV infekcijai gydyti).</w:t>
      </w:r>
    </w:p>
    <w:p w:rsidR="00A81AC4" w:rsidRPr="00846A3E" w:rsidRDefault="00A81AC4" w:rsidP="00A81AC4">
      <w:pPr>
        <w:pStyle w:val="Sraopastraipa"/>
        <w:widowControl w:val="0"/>
        <w:numPr>
          <w:ilvl w:val="0"/>
          <w:numId w:val="4"/>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Rifampiciną (antibiotiką).</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Opexa vartojimas su maistu, gėrimais ir alkoholiu</w:t>
      </w:r>
    </w:p>
    <w:p w:rsidR="00A81AC4" w:rsidRPr="00846A3E" w:rsidRDefault="00A81AC4" w:rsidP="00A81AC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846A3E">
        <w:rPr>
          <w:rFonts w:ascii="Times New Roman" w:eastAsia="Times New Roman" w:hAnsi="Times New Roman" w:cs="Times New Roman"/>
          <w:color w:val="000000"/>
          <w:lang w:val="lt-LT" w:eastAsia="lt-LT"/>
        </w:rPr>
        <w:t xml:space="preserve">Šių </w:t>
      </w:r>
      <w:r w:rsidRPr="00846A3E">
        <w:rPr>
          <w:rFonts w:ascii="Times New Roman" w:eastAsia="Times New Roman" w:hAnsi="Times New Roman" w:cs="Times New Roman"/>
          <w:color w:val="000000"/>
          <w:spacing w:val="-1"/>
          <w:lang w:val="lt-LT" w:eastAsia="lt-LT"/>
        </w:rPr>
        <w:t xml:space="preserve">burnoje disperguojamųjų </w:t>
      </w:r>
      <w:r w:rsidRPr="00846A3E">
        <w:rPr>
          <w:rFonts w:ascii="Times New Roman" w:eastAsia="Times New Roman" w:hAnsi="Times New Roman" w:cs="Times New Roman"/>
          <w:color w:val="000000"/>
          <w:lang w:val="lt-LT" w:eastAsia="lt-LT"/>
        </w:rPr>
        <w:t xml:space="preserve">tablečių </w:t>
      </w:r>
      <w:r w:rsidRPr="00846A3E">
        <w:rPr>
          <w:rFonts w:ascii="Times New Roman" w:eastAsia="Times New Roman" w:hAnsi="Times New Roman" w:cs="Times New Roman"/>
          <w:b/>
          <w:color w:val="000000"/>
          <w:lang w:val="lt-LT" w:eastAsia="lt-LT"/>
        </w:rPr>
        <w:t>negalima</w:t>
      </w:r>
      <w:r w:rsidRPr="00846A3E">
        <w:rPr>
          <w:rFonts w:ascii="Times New Roman" w:eastAsia="Times New Roman" w:hAnsi="Times New Roman" w:cs="Times New Roman"/>
          <w:color w:val="000000"/>
          <w:lang w:val="lt-LT" w:eastAsia="lt-LT"/>
        </w:rPr>
        <w:t xml:space="preserve"> vartoti kartu su </w:t>
      </w:r>
      <w:r w:rsidRPr="00846A3E">
        <w:rPr>
          <w:rFonts w:ascii="Times New Roman" w:eastAsia="Times New Roman" w:hAnsi="Times New Roman" w:cs="Times New Roman"/>
          <w:b/>
          <w:color w:val="000000"/>
          <w:lang w:val="lt-LT" w:eastAsia="lt-LT"/>
        </w:rPr>
        <w:t>maistu</w:t>
      </w:r>
      <w:r w:rsidRPr="00846A3E">
        <w:rPr>
          <w:rFonts w:ascii="Times New Roman" w:eastAsia="Times New Roman" w:hAnsi="Times New Roman" w:cs="Times New Roman"/>
          <w:color w:val="000000"/>
          <w:lang w:val="lt-LT" w:eastAsia="lt-LT"/>
        </w:rPr>
        <w:t xml:space="preserve">, </w:t>
      </w:r>
      <w:r w:rsidRPr="00846A3E">
        <w:rPr>
          <w:rFonts w:ascii="Times New Roman" w:eastAsia="Times New Roman" w:hAnsi="Times New Roman" w:cs="Times New Roman"/>
          <w:b/>
          <w:color w:val="000000"/>
          <w:lang w:val="lt-LT" w:eastAsia="lt-LT"/>
        </w:rPr>
        <w:t>greipfrutų ar kitų vaisių sultimis</w:t>
      </w:r>
      <w:r w:rsidRPr="00846A3E">
        <w:rPr>
          <w:rFonts w:ascii="Times New Roman" w:eastAsia="Times New Roman" w:hAnsi="Times New Roman" w:cs="Times New Roman"/>
          <w:color w:val="000000"/>
          <w:lang w:val="lt-LT" w:eastAsia="lt-LT"/>
        </w:rPr>
        <w:t>, nes tai sumažins bilastino veiksmingumą. Siekiant to išvengti, Jūs galite:</w:t>
      </w:r>
    </w:p>
    <w:p w:rsidR="00A81AC4" w:rsidRPr="00846A3E" w:rsidRDefault="00A81AC4" w:rsidP="00A81AC4">
      <w:pPr>
        <w:pStyle w:val="Sraopastraipa"/>
        <w:widowControl w:val="0"/>
        <w:numPr>
          <w:ilvl w:val="0"/>
          <w:numId w:val="5"/>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išgerkite burnoje disperguojamą tabletę ir padarykite vienos valandos pertrauką iki valgymo arba sulčių gėrimo arba</w:t>
      </w:r>
    </w:p>
    <w:p w:rsidR="00A81AC4" w:rsidRPr="00846A3E" w:rsidRDefault="00A81AC4" w:rsidP="00A81AC4">
      <w:pPr>
        <w:pStyle w:val="Sraopastraipa"/>
        <w:widowControl w:val="0"/>
        <w:numPr>
          <w:ilvl w:val="0"/>
          <w:numId w:val="5"/>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 xml:space="preserve">jeigu Jūs pavalgėte arba išgėrėte sulčių, reikia palaukti dvi valandas ir tada išgerti burnoje disperguojamą tabletę. </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Rekomenduojama bilastino dozė (20 mg) nesustiprina alkoholio sukelto mieguistumo.</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Nėštumas, žindymo laikotarpis ir vaisingumas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Kokių nors duomenų apie bilastino vartojimą nėštumo ar žindymo metu, o taip pat apie jo poveikį vaisingumui nėra arba jie labai riboti.</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 esate nėščia, žindote kūdikį, manote, kad galbūt esate nėščia, arba planuojate pastoti, tai prieš vartodama šį vaistą, pasitarkite su gydytoju.</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Prieš pradedant vartoti bet kokį vaistą pasitarkite su gydytoju.</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Vairavimas ir mechanizmų valdymas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Nustatyta, kad bilastino 20 mg dozė nesutrikdo suaugusiųjų gebėjimo vairuoti. Tačiau kiekvieno paciento reakciją į vaistą gali būti skirtinga. Todėl prieš vairuodami ar valdydami mechanizmus turite patikrinti, kaip šis vaistas Jus veikia.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outlineLvl w:val="3"/>
        <w:rPr>
          <w:rFonts w:ascii="Times New Roman" w:eastAsia="Times New Roman" w:hAnsi="Times New Roman" w:cs="Times New Roman"/>
          <w:b/>
          <w:iCs/>
          <w:lang w:val="lt-LT"/>
        </w:rPr>
      </w:pPr>
      <w:r w:rsidRPr="00846A3E">
        <w:rPr>
          <w:rFonts w:ascii="Times New Roman" w:eastAsia="Times New Roman" w:hAnsi="Times New Roman" w:cs="Times New Roman"/>
          <w:b/>
          <w:iCs/>
          <w:lang w:val="lt-LT"/>
        </w:rPr>
        <w:t>Opexa yra natrio ir etanolio</w:t>
      </w:r>
    </w:p>
    <w:p w:rsidR="00A81AC4" w:rsidRPr="00846A3E" w:rsidRDefault="00A81AC4" w:rsidP="00A81AC4">
      <w:pPr>
        <w:widowControl w:val="0"/>
        <w:adjustRightInd w:val="0"/>
        <w:snapToGrid w:val="0"/>
        <w:spacing w:after="0" w:line="240" w:lineRule="auto"/>
        <w:rPr>
          <w:rFonts w:ascii="Times New Roman" w:hAnsi="Times New Roman" w:cs="Times New Roman"/>
          <w:iCs/>
          <w:lang w:val="lt-LT" w:eastAsia="lt-LT"/>
        </w:rPr>
      </w:pPr>
      <w:r w:rsidRPr="00846A3E">
        <w:rPr>
          <w:rFonts w:ascii="Times New Roman" w:hAnsi="Times New Roman" w:cs="Times New Roman"/>
          <w:iCs/>
          <w:lang w:val="lt-LT"/>
        </w:rPr>
        <w:t xml:space="preserve">Šio vaisto burnoje disperguojamoje tabletėje yra mažiau kaip 1 mmol (23 mg) natrio, </w:t>
      </w:r>
      <w:r w:rsidRPr="00846A3E">
        <w:rPr>
          <w:rFonts w:ascii="Times New Roman" w:hAnsi="Times New Roman" w:cs="Times New Roman"/>
          <w:iCs/>
          <w:lang w:val="lt-LT" w:eastAsia="lt-LT"/>
        </w:rPr>
        <w:t>t. y. jis beveik neturi reikšmės.</w:t>
      </w:r>
    </w:p>
    <w:p w:rsidR="00A81AC4" w:rsidRPr="00846A3E" w:rsidRDefault="00A81AC4" w:rsidP="00A81AC4">
      <w:pPr>
        <w:widowControl w:val="0"/>
        <w:adjustRightInd w:val="0"/>
        <w:snapToGrid w:val="0"/>
        <w:spacing w:after="0" w:line="240" w:lineRule="auto"/>
        <w:rPr>
          <w:rFonts w:ascii="Times New Roman" w:hAnsi="Times New Roman" w:cs="Times New Roman"/>
          <w:iCs/>
          <w:lang w:val="lt-LT" w:eastAsia="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Kiekvienoje šio vaisto burnoje disperguojamojoje tabletėje yra 0,0030</w:t>
      </w:r>
      <w:r w:rsidRPr="00846A3E">
        <w:rPr>
          <w:rFonts w:ascii="Times New Roman" w:eastAsia="Times New Roman" w:hAnsi="Times New Roman" w:cs="Times New Roman"/>
          <w:color w:val="000000"/>
          <w:lang w:val="lt-LT" w:eastAsia="lt-LT"/>
        </w:rPr>
        <w:t> </w:t>
      </w:r>
      <w:r w:rsidRPr="00846A3E">
        <w:rPr>
          <w:rFonts w:ascii="Times New Roman" w:eastAsia="Calibri" w:hAnsi="Times New Roman" w:cs="Times New Roman"/>
          <w:lang w:val="lt-LT"/>
        </w:rPr>
        <w:t>mg alkoholio (etanolio), tai atitinka 1,6 mg/100 g (0,0016</w:t>
      </w:r>
      <w:r>
        <w:rPr>
          <w:rFonts w:ascii="Times New Roman" w:eastAsia="Calibri" w:hAnsi="Times New Roman" w:cs="Times New Roman"/>
          <w:lang w:val="lt-LT"/>
        </w:rPr>
        <w:t> </w:t>
      </w:r>
      <w:r w:rsidRPr="00846A3E">
        <w:rPr>
          <w:rFonts w:ascii="Times New Roman" w:eastAsia="Calibri" w:hAnsi="Times New Roman" w:cs="Times New Roman"/>
          <w:lang w:val="lt-LT"/>
        </w:rPr>
        <w:t>%</w:t>
      </w:r>
      <w:r w:rsidRPr="00846A3E">
        <w:rPr>
          <w:rFonts w:ascii="Times New Roman" w:eastAsia="Times New Roman" w:hAnsi="Times New Roman" w:cs="Times New Roman"/>
          <w:color w:val="000000"/>
          <w:lang w:val="lt-LT" w:eastAsia="lt-LT"/>
        </w:rPr>
        <w:t> </w:t>
      </w:r>
      <w:r w:rsidRPr="00846A3E">
        <w:rPr>
          <w:rFonts w:ascii="Times New Roman" w:eastAsia="Calibri" w:hAnsi="Times New Roman" w:cs="Times New Roman"/>
          <w:lang w:val="lt-LT"/>
        </w:rPr>
        <w:t>m/m). Toks vienoje burnoje disperguojamoje tabletėje, sveriančioje 185 mg, esantis alkoholio kiekis atitinka mažiau nei 1 ml alaus arba 1 ml vyno.</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Mažas alkoholio kiekis, esantis šio vaisto sudėtyje, nesukelia jokio pastebimo poveikio.</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4" w:name="_Toc129243266"/>
      <w:bookmarkStart w:id="5" w:name="_Toc129243141"/>
      <w:r w:rsidRPr="00846A3E">
        <w:rPr>
          <w:rFonts w:ascii="Times New Roman" w:eastAsia="Times New Roman" w:hAnsi="Times New Roman" w:cs="Times New Roman"/>
          <w:b/>
          <w:lang w:val="lt-LT"/>
        </w:rPr>
        <w:t>3.</w:t>
      </w:r>
      <w:r w:rsidRPr="00846A3E">
        <w:rPr>
          <w:rFonts w:ascii="Times New Roman" w:eastAsia="Times New Roman" w:hAnsi="Times New Roman" w:cs="Times New Roman"/>
          <w:b/>
          <w:lang w:val="lt-LT"/>
        </w:rPr>
        <w:tab/>
      </w:r>
      <w:bookmarkEnd w:id="4"/>
      <w:bookmarkEnd w:id="5"/>
      <w:r w:rsidRPr="00846A3E">
        <w:rPr>
          <w:rFonts w:ascii="Times New Roman" w:eastAsia="Times New Roman" w:hAnsi="Times New Roman" w:cs="Times New Roman"/>
          <w:b/>
          <w:lang w:val="lt-LT"/>
        </w:rPr>
        <w:t>Kaip vartoti Opexa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hAnsi="Times New Roman" w:cs="Times New Roman"/>
          <w:lang w:val="lt-LT"/>
        </w:rPr>
      </w:pPr>
      <w:r w:rsidRPr="00846A3E">
        <w:rPr>
          <w:rFonts w:ascii="Times New Roman" w:hAnsi="Times New Roman" w:cs="Times New Roman"/>
          <w:lang w:val="lt-LT"/>
        </w:rPr>
        <w:t>Visada vartokite šį vaistą tiksliai taip, kaip aprašyta šiame lapelyje arba kaip nurodė gydytojas arba vaistininkas. Jeigu abejojate, kreipkitės į gydytoją arba vaistininką.</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846A3E">
        <w:rPr>
          <w:rFonts w:ascii="Times New Roman" w:eastAsia="Times New Roman" w:hAnsi="Times New Roman" w:cs="Times New Roman"/>
          <w:color w:val="000000"/>
          <w:lang w:val="lt-LT" w:eastAsia="lt-LT"/>
        </w:rPr>
        <w:t>Suaugusiems pacientams, įskaitant senyvus, 12 metų ir vyresniems paaugliams rekomenduojama dozė yra 1 burnoje disperguojamoji tabletė (20 mg bilastino) vieną kartą per parą.</w:t>
      </w:r>
    </w:p>
    <w:p w:rsidR="00A81AC4" w:rsidRPr="00846A3E" w:rsidRDefault="00A81AC4" w:rsidP="00A81AC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p>
    <w:p w:rsidR="00A81AC4" w:rsidRPr="00846A3E" w:rsidRDefault="00A81AC4" w:rsidP="00A81AC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846A3E">
        <w:rPr>
          <w:rFonts w:ascii="Times New Roman" w:eastAsia="Calibri" w:hAnsi="Times New Roman" w:cs="Times New Roman"/>
          <w:b/>
          <w:lang w:val="lt-LT"/>
        </w:rPr>
        <w:t>Neviršykite</w:t>
      </w:r>
      <w:r w:rsidRPr="00846A3E">
        <w:rPr>
          <w:rFonts w:ascii="Times New Roman" w:eastAsia="Calibri" w:hAnsi="Times New Roman" w:cs="Times New Roman"/>
          <w:lang w:val="lt-LT"/>
        </w:rPr>
        <w:t xml:space="preserve"> rekomenduojamos dozės.</w:t>
      </w:r>
    </w:p>
    <w:p w:rsidR="00A81AC4" w:rsidRPr="00846A3E" w:rsidRDefault="00A81AC4" w:rsidP="00A81AC4">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p>
    <w:p w:rsidR="00A81AC4" w:rsidRPr="00846A3E" w:rsidRDefault="00A81AC4" w:rsidP="00A81AC4">
      <w:pPr>
        <w:pStyle w:val="Sraopastraipa"/>
        <w:widowControl w:val="0"/>
        <w:numPr>
          <w:ilvl w:val="0"/>
          <w:numId w:val="6"/>
        </w:numPr>
        <w:autoSpaceDE w:val="0"/>
        <w:autoSpaceDN w:val="0"/>
        <w:adjustRightInd w:val="0"/>
        <w:snapToGrid w:val="0"/>
        <w:spacing w:after="0" w:line="240" w:lineRule="auto"/>
        <w:ind w:left="567" w:hanging="567"/>
        <w:contextualSpacing w:val="0"/>
        <w:textAlignment w:val="center"/>
        <w:rPr>
          <w:rFonts w:ascii="Times New Roman" w:eastAsia="Times New Roman" w:hAnsi="Times New Roman" w:cs="Times New Roman"/>
          <w:color w:val="000000"/>
          <w:spacing w:val="-1"/>
          <w:lang w:val="lt-LT" w:eastAsia="lt-LT"/>
        </w:rPr>
      </w:pPr>
      <w:r w:rsidRPr="00846A3E">
        <w:rPr>
          <w:rFonts w:ascii="Times New Roman" w:eastAsia="Times New Roman" w:hAnsi="Times New Roman" w:cs="Times New Roman"/>
          <w:color w:val="000000"/>
          <w:spacing w:val="-1"/>
          <w:lang w:val="lt-LT" w:eastAsia="lt-LT"/>
        </w:rPr>
        <w:t>Burnoje disperguojama tabletė vartojama per burną.</w:t>
      </w:r>
    </w:p>
    <w:p w:rsidR="00A81AC4" w:rsidRPr="00846A3E" w:rsidRDefault="00A81AC4" w:rsidP="00A81AC4">
      <w:pPr>
        <w:pStyle w:val="Sraopastraipa"/>
        <w:widowControl w:val="0"/>
        <w:numPr>
          <w:ilvl w:val="0"/>
          <w:numId w:val="6"/>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 xml:space="preserve">Įdėkite </w:t>
      </w:r>
      <w:r w:rsidRPr="00846A3E">
        <w:rPr>
          <w:rFonts w:ascii="Times New Roman" w:eastAsia="Calibri" w:hAnsi="Times New Roman" w:cs="Times New Roman"/>
          <w:spacing w:val="-1"/>
          <w:lang w:val="lt-LT"/>
        </w:rPr>
        <w:t>burnoje disperguojamą t</w:t>
      </w:r>
      <w:r w:rsidRPr="00846A3E">
        <w:rPr>
          <w:rFonts w:ascii="Times New Roman" w:eastAsia="Calibri" w:hAnsi="Times New Roman" w:cs="Times New Roman"/>
          <w:lang w:val="lt-LT"/>
        </w:rPr>
        <w:t>abletę į burną. Ji greitai disperguojasi seilėse ir gali būti lengvai nuryjama.</w:t>
      </w:r>
    </w:p>
    <w:p w:rsidR="00A81AC4" w:rsidRPr="00846A3E" w:rsidRDefault="00A81AC4" w:rsidP="00A81AC4">
      <w:pPr>
        <w:pStyle w:val="Sraopastraipa"/>
        <w:widowControl w:val="0"/>
        <w:numPr>
          <w:ilvl w:val="0"/>
          <w:numId w:val="6"/>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 xml:space="preserve">Taip pat burnoje disperguojamą tabletę galima ištirpinti arbatiniame šaukštelyje vandens. </w:t>
      </w:r>
    </w:p>
    <w:p w:rsidR="00A81AC4" w:rsidRPr="00846A3E" w:rsidRDefault="00A81AC4" w:rsidP="00A81AC4">
      <w:pPr>
        <w:pStyle w:val="Sraopastraipa"/>
        <w:widowControl w:val="0"/>
        <w:numPr>
          <w:ilvl w:val="0"/>
          <w:numId w:val="6"/>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b/>
          <w:lang w:val="lt-LT"/>
        </w:rPr>
        <w:t>Tirpinimui galima naudoti tik vandenį</w:t>
      </w:r>
      <w:r w:rsidRPr="00846A3E">
        <w:rPr>
          <w:rFonts w:ascii="Times New Roman" w:eastAsia="Calibri" w:hAnsi="Times New Roman" w:cs="Times New Roman"/>
          <w:lang w:val="lt-LT"/>
        </w:rPr>
        <w:t>, nenaudokite greipfrutų ar kitų vaisių sulčių.</w:t>
      </w:r>
    </w:p>
    <w:p w:rsidR="00A81AC4" w:rsidRPr="00846A3E" w:rsidRDefault="00A81AC4" w:rsidP="00A81AC4">
      <w:pPr>
        <w:pStyle w:val="Sraopastraipa"/>
        <w:widowControl w:val="0"/>
        <w:numPr>
          <w:ilvl w:val="0"/>
          <w:numId w:val="6"/>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Burnoje disperguojamą tabletę reikia išgerti vieną valandą iki arba praėjus dviem valandoms po valgymo arba vaisių sulčių gėrimo</w:t>
      </w:r>
      <w:r w:rsidRPr="00846A3E">
        <w:rPr>
          <w:rFonts w:ascii="Times New Roman" w:hAnsi="Times New Roman" w:cs="Times New Roman"/>
          <w:lang w:val="lt-LT"/>
        </w:rPr>
        <w:t xml:space="preserve"> </w:t>
      </w:r>
      <w:r w:rsidRPr="00846A3E">
        <w:rPr>
          <w:rFonts w:ascii="Times New Roman" w:eastAsia="Calibri" w:hAnsi="Times New Roman" w:cs="Times New Roman"/>
          <w:lang w:val="lt-LT"/>
        </w:rPr>
        <w:t>(žr. 2 skyriaus poskyrį „</w:t>
      </w:r>
      <w:r w:rsidRPr="00846A3E">
        <w:rPr>
          <w:rFonts w:ascii="Times New Roman" w:eastAsia="Calibri" w:hAnsi="Times New Roman" w:cs="Times New Roman"/>
          <w:i/>
          <w:iCs/>
          <w:lang w:val="lt-LT"/>
        </w:rPr>
        <w:t>Opexa vartojimas su maistu, gėrimais ir alkoholiu</w:t>
      </w:r>
      <w:r w:rsidRPr="00846A3E">
        <w:rPr>
          <w:rFonts w:ascii="Times New Roman" w:eastAsia="Calibri" w:hAnsi="Times New Roman" w:cs="Times New Roman"/>
          <w:lang w:val="lt-LT"/>
        </w:rPr>
        <w:t>“).</w:t>
      </w:r>
    </w:p>
    <w:p w:rsidR="00A81AC4" w:rsidRPr="00846A3E" w:rsidRDefault="00A81AC4" w:rsidP="00A81AC4">
      <w:pPr>
        <w:pStyle w:val="Sraopastraipa"/>
        <w:widowControl w:val="0"/>
        <w:adjustRightInd w:val="0"/>
        <w:snapToGrid w:val="0"/>
        <w:spacing w:after="0" w:line="240" w:lineRule="auto"/>
        <w:ind w:left="0"/>
        <w:contextualSpacing w:val="0"/>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hAnsi="Times New Roman" w:cs="Times New Roman"/>
          <w:lang w:val="lt-LT"/>
        </w:rPr>
        <w:t>Jeigu per 3 dienas Jūsų savijauta nepagerėjo arba net pablogėjo, kreipkitės į gydytoją.</w:t>
      </w:r>
      <w:r w:rsidRPr="00846A3E">
        <w:rPr>
          <w:rFonts w:ascii="Times New Roman" w:eastAsia="Calibri" w:hAnsi="Times New Roman" w:cs="Times New Roman"/>
          <w:lang w:val="lt-LT"/>
        </w:rPr>
        <w:t xml:space="preserve"> Nevartokite Opexa ilgiau nei 10 dienų nepasitarę su gydytoju.</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b/>
          <w:highlight w:val="yellow"/>
          <w:lang w:val="lt-LT"/>
        </w:rPr>
      </w:pPr>
      <w:r w:rsidRPr="00846A3E">
        <w:rPr>
          <w:rFonts w:ascii="Times New Roman" w:eastAsia="Calibri" w:hAnsi="Times New Roman" w:cs="Times New Roman"/>
          <w:b/>
          <w:lang w:val="lt-LT"/>
        </w:rPr>
        <w:t>Vartojimas vaikams</w:t>
      </w: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 xml:space="preserve">Neduokite šio vaisto jaunesniems kaip 12 metų vaikams. </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Kitos bilastino dozės ar farmacinės formos vaistai gali tikti vaikams nuo 6 iki 11 metų, kurių kūno svoris ne mažesnis kaip 20 kg. Tokio amžiaus vaikams šie vaistai parduodami tik pagal gydytojo receptą, todėl kreipkitės į gydytoją. </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Ką daryti pavartojus per didelę Opexa dozę</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Jeigu Jūs arba kas nors kitas išgėrė per daug Opexa disperguojamųjų tablečių, </w:t>
      </w:r>
      <w:r w:rsidRPr="00846A3E">
        <w:rPr>
          <w:rFonts w:ascii="Times New Roman" w:eastAsia="Calibri" w:hAnsi="Times New Roman" w:cs="Times New Roman"/>
          <w:b/>
          <w:lang w:val="lt-LT"/>
        </w:rPr>
        <w:t xml:space="preserve">nedelsiant </w:t>
      </w:r>
      <w:r w:rsidRPr="00846A3E">
        <w:rPr>
          <w:rFonts w:ascii="Times New Roman" w:eastAsia="Calibri" w:hAnsi="Times New Roman" w:cs="Times New Roman"/>
          <w:lang w:val="lt-LT"/>
        </w:rPr>
        <w:t>kreipkitės į gydytoją arba vaistininką arba į artimiausios ligoninės skubios pagalbos skyrių. Nepamirškite pasiimti kartu šio vaisto pakuotę arba šį informacinį lapelį.</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 xml:space="preserve">Pamiršus pavartoti Opexa </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Nevartokite dvigubos dozės norint kompensuoti praleistą dozę.</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 užmiršote išgerti vaisto dozę tinkamu laiku, išgerkite kuo įmanoma greičiau,</w:t>
      </w:r>
      <w:r w:rsidRPr="00846A3E">
        <w:rPr>
          <w:rFonts w:ascii="Times New Roman" w:hAnsi="Times New Roman" w:cs="Times New Roman"/>
          <w:lang w:val="lt-LT"/>
        </w:rPr>
        <w:t xml:space="preserve"> </w:t>
      </w:r>
      <w:r w:rsidRPr="00846A3E">
        <w:rPr>
          <w:rFonts w:ascii="Times New Roman" w:eastAsia="Calibri" w:hAnsi="Times New Roman" w:cs="Times New Roman"/>
          <w:lang w:val="lt-LT"/>
        </w:rPr>
        <w:t>o tada grįžkite prie įprasto dozavimo grafiko.</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Jeigu kiltų daugiau klausimų dėl šio vaisto vartojimo, kreipkitės į gydytoją arba vaistininką.</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outlineLvl w:val="3"/>
        <w:rPr>
          <w:rFonts w:ascii="Times New Roman" w:eastAsiaTheme="majorEastAsia" w:hAnsi="Times New Roman" w:cs="Times New Roman"/>
          <w:b/>
          <w:iCs/>
          <w:lang w:val="lt-LT"/>
        </w:rPr>
      </w:pPr>
      <w:r w:rsidRPr="00846A3E">
        <w:rPr>
          <w:rFonts w:ascii="Times New Roman" w:eastAsiaTheme="majorEastAsia" w:hAnsi="Times New Roman" w:cs="Times New Roman"/>
          <w:b/>
          <w:iCs/>
          <w:lang w:val="lt-LT"/>
        </w:rPr>
        <w:t>Nustojus vartoti Jeigu kiltų daugiau klausimų dėl šio vaisto vartojimo, kreipkitės į gydytoją arba vaistininką.</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Nustojus vartoti Jeigu kiltų daugiau klausimų dėl šio vaisto vartojimo, kreipkitės į gydytoją arba vaistininką. Dažniausiai neturėtų būti kokių nors sutrikimų.</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Jeigu kiltų daugiau klausimų dėl šio vaisto vartojimo, kreipkitės į gydytoją arba vaistininką.</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6" w:name="_Toc129243267"/>
      <w:bookmarkStart w:id="7" w:name="_Toc129243142"/>
      <w:r w:rsidRPr="00846A3E">
        <w:rPr>
          <w:rFonts w:ascii="Times New Roman" w:eastAsia="Times New Roman" w:hAnsi="Times New Roman" w:cs="Times New Roman"/>
          <w:b/>
          <w:lang w:val="lt-LT"/>
        </w:rPr>
        <w:t>4.</w:t>
      </w:r>
      <w:r w:rsidRPr="00846A3E">
        <w:rPr>
          <w:rFonts w:ascii="Times New Roman" w:eastAsia="Times New Roman" w:hAnsi="Times New Roman" w:cs="Times New Roman"/>
          <w:b/>
          <w:lang w:val="lt-LT"/>
        </w:rPr>
        <w:tab/>
      </w:r>
      <w:bookmarkEnd w:id="6"/>
      <w:bookmarkEnd w:id="7"/>
      <w:r w:rsidRPr="00846A3E">
        <w:rPr>
          <w:rFonts w:ascii="Times New Roman" w:eastAsia="Times New Roman" w:hAnsi="Times New Roman" w:cs="Times New Roman"/>
          <w:b/>
          <w:lang w:val="lt-LT"/>
        </w:rPr>
        <w:t>Galimas šalutinis poveikis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Šis vaistas, kaip ir visi kiti, gali sukelti šalutinį poveikį, nors jis pasireiškia ne visiems žmonėms.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 Jums pasireiškė alerginės reakcijos, tarp kurių simptomų gali būti pasunkėjęs kvėpavimas, svaigulys, kolapsas arba sąmonės praradimas, veido, lūpų, liežuvio ar gerklės patinimas ir (arba) odos patinimas ir paraudimas, nutraukite vaisto vartojimą ir nedelsdami kreipkitės į gydytoją.</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keepNext/>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lastRenderedPageBreak/>
        <w:t>Kiti šalutinio poveikio reiškiniai, kurie gali pasireikšti suaugusiesiems ir paaugliams</w:t>
      </w:r>
    </w:p>
    <w:p w:rsidR="00A81AC4" w:rsidRPr="00846A3E" w:rsidRDefault="00A81AC4" w:rsidP="00A81AC4">
      <w:pPr>
        <w:keepNext/>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keepNext/>
        <w:widowControl w:val="0"/>
        <w:adjustRightInd w:val="0"/>
        <w:snapToGrid w:val="0"/>
        <w:spacing w:after="0" w:line="240" w:lineRule="auto"/>
        <w:rPr>
          <w:rFonts w:ascii="Times New Roman" w:eastAsia="Calibri" w:hAnsi="Times New Roman" w:cs="Times New Roman"/>
          <w:b/>
          <w:lang w:val="lt-LT"/>
        </w:rPr>
      </w:pPr>
      <w:r w:rsidRPr="00846A3E">
        <w:rPr>
          <w:rFonts w:ascii="Times New Roman" w:hAnsi="Times New Roman" w:cs="Times New Roman"/>
          <w:b/>
          <w:bCs/>
          <w:lang w:val="lt-LT"/>
        </w:rPr>
        <w:t>Dažni: gali pasireikšti rečiau kaip</w:t>
      </w:r>
      <w:r w:rsidRPr="00846A3E">
        <w:rPr>
          <w:rFonts w:ascii="Times New Roman" w:hAnsi="Times New Roman" w:cs="Times New Roman"/>
          <w:b/>
          <w:bCs/>
          <w:snapToGrid w:val="0"/>
          <w:lang w:val="lt-LT"/>
        </w:rPr>
        <w:t xml:space="preserve"> </w:t>
      </w:r>
      <w:r w:rsidRPr="00846A3E">
        <w:rPr>
          <w:rFonts w:ascii="Times New Roman" w:hAnsi="Times New Roman" w:cs="Times New Roman"/>
          <w:b/>
          <w:bCs/>
          <w:lang w:val="lt-LT"/>
        </w:rPr>
        <w:t>1 iš 10 asmenų</w:t>
      </w:r>
    </w:p>
    <w:p w:rsidR="00A81AC4" w:rsidRPr="00846A3E" w:rsidRDefault="00A81AC4" w:rsidP="00A81AC4">
      <w:pPr>
        <w:widowControl w:val="0"/>
        <w:numPr>
          <w:ilvl w:val="0"/>
          <w:numId w:val="1"/>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galvos skausmas,</w:t>
      </w:r>
    </w:p>
    <w:p w:rsidR="00A81AC4" w:rsidRPr="00846A3E" w:rsidRDefault="00A81AC4" w:rsidP="00A81AC4">
      <w:pPr>
        <w:widowControl w:val="0"/>
        <w:numPr>
          <w:ilvl w:val="0"/>
          <w:numId w:val="1"/>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mieguistumas.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hAnsi="Times New Roman" w:cs="Times New Roman"/>
          <w:b/>
          <w:bCs/>
          <w:lang w:val="lt-LT"/>
        </w:rPr>
        <w:t>Nedažni: gali pasireikšti rečiau kaip 1 iš 100 asmenų</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hAnsi="Times New Roman" w:cs="Times New Roman"/>
          <w:lang w:val="lt-LT"/>
        </w:rPr>
        <w:t>elektrokardiogramo</w:t>
      </w:r>
      <w:r w:rsidRPr="00846A3E">
        <w:rPr>
          <w:rFonts w:ascii="Times New Roman" w:eastAsia="Calibri" w:hAnsi="Times New Roman" w:cs="Times New Roman"/>
          <w:lang w:val="lt-LT"/>
        </w:rPr>
        <w:t>s (EKG) pakitimai,</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kraujo pakitimai, rodantys kepenų veiklos aktyvumą,</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svaigulys,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skrandžio skausmas,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nuovargis,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padidėjęs apetitas,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nereguliarus širdies plakimas,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 xml:space="preserve">padidėjęs svoris, </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pykinimas,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baimė,</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nosies džiūvimas arba kitas nemalonus pojūtis,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pilvo skausmas,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 xml:space="preserve">viduriavimas, </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gastritas (skrandžio gleivinės uždegimas),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galvos svaigimas (</w:t>
      </w:r>
      <w:r w:rsidRPr="00846A3E">
        <w:rPr>
          <w:rFonts w:ascii="Times New Roman" w:eastAsia="Calibri" w:hAnsi="Times New Roman" w:cs="Times New Roman"/>
          <w:i/>
          <w:lang w:val="lt-LT"/>
        </w:rPr>
        <w:t>vertigo</w:t>
      </w:r>
      <w:r w:rsidRPr="00846A3E">
        <w:rPr>
          <w:rFonts w:ascii="Times New Roman" w:eastAsia="Calibri" w:hAnsi="Times New Roman" w:cs="Times New Roman"/>
          <w:lang w:val="lt-LT"/>
        </w:rPr>
        <w:t>),</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silpnumas,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troškulys,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dusulys (pasunkėjęs kvėpavimas),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burnos džiūvimas,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sutrikęs virškinimas,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niežėjimas,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pūslelinė (</w:t>
      </w:r>
      <w:r w:rsidRPr="00846A3E">
        <w:rPr>
          <w:rFonts w:ascii="Times New Roman" w:eastAsia="Calibri" w:hAnsi="Times New Roman" w:cs="Times New Roman"/>
          <w:i/>
          <w:lang w:val="lt-LT"/>
        </w:rPr>
        <w:t>herpes)</w:t>
      </w:r>
      <w:r w:rsidRPr="00846A3E">
        <w:rPr>
          <w:rFonts w:ascii="Times New Roman" w:eastAsia="Calibri" w:hAnsi="Times New Roman" w:cs="Times New Roman"/>
          <w:lang w:val="lt-LT"/>
        </w:rPr>
        <w:t>,</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karščiavimas,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ūžesys ausyse,</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miego sutrikimas,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kraujo tyrimai, rodantys inkstų veiklos pakitimus,</w:t>
      </w:r>
    </w:p>
    <w:p w:rsidR="00A81AC4" w:rsidRPr="00846A3E" w:rsidRDefault="00A81AC4" w:rsidP="00A81AC4">
      <w:pPr>
        <w:widowControl w:val="0"/>
        <w:numPr>
          <w:ilvl w:val="0"/>
          <w:numId w:val="2"/>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padidėjęs riebalų kiekis kraujyje.</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b/>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Dažnis nežinomas: negali būti apskaičiuotas pagal turimus duomenis</w:t>
      </w:r>
    </w:p>
    <w:p w:rsidR="00A81AC4" w:rsidRPr="00846A3E" w:rsidRDefault="00A81AC4" w:rsidP="00A81AC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širdies tvinksniai (pojūtis, kad jūsų širdis plaka),</w:t>
      </w:r>
    </w:p>
    <w:p w:rsidR="00A81AC4" w:rsidRPr="00846A3E" w:rsidRDefault="00A81AC4" w:rsidP="00A81AC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tachikardija (dažnas širdies plakimas),</w:t>
      </w:r>
    </w:p>
    <w:p w:rsidR="00A81AC4" w:rsidRPr="00846A3E" w:rsidRDefault="00A81AC4" w:rsidP="00A81AC4">
      <w:pPr>
        <w:widowControl w:val="0"/>
        <w:numPr>
          <w:ilvl w:val="0"/>
          <w:numId w:val="3"/>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Theme="minorEastAsia" w:hAnsi="Times New Roman" w:cs="Times New Roman"/>
          <w:lang w:val="lt-LT"/>
        </w:rPr>
        <w:t>vėmimas.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Šalutinio poveikio reiškiniai, kurių gali pasireikšti vaikams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b/>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 xml:space="preserve">Dažni: gali pasireikšti </w:t>
      </w:r>
      <w:r w:rsidRPr="00846A3E">
        <w:rPr>
          <w:rFonts w:ascii="Times New Roman" w:hAnsi="Times New Roman" w:cs="Times New Roman"/>
          <w:b/>
          <w:bCs/>
          <w:lang w:val="lt-LT"/>
        </w:rPr>
        <w:t>rečiau kaip</w:t>
      </w:r>
      <w:r w:rsidRPr="00846A3E">
        <w:rPr>
          <w:rFonts w:ascii="Times New Roman" w:eastAsia="Calibri" w:hAnsi="Times New Roman" w:cs="Times New Roman"/>
          <w:b/>
          <w:lang w:val="lt-LT"/>
        </w:rPr>
        <w:t xml:space="preserve"> 1 iš 10 asmenų</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sloga (nosies dirginimas),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alerginis konjunktyvitas (akių sudirginimas),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galvos skausmas,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skausmas skrandžio plote (pilvo arba pilvo viršutinės dalies skausmas).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 xml:space="preserve">Nedažni: gali pasireikšti </w:t>
      </w:r>
      <w:r w:rsidRPr="00846A3E">
        <w:rPr>
          <w:rFonts w:ascii="Times New Roman" w:hAnsi="Times New Roman" w:cs="Times New Roman"/>
          <w:b/>
          <w:bCs/>
          <w:lang w:val="lt-LT"/>
        </w:rPr>
        <w:t>rečiau kaip</w:t>
      </w:r>
      <w:r w:rsidRPr="00846A3E">
        <w:rPr>
          <w:rFonts w:ascii="Times New Roman" w:eastAsia="Calibri" w:hAnsi="Times New Roman" w:cs="Times New Roman"/>
          <w:b/>
          <w:lang w:val="lt-LT"/>
        </w:rPr>
        <w:t xml:space="preserve"> 1 iš 100 asmenų</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akių sudirginimas,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mieguistumas,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sąmonės netekimas,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viduriavimas,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pykinimas,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lastRenderedPageBreak/>
        <w:t>-</w:t>
      </w:r>
      <w:r w:rsidRPr="00846A3E">
        <w:rPr>
          <w:rFonts w:ascii="Times New Roman" w:eastAsia="Calibri" w:hAnsi="Times New Roman" w:cs="Times New Roman"/>
          <w:lang w:val="lt-LT"/>
        </w:rPr>
        <w:tab/>
        <w:t>lūpų patinimas,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 xml:space="preserve">egzema, </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dilgėlinė (pūkšlės),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nuovargis.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Pranešimas apie šalutinį poveikį</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Jeigu pasireiškė šalutinis poveikis, įskaitant šiame lapelyje nenurodytą, pasakykite gydytojui arba vaistininkui. </w:t>
      </w:r>
      <w:r w:rsidRPr="00846A3E">
        <w:rPr>
          <w:rFonts w:ascii="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846A3E">
        <w:rPr>
          <w:rFonts w:ascii="Times New Roman" w:hAnsi="Times New Roman" w:cs="Times New Roman"/>
          <w:color w:val="0000FF"/>
          <w:u w:val="single"/>
          <w:lang w:val="lt-LT"/>
        </w:rPr>
        <w:t>https://vapris.vvkt.lt/vvkt-web/public/nrv</w:t>
      </w:r>
      <w:r w:rsidRPr="00846A3E">
        <w:rPr>
          <w:rFonts w:ascii="Times New Roman" w:hAnsi="Times New Roman" w:cs="Times New Roman"/>
          <w:lang w:val="lt-LT"/>
        </w:rPr>
        <w:t xml:space="preserve"> arba užpildant Paciento pranešimo apie įtariamą nepageidaujamą reakciją (ĮNR) formą, kuri skelbiama </w:t>
      </w:r>
      <w:r w:rsidRPr="00846A3E">
        <w:rPr>
          <w:rFonts w:ascii="Times New Roman" w:hAnsi="Times New Roman" w:cs="Times New Roman"/>
          <w:color w:val="0000FF"/>
          <w:u w:val="single"/>
          <w:lang w:val="lt-LT"/>
        </w:rPr>
        <w:t>https://www.vvkt.lt/index.php?4004286486</w:t>
      </w:r>
      <w:r w:rsidRPr="00846A3E">
        <w:rPr>
          <w:rFonts w:ascii="Times New Roman" w:hAnsi="Times New Roman" w:cs="Times New Roman"/>
          <w:lang w:val="lt-LT"/>
        </w:rPr>
        <w:t xml:space="preserve">, ir atsiunčiant elektroniniu paštu (adresu </w:t>
      </w:r>
      <w:r w:rsidRPr="00846A3E">
        <w:rPr>
          <w:rFonts w:ascii="Times New Roman" w:hAnsi="Times New Roman" w:cs="Times New Roman"/>
          <w:color w:val="0000FF"/>
          <w:u w:val="single"/>
          <w:lang w:val="lt-LT"/>
        </w:rPr>
        <w:t>NepageidaujamaR@vvkt.lt</w:t>
      </w:r>
      <w:r w:rsidRPr="00846A3E">
        <w:rPr>
          <w:rFonts w:ascii="Times New Roman" w:hAnsi="Times New Roman" w:cs="Times New Roman"/>
          <w:lang w:val="lt-LT"/>
        </w:rPr>
        <w:t>) arba nemokamu telefonu 8 800 73 568.</w:t>
      </w:r>
      <w:r w:rsidRPr="00846A3E">
        <w:rPr>
          <w:rFonts w:ascii="Times New Roman" w:eastAsia="Calibri" w:hAnsi="Times New Roman" w:cs="Times New Roman"/>
          <w:lang w:val="lt-LT"/>
        </w:rPr>
        <w:t xml:space="preserve"> </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Pranešdami apie šalutinį poveikį galite mums padėti gauti daugiau informacijos apie šio vaisto saugumą.</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8" w:name="_Toc129243268"/>
      <w:bookmarkStart w:id="9" w:name="_Toc129243143"/>
      <w:r w:rsidRPr="00846A3E">
        <w:rPr>
          <w:rFonts w:ascii="Times New Roman" w:eastAsia="Times New Roman" w:hAnsi="Times New Roman" w:cs="Times New Roman"/>
          <w:b/>
          <w:lang w:val="lt-LT"/>
        </w:rPr>
        <w:t>5.</w:t>
      </w:r>
      <w:r w:rsidRPr="00846A3E">
        <w:rPr>
          <w:rFonts w:ascii="Times New Roman" w:eastAsia="Times New Roman" w:hAnsi="Times New Roman" w:cs="Times New Roman"/>
          <w:b/>
          <w:lang w:val="lt-LT"/>
        </w:rPr>
        <w:tab/>
      </w:r>
      <w:bookmarkEnd w:id="8"/>
      <w:bookmarkEnd w:id="9"/>
      <w:r w:rsidRPr="00846A3E">
        <w:rPr>
          <w:rFonts w:ascii="Times New Roman" w:eastAsia="Times New Roman" w:hAnsi="Times New Roman" w:cs="Times New Roman"/>
          <w:b/>
          <w:lang w:val="lt-LT"/>
        </w:rPr>
        <w:t>Kaip laikyti Opexa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Šį vaistą laikykite vaikams nepastebimoje ir nepasiekiamoje vietoje.</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Ant dėžutės ir lizdinės plokštelės po „Tinka iki / EXP“ nurodytam tinkamumo laikui pasibaigus, šio vaisto vartoti negalima. Vaistas tinkamas vartoti iki paskutinės nurodyto mėnesio dienos.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Šiam vaistui specialių laikymo sąlygų nereikia.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10" w:name="_Toc129243269"/>
      <w:bookmarkStart w:id="11" w:name="_Toc129243144"/>
      <w:r w:rsidRPr="00846A3E">
        <w:rPr>
          <w:rFonts w:ascii="Times New Roman" w:eastAsia="Times New Roman" w:hAnsi="Times New Roman" w:cs="Times New Roman"/>
          <w:b/>
          <w:lang w:val="lt-LT"/>
        </w:rPr>
        <w:t>6.</w:t>
      </w:r>
      <w:r w:rsidRPr="00846A3E">
        <w:rPr>
          <w:rFonts w:ascii="Times New Roman" w:eastAsia="Times New Roman" w:hAnsi="Times New Roman" w:cs="Times New Roman"/>
          <w:b/>
          <w:lang w:val="lt-LT"/>
        </w:rPr>
        <w:tab/>
      </w:r>
      <w:bookmarkEnd w:id="10"/>
      <w:bookmarkEnd w:id="11"/>
      <w:r w:rsidRPr="00846A3E">
        <w:rPr>
          <w:rFonts w:ascii="Times New Roman" w:eastAsia="Times New Roman" w:hAnsi="Times New Roman" w:cs="Times New Roman"/>
          <w:b/>
          <w:lang w:val="lt-LT"/>
        </w:rPr>
        <w:t>Pakuotės turinys ir kita informacija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Opexa sudėtis</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 xml:space="preserve">Veiklioji medžiaga yra bilastinas. Kiekvienoje </w:t>
      </w:r>
      <w:r w:rsidRPr="00846A3E">
        <w:rPr>
          <w:rFonts w:ascii="Times New Roman" w:eastAsia="Calibri" w:hAnsi="Times New Roman" w:cs="Times New Roman"/>
          <w:spacing w:val="-1"/>
          <w:lang w:val="lt-LT"/>
        </w:rPr>
        <w:t xml:space="preserve">burnoje disperguojamoje </w:t>
      </w:r>
      <w:r w:rsidRPr="00846A3E">
        <w:rPr>
          <w:rFonts w:ascii="Times New Roman" w:eastAsia="Calibri" w:hAnsi="Times New Roman" w:cs="Times New Roman"/>
          <w:lang w:val="lt-LT"/>
        </w:rPr>
        <w:t>tabletėje yra 20 mg bilastino.</w:t>
      </w:r>
    </w:p>
    <w:p w:rsidR="00A81AC4" w:rsidRPr="00846A3E" w:rsidRDefault="00A81AC4" w:rsidP="00A81AC4">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Pagalbinės medžiagos yra manitolis (E 421), kroskarmeliozės natrio druska, natrio stearilfumaratas, sukralozė (E 955), raudonųjų vynuogių aromatinė medžiaga (pagrindiniai komponentai – gumiarabikas, etilo butiratas, triacetinas, metilo antranilatas, etanolis, d-limonenas, linalolis).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Opexa išvaizda ir kiekis pakuotėje</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Opexa </w:t>
      </w:r>
      <w:r w:rsidRPr="00846A3E">
        <w:rPr>
          <w:rFonts w:ascii="Times New Roman" w:eastAsia="Calibri" w:hAnsi="Times New Roman" w:cs="Times New Roman"/>
          <w:spacing w:val="-1"/>
          <w:lang w:val="lt-LT"/>
        </w:rPr>
        <w:t>burnoje disperguojamos tabletės</w:t>
      </w:r>
      <w:r w:rsidRPr="00846A3E">
        <w:rPr>
          <w:rFonts w:ascii="Times New Roman" w:eastAsia="Calibri" w:hAnsi="Times New Roman" w:cs="Times New Roman"/>
          <w:lang w:val="lt-LT"/>
        </w:rPr>
        <w:t xml:space="preserve"> yra baltos, apvalios, plokščios, vienoje pusėje įspausta „20“, 8 mm skersmens.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Opexa tiekiamos dalomosiose vienadozėse lizdinėse plokštelėse po 10 x 1 disperguojamų tablečių. </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Gali būti tiekiamos ne visų dydžių pakuotės.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Registruotojas ir gamintojas</w:t>
      </w:r>
    </w:p>
    <w:p w:rsidR="00A81AC4" w:rsidRPr="00846A3E" w:rsidRDefault="00A81AC4" w:rsidP="00A81AC4">
      <w:pPr>
        <w:widowControl w:val="0"/>
        <w:adjustRightInd w:val="0"/>
        <w:snapToGrid w:val="0"/>
        <w:spacing w:after="0" w:line="240" w:lineRule="auto"/>
        <w:rPr>
          <w:rFonts w:ascii="Times New Roman" w:eastAsia="Times New Roman" w:hAnsi="Times New Roman" w:cs="Times New Roman"/>
          <w:b/>
          <w:bCs/>
          <w:lang w:val="lt-LT"/>
        </w:rPr>
      </w:pPr>
    </w:p>
    <w:p w:rsidR="00A81AC4" w:rsidRPr="00846A3E" w:rsidRDefault="00A81AC4" w:rsidP="00A81AC4">
      <w:pPr>
        <w:widowControl w:val="0"/>
        <w:adjustRightInd w:val="0"/>
        <w:snapToGrid w:val="0"/>
        <w:spacing w:after="0" w:line="240" w:lineRule="auto"/>
        <w:rPr>
          <w:rFonts w:ascii="Times New Roman" w:eastAsiaTheme="minorEastAsia" w:hAnsi="Times New Roman" w:cs="Times New Roman"/>
          <w:i/>
          <w:lang w:val="lt-LT"/>
        </w:rPr>
      </w:pPr>
      <w:r w:rsidRPr="00846A3E">
        <w:rPr>
          <w:rFonts w:ascii="Times New Roman" w:eastAsiaTheme="minorEastAsia" w:hAnsi="Times New Roman" w:cs="Times New Roman"/>
          <w:i/>
          <w:lang w:val="lt-LT"/>
        </w:rPr>
        <w:t>Registruotojas</w:t>
      </w:r>
    </w:p>
    <w:p w:rsidR="00A81AC4" w:rsidRPr="00846A3E" w:rsidRDefault="00A81AC4" w:rsidP="00A81AC4">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Menarini International Operations Luxembourg S.A.</w:t>
      </w:r>
    </w:p>
    <w:p w:rsidR="00A81AC4" w:rsidRPr="00846A3E" w:rsidRDefault="00A81AC4" w:rsidP="00A81AC4">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1, Avenue de la Gare</w:t>
      </w:r>
    </w:p>
    <w:p w:rsidR="00A81AC4" w:rsidRPr="00846A3E" w:rsidRDefault="00A81AC4" w:rsidP="00A81AC4">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L-1611 Luxembourg</w:t>
      </w:r>
    </w:p>
    <w:p w:rsidR="00A81AC4" w:rsidRPr="00846A3E" w:rsidRDefault="00A81AC4" w:rsidP="00A81AC4">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Liuksemburgas</w:t>
      </w:r>
    </w:p>
    <w:p w:rsidR="00A81AC4" w:rsidRPr="00846A3E" w:rsidRDefault="00A81AC4" w:rsidP="00A81AC4">
      <w:pPr>
        <w:widowControl w:val="0"/>
        <w:adjustRightInd w:val="0"/>
        <w:snapToGrid w:val="0"/>
        <w:spacing w:after="0" w:line="240" w:lineRule="auto"/>
        <w:rPr>
          <w:rFonts w:ascii="Times New Roman" w:eastAsiaTheme="minorEastAsia" w:hAnsi="Times New Roman" w:cs="Times New Roman"/>
          <w:lang w:val="lt-LT"/>
        </w:rPr>
      </w:pPr>
    </w:p>
    <w:p w:rsidR="00A81AC4" w:rsidRPr="00846A3E" w:rsidRDefault="00A81AC4" w:rsidP="00A81AC4">
      <w:pPr>
        <w:keepNext/>
        <w:widowControl w:val="0"/>
        <w:adjustRightInd w:val="0"/>
        <w:snapToGrid w:val="0"/>
        <w:spacing w:after="0" w:line="240" w:lineRule="auto"/>
        <w:rPr>
          <w:rFonts w:ascii="Times New Roman" w:eastAsiaTheme="minorEastAsia" w:hAnsi="Times New Roman" w:cs="Times New Roman"/>
          <w:i/>
          <w:lang w:val="lt-LT"/>
        </w:rPr>
      </w:pPr>
      <w:r w:rsidRPr="00846A3E">
        <w:rPr>
          <w:rFonts w:ascii="Times New Roman" w:eastAsiaTheme="minorEastAsia" w:hAnsi="Times New Roman" w:cs="Times New Roman"/>
          <w:i/>
          <w:lang w:val="lt-LT"/>
        </w:rPr>
        <w:lastRenderedPageBreak/>
        <w:t>Gamintojas</w:t>
      </w:r>
    </w:p>
    <w:p w:rsidR="00A81AC4" w:rsidRPr="00846A3E" w:rsidRDefault="00A81AC4" w:rsidP="00A81AC4">
      <w:pPr>
        <w:keepNext/>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FAES FARMA, S.A.</w:t>
      </w:r>
    </w:p>
    <w:p w:rsidR="00A81AC4" w:rsidRPr="00846A3E" w:rsidRDefault="00A81AC4" w:rsidP="00A81AC4">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 xml:space="preserve">Máximo Aguirre, 14 </w:t>
      </w:r>
    </w:p>
    <w:p w:rsidR="00A81AC4" w:rsidRPr="00846A3E" w:rsidRDefault="00A81AC4" w:rsidP="00A81AC4">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48940 – Lejona (Vizcaya)</w:t>
      </w:r>
    </w:p>
    <w:p w:rsidR="00A81AC4" w:rsidRPr="00846A3E" w:rsidRDefault="00A81AC4" w:rsidP="00A81AC4">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Ispanija</w:t>
      </w:r>
    </w:p>
    <w:p w:rsidR="00A81AC4" w:rsidRPr="00846A3E" w:rsidRDefault="00A81AC4" w:rsidP="00A81AC4">
      <w:pPr>
        <w:widowControl w:val="0"/>
        <w:autoSpaceDE w:val="0"/>
        <w:autoSpaceDN w:val="0"/>
        <w:adjustRightInd w:val="0"/>
        <w:snapToGrid w:val="0"/>
        <w:spacing w:after="0" w:line="240" w:lineRule="auto"/>
        <w:rPr>
          <w:rFonts w:ascii="Times New Roman" w:eastAsiaTheme="minorEastAsia" w:hAnsi="Times New Roman" w:cs="Times New Roman"/>
          <w:lang w:val="lt-LT"/>
        </w:rPr>
      </w:pPr>
    </w:p>
    <w:p w:rsidR="00A81AC4" w:rsidRPr="00846A3E" w:rsidRDefault="00A81AC4" w:rsidP="00A81AC4">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arba</w:t>
      </w:r>
    </w:p>
    <w:p w:rsidR="00A81AC4" w:rsidRPr="00846A3E" w:rsidRDefault="00A81AC4" w:rsidP="00A81AC4">
      <w:pPr>
        <w:widowControl w:val="0"/>
        <w:autoSpaceDE w:val="0"/>
        <w:autoSpaceDN w:val="0"/>
        <w:adjustRightInd w:val="0"/>
        <w:snapToGrid w:val="0"/>
        <w:spacing w:after="0" w:line="240" w:lineRule="auto"/>
        <w:rPr>
          <w:rFonts w:ascii="Times New Roman" w:eastAsiaTheme="minorEastAsia" w:hAnsi="Times New Roman" w:cs="Times New Roman"/>
          <w:lang w:val="lt-LT"/>
        </w:rPr>
      </w:pPr>
    </w:p>
    <w:p w:rsidR="00A81AC4" w:rsidRPr="00846A3E" w:rsidRDefault="00A81AC4" w:rsidP="00A81AC4">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A. Menarini Manufacturing Logistics and Services S.r.L.</w:t>
      </w:r>
    </w:p>
    <w:p w:rsidR="00A81AC4" w:rsidRPr="00846A3E" w:rsidRDefault="00A81AC4" w:rsidP="00A81AC4">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 xml:space="preserve">Via Campo di Pile </w:t>
      </w:r>
    </w:p>
    <w:p w:rsidR="00A81AC4" w:rsidRPr="00846A3E" w:rsidRDefault="00A81AC4" w:rsidP="00A81AC4">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67100, L’Aquila (AQ)</w:t>
      </w:r>
    </w:p>
    <w:p w:rsidR="00A81AC4" w:rsidRPr="00846A3E" w:rsidRDefault="00A81AC4" w:rsidP="00A81AC4">
      <w:pPr>
        <w:widowControl w:val="0"/>
        <w:autoSpaceDE w:val="0"/>
        <w:autoSpaceDN w:val="0"/>
        <w:adjustRightInd w:val="0"/>
        <w:snapToGrid w:val="0"/>
        <w:spacing w:after="0" w:line="240" w:lineRule="auto"/>
        <w:rPr>
          <w:rFonts w:ascii="Times New Roman" w:eastAsia="Times New Roman" w:hAnsi="Times New Roman" w:cs="Times New Roman"/>
          <w:color w:val="000000"/>
          <w:lang w:val="lt-LT" w:eastAsia="de-DE"/>
        </w:rPr>
      </w:pPr>
      <w:r w:rsidRPr="00846A3E">
        <w:rPr>
          <w:rFonts w:ascii="Times New Roman" w:eastAsia="Times New Roman" w:hAnsi="Times New Roman" w:cs="Times New Roman"/>
          <w:color w:val="000000"/>
          <w:lang w:val="lt-LT" w:eastAsia="de-DE"/>
        </w:rPr>
        <w:t>Italija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Jeigu apie šį vaistą norite sužinoti daugiau, kreipkitės į vietinį registruotojo atstovą.</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UAB „BERLIN CHEMIE MENARINI BALTIC“</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 Jasinskio g. 16a, LT-03163 Vilnius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Lietuva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Tel.: +370 5 269 19 43</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El. paštas: lt@berlin-chemie.com</w:t>
      </w:r>
      <w:r w:rsidRPr="00846A3E">
        <w:rPr>
          <w:rFonts w:ascii="Times New Roman" w:eastAsia="Calibri" w:hAnsi="Times New Roman" w:cs="Times New Roman"/>
          <w:lang w:val="lt-LT"/>
        </w:rPr>
        <w:cr/>
      </w:r>
    </w:p>
    <w:p w:rsidR="00A81AC4" w:rsidRPr="00846A3E" w:rsidRDefault="00A81AC4" w:rsidP="00A81AC4">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hAnsi="Times New Roman" w:cs="Times New Roman"/>
          <w:b/>
          <w:lang w:val="lt-LT"/>
        </w:rPr>
        <w:t>Šis vaistas Europos ekonominės erdvės valstybėse narėse registruotas tokiais pavadinimais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Airija: Drynol 20 mg orodispersible tablets </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Austrija: Olisir 20 mg Schmelztabletten </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Belgija: Bellozal 20 mg orodispersible tablets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Bulgarija: </w:t>
      </w:r>
      <w:r w:rsidRPr="00846A3E">
        <w:rPr>
          <w:rFonts w:ascii="Times New Roman" w:eastAsia="Calibri" w:hAnsi="Times New Roman" w:cs="Times New Roman"/>
          <w:bCs/>
          <w:color w:val="000000"/>
          <w:lang w:val="lt-LT"/>
        </w:rPr>
        <w:t>Фортекал за деца 20 mg диспергиращи се в устата таблетки</w:t>
      </w:r>
      <w:r w:rsidRPr="00846A3E">
        <w:rPr>
          <w:rFonts w:ascii="Times New Roman" w:eastAsia="Calibri" w:hAnsi="Times New Roman" w:cs="Times New Roman"/>
          <w:lang w:val="lt-LT"/>
        </w:rPr>
        <w:t xml:space="preserve"> </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Čekija: Xados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Estija: Opexa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Graikija: Bilaz 20 mg δισκία διασπειρόμενα στο στόμα</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Ispanija: Ibis 20 mg comprimidos bucodispersables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Italija: Bysabel 20 mg compressa orodispersibile</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Kipras: Bilaz 20 mg δισκία διασπειρόμενα στο στόμα</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Kroatija: Nixar 20 mg raspadljive tablete za usta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Latvija: Opexa 20 mg mutē disperģējamās tabletes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Lietuva: Opexa 20 mg burnoje disperguojamos tabletės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Liuksemburgas: Bellozal 20 mg orodispersible tablets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Lenkija: Clatra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Malta: Gosall 20 mg orodispersible tablets</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Prancūzija: Bilaska 20 mg comprimé orodispersible</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Portugalija: Lergonix 20 mg comprimido orodispersível</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Rumunija: Borenar 20 mg comprimate orodispersabile</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Suomija: Revitelle 20 mg tabletti, suussa hajoava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Slovakija: Omarit 20 mg orodispergovateľné tablety</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Slovėnija: Bilador 20 mg orodisperzibilne tablete</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Vokietija: Bilaxten 20 mg Schmelztabletten</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Vengrija: Lendin NEO 20 mg szájban diszpergálódó tabletta</w:t>
      </w: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bCs/>
          <w:lang w:val="lt-LT"/>
        </w:rPr>
        <w:t>Šis pakuotės lapelis</w:t>
      </w:r>
      <w:r w:rsidRPr="00846A3E">
        <w:rPr>
          <w:rFonts w:ascii="Times New Roman" w:eastAsia="Calibri" w:hAnsi="Times New Roman" w:cs="Times New Roman"/>
          <w:b/>
          <w:lang w:val="lt-LT"/>
        </w:rPr>
        <w:t xml:space="preserve"> paskutinį kartą peržiūrėtas 2025-02-21</w:t>
      </w:r>
      <w:r w:rsidRPr="00846A3E">
        <w:rPr>
          <w:rFonts w:ascii="Times New Roman" w:hAnsi="Times New Roman" w:cs="Times New Roman"/>
          <w:b/>
          <w:lang w:val="lt-LT"/>
        </w:rPr>
        <w:t>.</w:t>
      </w:r>
    </w:p>
    <w:p w:rsidR="00A81AC4" w:rsidRPr="00846A3E" w:rsidRDefault="00A81AC4" w:rsidP="00A81AC4">
      <w:pPr>
        <w:widowControl w:val="0"/>
        <w:adjustRightInd w:val="0"/>
        <w:snapToGrid w:val="0"/>
        <w:spacing w:after="0" w:line="240" w:lineRule="auto"/>
        <w:rPr>
          <w:rFonts w:ascii="Times New Roman" w:eastAsiaTheme="minorEastAsia"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Theme="minorEastAsia" w:hAnsi="Times New Roman" w:cs="Times New Roman"/>
          <w:lang w:val="lt-LT"/>
        </w:rPr>
      </w:pPr>
    </w:p>
    <w:p w:rsidR="00A81AC4" w:rsidRPr="00846A3E" w:rsidRDefault="00A81AC4" w:rsidP="00A81AC4">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Išsami informacija apie šį vaistą pateikiama Valstybinės vaistų kontrolės tarnybos prie Lietuvos Respublikos sveikatos apsaugos ministerijos tinklalapyje </w:t>
      </w:r>
      <w:hyperlink r:id="rId5" w:history="1">
        <w:r w:rsidRPr="00846A3E">
          <w:rPr>
            <w:rFonts w:ascii="Times New Roman" w:eastAsia="Calibri" w:hAnsi="Times New Roman" w:cs="Times New Roman"/>
            <w:color w:val="0000FF"/>
            <w:u w:val="single"/>
            <w:lang w:val="lt-LT"/>
          </w:rPr>
          <w:t>http://www.vvkt.lt/</w:t>
        </w:r>
      </w:hyperlink>
    </w:p>
    <w:p w:rsidR="00A81AC4" w:rsidRPr="00D65358" w:rsidRDefault="00A81AC4" w:rsidP="00A81AC4">
      <w:pPr>
        <w:widowControl w:val="0"/>
        <w:adjustRightInd w:val="0"/>
        <w:snapToGrid w:val="0"/>
        <w:spacing w:after="0" w:line="240" w:lineRule="auto"/>
        <w:rPr>
          <w:rFonts w:ascii="Times New Roman" w:hAnsi="Times New Roman" w:cs="Times New Roman"/>
          <w:lang w:val="lt-LT"/>
        </w:rPr>
      </w:pPr>
    </w:p>
    <w:p w:rsidR="00BA6577" w:rsidRDefault="00BA6577">
      <w:bookmarkStart w:id="12" w:name="_GoBack"/>
      <w:bookmarkEnd w:id="12"/>
    </w:p>
    <w:sectPr w:rsidR="00BA6577" w:rsidSect="00F86DA8">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14DE" w:rsidRPr="00AD623E" w:rsidRDefault="00A81AC4">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Pr>
        <w:noProof/>
        <w:sz w:val="22"/>
        <w:szCs w:val="22"/>
      </w:rPr>
      <w:t>6</w:t>
    </w:r>
    <w:r w:rsidRPr="00AD623E">
      <w:rPr>
        <w:sz w:val="22"/>
        <w:szCs w:val="22"/>
      </w:rPr>
      <w:fldChar w:fldCharType="end"/>
    </w:r>
  </w:p>
  <w:p w:rsidR="003514DE" w:rsidRDefault="00A81AC4">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BD062A"/>
    <w:multiLevelType w:val="hybridMultilevel"/>
    <w:tmpl w:val="D45A3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725F09"/>
    <w:multiLevelType w:val="hybridMultilevel"/>
    <w:tmpl w:val="63484F96"/>
    <w:lvl w:ilvl="0" w:tplc="379A7482">
      <w:start w:val="7"/>
      <w:numFmt w:val="bullet"/>
      <w:lvlText w:val="-"/>
      <w:lvlJc w:val="left"/>
      <w:pPr>
        <w:ind w:left="1855" w:hanging="360"/>
      </w:pPr>
      <w:rPr>
        <w:rFonts w:ascii="Calibri" w:eastAsia="Times New Roman" w:hAnsi="Calibri"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2" w15:restartNumberingAfterBreak="0">
    <w:nsid w:val="264D1956"/>
    <w:multiLevelType w:val="hybridMultilevel"/>
    <w:tmpl w:val="64080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450991"/>
    <w:multiLevelType w:val="hybridMultilevel"/>
    <w:tmpl w:val="5EB6047E"/>
    <w:lvl w:ilvl="0" w:tplc="C25600A0">
      <w:start w:val="1"/>
      <w:numFmt w:val="bullet"/>
      <w:lvlText w:val="-"/>
      <w:lvlJc w:val="left"/>
      <w:pPr>
        <w:ind w:left="1855" w:hanging="360"/>
      </w:pPr>
      <w:rPr>
        <w:rFonts w:ascii="Times New Roman" w:eastAsia="Times New Roman" w:hAnsi="Times New Roman" w:hint="default"/>
        <w:b/>
        <w:sz w:val="24"/>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4" w15:restartNumberingAfterBreak="0">
    <w:nsid w:val="5CA73403"/>
    <w:multiLevelType w:val="hybridMultilevel"/>
    <w:tmpl w:val="1BFACCB0"/>
    <w:lvl w:ilvl="0" w:tplc="379A7482">
      <w:start w:val="7"/>
      <w:numFmt w:val="bullet"/>
      <w:lvlText w:val="-"/>
      <w:lvlJc w:val="left"/>
      <w:pPr>
        <w:ind w:left="1855" w:hanging="360"/>
      </w:pPr>
      <w:rPr>
        <w:rFonts w:ascii="Calibri" w:eastAsia="Times New Roman" w:hAnsi="Calibri"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5" w15:restartNumberingAfterBreak="0">
    <w:nsid w:val="75075192"/>
    <w:multiLevelType w:val="hybridMultilevel"/>
    <w:tmpl w:val="272C4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AC4"/>
    <w:rsid w:val="00070BFA"/>
    <w:rsid w:val="00072F85"/>
    <w:rsid w:val="000A5E72"/>
    <w:rsid w:val="000A7B60"/>
    <w:rsid w:val="00181364"/>
    <w:rsid w:val="002945D9"/>
    <w:rsid w:val="00305C48"/>
    <w:rsid w:val="003362C6"/>
    <w:rsid w:val="00497D4D"/>
    <w:rsid w:val="005F6F06"/>
    <w:rsid w:val="00677BFD"/>
    <w:rsid w:val="00742EBF"/>
    <w:rsid w:val="00A81AC4"/>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A1852F-683D-4B5D-8132-F1E2D33BA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81AC4"/>
    <w:pPr>
      <w:spacing w:after="200" w:line="276" w:lineRule="auto"/>
    </w:pPr>
    <w:rPr>
      <w:rFonts w:eastAsiaTheme="minorHAnsi"/>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orat">
    <w:name w:val="footer"/>
    <w:basedOn w:val="prastasis"/>
    <w:link w:val="PoratDiagrama"/>
    <w:uiPriority w:val="99"/>
    <w:unhideWhenUsed/>
    <w:rsid w:val="00A81AC4"/>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A81AC4"/>
    <w:rPr>
      <w:rFonts w:ascii="Times New Roman" w:hAnsi="Times New Roman" w:cs="Times New Roman"/>
      <w:sz w:val="24"/>
      <w:szCs w:val="24"/>
    </w:rPr>
  </w:style>
  <w:style w:type="paragraph" w:styleId="Sraopastraipa">
    <w:name w:val="List Paragraph"/>
    <w:basedOn w:val="prastasis"/>
    <w:uiPriority w:val="34"/>
    <w:qFormat/>
    <w:rsid w:val="00A81AC4"/>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8517</Words>
  <Characters>4856</Characters>
  <Application>Microsoft Office Word</Application>
  <DocSecurity>0</DocSecurity>
  <Lines>40</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2025-06-09T08:30:00Z</dcterms:created>
  <dcterms:modified xsi:type="dcterms:W3CDTF">2025-06-09T08:31:00Z</dcterms:modified>
</cp:coreProperties>
</file>