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4ABC" w:rsidRPr="0001167D" w:rsidRDefault="00BD4ABC" w:rsidP="00BD4ABC">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t>Pakuotės lapelis: informacija pacientui</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utoSpaceDE w:val="0"/>
        <w:autoSpaceDN w:val="0"/>
        <w:adjustRightInd w:val="0"/>
        <w:snapToGrid w:val="0"/>
        <w:jc w:val="center"/>
        <w:textAlignment w:val="center"/>
        <w:rPr>
          <w:rFonts w:ascii="Times New Roman" w:eastAsia="Times New Roman" w:hAnsi="Times New Roman" w:cs="Times New Roman"/>
          <w:b/>
          <w:color w:val="000000"/>
          <w:spacing w:val="-1"/>
          <w:lang w:val="lt-LT" w:eastAsia="lt-LT"/>
        </w:rPr>
      </w:pPr>
      <w:r w:rsidRPr="0001167D">
        <w:rPr>
          <w:rFonts w:ascii="Times New Roman" w:eastAsia="Times New Roman" w:hAnsi="Times New Roman" w:cs="Times New Roman"/>
          <w:b/>
          <w:color w:val="000000"/>
          <w:lang w:val="lt-LT" w:eastAsia="lt-LT"/>
        </w:rPr>
        <w:t xml:space="preserve">Opexa 20 mg </w:t>
      </w:r>
      <w:r w:rsidRPr="0001167D">
        <w:rPr>
          <w:rFonts w:ascii="Times New Roman" w:eastAsia="Times New Roman" w:hAnsi="Times New Roman" w:cs="Times New Roman"/>
          <w:b/>
          <w:color w:val="000000"/>
          <w:spacing w:val="-1"/>
          <w:lang w:val="lt-LT" w:eastAsia="lt-LT"/>
        </w:rPr>
        <w:t>burnoje disperguojamos tabletės</w:t>
      </w:r>
    </w:p>
    <w:p w:rsidR="00BD4ABC" w:rsidRPr="0001167D" w:rsidRDefault="00BD4ABC" w:rsidP="00BD4ABC">
      <w:pPr>
        <w:widowControl w:val="0"/>
        <w:adjustRightInd w:val="0"/>
        <w:snapToGrid w:val="0"/>
        <w:jc w:val="center"/>
        <w:rPr>
          <w:rFonts w:ascii="Times New Roman" w:eastAsia="Calibri" w:hAnsi="Times New Roman" w:cs="Times New Roman"/>
          <w:lang w:val="lt-LT"/>
        </w:rPr>
      </w:pPr>
    </w:p>
    <w:p w:rsidR="00BD4ABC" w:rsidRPr="0001167D" w:rsidRDefault="00BD4ABC" w:rsidP="00BD4ABC">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bilastinas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Atidžiai perskaitykite visą šį lapelį, prieš Jums pradedant vartoti šį vaistą, nes jame pateikiama Jums svarbi informacija.</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Neišmeskite šio lapelio, nes vėl gali prireikti jį perskaityti.</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Jeigu kiltų daugiau klausimų, kreipkitės į gydytoją arba vaistininką.</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Jeigu Jums pasireiškė šalutinis poveikis (net jeigu jis šiame lapelyje nenurodytas), kreipkitės į gydytoją arba vaistininką. Žr. 4</w:t>
      </w:r>
      <w:r w:rsidRPr="000E1827">
        <w:rPr>
          <w:rFonts w:ascii="Times New Roman" w:hAnsi="Times New Roman" w:cs="Times New Roman"/>
          <w:lang w:val="lt-LT"/>
        </w:rPr>
        <w:t> </w:t>
      </w:r>
      <w:r w:rsidRPr="0001167D">
        <w:rPr>
          <w:rFonts w:ascii="Times New Roman" w:eastAsia="Calibri" w:hAnsi="Times New Roman" w:cs="Times New Roman"/>
          <w:lang w:val="lt-LT"/>
        </w:rPr>
        <w:t>skyrių.</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Apie ką rašoma šiame lapelyje?</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1.</w:t>
      </w:r>
      <w:r w:rsidRPr="0001167D">
        <w:rPr>
          <w:rFonts w:ascii="Times New Roman" w:eastAsia="Calibri" w:hAnsi="Times New Roman" w:cs="Times New Roman"/>
          <w:lang w:val="lt-LT"/>
        </w:rPr>
        <w:tab/>
        <w:t>Kas yra Opexa ir kam jis vartojamas</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2.</w:t>
      </w:r>
      <w:r w:rsidRPr="0001167D">
        <w:rPr>
          <w:rFonts w:ascii="Times New Roman" w:eastAsia="Calibri" w:hAnsi="Times New Roman" w:cs="Times New Roman"/>
          <w:lang w:val="lt-LT"/>
        </w:rPr>
        <w:tab/>
        <w:t>Kas žinotina prieš vartojant Opexa</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3.</w:t>
      </w:r>
      <w:r w:rsidRPr="0001167D">
        <w:rPr>
          <w:rFonts w:ascii="Times New Roman" w:eastAsia="Calibri" w:hAnsi="Times New Roman" w:cs="Times New Roman"/>
          <w:lang w:val="lt-LT"/>
        </w:rPr>
        <w:tab/>
        <w:t xml:space="preserve">Kaip vartoti Opexa </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4.</w:t>
      </w:r>
      <w:r w:rsidRPr="0001167D">
        <w:rPr>
          <w:rFonts w:ascii="Times New Roman" w:eastAsia="Calibri" w:hAnsi="Times New Roman" w:cs="Times New Roman"/>
          <w:lang w:val="lt-LT"/>
        </w:rPr>
        <w:tab/>
        <w:t>Galimas šalutinis poveikis</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5.</w:t>
      </w:r>
      <w:r w:rsidRPr="0001167D">
        <w:rPr>
          <w:rFonts w:ascii="Times New Roman" w:eastAsia="Calibri" w:hAnsi="Times New Roman" w:cs="Times New Roman"/>
          <w:lang w:val="lt-LT"/>
        </w:rPr>
        <w:tab/>
        <w:t>Kaip laikyti Opexa</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6.</w:t>
      </w:r>
      <w:r w:rsidRPr="0001167D">
        <w:rPr>
          <w:rFonts w:ascii="Times New Roman" w:eastAsia="Calibri" w:hAnsi="Times New Roman" w:cs="Times New Roman"/>
          <w:lang w:val="lt-LT"/>
        </w:rPr>
        <w:tab/>
        <w:t>Pakuotės turinys ir kita informacija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0" w:name="_Toc129243264"/>
      <w:bookmarkStart w:id="1" w:name="_Toc129243139"/>
      <w:r w:rsidRPr="0001167D">
        <w:rPr>
          <w:rFonts w:ascii="Times New Roman" w:eastAsia="Times New Roman" w:hAnsi="Times New Roman" w:cs="Times New Roman"/>
          <w:b/>
          <w:lang w:val="lt-LT"/>
        </w:rPr>
        <w:t>1.</w:t>
      </w:r>
      <w:r w:rsidRPr="0001167D">
        <w:rPr>
          <w:rFonts w:ascii="Times New Roman" w:eastAsia="Times New Roman" w:hAnsi="Times New Roman" w:cs="Times New Roman"/>
          <w:b/>
          <w:lang w:val="lt-LT"/>
        </w:rPr>
        <w:tab/>
      </w:r>
      <w:bookmarkEnd w:id="0"/>
      <w:bookmarkEnd w:id="1"/>
      <w:r w:rsidRPr="0001167D">
        <w:rPr>
          <w:rFonts w:ascii="Times New Roman" w:eastAsia="Times New Roman" w:hAnsi="Times New Roman" w:cs="Times New Roman"/>
          <w:b/>
          <w:lang w:val="lt-LT"/>
        </w:rPr>
        <w:t>Kas yra Opexa ir kam jis vartojamas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Opexa tablečių sudėties veiklioji medžiaga bilastinas yra antihistamininis vaistas. </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Opexa 10 mg </w:t>
      </w:r>
      <w:r w:rsidRPr="0001167D">
        <w:rPr>
          <w:rFonts w:ascii="Times New Roman" w:eastAsia="Times New Roman" w:hAnsi="Times New Roman" w:cs="Times New Roman"/>
          <w:color w:val="000000"/>
          <w:spacing w:val="-1"/>
          <w:lang w:val="lt-LT" w:eastAsia="lt-LT"/>
        </w:rPr>
        <w:t xml:space="preserve">burnoje disperguojamos tabletės </w:t>
      </w:r>
      <w:r w:rsidRPr="0001167D">
        <w:rPr>
          <w:rFonts w:ascii="Times New Roman" w:eastAsia="Times New Roman" w:hAnsi="Times New Roman" w:cs="Times New Roman"/>
          <w:color w:val="000000"/>
          <w:lang w:val="lt-LT" w:eastAsia="lt-LT"/>
        </w:rPr>
        <w:t>vartojamos šienligės (kuriai būdingi simptomai yra čiaudulys, niežulys, sloga, užgulta nosis, paraudusios ir ašarojančios akys) ir kitų alerginio rinito formų simptomų slopinimui. Jis taip pat gali būti vartojamas niežtinčių odos išbėrimų (dilgėlinės arba urtikarijos) gydymui.</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2" w:name="_Toc129243265"/>
      <w:bookmarkStart w:id="3" w:name="_Toc129243140"/>
      <w:r w:rsidRPr="0001167D">
        <w:rPr>
          <w:rFonts w:ascii="Times New Roman" w:eastAsia="Times New Roman" w:hAnsi="Times New Roman" w:cs="Times New Roman"/>
          <w:b/>
          <w:lang w:val="lt-LT"/>
        </w:rPr>
        <w:t>2.</w:t>
      </w:r>
      <w:r w:rsidRPr="0001167D">
        <w:rPr>
          <w:rFonts w:ascii="Times New Roman" w:eastAsia="Times New Roman" w:hAnsi="Times New Roman" w:cs="Times New Roman"/>
          <w:b/>
          <w:lang w:val="lt-LT"/>
        </w:rPr>
        <w:tab/>
      </w:r>
      <w:bookmarkEnd w:id="2"/>
      <w:bookmarkEnd w:id="3"/>
      <w:r w:rsidRPr="0001167D">
        <w:rPr>
          <w:rFonts w:ascii="Times New Roman" w:eastAsia="Times New Roman" w:hAnsi="Times New Roman" w:cs="Times New Roman"/>
          <w:b/>
          <w:lang w:val="lt-LT"/>
        </w:rPr>
        <w:t>Kas žinotina prieš vartojant Opexa</w:t>
      </w:r>
    </w:p>
    <w:p w:rsidR="00BD4ABC" w:rsidRPr="0001167D" w:rsidRDefault="00BD4ABC" w:rsidP="00BD4ABC">
      <w:pPr>
        <w:widowControl w:val="0"/>
        <w:tabs>
          <w:tab w:val="left" w:pos="567"/>
        </w:tabs>
        <w:adjustRightInd w:val="0"/>
        <w:snapToGrid w:val="0"/>
        <w:ind w:hanging="567"/>
        <w:outlineLvl w:val="1"/>
        <w:rPr>
          <w:rFonts w:ascii="Times New Roman" w:eastAsia="Times New Roman" w:hAnsi="Times New Roman" w:cs="Times New Roman"/>
          <w:b/>
          <w:lang w:val="lt-LT"/>
        </w:rPr>
      </w:pPr>
    </w:p>
    <w:p w:rsidR="00BD4ABC" w:rsidRPr="0001167D" w:rsidRDefault="00BD4ABC" w:rsidP="00BD4ABC">
      <w:pPr>
        <w:widowControl w:val="0"/>
        <w:adjustRightInd w:val="0"/>
        <w:snapToGrid w:val="0"/>
        <w:rPr>
          <w:rFonts w:ascii="Times New Roman" w:eastAsiaTheme="minorEastAsia" w:hAnsi="Times New Roman" w:cs="Times New Roman"/>
          <w:b/>
          <w:caps/>
          <w:lang w:val="lt-LT"/>
        </w:rPr>
      </w:pPr>
      <w:r w:rsidRPr="0001167D">
        <w:rPr>
          <w:rFonts w:ascii="Times New Roman" w:eastAsiaTheme="minorEastAsia" w:hAnsi="Times New Roman" w:cs="Times New Roman"/>
          <w:b/>
          <w:lang w:val="lt-LT"/>
        </w:rPr>
        <w:t>Opexa</w:t>
      </w:r>
      <w:r w:rsidRPr="0001167D">
        <w:rPr>
          <w:rFonts w:ascii="Times New Roman" w:eastAsiaTheme="minorEastAsia" w:hAnsi="Times New Roman" w:cs="Times New Roman"/>
          <w:b/>
          <w:bCs/>
          <w:lang w:val="lt-LT"/>
        </w:rPr>
        <w:t xml:space="preserve"> vartoti draudžiama</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Jums yra alergija bilastinui arba bet kuriai pagalbinei šio vaisto medžiagai (jos išvardytos 6</w:t>
      </w:r>
      <w:r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skyriuje).</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Įspėjimai ir atsargumo priemonės</w:t>
      </w:r>
    </w:p>
    <w:p w:rsidR="00BD4ABC" w:rsidRPr="0001167D" w:rsidRDefault="00BD4ABC" w:rsidP="00BD4ABC">
      <w:pPr>
        <w:widowControl w:val="0"/>
        <w:adjustRightInd w:val="0"/>
        <w:snapToGrid w:val="0"/>
        <w:rPr>
          <w:rFonts w:ascii="Times New Roman" w:hAnsi="Times New Roman" w:cs="Times New Roman"/>
          <w:lang w:val="lt-LT"/>
        </w:rPr>
      </w:pPr>
      <w:r w:rsidRPr="0001167D">
        <w:rPr>
          <w:rFonts w:ascii="Times New Roman" w:eastAsia="Times New Roman" w:hAnsi="Times New Roman" w:cs="Times New Roman"/>
          <w:bCs/>
          <w:lang w:val="lt-LT"/>
        </w:rPr>
        <w:t xml:space="preserve">Pasitarkite su gydytoju arba vaistininku prieš pradedant vartoti Opexa, jei Jums nustatytas vidutinio sunkumo arba sunkus inkstų veiklos sutrikimas, </w:t>
      </w:r>
      <w:r w:rsidRPr="0001167D">
        <w:rPr>
          <w:rFonts w:ascii="Times New Roman" w:hAnsi="Times New Roman" w:cs="Times New Roman"/>
          <w:lang w:val="lt-LT" w:bidi="lt-LT"/>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01167D">
        <w:rPr>
          <w:rFonts w:ascii="Times New Roman" w:eastAsia="Times New Roman" w:hAnsi="Times New Roman" w:cs="Times New Roman"/>
          <w:bCs/>
          <w:lang w:val="lt-LT"/>
        </w:rPr>
        <w:t xml:space="preserve"> ir Jūs vartojate kitus vaistus (žr. skyrių žemiau „Kiti vaistai ir Opexa“).</w:t>
      </w:r>
    </w:p>
    <w:p w:rsidR="00BD4ABC" w:rsidRPr="0001167D" w:rsidRDefault="00BD4ABC" w:rsidP="00BD4ABC">
      <w:pPr>
        <w:widowControl w:val="0"/>
        <w:adjustRightInd w:val="0"/>
        <w:snapToGrid w:val="0"/>
        <w:rPr>
          <w:rFonts w:ascii="Times New Roman" w:eastAsia="Times New Roman" w:hAnsi="Times New Roman" w:cs="Times New Roman"/>
          <w:b/>
          <w:bCs/>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Vaikams</w:t>
      </w:r>
    </w:p>
    <w:p w:rsidR="00BD4ABC" w:rsidRPr="0001167D" w:rsidRDefault="00BD4ABC" w:rsidP="00BD4ABC">
      <w:pPr>
        <w:widowControl w:val="0"/>
        <w:adjustRightInd w:val="0"/>
        <w:snapToGrid w:val="0"/>
        <w:rPr>
          <w:rFonts w:ascii="Times New Roman" w:eastAsia="Times New Roman" w:hAnsi="Times New Roman" w:cs="Times New Roman"/>
          <w:bCs/>
          <w:lang w:val="lt-LT"/>
        </w:rPr>
      </w:pPr>
      <w:r w:rsidRPr="0001167D">
        <w:rPr>
          <w:rFonts w:ascii="Times New Roman" w:eastAsia="Times New Roman" w:hAnsi="Times New Roman" w:cs="Times New Roman"/>
          <w:b/>
          <w:bCs/>
          <w:lang w:val="lt-LT"/>
        </w:rPr>
        <w:t>Neduokite šio vaisto jaunesniems kaip 12 metų vaikams.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b/>
          <w:lang w:val="lt-LT"/>
        </w:rPr>
        <w:t>Neviršykite</w:t>
      </w:r>
      <w:r w:rsidRPr="0001167D">
        <w:rPr>
          <w:rFonts w:ascii="Times New Roman" w:eastAsia="Calibri" w:hAnsi="Times New Roman" w:cs="Times New Roman"/>
          <w:lang w:val="lt-LT"/>
        </w:rPr>
        <w:t xml:space="preserve"> rekomenduojamos dozės. Jei simptomai išlieka, kreipkitės į gydytoją.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Kiti vaistai ir Opexa</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Jeigu Jūs vartojate ar neseniai vartojote kitų vaistų, įskaitant įgytus be recepto, arba dėl to nesate tikri, </w:t>
      </w:r>
      <w:r w:rsidRPr="0001167D">
        <w:rPr>
          <w:rFonts w:ascii="Times New Roman" w:eastAsia="Calibri" w:hAnsi="Times New Roman" w:cs="Times New Roman"/>
          <w:lang w:val="lt-LT"/>
        </w:rPr>
        <w:lastRenderedPageBreak/>
        <w:t xml:space="preserve">apie tai pasakykite gydytojui arba vaistininkui. </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Pirmiausia pasitarkite su gydytoju, jeigu vartojate kurį nors iš toliau išvardytų vaistų:</w:t>
      </w:r>
    </w:p>
    <w:p w:rsidR="00BD4ABC" w:rsidRPr="0001167D" w:rsidRDefault="00BD4ABC" w:rsidP="00BD4ABC">
      <w:pPr>
        <w:pStyle w:val="Sraopastraipa"/>
        <w:widowControl w:val="0"/>
        <w:numPr>
          <w:ilvl w:val="0"/>
          <w:numId w:val="4"/>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Ketokonazolą (vaistą grybelių sukeltoms ligoms gydyti).</w:t>
      </w:r>
    </w:p>
    <w:p w:rsidR="00BD4ABC" w:rsidRPr="0001167D" w:rsidRDefault="00BD4ABC" w:rsidP="00BD4ABC">
      <w:pPr>
        <w:pStyle w:val="Sraopastraipa"/>
        <w:widowControl w:val="0"/>
        <w:numPr>
          <w:ilvl w:val="0"/>
          <w:numId w:val="4"/>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Eritromiciną (antibiotiką).</w:t>
      </w:r>
    </w:p>
    <w:p w:rsidR="00BD4ABC" w:rsidRPr="0001167D" w:rsidRDefault="00BD4ABC" w:rsidP="00BD4ABC">
      <w:pPr>
        <w:pStyle w:val="Sraopastraipa"/>
        <w:widowControl w:val="0"/>
        <w:numPr>
          <w:ilvl w:val="0"/>
          <w:numId w:val="4"/>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 xml:space="preserve">Diltiazemą (vaistą </w:t>
      </w:r>
      <w:r w:rsidRPr="000E1827">
        <w:rPr>
          <w:rFonts w:ascii="Times New Roman" w:eastAsia="Calibri" w:hAnsi="Times New Roman" w:cs="Times New Roman"/>
          <w:i/>
          <w:iCs/>
          <w:lang w:val="lt-LT"/>
        </w:rPr>
        <w:t>angina pectoris</w:t>
      </w:r>
      <w:r w:rsidRPr="0001167D">
        <w:rPr>
          <w:rFonts w:ascii="Times New Roman" w:eastAsia="Calibri" w:hAnsi="Times New Roman" w:cs="Times New Roman"/>
          <w:lang w:val="lt-LT"/>
        </w:rPr>
        <w:t xml:space="preserve"> gydyti</w:t>
      </w:r>
      <w:r w:rsidRPr="0001167D">
        <w:rPr>
          <w:rFonts w:ascii="Times New Roman" w:hAnsi="Times New Roman" w:cs="Times New Roman"/>
          <w:lang w:val="lt-LT"/>
        </w:rPr>
        <w:t>– skausmui ar spaudimui krūtinės srityje</w:t>
      </w:r>
      <w:r w:rsidRPr="0001167D">
        <w:rPr>
          <w:rFonts w:ascii="Times New Roman" w:eastAsia="Calibri" w:hAnsi="Times New Roman" w:cs="Times New Roman"/>
          <w:lang w:val="lt-LT"/>
        </w:rPr>
        <w:t>).</w:t>
      </w:r>
    </w:p>
    <w:p w:rsidR="00BD4ABC" w:rsidRPr="0001167D" w:rsidRDefault="00BD4ABC" w:rsidP="00BD4ABC">
      <w:pPr>
        <w:pStyle w:val="Sraopastraipa"/>
        <w:widowControl w:val="0"/>
        <w:numPr>
          <w:ilvl w:val="0"/>
          <w:numId w:val="4"/>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Ciklosporiną (vaistą, mažinantį imuninės sistemos aktyvumą ir tokiu būdu padedantį išvengti persodinto organo atmetimo arba mažinantį ligos aktyvumą sergant tokiomis ligomis, kaip žvynelinė, atopinis dermatitas ar reumatoidinis artritas).</w:t>
      </w:r>
    </w:p>
    <w:p w:rsidR="00BD4ABC" w:rsidRPr="0001167D" w:rsidRDefault="00BD4ABC" w:rsidP="00BD4ABC">
      <w:pPr>
        <w:pStyle w:val="Sraopastraipa"/>
        <w:widowControl w:val="0"/>
        <w:numPr>
          <w:ilvl w:val="0"/>
          <w:numId w:val="4"/>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Ritonavirą (vaistą ŽIV infekcijai gydyti).</w:t>
      </w:r>
    </w:p>
    <w:p w:rsidR="00BD4ABC" w:rsidRPr="0001167D" w:rsidRDefault="00BD4ABC" w:rsidP="00BD4ABC">
      <w:pPr>
        <w:pStyle w:val="Sraopastraipa"/>
        <w:widowControl w:val="0"/>
        <w:numPr>
          <w:ilvl w:val="0"/>
          <w:numId w:val="4"/>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Rifampiciną (antibiotiką).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Opexa vartojimas su maistu, gėrimais ir alkoholiu</w:t>
      </w:r>
    </w:p>
    <w:p w:rsidR="00BD4ABC" w:rsidRPr="0001167D" w:rsidRDefault="00BD4ABC" w:rsidP="00BD4ABC">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Šių </w:t>
      </w:r>
      <w:r w:rsidRPr="0001167D">
        <w:rPr>
          <w:rFonts w:ascii="Times New Roman" w:eastAsia="Times New Roman" w:hAnsi="Times New Roman" w:cs="Times New Roman"/>
          <w:color w:val="000000"/>
          <w:spacing w:val="-1"/>
          <w:lang w:val="lt-LT" w:eastAsia="lt-LT"/>
        </w:rPr>
        <w:t xml:space="preserve">burnoje disperguojamųjų </w:t>
      </w:r>
      <w:r w:rsidRPr="0001167D">
        <w:rPr>
          <w:rFonts w:ascii="Times New Roman" w:eastAsia="Times New Roman" w:hAnsi="Times New Roman" w:cs="Times New Roman"/>
          <w:color w:val="000000"/>
          <w:lang w:val="lt-LT" w:eastAsia="lt-LT"/>
        </w:rPr>
        <w:t xml:space="preserve">tablečių </w:t>
      </w:r>
      <w:r w:rsidRPr="0001167D">
        <w:rPr>
          <w:rFonts w:ascii="Times New Roman" w:eastAsia="Times New Roman" w:hAnsi="Times New Roman" w:cs="Times New Roman"/>
          <w:b/>
          <w:color w:val="000000"/>
          <w:lang w:val="lt-LT" w:eastAsia="lt-LT"/>
        </w:rPr>
        <w:t>negalima</w:t>
      </w:r>
      <w:r w:rsidRPr="0001167D">
        <w:rPr>
          <w:rFonts w:ascii="Times New Roman" w:eastAsia="Times New Roman" w:hAnsi="Times New Roman" w:cs="Times New Roman"/>
          <w:color w:val="000000"/>
          <w:lang w:val="lt-LT" w:eastAsia="lt-LT"/>
        </w:rPr>
        <w:t xml:space="preserve"> vartoti kartu su </w:t>
      </w:r>
      <w:r w:rsidRPr="0001167D">
        <w:rPr>
          <w:rFonts w:ascii="Times New Roman" w:eastAsia="Times New Roman" w:hAnsi="Times New Roman" w:cs="Times New Roman"/>
          <w:b/>
          <w:color w:val="000000"/>
          <w:lang w:val="lt-LT" w:eastAsia="lt-LT"/>
        </w:rPr>
        <w:t>maistu</w:t>
      </w:r>
      <w:r w:rsidRPr="0001167D">
        <w:rPr>
          <w:rFonts w:ascii="Times New Roman" w:eastAsia="Times New Roman" w:hAnsi="Times New Roman" w:cs="Times New Roman"/>
          <w:color w:val="000000"/>
          <w:lang w:val="lt-LT" w:eastAsia="lt-LT"/>
        </w:rPr>
        <w:t xml:space="preserve">, </w:t>
      </w:r>
      <w:r w:rsidRPr="0001167D">
        <w:rPr>
          <w:rFonts w:ascii="Times New Roman" w:eastAsia="Times New Roman" w:hAnsi="Times New Roman" w:cs="Times New Roman"/>
          <w:b/>
          <w:color w:val="000000"/>
          <w:lang w:val="lt-LT" w:eastAsia="lt-LT"/>
        </w:rPr>
        <w:t>greipfrutų ar kitų vaisių sultimis</w:t>
      </w:r>
      <w:r w:rsidRPr="0001167D">
        <w:rPr>
          <w:rFonts w:ascii="Times New Roman" w:eastAsia="Times New Roman" w:hAnsi="Times New Roman" w:cs="Times New Roman"/>
          <w:color w:val="000000"/>
          <w:lang w:val="lt-LT" w:eastAsia="lt-LT"/>
        </w:rPr>
        <w:t>, nes tai sumažins bilastino veiksmingumą. Siekiant to išvengti, Jūs galite:</w:t>
      </w:r>
    </w:p>
    <w:p w:rsidR="00BD4ABC" w:rsidRPr="0001167D" w:rsidRDefault="00BD4ABC" w:rsidP="00BD4ABC">
      <w:pPr>
        <w:pStyle w:val="Sraopastraipa"/>
        <w:widowControl w:val="0"/>
        <w:numPr>
          <w:ilvl w:val="0"/>
          <w:numId w:val="5"/>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išgerkite burnoje disperguojamą tabletę ir padarykite vienos valandos pertrauką iki valgymo arba sulčių gėrimo arba</w:t>
      </w:r>
    </w:p>
    <w:p w:rsidR="00BD4ABC" w:rsidRPr="0001167D" w:rsidRDefault="00BD4ABC" w:rsidP="00BD4ABC">
      <w:pPr>
        <w:pStyle w:val="Sraopastraipa"/>
        <w:widowControl w:val="0"/>
        <w:numPr>
          <w:ilvl w:val="0"/>
          <w:numId w:val="5"/>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 xml:space="preserve">jeigu Jūs pavalgėte arba išgėrėte sulčių, reikia palaukti dvi valandas ir tada išgerti burnoje disperguojamą tabletę. </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Rekomenduojama bilastino dozė (20 mg) nesustiprina alkoholio sukelto mieguistumo.</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Nėštumas, žindymo laikotarpis ir vaisingumas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Kokių nors duomenų apie bilastino vartojimą nėštumo ar žindymo metu, o taip pat apie jo poveikį vaisingumui nėra arba jie labai riboti.</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 esate nėščia, žindote kūdikį, manote, kad galbūt esate nėščia, arba planuojate pastoti, tai prieš vartodama šį vaistą, pasitarkite su gydytoju.</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Prieš pradedant vartoti bet kokį vaistą pasitarkite su gydytoju.</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Vairavimas ir mechanizmų valdymas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Nustatyta, kad bilastino 20 mg dozė nesutrikdo suaugusiųjų gebėjimo vairuoti. Tačiau kiekvieno paciento reakciją į vaistą gali būti skirtinga. Todėl prieš vairuodami ar valdydami mechanizmus turite patikrinti, kaip šis vaistas Jus veikia.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outlineLvl w:val="3"/>
        <w:rPr>
          <w:rFonts w:ascii="Times New Roman" w:eastAsia="Times New Roman" w:hAnsi="Times New Roman" w:cs="Times New Roman"/>
          <w:b/>
          <w:iCs/>
          <w:lang w:val="lt-LT"/>
        </w:rPr>
      </w:pPr>
      <w:r w:rsidRPr="0001167D">
        <w:rPr>
          <w:rFonts w:ascii="Times New Roman" w:eastAsia="Times New Roman" w:hAnsi="Times New Roman" w:cs="Times New Roman"/>
          <w:b/>
          <w:iCs/>
          <w:lang w:val="lt-LT"/>
        </w:rPr>
        <w:t>Opexa yra natrio ir etanolio</w:t>
      </w:r>
    </w:p>
    <w:p w:rsidR="00BD4ABC" w:rsidRPr="0001167D" w:rsidRDefault="00BD4ABC" w:rsidP="00BD4ABC">
      <w:pPr>
        <w:widowControl w:val="0"/>
        <w:adjustRightInd w:val="0"/>
        <w:snapToGrid w:val="0"/>
        <w:rPr>
          <w:rFonts w:ascii="Times New Roman" w:hAnsi="Times New Roman" w:cs="Times New Roman"/>
          <w:iCs/>
          <w:lang w:val="lt-LT" w:eastAsia="lt-LT"/>
        </w:rPr>
      </w:pPr>
      <w:r w:rsidRPr="0001167D">
        <w:rPr>
          <w:rFonts w:ascii="Times New Roman" w:hAnsi="Times New Roman" w:cs="Times New Roman"/>
          <w:iCs/>
          <w:lang w:val="lt-LT"/>
        </w:rPr>
        <w:t xml:space="preserve">Šio vaisto burnoje disperguojamoje tabletėje yra mažiau kaip 1 mmol (23 mg) natrio, </w:t>
      </w:r>
      <w:r w:rsidRPr="0001167D">
        <w:rPr>
          <w:rFonts w:ascii="Times New Roman" w:hAnsi="Times New Roman" w:cs="Times New Roman"/>
          <w:iCs/>
          <w:lang w:val="lt-LT" w:eastAsia="lt-LT"/>
        </w:rPr>
        <w:t>t. y. jis beveik neturi reikšmės.</w:t>
      </w:r>
    </w:p>
    <w:p w:rsidR="00BD4ABC" w:rsidRPr="0001167D" w:rsidRDefault="00BD4ABC" w:rsidP="00BD4ABC">
      <w:pPr>
        <w:widowControl w:val="0"/>
        <w:adjustRightInd w:val="0"/>
        <w:snapToGrid w:val="0"/>
        <w:rPr>
          <w:rFonts w:ascii="Times New Roman" w:hAnsi="Times New Roman" w:cs="Times New Roman"/>
          <w:iCs/>
          <w:lang w:val="lt-LT" w:eastAsia="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Kiekvienoje šio vaisto burnoje disperguojamojoje tabletėje yra 0,0030</w:t>
      </w:r>
      <w:r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mg alkoholio (etanolio), tai atitinka 1,6 mg/100 g (0,0016%</w:t>
      </w:r>
      <w:r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m/m). Toks vienoje burnoje disperguojamoje tabletėje, sveriančioje 185 mg, esantis alkoholio kiekis atitinka mažiau nei 1 ml alaus arba 1 ml vyno.</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Mažas alkoholio kiekis, esantis šio vaisto sudėtyje, nesukelia jokio pastebimo poveikio.</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4" w:name="_Toc129243266"/>
      <w:bookmarkStart w:id="5" w:name="_Toc129243141"/>
      <w:r w:rsidRPr="0001167D">
        <w:rPr>
          <w:rFonts w:ascii="Times New Roman" w:eastAsia="Times New Roman" w:hAnsi="Times New Roman" w:cs="Times New Roman"/>
          <w:b/>
          <w:lang w:val="lt-LT"/>
        </w:rPr>
        <w:t>3.</w:t>
      </w:r>
      <w:r w:rsidRPr="0001167D">
        <w:rPr>
          <w:rFonts w:ascii="Times New Roman" w:eastAsia="Times New Roman" w:hAnsi="Times New Roman" w:cs="Times New Roman"/>
          <w:b/>
          <w:lang w:val="lt-LT"/>
        </w:rPr>
        <w:tab/>
      </w:r>
      <w:bookmarkEnd w:id="4"/>
      <w:bookmarkEnd w:id="5"/>
      <w:r w:rsidRPr="0001167D">
        <w:rPr>
          <w:rFonts w:ascii="Times New Roman" w:eastAsia="Times New Roman" w:hAnsi="Times New Roman" w:cs="Times New Roman"/>
          <w:b/>
          <w:lang w:val="lt-LT"/>
        </w:rPr>
        <w:t>Kaip vartoti Opexa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Visada vartokite šį vaistą tiksliai kaip nurodė gydytojas. Jeigu abejojate, kreipkitės į gydytoją arba vaistininką. </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Suaugusiems pacientams, įskaitant senyvus, 12 metų ir vyresniems paaugliams rekomenduojama dozė yra 1 burnoje disperguojamoji tabletė (20 mg bilastino) vieną kartą per dieną. </w:t>
      </w:r>
    </w:p>
    <w:p w:rsidR="00BD4ABC" w:rsidRPr="0001167D" w:rsidRDefault="00BD4ABC" w:rsidP="00BD4ABC">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p>
    <w:p w:rsidR="00BD4ABC" w:rsidRPr="0001167D" w:rsidRDefault="00BD4ABC" w:rsidP="00BD4ABC">
      <w:pPr>
        <w:pStyle w:val="Sraopastraipa"/>
        <w:widowControl w:val="0"/>
        <w:numPr>
          <w:ilvl w:val="0"/>
          <w:numId w:val="6"/>
        </w:numPr>
        <w:autoSpaceDE w:val="0"/>
        <w:autoSpaceDN w:val="0"/>
        <w:adjustRightInd w:val="0"/>
        <w:snapToGrid w:val="0"/>
        <w:ind w:left="567" w:hanging="567"/>
        <w:contextualSpacing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t>Burnoje disperguojama tabletė vartojama per burną.</w:t>
      </w:r>
    </w:p>
    <w:p w:rsidR="00BD4ABC" w:rsidRPr="0001167D" w:rsidRDefault="00BD4ABC" w:rsidP="00BD4ABC">
      <w:pPr>
        <w:pStyle w:val="Sraopastraipa"/>
        <w:widowControl w:val="0"/>
        <w:numPr>
          <w:ilvl w:val="0"/>
          <w:numId w:val="6"/>
        </w:numPr>
        <w:autoSpaceDE w:val="0"/>
        <w:autoSpaceDN w:val="0"/>
        <w:adjustRightInd w:val="0"/>
        <w:snapToGrid w:val="0"/>
        <w:ind w:left="567" w:hanging="567"/>
        <w:contextualSpacing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lastRenderedPageBreak/>
        <w:t>Įdėkite burnoje disperguojamą tabletę į burną. Ji greitai disperguojasi seilėse ir gali būti lengvai nuryjama.</w:t>
      </w:r>
    </w:p>
    <w:p w:rsidR="00BD4ABC" w:rsidRPr="0001167D" w:rsidRDefault="00BD4ABC" w:rsidP="00BD4ABC">
      <w:pPr>
        <w:pStyle w:val="Sraopastraipa"/>
        <w:widowControl w:val="0"/>
        <w:numPr>
          <w:ilvl w:val="0"/>
          <w:numId w:val="6"/>
        </w:numPr>
        <w:autoSpaceDE w:val="0"/>
        <w:autoSpaceDN w:val="0"/>
        <w:adjustRightInd w:val="0"/>
        <w:snapToGrid w:val="0"/>
        <w:ind w:left="567" w:hanging="567"/>
        <w:contextualSpacing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t xml:space="preserve">Taip pat burnoje disperguojamą tabletę galima ištirpinti arbatiniame šaukštelyje vandens. </w:t>
      </w:r>
    </w:p>
    <w:p w:rsidR="00BD4ABC" w:rsidRPr="0001167D" w:rsidRDefault="00BD4ABC" w:rsidP="00BD4ABC">
      <w:pPr>
        <w:pStyle w:val="Sraopastraipa"/>
        <w:widowControl w:val="0"/>
        <w:numPr>
          <w:ilvl w:val="0"/>
          <w:numId w:val="6"/>
        </w:numPr>
        <w:autoSpaceDE w:val="0"/>
        <w:autoSpaceDN w:val="0"/>
        <w:adjustRightInd w:val="0"/>
        <w:snapToGrid w:val="0"/>
        <w:ind w:left="567" w:hanging="567"/>
        <w:contextualSpacing w:val="0"/>
        <w:textAlignment w:val="center"/>
        <w:rPr>
          <w:rFonts w:ascii="Times New Roman" w:eastAsia="Calibri" w:hAnsi="Times New Roman" w:cs="Times New Roman"/>
          <w:lang w:val="lt-LT"/>
        </w:rPr>
      </w:pPr>
      <w:r w:rsidRPr="0001167D">
        <w:rPr>
          <w:rFonts w:ascii="Times New Roman" w:eastAsia="Calibri" w:hAnsi="Times New Roman" w:cs="Times New Roman"/>
          <w:b/>
          <w:lang w:val="lt-LT"/>
        </w:rPr>
        <w:t>Tirpinimui galima naudoti tik vandenį</w:t>
      </w:r>
      <w:r w:rsidRPr="0001167D">
        <w:rPr>
          <w:rFonts w:ascii="Times New Roman" w:eastAsia="Calibri" w:hAnsi="Times New Roman" w:cs="Times New Roman"/>
          <w:lang w:val="lt-LT"/>
        </w:rPr>
        <w:t>, nenaudokite greipfrutų ar kitų vaisių sulčių.</w:t>
      </w:r>
    </w:p>
    <w:p w:rsidR="00BD4ABC" w:rsidRPr="0001167D" w:rsidRDefault="00BD4ABC" w:rsidP="00BD4ABC">
      <w:pPr>
        <w:pStyle w:val="Sraopastraipa"/>
        <w:widowControl w:val="0"/>
        <w:numPr>
          <w:ilvl w:val="0"/>
          <w:numId w:val="6"/>
        </w:numPr>
        <w:autoSpaceDE w:val="0"/>
        <w:autoSpaceDN w:val="0"/>
        <w:adjustRightInd w:val="0"/>
        <w:snapToGrid w:val="0"/>
        <w:ind w:left="567" w:hanging="567"/>
        <w:contextualSpacing w:val="0"/>
        <w:textAlignment w:val="center"/>
        <w:rPr>
          <w:rFonts w:ascii="Times New Roman" w:eastAsia="Calibri" w:hAnsi="Times New Roman" w:cs="Times New Roman"/>
          <w:lang w:val="lt-LT"/>
        </w:rPr>
      </w:pPr>
      <w:r w:rsidRPr="0001167D">
        <w:rPr>
          <w:rFonts w:ascii="Times New Roman" w:eastAsia="Times New Roman" w:hAnsi="Times New Roman" w:cs="Times New Roman"/>
          <w:color w:val="000000"/>
          <w:spacing w:val="-1"/>
          <w:lang w:val="lt-LT" w:eastAsia="lt-LT"/>
        </w:rPr>
        <w:t>Burnoje</w:t>
      </w:r>
      <w:r w:rsidRPr="0001167D">
        <w:rPr>
          <w:rFonts w:ascii="Times New Roman" w:eastAsia="Calibri" w:hAnsi="Times New Roman" w:cs="Times New Roman"/>
          <w:lang w:val="lt-LT"/>
        </w:rPr>
        <w:t xml:space="preserve"> disperguojamą tabletę reikia išgerti vieną valandą iki arba praėjus dviem valandoms po valgymo arba vaisių sulčių gėrimo</w:t>
      </w:r>
      <w:r w:rsidRPr="0001167D">
        <w:rPr>
          <w:rFonts w:ascii="Times New Roman" w:hAnsi="Times New Roman" w:cs="Times New Roman"/>
          <w:lang w:val="lt-LT"/>
        </w:rPr>
        <w:t xml:space="preserve"> </w:t>
      </w:r>
      <w:r w:rsidRPr="0001167D">
        <w:rPr>
          <w:rFonts w:ascii="Times New Roman" w:eastAsia="Calibri" w:hAnsi="Times New Roman" w:cs="Times New Roman"/>
          <w:lang w:val="lt-LT"/>
        </w:rPr>
        <w:t>(žr. 2 skyrių „Opexa vartojimas su maistu, gėrimais ir alkoholiu“).</w:t>
      </w:r>
    </w:p>
    <w:p w:rsidR="00BD4ABC" w:rsidRPr="0001167D" w:rsidRDefault="00BD4ABC" w:rsidP="00BD4ABC">
      <w:pPr>
        <w:pStyle w:val="Sraopastraipa"/>
        <w:widowControl w:val="0"/>
        <w:adjustRightInd w:val="0"/>
        <w:snapToGrid w:val="0"/>
        <w:ind w:left="0"/>
        <w:contextualSpacing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Kalbant apie gydymo trukmę, gydytojas nustatys, kokia liga sergate, ir kiek laiko reikia vartoti Opexa.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Vartojimas vaikams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Kitos šio vaisto formos – bilastino 10 mg burnoje disperguojamosios tabletės arba bilastino 2,5 mg/ml geriamasis tirpalas – gali labiau tikti vaikams nuo 6 iki 11 metų, kurių kūno svoris ne mažesnis kaip 20 kg – teiraukitės savo gydytojo arba vaistininko.</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Neduokite bilastino jaunesniems nei 6 metų vaikams, sveriantiems mažiau nei 20 kg, nes nėra pakankamai duomenų.</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Ką daryti pavartojus per didelę Opexa dozę</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Jeigu Jūs arba kas nors kitas išgėrė per daug Opexa disperguojamųjų tablečių, </w:t>
      </w:r>
      <w:r w:rsidRPr="0001167D">
        <w:rPr>
          <w:rFonts w:ascii="Times New Roman" w:eastAsia="Calibri" w:hAnsi="Times New Roman" w:cs="Times New Roman"/>
          <w:b/>
          <w:lang w:val="lt-LT"/>
        </w:rPr>
        <w:t xml:space="preserve">nedelsiant </w:t>
      </w:r>
      <w:r w:rsidRPr="0001167D">
        <w:rPr>
          <w:rFonts w:ascii="Times New Roman" w:eastAsia="Calibri" w:hAnsi="Times New Roman" w:cs="Times New Roman"/>
          <w:lang w:val="lt-LT"/>
        </w:rPr>
        <w:t>kreipkitės į gydytoją arba vaistininką arba į artimiausios ligoninės skubios pagalbos skyrių. Nepamirškite pasiimti kartu šio vaisto pakuotę arba šį informacinį lapelį.</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 xml:space="preserve">Pamiršus pavartoti Opexa </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Nevartokite dvigubos dozės norint kompensuoti praleistą dozę.</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 užmiršote išgerti vaisto dozę tinkamu laiku, išgerkite kuo įmanoma greičiau,</w:t>
      </w:r>
      <w:r w:rsidRPr="0001167D">
        <w:rPr>
          <w:rFonts w:ascii="Times New Roman" w:hAnsi="Times New Roman" w:cs="Times New Roman"/>
          <w:lang w:val="lt-LT"/>
        </w:rPr>
        <w:t xml:space="preserve"> </w:t>
      </w:r>
      <w:r w:rsidRPr="0001167D">
        <w:rPr>
          <w:rFonts w:ascii="Times New Roman" w:eastAsia="Calibri" w:hAnsi="Times New Roman" w:cs="Times New Roman"/>
          <w:lang w:val="lt-LT"/>
        </w:rPr>
        <w:t>o tada grįžkite prie įprasto dozavimo grafiko.</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kiltų daugiau klausimų dėl šio vaisto vartojimo, kreipkitės į gydytoją arba vaistininką.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outlineLvl w:val="3"/>
        <w:rPr>
          <w:rFonts w:ascii="Times New Roman" w:eastAsiaTheme="majorEastAsia" w:hAnsi="Times New Roman" w:cs="Times New Roman"/>
          <w:b/>
          <w:iCs/>
          <w:lang w:val="lt-LT"/>
        </w:rPr>
      </w:pPr>
      <w:r w:rsidRPr="0001167D">
        <w:rPr>
          <w:rFonts w:ascii="Times New Roman" w:eastAsiaTheme="majorEastAsia" w:hAnsi="Times New Roman" w:cs="Times New Roman"/>
          <w:b/>
          <w:iCs/>
          <w:lang w:val="lt-LT"/>
        </w:rPr>
        <w:t>Nustojus vartoti Jeigu kiltų daugiau klausimų dėl šio vaisto vartojimo, kreipkitės į gydytoją arba vaistininką.</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Nustojus vartoti Jeigu kiltų daugiau klausimų dėl šio vaisto vartojimo, kreipkitės į gydytoją arba vaistininką. dažniausiai neturėtų būti kokių nors sutrikimų.</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kiltų daugiau klausimų dėl šio vaisto vartojimo, kreipkitės į gydytoją arba vaistininką.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6" w:name="_Toc129243267"/>
      <w:bookmarkStart w:id="7" w:name="_Toc129243142"/>
      <w:r w:rsidRPr="0001167D">
        <w:rPr>
          <w:rFonts w:ascii="Times New Roman" w:eastAsia="Times New Roman" w:hAnsi="Times New Roman" w:cs="Times New Roman"/>
          <w:b/>
          <w:lang w:val="lt-LT"/>
        </w:rPr>
        <w:t>4.</w:t>
      </w:r>
      <w:r w:rsidRPr="0001167D">
        <w:rPr>
          <w:rFonts w:ascii="Times New Roman" w:eastAsia="Times New Roman" w:hAnsi="Times New Roman" w:cs="Times New Roman"/>
          <w:b/>
          <w:lang w:val="lt-LT"/>
        </w:rPr>
        <w:tab/>
      </w:r>
      <w:bookmarkEnd w:id="6"/>
      <w:bookmarkEnd w:id="7"/>
      <w:r w:rsidRPr="0001167D">
        <w:rPr>
          <w:rFonts w:ascii="Times New Roman" w:eastAsia="Times New Roman" w:hAnsi="Times New Roman" w:cs="Times New Roman"/>
          <w:b/>
          <w:lang w:val="lt-LT"/>
        </w:rPr>
        <w:t>Galimas šalutinis poveikis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Šis vaistas, kaip ir visi kiti, gali sukelti šalutinį poveikį, nors jis pasireiškia ne visiems žmonėms.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Kiti šalutinio poveikio reiškiniai, kurių gali pasireikšti suaugusiesiems ir paaugliams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hAnsi="Times New Roman" w:cs="Times New Roman"/>
          <w:b/>
          <w:bCs/>
          <w:lang w:val="lt-LT"/>
        </w:rPr>
        <w:t>Dažni: gali pasireikšti rečiau kaip</w:t>
      </w:r>
      <w:r w:rsidRPr="0001167D">
        <w:rPr>
          <w:rFonts w:ascii="Times New Roman" w:hAnsi="Times New Roman" w:cs="Times New Roman"/>
          <w:b/>
          <w:bCs/>
          <w:snapToGrid w:val="0"/>
          <w:lang w:val="lt-LT"/>
        </w:rPr>
        <w:t xml:space="preserve"> </w:t>
      </w:r>
      <w:r w:rsidRPr="0001167D">
        <w:rPr>
          <w:rFonts w:ascii="Times New Roman" w:hAnsi="Times New Roman" w:cs="Times New Roman"/>
          <w:b/>
          <w:bCs/>
          <w:lang w:val="lt-LT"/>
        </w:rPr>
        <w:t>1 iš 10 asmenų</w:t>
      </w:r>
    </w:p>
    <w:p w:rsidR="00BD4ABC" w:rsidRPr="0001167D" w:rsidRDefault="00BD4ABC" w:rsidP="00BD4ABC">
      <w:pPr>
        <w:widowControl w:val="0"/>
        <w:numPr>
          <w:ilvl w:val="0"/>
          <w:numId w:val="1"/>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galvos skausmas,</w:t>
      </w:r>
    </w:p>
    <w:p w:rsidR="00BD4ABC" w:rsidRPr="0001167D" w:rsidRDefault="00BD4ABC" w:rsidP="00BD4ABC">
      <w:pPr>
        <w:widowControl w:val="0"/>
        <w:numPr>
          <w:ilvl w:val="0"/>
          <w:numId w:val="1"/>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mieguistumas.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hAnsi="Times New Roman" w:cs="Times New Roman"/>
          <w:b/>
          <w:bCs/>
          <w:lang w:val="lt-LT"/>
        </w:rPr>
        <w:t>Nedažni: gali pasireikšti rečiau kaip 1 iš 100 asmenų</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EKG pakitimai,</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kraujo pakitimai, rodantys kepenų veiklos aktyvumą,</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lastRenderedPageBreak/>
        <w:t>svaigulys,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skrandžio skausmas,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nuovargis,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padidėjęs apetitas,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nereguliarus širdies plakimas,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 xml:space="preserve">padidėjęs svoris, </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pykinimas,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baimė,</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nosies džiūvimas arba kitas nemalonus pojūtis,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pilvo skausmas,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 xml:space="preserve">viduriavimas, </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gastritas (skrandžio gleivinės uždegimas),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galvos svaigimas (</w:t>
      </w:r>
      <w:r w:rsidRPr="0001167D">
        <w:rPr>
          <w:rFonts w:ascii="Times New Roman" w:eastAsia="Calibri" w:hAnsi="Times New Roman" w:cs="Times New Roman"/>
          <w:i/>
          <w:lang w:val="lt-LT"/>
        </w:rPr>
        <w:t>vertigo</w:t>
      </w:r>
      <w:r w:rsidRPr="0001167D">
        <w:rPr>
          <w:rFonts w:ascii="Times New Roman" w:eastAsia="Calibri" w:hAnsi="Times New Roman" w:cs="Times New Roman"/>
          <w:lang w:val="lt-LT"/>
        </w:rPr>
        <w:t>),</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silpnumas,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troškulys,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dusulys (pasunkėjęs kvėpavimas),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burnos džiūvimas,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sutrikęs virškinimas,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niežulys,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pūslelinė (</w:t>
      </w:r>
      <w:r w:rsidRPr="0001167D">
        <w:rPr>
          <w:rFonts w:ascii="Times New Roman" w:eastAsia="Calibri" w:hAnsi="Times New Roman" w:cs="Times New Roman"/>
          <w:i/>
          <w:lang w:val="lt-LT"/>
        </w:rPr>
        <w:t>herpes)</w:t>
      </w:r>
      <w:r w:rsidRPr="0001167D">
        <w:rPr>
          <w:rFonts w:ascii="Times New Roman" w:eastAsia="Calibri" w:hAnsi="Times New Roman" w:cs="Times New Roman"/>
          <w:lang w:val="lt-LT"/>
        </w:rPr>
        <w:t>,</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karščiavimas,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ūžesys ausyse,</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miego sutrikimas,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kraujo tyrimai, rodantys inkstų veiklos pakitimus,</w:t>
      </w:r>
    </w:p>
    <w:p w:rsidR="00BD4ABC" w:rsidRPr="0001167D" w:rsidRDefault="00BD4ABC" w:rsidP="00BD4ABC">
      <w:pPr>
        <w:widowControl w:val="0"/>
        <w:numPr>
          <w:ilvl w:val="0"/>
          <w:numId w:val="2"/>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padidėjęs riebalų kiekis kraujyje.</w:t>
      </w:r>
    </w:p>
    <w:p w:rsidR="00BD4ABC" w:rsidRPr="0001167D" w:rsidRDefault="00BD4ABC" w:rsidP="00BD4ABC">
      <w:pPr>
        <w:widowControl w:val="0"/>
        <w:adjustRightInd w:val="0"/>
        <w:snapToGrid w:val="0"/>
        <w:rPr>
          <w:rFonts w:ascii="Times New Roman" w:eastAsia="Calibri" w:hAnsi="Times New Roman" w:cs="Times New Roman"/>
          <w:b/>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Dažnis nežinomas: negali būti apskaičiuotas pagal turimus duomenis</w:t>
      </w:r>
    </w:p>
    <w:p w:rsidR="00BD4ABC" w:rsidRPr="0001167D" w:rsidRDefault="00BD4ABC" w:rsidP="00BD4ABC">
      <w:pPr>
        <w:widowControl w:val="0"/>
        <w:numPr>
          <w:ilvl w:val="0"/>
          <w:numId w:val="3"/>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širdies tvinksniai (pojūtis, kad jūsų širdis plaka),</w:t>
      </w:r>
    </w:p>
    <w:p w:rsidR="00BD4ABC" w:rsidRPr="0001167D" w:rsidRDefault="00BD4ABC" w:rsidP="00BD4ABC">
      <w:pPr>
        <w:widowControl w:val="0"/>
        <w:numPr>
          <w:ilvl w:val="0"/>
          <w:numId w:val="3"/>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tachikardija (dažnas širdies plakimas),</w:t>
      </w:r>
    </w:p>
    <w:p w:rsidR="00BD4ABC" w:rsidRPr="0001167D" w:rsidRDefault="00BD4ABC" w:rsidP="00BD4ABC">
      <w:pPr>
        <w:widowControl w:val="0"/>
        <w:numPr>
          <w:ilvl w:val="0"/>
          <w:numId w:val="3"/>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Theme="minorEastAsia" w:hAnsi="Times New Roman" w:cs="Times New Roman"/>
          <w:lang w:val="lt-LT"/>
        </w:rPr>
        <w:t>vėmimas.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Šalutinio poveikio reiškiniai, kurių gali pasireikšti vaikams</w:t>
      </w:r>
    </w:p>
    <w:p w:rsidR="00BD4ABC" w:rsidRPr="0001167D" w:rsidRDefault="00BD4ABC" w:rsidP="00BD4ABC">
      <w:pPr>
        <w:widowControl w:val="0"/>
        <w:adjustRightInd w:val="0"/>
        <w:snapToGrid w:val="0"/>
        <w:rPr>
          <w:rFonts w:ascii="Times New Roman" w:eastAsia="Calibri" w:hAnsi="Times New Roman" w:cs="Times New Roman"/>
          <w:b/>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 xml:space="preserve">Dažni: gali pasireikšti </w:t>
      </w:r>
      <w:r w:rsidRPr="0001167D">
        <w:rPr>
          <w:rFonts w:ascii="Times New Roman" w:hAnsi="Times New Roman" w:cs="Times New Roman"/>
          <w:b/>
          <w:bCs/>
          <w:lang w:val="lt-LT"/>
        </w:rPr>
        <w:t>rečiau kaip</w:t>
      </w:r>
      <w:r w:rsidRPr="0001167D">
        <w:rPr>
          <w:rFonts w:ascii="Times New Roman" w:eastAsia="Calibri" w:hAnsi="Times New Roman" w:cs="Times New Roman"/>
          <w:b/>
          <w:lang w:val="lt-LT"/>
        </w:rPr>
        <w:t xml:space="preserve"> 1 iš 10 asmenų</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sloga (nosies dirginimas),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alerginis konjunktyvitas (akių sudirginimas),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galvos skausmas,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skausmas skrandžio plote (pilvo arba pilvo viršutinės dalies skausmas).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 xml:space="preserve">Nedažni: gali pasireikšti </w:t>
      </w:r>
      <w:r w:rsidRPr="0001167D">
        <w:rPr>
          <w:rFonts w:ascii="Times New Roman" w:hAnsi="Times New Roman" w:cs="Times New Roman"/>
          <w:b/>
          <w:bCs/>
          <w:lang w:val="lt-LT"/>
        </w:rPr>
        <w:t>rečiau kaip</w:t>
      </w:r>
      <w:r w:rsidRPr="0001167D">
        <w:rPr>
          <w:rFonts w:ascii="Times New Roman" w:eastAsia="Calibri" w:hAnsi="Times New Roman" w:cs="Times New Roman"/>
          <w:b/>
          <w:lang w:val="lt-LT"/>
        </w:rPr>
        <w:t xml:space="preserve"> 1 iš 100 asmenų</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akių sudirginimas,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mieguistumas,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sąmonės netekimas,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viduriavimas,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pykinimas,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lūpų patinimas,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 xml:space="preserve">egzema, </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dilgėlinė (pūkšlės),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nuovargis.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Pranešimas apie šalutinį poveikį</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Jeigu pasireiškė šalutinis poveikis, įskaitant šiame lapelyje nenurodytą,  pasakykite gydytojui arba vaistininkui. </w:t>
      </w:r>
      <w:r w:rsidRPr="0001167D">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01167D">
        <w:rPr>
          <w:rFonts w:ascii="Times New Roman" w:hAnsi="Times New Roman" w:cs="Times New Roman"/>
          <w:color w:val="0000FF"/>
          <w:u w:val="single"/>
          <w:lang w:val="lt-LT"/>
        </w:rPr>
        <w:t>https://vapris.vvkt.lt/vvkt-web/public/nrv</w:t>
      </w:r>
      <w:r w:rsidRPr="0001167D">
        <w:rPr>
          <w:rFonts w:ascii="Times New Roman" w:hAnsi="Times New Roman" w:cs="Times New Roman"/>
          <w:lang w:val="lt-LT"/>
        </w:rPr>
        <w:t xml:space="preserve"> arba </w:t>
      </w:r>
      <w:r w:rsidRPr="0001167D">
        <w:rPr>
          <w:rFonts w:ascii="Times New Roman" w:hAnsi="Times New Roman" w:cs="Times New Roman"/>
          <w:lang w:val="lt-LT"/>
        </w:rPr>
        <w:lastRenderedPageBreak/>
        <w:t xml:space="preserve">užpildant Paciento pranešimo apie įtariamą nepageidaujamą reakciją (ĮNR) formą, kuri skelbiama </w:t>
      </w:r>
      <w:r w:rsidRPr="0001167D">
        <w:rPr>
          <w:rFonts w:ascii="Times New Roman" w:hAnsi="Times New Roman" w:cs="Times New Roman"/>
          <w:color w:val="0000FF"/>
          <w:u w:val="single"/>
          <w:lang w:val="lt-LT"/>
        </w:rPr>
        <w:t>https://www.vvkt.lt/index.php?4004286486</w:t>
      </w:r>
      <w:r w:rsidRPr="0001167D">
        <w:rPr>
          <w:rFonts w:ascii="Times New Roman" w:hAnsi="Times New Roman" w:cs="Times New Roman"/>
          <w:lang w:val="lt-LT"/>
        </w:rPr>
        <w:t xml:space="preserve">, ir atsiunčiant elektroniniu paštu (adresu </w:t>
      </w:r>
      <w:r w:rsidRPr="0001167D">
        <w:rPr>
          <w:rFonts w:ascii="Times New Roman" w:hAnsi="Times New Roman" w:cs="Times New Roman"/>
          <w:color w:val="0000FF"/>
          <w:u w:val="single"/>
          <w:lang w:val="lt-LT"/>
        </w:rPr>
        <w:t>NepageidaujamaR@vvkt.lt</w:t>
      </w:r>
      <w:r w:rsidRPr="0001167D">
        <w:rPr>
          <w:rFonts w:ascii="Times New Roman" w:hAnsi="Times New Roman" w:cs="Times New Roman"/>
          <w:lang w:val="lt-LT"/>
        </w:rPr>
        <w:t>) arba nemokamu telefonu 8 800 73 568.</w:t>
      </w:r>
      <w:r w:rsidRPr="0001167D">
        <w:rPr>
          <w:rFonts w:ascii="Times New Roman" w:eastAsia="Calibri" w:hAnsi="Times New Roman" w:cs="Times New Roman"/>
          <w:lang w:val="lt-LT"/>
        </w:rPr>
        <w:t xml:space="preserve"> </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Pranešdami apie šalutinį poveikį galite mums padėti gauti daugiau informacijos apie šio vaisto saugumą.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8" w:name="_Toc129243268"/>
      <w:bookmarkStart w:id="9" w:name="_Toc129243143"/>
      <w:r w:rsidRPr="0001167D">
        <w:rPr>
          <w:rFonts w:ascii="Times New Roman" w:eastAsia="Times New Roman" w:hAnsi="Times New Roman" w:cs="Times New Roman"/>
          <w:b/>
          <w:lang w:val="lt-LT"/>
        </w:rPr>
        <w:t>5.</w:t>
      </w:r>
      <w:r w:rsidRPr="0001167D">
        <w:rPr>
          <w:rFonts w:ascii="Times New Roman" w:eastAsia="Times New Roman" w:hAnsi="Times New Roman" w:cs="Times New Roman"/>
          <w:b/>
          <w:lang w:val="lt-LT"/>
        </w:rPr>
        <w:tab/>
      </w:r>
      <w:bookmarkEnd w:id="8"/>
      <w:bookmarkEnd w:id="9"/>
      <w:r w:rsidRPr="0001167D">
        <w:rPr>
          <w:rFonts w:ascii="Times New Roman" w:eastAsia="Times New Roman" w:hAnsi="Times New Roman" w:cs="Times New Roman"/>
          <w:b/>
          <w:lang w:val="lt-LT"/>
        </w:rPr>
        <w:t>Kaip laikyti Opexa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Šį vaistą laikykite vaikams nepastebimoje ir nepasiekiamoje vietoje.</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Ant dėžutės ir lizdinės plokštelės po „EXP“ nurodytam tinkamumo laikui pasibaigus, šio vaisto vartoti negalima. Vaistas tinkamas vartoti iki paskutinės nurodyto mėnesio dienos.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Šiam vaistui specialių laikymo sąlygų nereikia.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10" w:name="_Toc129243269"/>
      <w:bookmarkStart w:id="11" w:name="_Toc129243144"/>
      <w:r w:rsidRPr="0001167D">
        <w:rPr>
          <w:rFonts w:ascii="Times New Roman" w:eastAsia="Times New Roman" w:hAnsi="Times New Roman" w:cs="Times New Roman"/>
          <w:b/>
          <w:lang w:val="lt-LT"/>
        </w:rPr>
        <w:t>6.</w:t>
      </w:r>
      <w:r w:rsidRPr="0001167D">
        <w:rPr>
          <w:rFonts w:ascii="Times New Roman" w:eastAsia="Times New Roman" w:hAnsi="Times New Roman" w:cs="Times New Roman"/>
          <w:b/>
          <w:lang w:val="lt-LT"/>
        </w:rPr>
        <w:tab/>
      </w:r>
      <w:bookmarkEnd w:id="10"/>
      <w:bookmarkEnd w:id="11"/>
      <w:r w:rsidRPr="0001167D">
        <w:rPr>
          <w:rFonts w:ascii="Times New Roman" w:eastAsia="Times New Roman" w:hAnsi="Times New Roman" w:cs="Times New Roman"/>
          <w:b/>
          <w:lang w:val="lt-LT"/>
        </w:rPr>
        <w:t>Pakuotės turinys ir kita informacija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Opexa sudėtis</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 xml:space="preserve">Veiklioji medžiaga yra bilastinas. Kiekvienoje </w:t>
      </w:r>
      <w:r w:rsidRPr="0001167D">
        <w:rPr>
          <w:rFonts w:ascii="Times New Roman" w:eastAsia="Calibri" w:hAnsi="Times New Roman" w:cs="Times New Roman"/>
          <w:spacing w:val="-1"/>
          <w:lang w:val="lt-LT"/>
        </w:rPr>
        <w:t xml:space="preserve">burnoje disperguojamoje </w:t>
      </w:r>
      <w:r w:rsidRPr="0001167D">
        <w:rPr>
          <w:rFonts w:ascii="Times New Roman" w:eastAsia="Calibri" w:hAnsi="Times New Roman" w:cs="Times New Roman"/>
          <w:lang w:val="lt-LT"/>
        </w:rPr>
        <w:t>tabletėje yra 20 mg bilastino.</w:t>
      </w:r>
    </w:p>
    <w:p w:rsidR="00BD4ABC" w:rsidRPr="0001167D" w:rsidRDefault="00BD4ABC" w:rsidP="00BD4ABC">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Pagalbinės medžiagos yra manitolis (E 421), kroskarmeliozės natrio druska, natrio stearilfumaratas, sukralozė (E 955), raudonųjų vynuogių aromatinė medžiaga (pagrindiniai komponentai – gumiarabikas, etilo butiratas, triacetinas, metilo antranilatas, etanolis, d-limonenas, linalolis).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Opexa išvaizda ir kiekis pakuotėje</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Opexa </w:t>
      </w:r>
      <w:r w:rsidRPr="0001167D">
        <w:rPr>
          <w:rFonts w:ascii="Times New Roman" w:eastAsia="Calibri" w:hAnsi="Times New Roman" w:cs="Times New Roman"/>
          <w:spacing w:val="-1"/>
          <w:lang w:val="lt-LT"/>
        </w:rPr>
        <w:t>burnoje disperguojamos tabletės</w:t>
      </w:r>
      <w:r w:rsidRPr="0001167D">
        <w:rPr>
          <w:rFonts w:ascii="Times New Roman" w:eastAsia="Calibri" w:hAnsi="Times New Roman" w:cs="Times New Roman"/>
          <w:lang w:val="lt-LT"/>
        </w:rPr>
        <w:t xml:space="preserve"> yra baltos, apvalios, plokščios, vienoje pusėje įspausta „20“, 8 mm skersmens.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Opexa tiekiamos dalomosiose vienadozėse lizdinėse plokštelėse po 20 x 1, 30 x 1, 40 x 1 arba 50 x 1 disperguojamų tablečių. </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Gali būti tiekiamos ne visų dydžių pakuotės.</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Registruotojas ir gamintojas</w:t>
      </w:r>
    </w:p>
    <w:p w:rsidR="00BD4ABC" w:rsidRPr="0001167D" w:rsidRDefault="00BD4ABC" w:rsidP="00BD4ABC">
      <w:pPr>
        <w:widowControl w:val="0"/>
        <w:adjustRightInd w:val="0"/>
        <w:snapToGrid w:val="0"/>
        <w:rPr>
          <w:rFonts w:ascii="Times New Roman" w:eastAsia="Times New Roman" w:hAnsi="Times New Roman" w:cs="Times New Roman"/>
          <w:b/>
          <w:bCs/>
          <w:lang w:val="lt-LT"/>
        </w:rPr>
      </w:pPr>
    </w:p>
    <w:p w:rsidR="00BD4ABC" w:rsidRPr="0001167D" w:rsidRDefault="00BD4ABC" w:rsidP="00BD4ABC">
      <w:pPr>
        <w:widowControl w:val="0"/>
        <w:adjustRightInd w:val="0"/>
        <w:snapToGrid w:val="0"/>
        <w:rPr>
          <w:rFonts w:ascii="Times New Roman" w:eastAsiaTheme="minorEastAsia" w:hAnsi="Times New Roman" w:cs="Times New Roman"/>
          <w:i/>
          <w:lang w:val="lt-LT"/>
        </w:rPr>
      </w:pPr>
      <w:r w:rsidRPr="0001167D">
        <w:rPr>
          <w:rFonts w:ascii="Times New Roman" w:eastAsiaTheme="minorEastAsia" w:hAnsi="Times New Roman" w:cs="Times New Roman"/>
          <w:i/>
          <w:lang w:val="lt-LT"/>
        </w:rPr>
        <w:t>Registruotojas</w:t>
      </w:r>
    </w:p>
    <w:p w:rsidR="00BD4ABC" w:rsidRPr="0001167D" w:rsidRDefault="00BD4ABC" w:rsidP="00BD4ABC">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Menarini International Operations Luxembourg S.A.</w:t>
      </w:r>
    </w:p>
    <w:p w:rsidR="00BD4ABC" w:rsidRPr="0001167D" w:rsidRDefault="00BD4ABC" w:rsidP="00BD4ABC">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1, Avenue de la Gare</w:t>
      </w:r>
    </w:p>
    <w:p w:rsidR="00BD4ABC" w:rsidRPr="0001167D" w:rsidRDefault="00BD4ABC" w:rsidP="00BD4ABC">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L-1611 Luxembourg</w:t>
      </w:r>
    </w:p>
    <w:p w:rsidR="00BD4ABC" w:rsidRPr="0001167D" w:rsidRDefault="00BD4ABC" w:rsidP="00BD4ABC">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Liuksemburgas</w:t>
      </w:r>
    </w:p>
    <w:p w:rsidR="00BD4ABC" w:rsidRPr="0001167D" w:rsidRDefault="00BD4ABC" w:rsidP="00BD4ABC">
      <w:pPr>
        <w:widowControl w:val="0"/>
        <w:adjustRightInd w:val="0"/>
        <w:snapToGrid w:val="0"/>
        <w:rPr>
          <w:rFonts w:ascii="Times New Roman" w:eastAsiaTheme="minorEastAsia" w:hAnsi="Times New Roman" w:cs="Times New Roman"/>
          <w:lang w:val="lt-LT"/>
        </w:rPr>
      </w:pPr>
    </w:p>
    <w:p w:rsidR="00BD4ABC" w:rsidRPr="0001167D" w:rsidRDefault="00BD4ABC" w:rsidP="00BD4ABC">
      <w:pPr>
        <w:widowControl w:val="0"/>
        <w:adjustRightInd w:val="0"/>
        <w:snapToGrid w:val="0"/>
        <w:rPr>
          <w:rFonts w:ascii="Times New Roman" w:eastAsiaTheme="minorEastAsia" w:hAnsi="Times New Roman" w:cs="Times New Roman"/>
          <w:i/>
          <w:lang w:val="lt-LT"/>
        </w:rPr>
      </w:pPr>
      <w:r w:rsidRPr="0001167D">
        <w:rPr>
          <w:rFonts w:ascii="Times New Roman" w:eastAsiaTheme="minorEastAsia" w:hAnsi="Times New Roman" w:cs="Times New Roman"/>
          <w:i/>
          <w:lang w:val="lt-LT"/>
        </w:rPr>
        <w:t>Gamintojas</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FAES FARMA, S.A.</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 xml:space="preserve">Máximo Aguirre, 14 </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48940 – Lejona (Vizcaya)</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Ispanija</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arba</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p>
    <w:p w:rsidR="00BD4ABC" w:rsidRPr="0001167D" w:rsidRDefault="00BD4ABC" w:rsidP="00BD4ABC">
      <w:pPr>
        <w:keepNext/>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lastRenderedPageBreak/>
        <w:t>A. Menarini Manufacturing Logistics and Services S.r.L.</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 xml:space="preserve">Via Campo di Pile </w:t>
      </w:r>
    </w:p>
    <w:p w:rsidR="00BD4ABC" w:rsidRPr="0001167D" w:rsidRDefault="00BD4ABC" w:rsidP="00BD4ABC">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67100, L’Aquila (AQ)</w:t>
      </w:r>
    </w:p>
    <w:p w:rsidR="00BD4ABC" w:rsidRPr="0001167D" w:rsidRDefault="00BD4ABC" w:rsidP="00BD4ABC">
      <w:pPr>
        <w:widowControl w:val="0"/>
        <w:autoSpaceDE w:val="0"/>
        <w:autoSpaceDN w:val="0"/>
        <w:adjustRightInd w:val="0"/>
        <w:snapToGrid w:val="0"/>
        <w:rPr>
          <w:rFonts w:ascii="Times New Roman" w:eastAsia="Times New Roman" w:hAnsi="Times New Roman" w:cs="Times New Roman"/>
          <w:color w:val="000000"/>
          <w:lang w:val="lt-LT" w:eastAsia="de-DE"/>
        </w:rPr>
      </w:pPr>
      <w:r w:rsidRPr="0001167D">
        <w:rPr>
          <w:rFonts w:ascii="Times New Roman" w:eastAsia="Times New Roman" w:hAnsi="Times New Roman" w:cs="Times New Roman"/>
          <w:color w:val="000000"/>
          <w:lang w:val="lt-LT" w:eastAsia="de-DE"/>
        </w:rPr>
        <w:t>Italija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apie šį vaistą norite sužinoti daugiau, kreipkitės į vietinį registruotojo atstovą.</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UAB „BERLIN CHEMIE MENARINI BALTIC“</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 Jasinskio g. 16a, LT-03163 Vilnius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Lietuva</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Tel.: +370 5 269 19 43</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Faks.: +370 5 269 19 51</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El. paštas: lt@berlin-chemie.com</w:t>
      </w:r>
      <w:r w:rsidRPr="0001167D">
        <w:rPr>
          <w:rFonts w:ascii="Times New Roman" w:eastAsia="Calibri" w:hAnsi="Times New Roman" w:cs="Times New Roman"/>
          <w:lang w:val="lt-LT"/>
        </w:rPr>
        <w:cr/>
      </w: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hAnsi="Times New Roman" w:cs="Times New Roman"/>
          <w:b/>
          <w:lang w:val="lt-LT"/>
        </w:rPr>
        <w:t>Šis vaistas Europos ekonominės erdvės valstybėse narėse registruotas tokiais pavadinimais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Airija: Drynol 20</w:t>
      </w:r>
      <w:r w:rsidRPr="0001167D">
        <w:rPr>
          <w:rFonts w:ascii="Times New Roman" w:hAnsi="Times New Roman" w:cs="Times New Roman"/>
          <w:lang w:val="lt-LT"/>
        </w:rPr>
        <w:t> </w:t>
      </w:r>
      <w:r w:rsidRPr="0001167D">
        <w:rPr>
          <w:rFonts w:ascii="Times New Roman" w:eastAsia="Calibri" w:hAnsi="Times New Roman" w:cs="Times New Roman"/>
          <w:lang w:val="lt-LT"/>
        </w:rPr>
        <w:t xml:space="preserve">mg orodispersible tablets </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Austrija: Olisir 20</w:t>
      </w:r>
      <w:r w:rsidRPr="0001167D">
        <w:rPr>
          <w:rFonts w:ascii="Times New Roman" w:hAnsi="Times New Roman" w:cs="Times New Roman"/>
          <w:lang w:val="lt-LT"/>
        </w:rPr>
        <w:t> </w:t>
      </w:r>
      <w:r w:rsidRPr="0001167D">
        <w:rPr>
          <w:rFonts w:ascii="Times New Roman" w:eastAsia="Calibri" w:hAnsi="Times New Roman" w:cs="Times New Roman"/>
          <w:lang w:val="lt-LT"/>
        </w:rPr>
        <w:t xml:space="preserve">mg Schmelztabletten </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Belgija: Bellozal 20</w:t>
      </w:r>
      <w:r w:rsidRPr="0001167D">
        <w:rPr>
          <w:rFonts w:ascii="Times New Roman" w:hAnsi="Times New Roman" w:cs="Times New Roman"/>
          <w:lang w:val="lt-LT"/>
        </w:rPr>
        <w:t> </w:t>
      </w:r>
      <w:r w:rsidRPr="0001167D">
        <w:rPr>
          <w:rFonts w:ascii="Times New Roman" w:eastAsia="Calibri" w:hAnsi="Times New Roman" w:cs="Times New Roman"/>
          <w:lang w:val="lt-LT"/>
        </w:rPr>
        <w:t>mg orodispersible tablets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Bulgarija: </w:t>
      </w:r>
      <w:r w:rsidRPr="0001167D">
        <w:rPr>
          <w:rFonts w:ascii="Times New Roman" w:eastAsia="Calibri" w:hAnsi="Times New Roman" w:cs="Times New Roman"/>
          <w:bCs/>
          <w:color w:val="000000"/>
          <w:lang w:val="lt-LT"/>
        </w:rPr>
        <w:t>Фортекал за деца 20 mg диспергиращи се в устата таблетки</w:t>
      </w:r>
      <w:r w:rsidRPr="0001167D">
        <w:rPr>
          <w:rFonts w:ascii="Times New Roman" w:eastAsia="Calibri" w:hAnsi="Times New Roman" w:cs="Times New Roman"/>
          <w:lang w:val="lt-LT"/>
        </w:rPr>
        <w:t xml:space="preserve"> </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Čekija: Xados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Estija: Opexa</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Graikija: Bilaz 20</w:t>
      </w:r>
      <w:r w:rsidRPr="0001167D">
        <w:rPr>
          <w:rFonts w:ascii="Times New Roman" w:hAnsi="Times New Roman" w:cs="Times New Roman"/>
          <w:lang w:val="lt-LT"/>
        </w:rPr>
        <w:t> </w:t>
      </w:r>
      <w:r w:rsidRPr="0001167D">
        <w:rPr>
          <w:rFonts w:ascii="Times New Roman" w:eastAsia="Calibri" w:hAnsi="Times New Roman" w:cs="Times New Roman"/>
          <w:lang w:val="lt-LT"/>
        </w:rPr>
        <w:t>mg δισκία διασπειρόμενα στο στόμα</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Ispanija: Ibis 20</w:t>
      </w:r>
      <w:r w:rsidRPr="0001167D">
        <w:rPr>
          <w:rFonts w:ascii="Times New Roman" w:hAnsi="Times New Roman" w:cs="Times New Roman"/>
          <w:lang w:val="lt-LT"/>
        </w:rPr>
        <w:t> </w:t>
      </w:r>
      <w:r w:rsidRPr="0001167D">
        <w:rPr>
          <w:rFonts w:ascii="Times New Roman" w:eastAsia="Calibri" w:hAnsi="Times New Roman" w:cs="Times New Roman"/>
          <w:lang w:val="lt-LT"/>
        </w:rPr>
        <w:t>mg comprimidos bucodispersables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Italija: Bysabel 20</w:t>
      </w:r>
      <w:r w:rsidRPr="0001167D">
        <w:rPr>
          <w:rFonts w:ascii="Times New Roman" w:hAnsi="Times New Roman" w:cs="Times New Roman"/>
          <w:lang w:val="lt-LT"/>
        </w:rPr>
        <w:t> </w:t>
      </w:r>
      <w:r w:rsidRPr="0001167D">
        <w:rPr>
          <w:rFonts w:ascii="Times New Roman" w:eastAsia="Calibri" w:hAnsi="Times New Roman" w:cs="Times New Roman"/>
          <w:lang w:val="lt-LT"/>
        </w:rPr>
        <w:t>mg compressa orodispersibile</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Kipras: Bilaz 20</w:t>
      </w:r>
      <w:r w:rsidRPr="0001167D">
        <w:rPr>
          <w:rFonts w:ascii="Times New Roman" w:hAnsi="Times New Roman" w:cs="Times New Roman"/>
          <w:lang w:val="lt-LT"/>
        </w:rPr>
        <w:t> </w:t>
      </w:r>
      <w:r w:rsidRPr="0001167D">
        <w:rPr>
          <w:rFonts w:ascii="Times New Roman" w:eastAsia="Calibri" w:hAnsi="Times New Roman" w:cs="Times New Roman"/>
          <w:lang w:val="lt-LT"/>
        </w:rPr>
        <w:t>mg δισκία διασπειρόμενα στο στόμα</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Kroatija: Nixar 20</w:t>
      </w:r>
      <w:r w:rsidRPr="0001167D">
        <w:rPr>
          <w:rFonts w:ascii="Times New Roman" w:hAnsi="Times New Roman" w:cs="Times New Roman"/>
          <w:lang w:val="lt-LT"/>
        </w:rPr>
        <w:t> </w:t>
      </w:r>
      <w:r w:rsidRPr="0001167D">
        <w:rPr>
          <w:rFonts w:ascii="Times New Roman" w:eastAsia="Calibri" w:hAnsi="Times New Roman" w:cs="Times New Roman"/>
          <w:lang w:val="lt-LT"/>
        </w:rPr>
        <w:t>mg raspadljive tablete za usta</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Latvija: Opexa 20</w:t>
      </w:r>
      <w:r w:rsidRPr="0001167D">
        <w:rPr>
          <w:rFonts w:ascii="Times New Roman" w:hAnsi="Times New Roman" w:cs="Times New Roman"/>
          <w:lang w:val="lt-LT"/>
        </w:rPr>
        <w:t> </w:t>
      </w:r>
      <w:r w:rsidRPr="0001167D">
        <w:rPr>
          <w:rFonts w:ascii="Times New Roman" w:eastAsia="Calibri" w:hAnsi="Times New Roman" w:cs="Times New Roman"/>
          <w:lang w:val="lt-LT"/>
        </w:rPr>
        <w:t>mg mutē disperģējamās tabletes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Lietuva: Opexa 20</w:t>
      </w:r>
      <w:r w:rsidRPr="0001167D">
        <w:rPr>
          <w:rFonts w:ascii="Times New Roman" w:hAnsi="Times New Roman" w:cs="Times New Roman"/>
          <w:lang w:val="lt-LT"/>
        </w:rPr>
        <w:t> </w:t>
      </w:r>
      <w:r w:rsidRPr="0001167D">
        <w:rPr>
          <w:rFonts w:ascii="Times New Roman" w:eastAsia="Calibri" w:hAnsi="Times New Roman" w:cs="Times New Roman"/>
          <w:lang w:val="lt-LT"/>
        </w:rPr>
        <w:t>mg burnoje disperguojamos tabletės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Liuksemburgas: Bellozal 20</w:t>
      </w:r>
      <w:r w:rsidRPr="0001167D">
        <w:rPr>
          <w:rFonts w:ascii="Times New Roman" w:hAnsi="Times New Roman" w:cs="Times New Roman"/>
          <w:lang w:val="lt-LT"/>
        </w:rPr>
        <w:t> </w:t>
      </w:r>
      <w:r w:rsidRPr="0001167D">
        <w:rPr>
          <w:rFonts w:ascii="Times New Roman" w:eastAsia="Calibri" w:hAnsi="Times New Roman" w:cs="Times New Roman"/>
          <w:lang w:val="lt-LT"/>
        </w:rPr>
        <w:t>mg orodispersible tablets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Lenkija: Clatra</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Malta: Gosall 20</w:t>
      </w:r>
      <w:r w:rsidRPr="0001167D">
        <w:rPr>
          <w:rFonts w:ascii="Times New Roman" w:hAnsi="Times New Roman" w:cs="Times New Roman"/>
          <w:lang w:val="lt-LT"/>
        </w:rPr>
        <w:t> </w:t>
      </w:r>
      <w:r w:rsidRPr="0001167D">
        <w:rPr>
          <w:rFonts w:ascii="Times New Roman" w:eastAsia="Calibri" w:hAnsi="Times New Roman" w:cs="Times New Roman"/>
          <w:lang w:val="lt-LT"/>
        </w:rPr>
        <w:t>mg orodispersible tablets</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Prancūzija: Bilaska 20</w:t>
      </w:r>
      <w:r w:rsidRPr="0001167D">
        <w:rPr>
          <w:rFonts w:ascii="Times New Roman" w:hAnsi="Times New Roman" w:cs="Times New Roman"/>
          <w:lang w:val="lt-LT"/>
        </w:rPr>
        <w:t> </w:t>
      </w:r>
      <w:r w:rsidRPr="0001167D">
        <w:rPr>
          <w:rFonts w:ascii="Times New Roman" w:eastAsia="Calibri" w:hAnsi="Times New Roman" w:cs="Times New Roman"/>
          <w:lang w:val="lt-LT"/>
        </w:rPr>
        <w:t>mg comprimé orodispersible</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Portugalija: Lergonix 20</w:t>
      </w:r>
      <w:r w:rsidRPr="0001167D">
        <w:rPr>
          <w:rFonts w:ascii="Times New Roman" w:hAnsi="Times New Roman" w:cs="Times New Roman"/>
          <w:lang w:val="lt-LT"/>
        </w:rPr>
        <w:t> </w:t>
      </w:r>
      <w:r w:rsidRPr="0001167D">
        <w:rPr>
          <w:rFonts w:ascii="Times New Roman" w:eastAsia="Calibri" w:hAnsi="Times New Roman" w:cs="Times New Roman"/>
          <w:lang w:val="lt-LT"/>
        </w:rPr>
        <w:t>mg comprimido orodispersível</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Rumunija: Borenar 20</w:t>
      </w:r>
      <w:r w:rsidRPr="0001167D">
        <w:rPr>
          <w:rFonts w:ascii="Times New Roman" w:hAnsi="Times New Roman" w:cs="Times New Roman"/>
          <w:lang w:val="lt-LT"/>
        </w:rPr>
        <w:t> </w:t>
      </w:r>
      <w:r w:rsidRPr="0001167D">
        <w:rPr>
          <w:rFonts w:ascii="Times New Roman" w:eastAsia="Calibri" w:hAnsi="Times New Roman" w:cs="Times New Roman"/>
          <w:lang w:val="lt-LT"/>
        </w:rPr>
        <w:t>mg comprimate orodispersabile</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Suomija: Revitelle 20</w:t>
      </w:r>
      <w:r w:rsidRPr="0001167D">
        <w:rPr>
          <w:rFonts w:ascii="Times New Roman" w:hAnsi="Times New Roman" w:cs="Times New Roman"/>
          <w:lang w:val="lt-LT"/>
        </w:rPr>
        <w:t> </w:t>
      </w:r>
      <w:r w:rsidRPr="0001167D">
        <w:rPr>
          <w:rFonts w:ascii="Times New Roman" w:eastAsia="Calibri" w:hAnsi="Times New Roman" w:cs="Times New Roman"/>
          <w:lang w:val="lt-LT"/>
        </w:rPr>
        <w:t>mg tabletti, suussa hajoava</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Slovakija: Omarit 20</w:t>
      </w:r>
      <w:r w:rsidRPr="0001167D">
        <w:rPr>
          <w:rFonts w:ascii="Times New Roman" w:hAnsi="Times New Roman" w:cs="Times New Roman"/>
          <w:lang w:val="lt-LT"/>
        </w:rPr>
        <w:t> </w:t>
      </w:r>
      <w:r w:rsidRPr="0001167D">
        <w:rPr>
          <w:rFonts w:ascii="Times New Roman" w:eastAsia="Calibri" w:hAnsi="Times New Roman" w:cs="Times New Roman"/>
          <w:lang w:val="lt-LT"/>
        </w:rPr>
        <w:t>mg orodispergovateľné tablety</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Slovėnija: Bilador 20</w:t>
      </w:r>
      <w:r w:rsidRPr="0001167D">
        <w:rPr>
          <w:rFonts w:ascii="Times New Roman" w:hAnsi="Times New Roman" w:cs="Times New Roman"/>
          <w:lang w:val="lt-LT"/>
        </w:rPr>
        <w:t> </w:t>
      </w:r>
      <w:r w:rsidRPr="0001167D">
        <w:rPr>
          <w:rFonts w:ascii="Times New Roman" w:eastAsia="Calibri" w:hAnsi="Times New Roman" w:cs="Times New Roman"/>
          <w:lang w:val="lt-LT"/>
        </w:rPr>
        <w:t>mg orodisperzibilne tablete</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Vokietija: Bilaxten 20</w:t>
      </w:r>
      <w:r w:rsidRPr="0001167D">
        <w:rPr>
          <w:rFonts w:ascii="Times New Roman" w:hAnsi="Times New Roman" w:cs="Times New Roman"/>
          <w:lang w:val="lt-LT"/>
        </w:rPr>
        <w:t> </w:t>
      </w:r>
      <w:r w:rsidRPr="0001167D">
        <w:rPr>
          <w:rFonts w:ascii="Times New Roman" w:eastAsia="Calibri" w:hAnsi="Times New Roman" w:cs="Times New Roman"/>
          <w:lang w:val="lt-LT"/>
        </w:rPr>
        <w:t>mg Schmelztabletten</w:t>
      </w:r>
    </w:p>
    <w:p w:rsidR="00BD4ABC" w:rsidRPr="0001167D" w:rsidRDefault="00BD4ABC" w:rsidP="00BD4ABC">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Vengrija: Lendin 20</w:t>
      </w:r>
      <w:r w:rsidRPr="0001167D">
        <w:rPr>
          <w:rFonts w:ascii="Times New Roman" w:hAnsi="Times New Roman" w:cs="Times New Roman"/>
          <w:lang w:val="lt-LT"/>
        </w:rPr>
        <w:t> </w:t>
      </w:r>
      <w:r w:rsidRPr="0001167D">
        <w:rPr>
          <w:rFonts w:ascii="Times New Roman" w:eastAsia="Calibri" w:hAnsi="Times New Roman" w:cs="Times New Roman"/>
          <w:lang w:val="lt-LT"/>
        </w:rPr>
        <w:t xml:space="preserve"> mg szájban diszpergálódó tabletta</w:t>
      </w: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lang w:val="lt-LT"/>
        </w:rPr>
      </w:pPr>
    </w:p>
    <w:p w:rsidR="00BD4ABC" w:rsidRPr="0001167D" w:rsidRDefault="00BD4ABC" w:rsidP="00BD4ABC">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bCs/>
          <w:lang w:val="lt-LT"/>
        </w:rPr>
        <w:t>Šis pakuotės lapelis</w:t>
      </w:r>
      <w:r w:rsidRPr="0001167D">
        <w:rPr>
          <w:rFonts w:ascii="Times New Roman" w:eastAsia="Calibri" w:hAnsi="Times New Roman" w:cs="Times New Roman"/>
          <w:b/>
          <w:lang w:val="lt-LT"/>
        </w:rPr>
        <w:t xml:space="preserve"> paskutinį kartą peržiūrėtas 2025-02-21</w:t>
      </w:r>
      <w:r w:rsidRPr="0001167D">
        <w:rPr>
          <w:rFonts w:ascii="Times New Roman" w:hAnsi="Times New Roman" w:cs="Times New Roman"/>
          <w:b/>
          <w:lang w:val="lt-LT"/>
        </w:rPr>
        <w:t>.</w:t>
      </w:r>
    </w:p>
    <w:p w:rsidR="00BD4ABC" w:rsidRPr="0001167D" w:rsidRDefault="00BD4ABC" w:rsidP="00BD4ABC">
      <w:pPr>
        <w:widowControl w:val="0"/>
        <w:adjustRightInd w:val="0"/>
        <w:snapToGrid w:val="0"/>
        <w:rPr>
          <w:rFonts w:ascii="Times New Roman" w:eastAsiaTheme="minorEastAsia" w:hAnsi="Times New Roman" w:cs="Times New Roman"/>
          <w:lang w:val="lt-LT"/>
        </w:rPr>
      </w:pPr>
    </w:p>
    <w:p w:rsidR="00BD4ABC" w:rsidRPr="0001167D" w:rsidRDefault="00BD4ABC" w:rsidP="00BD4ABC">
      <w:pPr>
        <w:widowControl w:val="0"/>
        <w:adjustRightInd w:val="0"/>
        <w:snapToGrid w:val="0"/>
        <w:rPr>
          <w:rFonts w:ascii="Times New Roman" w:eastAsiaTheme="minorEastAsia" w:hAnsi="Times New Roman" w:cs="Times New Roman"/>
          <w:lang w:val="lt-LT"/>
        </w:rPr>
      </w:pPr>
    </w:p>
    <w:p w:rsidR="00BD4ABC" w:rsidRPr="0001167D" w:rsidRDefault="00BD4ABC" w:rsidP="00BD4ABC">
      <w:pPr>
        <w:pStyle w:val="BTEMEASMCA"/>
        <w:widowControl w:val="0"/>
        <w:adjustRightInd w:val="0"/>
        <w:snapToGrid w:val="0"/>
        <w:rPr>
          <w:noProof w:val="0"/>
        </w:rPr>
      </w:pPr>
      <w:r w:rsidRPr="0001167D">
        <w:rPr>
          <w:noProof w:val="0"/>
        </w:rPr>
        <w:t xml:space="preserve">Išsami informacija apie šį vaistą pateikiama Valstybinės vaistų kontrolės tarnybos prie Lietuvos Respublikos sveikatos apsaugos ministerijos tinklalapyje </w:t>
      </w:r>
      <w:hyperlink r:id="rId5" w:history="1">
        <w:r w:rsidRPr="0001167D">
          <w:rPr>
            <w:rStyle w:val="Hipersaitas"/>
            <w:noProof w:val="0"/>
          </w:rPr>
          <w:t>http://www.vvkt.lt/</w:t>
        </w:r>
      </w:hyperlink>
    </w:p>
    <w:p w:rsidR="00BD4ABC" w:rsidRPr="000E1827" w:rsidRDefault="00BD4ABC" w:rsidP="00BD4ABC">
      <w:pPr>
        <w:widowControl w:val="0"/>
        <w:adjustRightInd w:val="0"/>
        <w:snapToGrid w:val="0"/>
        <w:rPr>
          <w:rFonts w:ascii="Times New Roman" w:eastAsiaTheme="minorEastAsia" w:hAnsi="Times New Roman" w:cs="Times New Roman"/>
          <w:lang w:val="lt-LT"/>
        </w:rPr>
      </w:pPr>
    </w:p>
    <w:p w:rsidR="00BA6577" w:rsidRDefault="00BA6577">
      <w:bookmarkStart w:id="12" w:name="_GoBack"/>
      <w:bookmarkEnd w:id="12"/>
    </w:p>
    <w:sectPr w:rsidR="00BA6577" w:rsidSect="00950E32">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E32" w:rsidRPr="00AD623E" w:rsidRDefault="00BD4ABC">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Pr>
        <w:noProof/>
        <w:sz w:val="22"/>
        <w:szCs w:val="22"/>
      </w:rPr>
      <w:t>6</w:t>
    </w:r>
    <w:r w:rsidRPr="00AD623E">
      <w:rPr>
        <w:sz w:val="22"/>
        <w:szCs w:val="22"/>
      </w:rPr>
      <w:fldChar w:fldCharType="end"/>
    </w:r>
  </w:p>
  <w:p w:rsidR="00950E32" w:rsidRDefault="00BD4ABC">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D062A"/>
    <w:multiLevelType w:val="hybridMultilevel"/>
    <w:tmpl w:val="D45A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725F09"/>
    <w:multiLevelType w:val="hybridMultilevel"/>
    <w:tmpl w:val="63484F96"/>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2" w15:restartNumberingAfterBreak="0">
    <w:nsid w:val="264D1956"/>
    <w:multiLevelType w:val="hybridMultilevel"/>
    <w:tmpl w:val="64080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450991"/>
    <w:multiLevelType w:val="hybridMultilevel"/>
    <w:tmpl w:val="5EB6047E"/>
    <w:lvl w:ilvl="0" w:tplc="C25600A0">
      <w:start w:val="1"/>
      <w:numFmt w:val="bullet"/>
      <w:lvlText w:val="-"/>
      <w:lvlJc w:val="left"/>
      <w:pPr>
        <w:ind w:left="1855" w:hanging="360"/>
      </w:pPr>
      <w:rPr>
        <w:rFonts w:ascii="Times New Roman" w:eastAsia="Times New Roman" w:hAnsi="Times New Roman" w:hint="default"/>
        <w:b/>
        <w:sz w:val="24"/>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4" w15:restartNumberingAfterBreak="0">
    <w:nsid w:val="5CA73403"/>
    <w:multiLevelType w:val="hybridMultilevel"/>
    <w:tmpl w:val="1BFACCB0"/>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5" w15:restartNumberingAfterBreak="0">
    <w:nsid w:val="75075192"/>
    <w:multiLevelType w:val="hybridMultilevel"/>
    <w:tmpl w:val="272C4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ABC"/>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BD4ABC"/>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EF9F7F-EFAC-40BD-B127-9B772823A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D4ABC"/>
    <w:pPr>
      <w:spacing w:after="0" w:line="240" w:lineRule="auto"/>
    </w:pPr>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basedOn w:val="Numatytasispastraiposriftas"/>
    <w:unhideWhenUsed/>
    <w:rsid w:val="00BD4ABC"/>
    <w:rPr>
      <w:color w:val="0000FF"/>
      <w:u w:val="single"/>
    </w:rPr>
  </w:style>
  <w:style w:type="character" w:customStyle="1" w:styleId="BTEMEASMCAChar">
    <w:name w:val="BT EMEA_SMCA Char"/>
    <w:basedOn w:val="Numatytasispastraiposriftas"/>
    <w:link w:val="BTEMEASMCA"/>
    <w:locked/>
    <w:rsid w:val="00BD4ABC"/>
    <w:rPr>
      <w:rFonts w:ascii="Times New Roman" w:eastAsia="Calibri" w:hAnsi="Times New Roman" w:cs="Times New Roman"/>
      <w:noProof/>
    </w:rPr>
  </w:style>
  <w:style w:type="paragraph" w:customStyle="1" w:styleId="BTEMEASMCA">
    <w:name w:val="BT EMEA_SMCA"/>
    <w:basedOn w:val="prastasis"/>
    <w:link w:val="BTEMEASMCAChar"/>
    <w:autoRedefine/>
    <w:rsid w:val="00BD4ABC"/>
    <w:rPr>
      <w:rFonts w:ascii="Times New Roman" w:eastAsia="Calibri" w:hAnsi="Times New Roman" w:cs="Times New Roman"/>
      <w:noProof/>
      <w:lang w:val="lt-LT"/>
    </w:rPr>
  </w:style>
  <w:style w:type="paragraph" w:styleId="Porat">
    <w:name w:val="footer"/>
    <w:basedOn w:val="prastasis"/>
    <w:link w:val="PoratDiagrama"/>
    <w:uiPriority w:val="99"/>
    <w:unhideWhenUsed/>
    <w:rsid w:val="00BD4ABC"/>
    <w:pPr>
      <w:tabs>
        <w:tab w:val="center" w:pos="4819"/>
        <w:tab w:val="right" w:pos="9638"/>
      </w:tabs>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BD4ABC"/>
    <w:rPr>
      <w:rFonts w:ascii="Times New Roman" w:hAnsi="Times New Roman" w:cs="Times New Roman"/>
      <w:sz w:val="24"/>
      <w:szCs w:val="24"/>
    </w:rPr>
  </w:style>
  <w:style w:type="paragraph" w:styleId="Sraopastraipa">
    <w:name w:val="List Paragraph"/>
    <w:basedOn w:val="prastasis"/>
    <w:uiPriority w:val="34"/>
    <w:qFormat/>
    <w:rsid w:val="00BD4ABC"/>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8397</Words>
  <Characters>4787</Characters>
  <Application>Microsoft Office Word</Application>
  <DocSecurity>0</DocSecurity>
  <Lines>39</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2025-06-09T08:33:00Z</dcterms:created>
  <dcterms:modified xsi:type="dcterms:W3CDTF">2025-06-09T08:33:00Z</dcterms:modified>
</cp:coreProperties>
</file>