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804AC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bookmarkStart w:id="0" w:name="_GoBack"/>
      <w:bookmarkEnd w:id="0"/>
    </w:p>
    <w:p w14:paraId="7BC22123"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17E4249"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3C1CD0D"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CE44017"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B7BA06C"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0C648FE"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1EB187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317093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5C95759"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828DF8E"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315057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88010AF"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040CCA9E"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9C5B5FC"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0E3734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0CAC9B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EA8E6D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0ACA7E3"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0AB18AE2" w14:textId="3C1CF808"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caps/>
          <w:lang w:val="lt-LT"/>
        </w:rPr>
      </w:pPr>
    </w:p>
    <w:p w14:paraId="5829A44A"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090A0D2"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7766E61"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1" w:name="_Toc129243221"/>
      <w:bookmarkStart w:id="2" w:name="_Toc129243096"/>
    </w:p>
    <w:p w14:paraId="75757420"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t>I PRIEDAS</w:t>
      </w:r>
      <w:bookmarkEnd w:id="1"/>
      <w:bookmarkEnd w:id="2"/>
    </w:p>
    <w:p w14:paraId="35F4D74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0CF2942F"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3" w:name="_Toc129243222"/>
      <w:bookmarkStart w:id="4" w:name="_Toc129243097"/>
      <w:r w:rsidRPr="00846A3E">
        <w:rPr>
          <w:rFonts w:ascii="Times New Roman" w:hAnsi="Times New Roman" w:cs="Times New Roman"/>
          <w:b/>
          <w:lang w:val="lt-LT"/>
        </w:rPr>
        <w:t>PREPARATO CHARAKTERISTIKŲ SANTRAUKA</w:t>
      </w:r>
      <w:bookmarkEnd w:id="3"/>
      <w:bookmarkEnd w:id="4"/>
    </w:p>
    <w:p w14:paraId="512B920F" w14:textId="77777777" w:rsidR="00B1792A" w:rsidRPr="00846A3E" w:rsidRDefault="00B1792A" w:rsidP="00846A3E">
      <w:pPr>
        <w:widowControl w:val="0"/>
        <w:tabs>
          <w:tab w:val="left" w:pos="567"/>
        </w:tabs>
        <w:adjustRightInd w:val="0"/>
        <w:snapToGrid w:val="0"/>
        <w:spacing w:after="0" w:line="240" w:lineRule="auto"/>
        <w:jc w:val="center"/>
        <w:outlineLvl w:val="1"/>
        <w:rPr>
          <w:rFonts w:ascii="Times New Roman" w:eastAsia="Times New Roman" w:hAnsi="Times New Roman" w:cs="Times New Roman"/>
          <w:b/>
          <w:bCs/>
          <w:iCs/>
          <w:lang w:val="lt-LT"/>
        </w:rPr>
      </w:pPr>
    </w:p>
    <w:p w14:paraId="0F8F3221"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bCs/>
          <w:iCs/>
          <w:lang w:val="lt-LT"/>
        </w:rPr>
      </w:pPr>
    </w:p>
    <w:p w14:paraId="0382C5F4"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r w:rsidRPr="00846A3E">
        <w:rPr>
          <w:rFonts w:ascii="Times New Roman" w:eastAsia="Times New Roman" w:hAnsi="Times New Roman" w:cs="Times New Roman"/>
          <w:b/>
          <w:bCs/>
          <w:iCs/>
          <w:lang w:val="lt-LT"/>
        </w:rPr>
        <w:br w:type="page"/>
      </w:r>
      <w:bookmarkStart w:id="5" w:name="_Toc129243098"/>
      <w:bookmarkStart w:id="6" w:name="_Toc129243223"/>
      <w:r w:rsidRPr="00846A3E">
        <w:rPr>
          <w:rFonts w:ascii="Times New Roman" w:eastAsia="Times New Roman" w:hAnsi="Times New Roman" w:cs="Times New Roman"/>
          <w:b/>
          <w:lang w:val="lt-LT"/>
        </w:rPr>
        <w:lastRenderedPageBreak/>
        <w:t>1.</w:t>
      </w:r>
      <w:r w:rsidRPr="00846A3E">
        <w:rPr>
          <w:rFonts w:ascii="Times New Roman" w:eastAsia="Times New Roman" w:hAnsi="Times New Roman" w:cs="Times New Roman"/>
          <w:b/>
          <w:lang w:val="lt-LT"/>
        </w:rPr>
        <w:tab/>
        <w:t>VAISTINIO PREPARATO PAVADINIMAS</w:t>
      </w:r>
      <w:bookmarkEnd w:id="5"/>
      <w:bookmarkEnd w:id="6"/>
    </w:p>
    <w:p w14:paraId="4AF0CA5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28EC432"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lang w:val="lt-LT" w:eastAsia="lt-LT"/>
        </w:rPr>
        <w:t xml:space="preserve">Opexa 20 mg </w:t>
      </w:r>
      <w:r w:rsidRPr="00846A3E">
        <w:rPr>
          <w:rFonts w:ascii="Times New Roman" w:eastAsia="Times New Roman" w:hAnsi="Times New Roman" w:cs="Times New Roman"/>
          <w:color w:val="000000"/>
          <w:spacing w:val="-1"/>
          <w:lang w:val="lt-LT" w:eastAsia="lt-LT"/>
        </w:rPr>
        <w:t>burnoje disperguojamos tabletės</w:t>
      </w:r>
    </w:p>
    <w:p w14:paraId="0A09772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82DB7F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CF8390D"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7" w:name="_Toc129243099"/>
      <w:bookmarkStart w:id="8" w:name="_Toc129243224"/>
      <w:r w:rsidRPr="00846A3E">
        <w:rPr>
          <w:rFonts w:ascii="Times New Roman" w:eastAsia="Times New Roman" w:hAnsi="Times New Roman" w:cs="Times New Roman"/>
          <w:b/>
          <w:lang w:val="lt-LT"/>
        </w:rPr>
        <w:t>2.</w:t>
      </w:r>
      <w:r w:rsidRPr="00846A3E">
        <w:rPr>
          <w:rFonts w:ascii="Times New Roman" w:eastAsia="Times New Roman" w:hAnsi="Times New Roman" w:cs="Times New Roman"/>
          <w:b/>
          <w:lang w:val="lt-LT"/>
        </w:rPr>
        <w:tab/>
        <w:t>KOKYBINĖ IR KIEKYBINĖ SUDĖTIS</w:t>
      </w:r>
      <w:bookmarkEnd w:id="7"/>
      <w:bookmarkEnd w:id="8"/>
    </w:p>
    <w:p w14:paraId="59B1A74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F6A2216"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 xml:space="preserve">Kiekvienoje </w:t>
      </w:r>
      <w:r w:rsidRPr="00846A3E">
        <w:rPr>
          <w:rFonts w:ascii="Times New Roman" w:eastAsia="Times New Roman" w:hAnsi="Times New Roman" w:cs="Times New Roman"/>
          <w:color w:val="000000"/>
          <w:spacing w:val="-1"/>
          <w:lang w:val="lt-LT" w:eastAsia="lt-LT"/>
        </w:rPr>
        <w:t>burnoje disperguojamoje t</w:t>
      </w:r>
      <w:r w:rsidRPr="00846A3E">
        <w:rPr>
          <w:rFonts w:ascii="Times New Roman" w:eastAsia="Times New Roman" w:hAnsi="Times New Roman" w:cs="Times New Roman"/>
          <w:color w:val="000000"/>
          <w:lang w:val="lt-LT" w:eastAsia="lt-LT"/>
        </w:rPr>
        <w:t>abletėje yra 20 mg bilastino.</w:t>
      </w:r>
    </w:p>
    <w:p w14:paraId="75AA65A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50BAD30" w14:textId="4DC57D3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Pagalbinė medžiaga, kurios poveikis žinomas</w:t>
      </w:r>
      <w:r w:rsidRPr="00846A3E">
        <w:rPr>
          <w:rFonts w:ascii="Times New Roman" w:eastAsia="Calibri" w:hAnsi="Times New Roman" w:cs="Times New Roman"/>
          <w:lang w:val="lt-LT"/>
        </w:rPr>
        <w:t>: kiekvienoje burnoje disperguojamojoje tabletėje yra 0,0030</w:t>
      </w:r>
      <w:r w:rsidR="003514DE" w:rsidRPr="00841AFB">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mg etanolio.</w:t>
      </w:r>
    </w:p>
    <w:p w14:paraId="4BFFD05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FE8ABDE" w14:textId="2C6083B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Visos pagalbinės medžiagos išvardytos 6.1</w:t>
      </w:r>
      <w:r w:rsidR="00860203"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skyriuje.</w:t>
      </w:r>
    </w:p>
    <w:p w14:paraId="0C162CB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9BDD30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2567583"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9" w:name="_Toc129243100"/>
      <w:bookmarkStart w:id="10" w:name="_Toc129243225"/>
      <w:r w:rsidRPr="00846A3E">
        <w:rPr>
          <w:rFonts w:ascii="Times New Roman" w:eastAsia="Times New Roman" w:hAnsi="Times New Roman" w:cs="Times New Roman"/>
          <w:b/>
          <w:lang w:val="lt-LT"/>
        </w:rPr>
        <w:t>3.</w:t>
      </w:r>
      <w:r w:rsidRPr="00846A3E">
        <w:rPr>
          <w:rFonts w:ascii="Times New Roman" w:eastAsia="Times New Roman" w:hAnsi="Times New Roman" w:cs="Times New Roman"/>
          <w:b/>
          <w:lang w:val="lt-LT"/>
        </w:rPr>
        <w:tab/>
        <w:t>FARMACINĖ FORMA</w:t>
      </w:r>
      <w:bookmarkEnd w:id="9"/>
      <w:bookmarkEnd w:id="10"/>
    </w:p>
    <w:p w14:paraId="19E6E9A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A9D5A18" w14:textId="77777777" w:rsidR="00B1792A"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spacing w:val="-1"/>
          <w:lang w:val="lt-LT" w:eastAsia="lt-LT"/>
        </w:rPr>
        <w:t>Burnoje disperguojama tabletė</w:t>
      </w:r>
    </w:p>
    <w:p w14:paraId="4E435255" w14:textId="77777777" w:rsidR="004D1196" w:rsidRPr="00846A3E" w:rsidRDefault="004D1196"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119622B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Tabletės yra baltos, apvalios, plokščios, vienoje pusėje įspausta „20“, 8 mm skersmens.</w:t>
      </w:r>
    </w:p>
    <w:p w14:paraId="47BD76D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A857CE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E14D552"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11" w:name="_Toc129243101"/>
      <w:bookmarkStart w:id="12" w:name="_Toc129243226"/>
      <w:r w:rsidRPr="00846A3E">
        <w:rPr>
          <w:rFonts w:ascii="Times New Roman" w:eastAsia="Times New Roman" w:hAnsi="Times New Roman" w:cs="Times New Roman"/>
          <w:b/>
          <w:lang w:val="lt-LT"/>
        </w:rPr>
        <w:t>4.</w:t>
      </w:r>
      <w:r w:rsidRPr="00846A3E">
        <w:rPr>
          <w:rFonts w:ascii="Times New Roman" w:eastAsia="Times New Roman" w:hAnsi="Times New Roman" w:cs="Times New Roman"/>
          <w:b/>
          <w:lang w:val="lt-LT"/>
        </w:rPr>
        <w:tab/>
        <w:t>KLINIKINĖ INFORMACIJA</w:t>
      </w:r>
      <w:bookmarkEnd w:id="11"/>
      <w:bookmarkEnd w:id="12"/>
    </w:p>
    <w:p w14:paraId="0048A83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E6A48E0"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13" w:name="_Toc129243102"/>
      <w:bookmarkStart w:id="14" w:name="_Toc129243227"/>
      <w:r w:rsidRPr="00846A3E">
        <w:rPr>
          <w:rFonts w:ascii="Times New Roman" w:eastAsia="Times New Roman" w:hAnsi="Times New Roman" w:cs="Times New Roman"/>
          <w:b/>
          <w:kern w:val="28"/>
          <w:lang w:val="lt-LT"/>
        </w:rPr>
        <w:t>4.1</w:t>
      </w:r>
      <w:r w:rsidRPr="00846A3E">
        <w:rPr>
          <w:rFonts w:ascii="Times New Roman" w:eastAsia="Times New Roman" w:hAnsi="Times New Roman" w:cs="Times New Roman"/>
          <w:b/>
          <w:kern w:val="28"/>
          <w:lang w:val="lt-LT"/>
        </w:rPr>
        <w:tab/>
        <w:t>Terapinės indikacijos</w:t>
      </w:r>
      <w:bookmarkEnd w:id="13"/>
      <w:bookmarkEnd w:id="14"/>
    </w:p>
    <w:p w14:paraId="4E7AC61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70E4D3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Alerginio rinokonjunktyvito (sezoninio ir nuolatinio) ir dilgėlinės simptominis gydymas.</w:t>
      </w:r>
    </w:p>
    <w:p w14:paraId="49BBFDB4" w14:textId="77777777" w:rsidR="005D097B" w:rsidRPr="00846A3E" w:rsidRDefault="005D097B" w:rsidP="00846A3E">
      <w:pPr>
        <w:widowControl w:val="0"/>
        <w:adjustRightInd w:val="0"/>
        <w:snapToGrid w:val="0"/>
        <w:spacing w:after="0" w:line="240" w:lineRule="auto"/>
        <w:rPr>
          <w:rFonts w:ascii="Times New Roman" w:eastAsia="Calibri" w:hAnsi="Times New Roman" w:cs="Times New Roman"/>
          <w:lang w:val="lt-LT"/>
        </w:rPr>
      </w:pPr>
    </w:p>
    <w:p w14:paraId="5AB580F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Opexa skirtas suaugusiesiems ir paaugliams (12 metų ir vyresniems).</w:t>
      </w:r>
    </w:p>
    <w:p w14:paraId="0022385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BD90214"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15" w:name="_Toc129243103"/>
      <w:bookmarkStart w:id="16" w:name="_Toc129243228"/>
      <w:r w:rsidRPr="00846A3E">
        <w:rPr>
          <w:rFonts w:ascii="Times New Roman" w:eastAsia="Times New Roman" w:hAnsi="Times New Roman" w:cs="Times New Roman"/>
          <w:b/>
          <w:kern w:val="28"/>
          <w:lang w:val="lt-LT"/>
        </w:rPr>
        <w:t>4.2</w:t>
      </w:r>
      <w:r w:rsidRPr="00846A3E">
        <w:rPr>
          <w:rFonts w:ascii="Times New Roman" w:eastAsia="Times New Roman" w:hAnsi="Times New Roman" w:cs="Times New Roman"/>
          <w:b/>
          <w:kern w:val="28"/>
          <w:lang w:val="lt-LT"/>
        </w:rPr>
        <w:tab/>
        <w:t>Dozavimas ir vartojimo metodas</w:t>
      </w:r>
      <w:bookmarkEnd w:id="15"/>
      <w:bookmarkEnd w:id="16"/>
    </w:p>
    <w:p w14:paraId="0F319F3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DB6FDE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 xml:space="preserve">Dozavimas </w:t>
      </w:r>
    </w:p>
    <w:p w14:paraId="7037E58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B6D5F0F" w14:textId="0DA9BED4"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Suaugusiesiems ir paaugliams (12</w:t>
      </w:r>
      <w:r w:rsidR="005D097B" w:rsidRPr="00846A3E">
        <w:rPr>
          <w:rFonts w:ascii="Times New Roman" w:eastAsia="Calibri" w:hAnsi="Times New Roman" w:cs="Times New Roman"/>
          <w:i/>
          <w:lang w:val="lt-LT"/>
        </w:rPr>
        <w:t> </w:t>
      </w:r>
      <w:r w:rsidRPr="00846A3E">
        <w:rPr>
          <w:rFonts w:ascii="Times New Roman" w:eastAsia="Calibri" w:hAnsi="Times New Roman" w:cs="Times New Roman"/>
          <w:i/>
          <w:lang w:val="lt-LT"/>
        </w:rPr>
        <w:t>metų ir vyresniems)</w:t>
      </w:r>
    </w:p>
    <w:p w14:paraId="1DE4956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20 mg bilastino vieną kartą per parą alerginio rinokonjunktyvito (sezoninio ir nuolatinio) ir dilgėlinės simptomų lengvinimui.</w:t>
      </w:r>
    </w:p>
    <w:p w14:paraId="522EC7DE" w14:textId="77777777" w:rsidR="005D097B" w:rsidRPr="00846A3E" w:rsidRDefault="005D097B" w:rsidP="00846A3E">
      <w:pPr>
        <w:widowControl w:val="0"/>
        <w:adjustRightInd w:val="0"/>
        <w:snapToGrid w:val="0"/>
        <w:spacing w:after="0" w:line="240" w:lineRule="auto"/>
        <w:rPr>
          <w:rFonts w:ascii="Times New Roman" w:eastAsia="Calibri" w:hAnsi="Times New Roman" w:cs="Times New Roman"/>
          <w:spacing w:val="-1"/>
          <w:lang w:val="lt-LT"/>
        </w:rPr>
      </w:pPr>
    </w:p>
    <w:p w14:paraId="65442073" w14:textId="60D482C1"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Tabletę reikia išgerti vieną valandą prieš valgymą arba praėjus dviem valandoms po valgymo arba sulčių gėrimo (žr. 4.5</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w:t>
      </w:r>
    </w:p>
    <w:p w14:paraId="1F4F466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F4C472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Vartojimo trukmė</w:t>
      </w:r>
    </w:p>
    <w:p w14:paraId="6C52FD9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Alerginio rinokonjunktyvito gydymo trukmė neturi viršyti ekspozicijos alergenams laikotarpio.</w:t>
      </w:r>
    </w:p>
    <w:p w14:paraId="46D8995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Sezoninio alerginio rinito gydymą galima užbaigti išnykus simptomams ir vėl pradėti vartoti, jei jų atsiranda iš naujo. Nuolatinio alerginio rinito atvejais gydymą reikėtų skirti ekspozicijos alergenams laikotarpiu. Dilgėlinės atvejais gydymo trukmė priklauso nuo simptomų pobūdžio, jų trukmės ir ligos eigos.</w:t>
      </w:r>
    </w:p>
    <w:p w14:paraId="7E80BED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C25CBBE" w14:textId="77777777" w:rsidR="00B1792A" w:rsidRPr="00D65358"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D65358">
        <w:rPr>
          <w:rFonts w:ascii="Times New Roman" w:eastAsia="Calibri" w:hAnsi="Times New Roman" w:cs="Times New Roman"/>
          <w:u w:val="single"/>
          <w:lang w:val="lt-LT"/>
        </w:rPr>
        <w:t>Ypatingos populiacijos</w:t>
      </w:r>
    </w:p>
    <w:p w14:paraId="4106144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iCs/>
          <w:lang w:val="lt-LT"/>
        </w:rPr>
      </w:pPr>
      <w:r w:rsidRPr="00846A3E">
        <w:rPr>
          <w:rFonts w:ascii="Times New Roman" w:eastAsia="Calibri" w:hAnsi="Times New Roman" w:cs="Times New Roman"/>
          <w:i/>
          <w:iCs/>
          <w:lang w:val="lt-LT"/>
        </w:rPr>
        <w:t>Senyviems pacientams</w:t>
      </w:r>
    </w:p>
    <w:p w14:paraId="214418D2" w14:textId="53A91BAD" w:rsidR="00B1792A" w:rsidRPr="00846A3E" w:rsidRDefault="00B1792A" w:rsidP="00846A3E">
      <w:pPr>
        <w:widowControl w:val="0"/>
        <w:adjustRightInd w:val="0"/>
        <w:snapToGrid w:val="0"/>
        <w:spacing w:after="0" w:line="240" w:lineRule="auto"/>
        <w:rPr>
          <w:rFonts w:ascii="Times New Roman" w:eastAsia="Calibri" w:hAnsi="Times New Roman" w:cs="Times New Roman"/>
          <w:iCs/>
          <w:lang w:val="lt-LT"/>
        </w:rPr>
      </w:pPr>
      <w:r w:rsidRPr="00846A3E">
        <w:rPr>
          <w:rFonts w:ascii="Times New Roman" w:eastAsia="Calibri" w:hAnsi="Times New Roman" w:cs="Times New Roman"/>
          <w:iCs/>
          <w:lang w:val="lt-LT"/>
        </w:rPr>
        <w:t>Senyviems pacientams dozės koreguoti nereikia (žr. 5.1 ir 5.2</w:t>
      </w:r>
      <w:r w:rsidR="00B109F8" w:rsidRPr="00846A3E">
        <w:rPr>
          <w:rFonts w:ascii="Times New Roman" w:eastAsia="Calibri" w:hAnsi="Times New Roman" w:cs="Times New Roman"/>
          <w:lang w:val="lt-LT"/>
        </w:rPr>
        <w:t> </w:t>
      </w:r>
      <w:r w:rsidRPr="00846A3E">
        <w:rPr>
          <w:rFonts w:ascii="Times New Roman" w:eastAsia="Calibri" w:hAnsi="Times New Roman" w:cs="Times New Roman"/>
          <w:iCs/>
          <w:lang w:val="lt-LT"/>
        </w:rPr>
        <w:t>skyrius).</w:t>
      </w:r>
    </w:p>
    <w:p w14:paraId="4C78F8E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Cs/>
          <w:lang w:val="lt-LT"/>
        </w:rPr>
      </w:pPr>
    </w:p>
    <w:p w14:paraId="57F1436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iCs/>
          <w:lang w:val="lt-LT"/>
        </w:rPr>
      </w:pPr>
      <w:r w:rsidRPr="00846A3E">
        <w:rPr>
          <w:rFonts w:ascii="Times New Roman" w:eastAsia="Calibri" w:hAnsi="Times New Roman" w:cs="Times New Roman"/>
          <w:i/>
          <w:iCs/>
          <w:lang w:val="lt-LT"/>
        </w:rPr>
        <w:t>Pacientams, kurių inkstų funkcija sutrikusi</w:t>
      </w:r>
    </w:p>
    <w:p w14:paraId="5DB3BAEE" w14:textId="199795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Suaugusiųjų ypatingos rizikos grupės (pacientų, kurių inkstų veikla sutrikusi) tyrimai rodo, kad bilastino dozės koreguoti nereikia (žr. 5.2</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 xml:space="preserve">skyrių).  </w:t>
      </w:r>
    </w:p>
    <w:p w14:paraId="5317279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A575BC5" w14:textId="77777777" w:rsidR="00B1792A" w:rsidRPr="00846A3E" w:rsidRDefault="00B1792A" w:rsidP="00D65358">
      <w:pPr>
        <w:keepNext/>
        <w:widowControl w:val="0"/>
        <w:adjustRightInd w:val="0"/>
        <w:snapToGrid w:val="0"/>
        <w:spacing w:after="0" w:line="240" w:lineRule="auto"/>
        <w:rPr>
          <w:rFonts w:ascii="Times New Roman" w:eastAsia="Calibri" w:hAnsi="Times New Roman" w:cs="Times New Roman"/>
          <w:i/>
          <w:iCs/>
          <w:lang w:val="lt-LT"/>
        </w:rPr>
      </w:pPr>
      <w:r w:rsidRPr="00846A3E">
        <w:rPr>
          <w:rFonts w:ascii="Times New Roman" w:eastAsia="Calibri" w:hAnsi="Times New Roman" w:cs="Times New Roman"/>
          <w:i/>
          <w:iCs/>
          <w:lang w:val="lt-LT"/>
        </w:rPr>
        <w:lastRenderedPageBreak/>
        <w:t>Pacientams, kurių kepenų funkcija sutrikusi</w:t>
      </w:r>
    </w:p>
    <w:p w14:paraId="44687513" w14:textId="674DB2FF"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Klinikinio patyrimo, susijusio su suaugusiųjų kepenų funkcijos sutrikimu, nėra. Kadangi bilastinas nemetabolizuojamas ir jis išsiskiria iš organizmo nepakitęs su šlapimu ir išmatomis, kepenų funkcijos sutrikimas neturėtų padidinti suaugusiesiems sisteminės ekspozicijos virš saugumo ribos. Todėl, esant kepenų funkcijos sutrikimui suaugusiesiems, dozės koreguoti nereikia (žr. 5.2</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w:t>
      </w:r>
    </w:p>
    <w:p w14:paraId="766031F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368D4C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i/>
          <w:lang w:val="lt-LT"/>
        </w:rPr>
        <w:t>Vaikų populiacija</w:t>
      </w:r>
    </w:p>
    <w:p w14:paraId="47B885D4" w14:textId="2AD8C664" w:rsidR="00B1792A" w:rsidRPr="00846A3E" w:rsidRDefault="00B1792A" w:rsidP="00846A3E">
      <w:pPr>
        <w:pStyle w:val="Sraopastraipa"/>
        <w:widowControl w:val="0"/>
        <w:numPr>
          <w:ilvl w:val="0"/>
          <w:numId w:val="2"/>
        </w:numPr>
        <w:adjustRightInd w:val="0"/>
        <w:snapToGrid w:val="0"/>
        <w:spacing w:after="0" w:line="240" w:lineRule="auto"/>
        <w:ind w:left="0" w:firstLine="0"/>
        <w:contextualSpacing w:val="0"/>
        <w:rPr>
          <w:rFonts w:ascii="Times New Roman" w:eastAsia="Calibri" w:hAnsi="Times New Roman" w:cs="Times New Roman"/>
          <w:lang w:val="lt-LT"/>
        </w:rPr>
      </w:pPr>
      <w:r w:rsidRPr="00846A3E">
        <w:rPr>
          <w:rFonts w:ascii="Times New Roman" w:eastAsia="Calibri" w:hAnsi="Times New Roman" w:cs="Times New Roman"/>
          <w:lang w:val="lt-LT"/>
        </w:rPr>
        <w:t>6</w:t>
      </w:r>
      <w:r w:rsidR="005D097B" w:rsidRPr="00846A3E">
        <w:rPr>
          <w:rFonts w:ascii="Times New Roman" w:eastAsia="Calibri" w:hAnsi="Times New Roman" w:cs="Times New Roman"/>
          <w:lang w:val="lt-LT"/>
        </w:rPr>
        <w:t>–</w:t>
      </w:r>
      <w:r w:rsidRPr="00846A3E">
        <w:rPr>
          <w:rFonts w:ascii="Times New Roman" w:eastAsia="Calibri" w:hAnsi="Times New Roman" w:cs="Times New Roman"/>
          <w:lang w:val="lt-LT"/>
        </w:rPr>
        <w:t>11 metų vaikai, sveriantys ne mažiau kaip 20 kg</w:t>
      </w:r>
    </w:p>
    <w:p w14:paraId="0CF2E93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Šiai populiacijai tinka vartoti bilastino 10 mg burnoje disperguojamosios tabletės ir bilastino 2,5 mg/ml geriamojo tirpalo.</w:t>
      </w:r>
    </w:p>
    <w:p w14:paraId="5DE8A1BD" w14:textId="77777777" w:rsidR="00B1792A" w:rsidRPr="00846A3E" w:rsidRDefault="00B1792A" w:rsidP="00846A3E">
      <w:pPr>
        <w:pStyle w:val="Sraopastraipa"/>
        <w:widowControl w:val="0"/>
        <w:numPr>
          <w:ilvl w:val="0"/>
          <w:numId w:val="2"/>
        </w:numPr>
        <w:adjustRightInd w:val="0"/>
        <w:snapToGrid w:val="0"/>
        <w:spacing w:after="0" w:line="240" w:lineRule="auto"/>
        <w:ind w:left="0" w:firstLine="0"/>
        <w:contextualSpacing w:val="0"/>
        <w:rPr>
          <w:rFonts w:ascii="Times New Roman" w:eastAsia="Calibri" w:hAnsi="Times New Roman" w:cs="Times New Roman"/>
          <w:lang w:val="lt-LT"/>
        </w:rPr>
      </w:pPr>
      <w:r w:rsidRPr="00846A3E">
        <w:rPr>
          <w:rFonts w:ascii="Times New Roman" w:eastAsia="Calibri" w:hAnsi="Times New Roman" w:cs="Times New Roman"/>
          <w:lang w:val="lt-LT"/>
        </w:rPr>
        <w:t>Jaunesni kaip 6 metų vaikai ir sveriantys mažiau kaip 20 kg</w:t>
      </w:r>
    </w:p>
    <w:p w14:paraId="4091BE8E" w14:textId="593FB76E" w:rsidR="00B1792A" w:rsidRPr="00846A3E" w:rsidRDefault="00B1792A" w:rsidP="00846A3E">
      <w:pPr>
        <w:pStyle w:val="Sraopastraipa"/>
        <w:widowControl w:val="0"/>
        <w:adjustRightInd w:val="0"/>
        <w:snapToGrid w:val="0"/>
        <w:spacing w:after="0" w:line="240" w:lineRule="auto"/>
        <w:ind w:left="0"/>
        <w:contextualSpacing w:val="0"/>
        <w:rPr>
          <w:rFonts w:ascii="Times New Roman" w:eastAsia="Calibri" w:hAnsi="Times New Roman" w:cs="Times New Roman"/>
          <w:lang w:val="lt-LT"/>
        </w:rPr>
      </w:pPr>
      <w:r w:rsidRPr="00846A3E">
        <w:rPr>
          <w:rFonts w:ascii="Times New Roman" w:eastAsia="Calibri" w:hAnsi="Times New Roman" w:cs="Times New Roman"/>
          <w:lang w:val="lt-LT"/>
        </w:rPr>
        <w:t>Šiuo metu žinomi duomenys aprašyti 4.4, 4.8, 5.1 ir 5.2</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skyriuose, bet vartojimo rekomendacijų nėra. Todėl šio amžiaus vaikams bilastino vartoti negalima.</w:t>
      </w:r>
    </w:p>
    <w:p w14:paraId="324820D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4205DA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Bilastino saugumas ir veiksmingumas vaikams, kurių inkstų ir kepenų funkcija sutrikusi, dar neištirti.</w:t>
      </w:r>
    </w:p>
    <w:p w14:paraId="38B5941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8FE96E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u w:val="single"/>
          <w:lang w:val="lt-LT"/>
        </w:rPr>
      </w:pPr>
      <w:r w:rsidRPr="00846A3E">
        <w:rPr>
          <w:rFonts w:ascii="Times New Roman" w:eastAsia="Calibri" w:hAnsi="Times New Roman" w:cs="Times New Roman"/>
          <w:b/>
          <w:u w:val="single"/>
          <w:lang w:val="lt-LT"/>
        </w:rPr>
        <w:t>Vartojimo metodas</w:t>
      </w:r>
    </w:p>
    <w:p w14:paraId="49EF513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Vartoti per burną.</w:t>
      </w:r>
    </w:p>
    <w:p w14:paraId="7D0B812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D66644C"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spacing w:val="-1"/>
          <w:lang w:val="lt-LT" w:eastAsia="lt-LT"/>
        </w:rPr>
        <w:t xml:space="preserve">Burnoje disperguojamą tabletę reikia įdėti į burną; seilėse ji greitai disperguojasi ir tampa lengvai nuryjama. </w:t>
      </w:r>
    </w:p>
    <w:p w14:paraId="27589408" w14:textId="77777777" w:rsidR="005D097B" w:rsidRPr="00846A3E" w:rsidRDefault="005D097B"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1C229B31"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222222"/>
          <w:lang w:val="lt-LT" w:eastAsia="lt-LT"/>
        </w:rPr>
        <w:t>Kitu atveju burnoje disperguojamos tabletės prieš vartojimą gali būti ištirpintos vandenyje.</w:t>
      </w:r>
    </w:p>
    <w:p w14:paraId="76A869A2" w14:textId="7C6CCD46"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spacing w:val="-1"/>
          <w:lang w:val="lt-LT" w:eastAsia="lt-LT"/>
        </w:rPr>
        <w:t>Tabletės ištirpinimui negalima vartoti greipfrutų ar kitų sulčių (žr. 4.5</w:t>
      </w:r>
      <w:r w:rsidR="00B109F8" w:rsidRPr="00846A3E">
        <w:rPr>
          <w:rFonts w:ascii="Times New Roman" w:eastAsia="Calibri" w:hAnsi="Times New Roman" w:cs="Times New Roman"/>
          <w:lang w:val="lt-LT"/>
        </w:rPr>
        <w:t> </w:t>
      </w:r>
      <w:r w:rsidRPr="00846A3E">
        <w:rPr>
          <w:rFonts w:ascii="Times New Roman" w:eastAsia="Times New Roman" w:hAnsi="Times New Roman" w:cs="Times New Roman"/>
          <w:color w:val="000000"/>
          <w:spacing w:val="-1"/>
          <w:lang w:val="lt-LT" w:eastAsia="lt-LT"/>
        </w:rPr>
        <w:t>skyrių).</w:t>
      </w:r>
    </w:p>
    <w:p w14:paraId="35E96CF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705A548"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17" w:name="_Toc129243104"/>
      <w:bookmarkStart w:id="18" w:name="_Toc129243229"/>
      <w:r w:rsidRPr="00846A3E">
        <w:rPr>
          <w:rFonts w:ascii="Times New Roman" w:eastAsia="Times New Roman" w:hAnsi="Times New Roman" w:cs="Times New Roman"/>
          <w:b/>
          <w:kern w:val="28"/>
          <w:lang w:val="lt-LT"/>
        </w:rPr>
        <w:t>4.3</w:t>
      </w:r>
      <w:r w:rsidRPr="00846A3E">
        <w:rPr>
          <w:rFonts w:ascii="Times New Roman" w:eastAsia="Times New Roman" w:hAnsi="Times New Roman" w:cs="Times New Roman"/>
          <w:b/>
          <w:kern w:val="28"/>
          <w:lang w:val="lt-LT"/>
        </w:rPr>
        <w:tab/>
        <w:t>Kontraindikacijos</w:t>
      </w:r>
      <w:bookmarkEnd w:id="17"/>
      <w:bookmarkEnd w:id="18"/>
    </w:p>
    <w:p w14:paraId="0EA2906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D8B7433" w14:textId="750C003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Padidėjęs jautrumas veikliajai arba bet kuriai 6.1</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skyriuje nurodytai pagalbinei medžiagai.</w:t>
      </w:r>
    </w:p>
    <w:p w14:paraId="39F590C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CBF4037"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19" w:name="_Toc129243105"/>
      <w:bookmarkStart w:id="20" w:name="_Toc129243230"/>
      <w:r w:rsidRPr="00846A3E">
        <w:rPr>
          <w:rFonts w:ascii="Times New Roman" w:eastAsia="Times New Roman" w:hAnsi="Times New Roman" w:cs="Times New Roman"/>
          <w:b/>
          <w:kern w:val="28"/>
          <w:lang w:val="lt-LT"/>
        </w:rPr>
        <w:t>4.4</w:t>
      </w:r>
      <w:r w:rsidRPr="00846A3E">
        <w:rPr>
          <w:rFonts w:ascii="Times New Roman" w:eastAsia="Times New Roman" w:hAnsi="Times New Roman" w:cs="Times New Roman"/>
          <w:b/>
          <w:kern w:val="28"/>
          <w:lang w:val="lt-LT"/>
        </w:rPr>
        <w:tab/>
        <w:t>Specialūs įspėjimai ir atsargumo priemonės</w:t>
      </w:r>
      <w:bookmarkEnd w:id="19"/>
      <w:bookmarkEnd w:id="20"/>
    </w:p>
    <w:p w14:paraId="700F3A5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33F37C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Vaikų populiacija</w:t>
      </w:r>
    </w:p>
    <w:p w14:paraId="7B4BFBCC" w14:textId="6871660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Bilastino veiksmingumas ir saugumas jaunesniems kaip 2 metų vaikams nenustatytas, klinikinio patyrimo apie vartojimą 2</w:t>
      </w:r>
      <w:r w:rsidR="005D097B" w:rsidRPr="00846A3E">
        <w:rPr>
          <w:rFonts w:ascii="Times New Roman" w:eastAsia="Calibri" w:hAnsi="Times New Roman" w:cs="Times New Roman"/>
          <w:lang w:val="lt-LT"/>
        </w:rPr>
        <w:t>–</w:t>
      </w:r>
      <w:r w:rsidRPr="00846A3E">
        <w:rPr>
          <w:rFonts w:ascii="Times New Roman" w:eastAsia="Calibri" w:hAnsi="Times New Roman" w:cs="Times New Roman"/>
          <w:lang w:val="lt-LT"/>
        </w:rPr>
        <w:t>5 metų vaikams nedaug, todėl šios amžiaus grupės vaikams bilastino vartoti negalima.</w:t>
      </w:r>
    </w:p>
    <w:p w14:paraId="2D07C2E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DCC490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Esant vidutinio sunkumo arba sunkiam inkstų funkcijos sutrikimui, bilastino vartojimas kartu su P-glikoproteino inhibitoriais, pvz.: ketokonazolu, eritromicinu, ciklosporinu, ritonaviru arba diltiazemu gali padidinti bilastino koncentraciją kraujo plazmoje ir tokiu būdu padidinti bilastino nepageidaujamų reakcijų riziką. Todėl esant vidutinio sunkumo arba sunkiam inkstų funkcijos sutrikimui reikia vengti vartoti bilastiną kartu su P-glikoproteino inhibitoriais.</w:t>
      </w:r>
    </w:p>
    <w:p w14:paraId="411A1464" w14:textId="64B18A5D"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31D33AD" w14:textId="1ECD0C55" w:rsidR="001E741E" w:rsidRPr="00846A3E" w:rsidRDefault="001E741E" w:rsidP="00846A3E">
      <w:pPr>
        <w:widowControl w:val="0"/>
        <w:adjustRightInd w:val="0"/>
        <w:snapToGrid w:val="0"/>
        <w:spacing w:after="0" w:line="240" w:lineRule="auto"/>
        <w:rPr>
          <w:rFonts w:ascii="Times New Roman" w:eastAsia="Times New Roman" w:hAnsi="Times New Roman" w:cs="Times New Roman"/>
          <w:bCs/>
          <w:lang w:val="lt-LT"/>
        </w:rPr>
      </w:pPr>
      <w:r w:rsidRPr="00846A3E">
        <w:rPr>
          <w:rFonts w:ascii="Times New Roman" w:eastAsia="Times New Roman" w:hAnsi="Times New Roman" w:cs="Times New Roman"/>
          <w:lang w:val="lt-LT" w:bidi="lt-LT"/>
        </w:rPr>
        <w:t>Buvo pranešta apie elektrokardiogramoje matomo QT intervalo pailgėjimo atvejus, kai pacientai vartojo bilastiną (žr. 4.8, 4.9 ir 5.1</w:t>
      </w:r>
      <w:r w:rsidR="00B109F8" w:rsidRPr="00846A3E">
        <w:rPr>
          <w:rFonts w:ascii="Times New Roman" w:eastAsia="Calibri" w:hAnsi="Times New Roman" w:cs="Times New Roman"/>
          <w:lang w:val="lt-LT"/>
        </w:rPr>
        <w:t> </w:t>
      </w:r>
      <w:r w:rsidRPr="00846A3E">
        <w:rPr>
          <w:rFonts w:ascii="Times New Roman" w:eastAsia="Times New Roman" w:hAnsi="Times New Roman" w:cs="Times New Roman"/>
          <w:lang w:val="lt-LT" w:bidi="lt-LT"/>
        </w:rPr>
        <w:t>skyrius). Įtariama, kad vaistiniai preparatai, sukeliantys QT</w:t>
      </w:r>
      <w:r w:rsidR="005D097B" w:rsidRPr="00846A3E">
        <w:rPr>
          <w:rFonts w:ascii="Times New Roman" w:eastAsia="Times New Roman" w:hAnsi="Times New Roman" w:cs="Times New Roman"/>
          <w:lang w:val="lt-LT" w:bidi="lt-LT"/>
        </w:rPr>
        <w:t xml:space="preserve"> </w:t>
      </w:r>
      <w:r w:rsidRPr="00846A3E">
        <w:rPr>
          <w:rFonts w:ascii="Times New Roman" w:eastAsia="Times New Roman" w:hAnsi="Times New Roman" w:cs="Times New Roman"/>
          <w:lang w:val="lt-LT" w:bidi="lt-LT"/>
        </w:rPr>
        <w:t>/</w:t>
      </w:r>
      <w:r w:rsidR="005D097B" w:rsidRPr="00846A3E">
        <w:rPr>
          <w:rFonts w:ascii="Times New Roman" w:eastAsia="Times New Roman" w:hAnsi="Times New Roman" w:cs="Times New Roman"/>
          <w:lang w:val="lt-LT" w:bidi="lt-LT"/>
        </w:rPr>
        <w:t xml:space="preserve"> </w:t>
      </w:r>
      <w:r w:rsidRPr="00846A3E">
        <w:rPr>
          <w:rFonts w:ascii="Times New Roman" w:eastAsia="Times New Roman" w:hAnsi="Times New Roman" w:cs="Times New Roman"/>
          <w:lang w:val="lt-LT" w:bidi="lt-LT"/>
        </w:rPr>
        <w:t>QTc intervalo pailgėjimą, didina polimorfinės skilvelių tachikardijos (</w:t>
      </w:r>
      <w:r w:rsidRPr="00846A3E">
        <w:rPr>
          <w:rFonts w:ascii="Times New Roman" w:eastAsia="Times New Roman" w:hAnsi="Times New Roman" w:cs="Times New Roman"/>
          <w:i/>
          <w:lang w:val="lt-LT" w:bidi="lt-LT"/>
        </w:rPr>
        <w:t>torsade de pointes</w:t>
      </w:r>
      <w:r w:rsidRPr="00846A3E">
        <w:rPr>
          <w:rFonts w:ascii="Times New Roman" w:eastAsia="Times New Roman" w:hAnsi="Times New Roman" w:cs="Times New Roman"/>
          <w:lang w:val="lt-LT" w:bidi="lt-LT"/>
        </w:rPr>
        <w:t xml:space="preserve">) riziką. </w:t>
      </w:r>
    </w:p>
    <w:p w14:paraId="4254612B" w14:textId="77777777" w:rsidR="001E741E" w:rsidRPr="00846A3E" w:rsidRDefault="001E741E" w:rsidP="00846A3E">
      <w:pPr>
        <w:widowControl w:val="0"/>
        <w:adjustRightInd w:val="0"/>
        <w:snapToGrid w:val="0"/>
        <w:spacing w:after="0" w:line="240" w:lineRule="auto"/>
        <w:rPr>
          <w:rFonts w:ascii="Times New Roman" w:eastAsia="Times New Roman" w:hAnsi="Times New Roman" w:cs="Times New Roman"/>
          <w:bCs/>
          <w:lang w:val="lt-LT"/>
        </w:rPr>
      </w:pPr>
    </w:p>
    <w:p w14:paraId="0A15FAB0" w14:textId="434B7DBC" w:rsidR="001E741E" w:rsidRPr="00846A3E" w:rsidRDefault="001E741E"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Times New Roman" w:hAnsi="Times New Roman" w:cs="Times New Roman"/>
          <w:lang w:val="lt-LT" w:bidi="lt-LT"/>
        </w:rPr>
        <w:t>Todėl reikia būti atsargiems skiriant bilastiną pacientams, kuriems yra padidėjusi QT</w:t>
      </w:r>
      <w:r w:rsidR="005D097B" w:rsidRPr="00846A3E">
        <w:rPr>
          <w:rFonts w:ascii="Times New Roman" w:eastAsia="Times New Roman" w:hAnsi="Times New Roman" w:cs="Times New Roman"/>
          <w:lang w:val="lt-LT" w:bidi="lt-LT"/>
        </w:rPr>
        <w:t xml:space="preserve"> </w:t>
      </w:r>
      <w:r w:rsidRPr="00846A3E">
        <w:rPr>
          <w:rFonts w:ascii="Times New Roman" w:eastAsia="Times New Roman" w:hAnsi="Times New Roman" w:cs="Times New Roman"/>
          <w:lang w:val="lt-LT" w:bidi="lt-LT"/>
        </w:rPr>
        <w:t>/</w:t>
      </w:r>
      <w:r w:rsidR="005D097B" w:rsidRPr="00846A3E">
        <w:rPr>
          <w:rFonts w:ascii="Times New Roman" w:eastAsia="Times New Roman" w:hAnsi="Times New Roman" w:cs="Times New Roman"/>
          <w:lang w:val="lt-LT" w:bidi="lt-LT"/>
        </w:rPr>
        <w:t xml:space="preserve"> </w:t>
      </w:r>
      <w:r w:rsidRPr="00846A3E">
        <w:rPr>
          <w:rFonts w:ascii="Times New Roman" w:eastAsia="Times New Roman" w:hAnsi="Times New Roman" w:cs="Times New Roman"/>
          <w:lang w:val="lt-LT" w:bidi="lt-LT"/>
        </w:rPr>
        <w: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w:t>
      </w:r>
      <w:r w:rsidR="005D097B" w:rsidRPr="00846A3E">
        <w:rPr>
          <w:rFonts w:ascii="Times New Roman" w:eastAsia="Times New Roman" w:hAnsi="Times New Roman" w:cs="Times New Roman"/>
          <w:lang w:val="lt-LT" w:bidi="lt-LT"/>
        </w:rPr>
        <w:t xml:space="preserve"> </w:t>
      </w:r>
      <w:r w:rsidRPr="00846A3E">
        <w:rPr>
          <w:rFonts w:ascii="Times New Roman" w:eastAsia="Times New Roman" w:hAnsi="Times New Roman" w:cs="Times New Roman"/>
          <w:lang w:val="lt-LT" w:bidi="lt-LT"/>
        </w:rPr>
        <w:t>/</w:t>
      </w:r>
      <w:r w:rsidR="005D097B" w:rsidRPr="00846A3E">
        <w:rPr>
          <w:rFonts w:ascii="Times New Roman" w:eastAsia="Times New Roman" w:hAnsi="Times New Roman" w:cs="Times New Roman"/>
          <w:lang w:val="lt-LT" w:bidi="lt-LT"/>
        </w:rPr>
        <w:t xml:space="preserve"> </w:t>
      </w:r>
      <w:r w:rsidRPr="00846A3E">
        <w:rPr>
          <w:rFonts w:ascii="Times New Roman" w:eastAsia="Times New Roman" w:hAnsi="Times New Roman" w:cs="Times New Roman"/>
          <w:lang w:val="lt-LT" w:bidi="lt-LT"/>
        </w:rPr>
        <w:t>QTc intervalo pailgėjimu.</w:t>
      </w:r>
    </w:p>
    <w:p w14:paraId="71A8D185" w14:textId="77777777" w:rsidR="001E741E" w:rsidRPr="00846A3E" w:rsidRDefault="001E741E" w:rsidP="00846A3E">
      <w:pPr>
        <w:widowControl w:val="0"/>
        <w:adjustRightInd w:val="0"/>
        <w:snapToGrid w:val="0"/>
        <w:spacing w:after="0" w:line="240" w:lineRule="auto"/>
        <w:rPr>
          <w:rFonts w:ascii="Times New Roman" w:eastAsia="Calibri" w:hAnsi="Times New Roman" w:cs="Times New Roman"/>
          <w:lang w:val="lt-LT"/>
        </w:rPr>
      </w:pPr>
    </w:p>
    <w:p w14:paraId="208D166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Pagalbinės medžiagos</w:t>
      </w:r>
    </w:p>
    <w:p w14:paraId="5FA1FBC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p>
    <w:p w14:paraId="6444291A" w14:textId="77777777" w:rsidR="00B1792A" w:rsidRPr="00846A3E" w:rsidRDefault="00B1792A" w:rsidP="00846A3E">
      <w:pPr>
        <w:widowControl w:val="0"/>
        <w:adjustRightInd w:val="0"/>
        <w:snapToGrid w:val="0"/>
        <w:spacing w:after="0" w:line="240" w:lineRule="auto"/>
        <w:rPr>
          <w:rFonts w:ascii="Times New Roman" w:hAnsi="Times New Roman" w:cs="Times New Roman"/>
          <w:lang w:val="lt-LT" w:eastAsia="lt-LT"/>
        </w:rPr>
      </w:pPr>
      <w:r w:rsidRPr="00846A3E">
        <w:rPr>
          <w:rFonts w:ascii="Times New Roman" w:hAnsi="Times New Roman" w:cs="Times New Roman"/>
          <w:iCs/>
          <w:lang w:val="lt-LT"/>
        </w:rPr>
        <w:t xml:space="preserve">Šio vaistinio preparato </w:t>
      </w:r>
      <w:r w:rsidRPr="00846A3E">
        <w:rPr>
          <w:rFonts w:ascii="Times New Roman" w:eastAsiaTheme="minorEastAsia" w:hAnsi="Times New Roman" w:cs="Times New Roman"/>
          <w:spacing w:val="-1"/>
          <w:lang w:val="lt-LT"/>
        </w:rPr>
        <w:t>burnoje disperguojamoje</w:t>
      </w:r>
      <w:r w:rsidRPr="00846A3E">
        <w:rPr>
          <w:rFonts w:ascii="Times New Roman" w:hAnsi="Times New Roman" w:cs="Times New Roman"/>
          <w:iCs/>
          <w:lang w:val="lt-LT"/>
        </w:rPr>
        <w:t xml:space="preserve"> tabletėje yra mažiau kaip 1 mmol (23 mg) natrio, </w:t>
      </w:r>
      <w:r w:rsidRPr="00846A3E">
        <w:rPr>
          <w:rFonts w:ascii="Times New Roman" w:hAnsi="Times New Roman" w:cs="Times New Roman"/>
          <w:lang w:val="lt-LT" w:eastAsia="lt-LT"/>
        </w:rPr>
        <w:t>t. y. jis beveik neturi reikšmės.</w:t>
      </w:r>
    </w:p>
    <w:p w14:paraId="25E9AC4E" w14:textId="77777777" w:rsidR="00B1792A" w:rsidRPr="00846A3E" w:rsidRDefault="00B1792A" w:rsidP="00846A3E">
      <w:pPr>
        <w:widowControl w:val="0"/>
        <w:adjustRightInd w:val="0"/>
        <w:snapToGrid w:val="0"/>
        <w:spacing w:after="0" w:line="240" w:lineRule="auto"/>
        <w:rPr>
          <w:rFonts w:ascii="Times New Roman" w:hAnsi="Times New Roman" w:cs="Times New Roman"/>
          <w:lang w:val="lt-LT" w:eastAsia="lt-LT"/>
        </w:rPr>
      </w:pPr>
    </w:p>
    <w:p w14:paraId="1083E85B" w14:textId="16924049" w:rsidR="00B1792A" w:rsidRPr="00846A3E" w:rsidRDefault="00B1792A" w:rsidP="00846A3E">
      <w:pPr>
        <w:widowControl w:val="0"/>
        <w:adjustRightInd w:val="0"/>
        <w:snapToGrid w:val="0"/>
        <w:spacing w:after="0" w:line="240" w:lineRule="auto"/>
        <w:rPr>
          <w:rFonts w:ascii="Times New Roman" w:hAnsi="Times New Roman" w:cs="Times New Roman"/>
          <w:lang w:val="lt-LT" w:eastAsia="lt-LT"/>
        </w:rPr>
      </w:pPr>
      <w:r w:rsidRPr="00846A3E">
        <w:rPr>
          <w:rFonts w:ascii="Times New Roman" w:hAnsi="Times New Roman" w:cs="Times New Roman"/>
          <w:lang w:val="lt-LT" w:eastAsia="lt-LT"/>
        </w:rPr>
        <w:lastRenderedPageBreak/>
        <w:t>Kiekvienoje šio vaistinio preparato burnoje disperguojamojoje tabletėje yra 0,0030</w:t>
      </w:r>
      <w:r w:rsidR="00B109F8" w:rsidRPr="00846A3E">
        <w:rPr>
          <w:rFonts w:ascii="Times New Roman" w:eastAsia="Calibri" w:hAnsi="Times New Roman" w:cs="Times New Roman"/>
          <w:lang w:val="lt-LT"/>
        </w:rPr>
        <w:t> </w:t>
      </w:r>
      <w:r w:rsidRPr="00846A3E">
        <w:rPr>
          <w:rFonts w:ascii="Times New Roman" w:hAnsi="Times New Roman" w:cs="Times New Roman"/>
          <w:lang w:val="lt-LT" w:eastAsia="lt-LT"/>
        </w:rPr>
        <w:t>mg alkoholio (etanolio), tai atitinka 1,6 mg/100</w:t>
      </w:r>
      <w:r w:rsidR="00B109F8" w:rsidRPr="00846A3E">
        <w:rPr>
          <w:rFonts w:ascii="Times New Roman" w:eastAsia="Calibri" w:hAnsi="Times New Roman" w:cs="Times New Roman"/>
          <w:lang w:val="lt-LT"/>
        </w:rPr>
        <w:t> </w:t>
      </w:r>
      <w:r w:rsidRPr="00846A3E">
        <w:rPr>
          <w:rFonts w:ascii="Times New Roman" w:hAnsi="Times New Roman" w:cs="Times New Roman"/>
          <w:lang w:val="lt-LT" w:eastAsia="lt-LT"/>
        </w:rPr>
        <w:t>g (0,0016 %</w:t>
      </w:r>
      <w:r w:rsidR="00B109F8" w:rsidRPr="00846A3E">
        <w:rPr>
          <w:rFonts w:ascii="Times New Roman" w:eastAsia="Calibri" w:hAnsi="Times New Roman" w:cs="Times New Roman"/>
          <w:lang w:val="lt-LT"/>
        </w:rPr>
        <w:t> </w:t>
      </w:r>
      <w:r w:rsidRPr="00846A3E">
        <w:rPr>
          <w:rFonts w:ascii="Times New Roman" w:hAnsi="Times New Roman" w:cs="Times New Roman"/>
          <w:lang w:val="lt-LT" w:eastAsia="lt-LT"/>
        </w:rPr>
        <w:t>m/m). Toks vienoje burnoje disperguojamoje tabletėje, sveriančioje 185 mg, esantis alkoholio kiekis atitinka mažiau nei 1 ml alaus arba 1 ml vyno.</w:t>
      </w:r>
    </w:p>
    <w:p w14:paraId="2F75B17E" w14:textId="5784C5B9" w:rsidR="00B1792A" w:rsidRPr="00846A3E" w:rsidRDefault="00B1792A" w:rsidP="00846A3E">
      <w:pPr>
        <w:widowControl w:val="0"/>
        <w:adjustRightInd w:val="0"/>
        <w:snapToGrid w:val="0"/>
        <w:spacing w:after="0" w:line="240" w:lineRule="auto"/>
        <w:rPr>
          <w:rFonts w:ascii="Times New Roman" w:hAnsi="Times New Roman" w:cs="Times New Roman"/>
          <w:lang w:val="lt-LT" w:eastAsia="lt-LT"/>
        </w:rPr>
      </w:pPr>
      <w:r w:rsidRPr="00846A3E">
        <w:rPr>
          <w:rFonts w:ascii="Times New Roman" w:hAnsi="Times New Roman" w:cs="Times New Roman"/>
          <w:lang w:val="lt-LT" w:eastAsia="lt-LT"/>
        </w:rPr>
        <w:t>Mažas alkoholio kiekis, esantis šio vaistinio prepar</w:t>
      </w:r>
      <w:r w:rsidR="00AC30FE" w:rsidRPr="00846A3E">
        <w:rPr>
          <w:rFonts w:ascii="Times New Roman" w:hAnsi="Times New Roman" w:cs="Times New Roman"/>
          <w:lang w:val="lt-LT" w:eastAsia="lt-LT"/>
        </w:rPr>
        <w:t>at</w:t>
      </w:r>
      <w:r w:rsidRPr="00846A3E">
        <w:rPr>
          <w:rFonts w:ascii="Times New Roman" w:hAnsi="Times New Roman" w:cs="Times New Roman"/>
          <w:lang w:val="lt-LT" w:eastAsia="lt-LT"/>
        </w:rPr>
        <w:t>o sudėtyje, nesukelia pastebimo poveikio.</w:t>
      </w:r>
    </w:p>
    <w:p w14:paraId="5126FEB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006D1C7"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21" w:name="_Toc129243106"/>
      <w:bookmarkStart w:id="22" w:name="_Toc129243231"/>
      <w:r w:rsidRPr="00846A3E">
        <w:rPr>
          <w:rFonts w:ascii="Times New Roman" w:eastAsia="Times New Roman" w:hAnsi="Times New Roman" w:cs="Times New Roman"/>
          <w:b/>
          <w:kern w:val="28"/>
          <w:lang w:val="lt-LT"/>
        </w:rPr>
        <w:t>4.5</w:t>
      </w:r>
      <w:r w:rsidRPr="00846A3E">
        <w:rPr>
          <w:rFonts w:ascii="Times New Roman" w:eastAsia="Times New Roman" w:hAnsi="Times New Roman" w:cs="Times New Roman"/>
          <w:b/>
          <w:kern w:val="28"/>
          <w:lang w:val="lt-LT"/>
        </w:rPr>
        <w:tab/>
        <w:t>Sąveika su kitais vaistiniais preparatais ir kitokia sąveika</w:t>
      </w:r>
      <w:bookmarkEnd w:id="21"/>
      <w:bookmarkEnd w:id="22"/>
    </w:p>
    <w:p w14:paraId="00AA9F9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CB8B3E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Sąveikos tyrimai atlikti tik su suaugusiais pacientais; pateikiama jų santrauka. </w:t>
      </w:r>
    </w:p>
    <w:p w14:paraId="44DA752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BCDC63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Sąveika su maistu</w:t>
      </w:r>
      <w:r w:rsidRPr="00846A3E">
        <w:rPr>
          <w:rFonts w:ascii="Times New Roman" w:eastAsia="Calibri" w:hAnsi="Times New Roman" w:cs="Times New Roman"/>
          <w:lang w:val="lt-LT"/>
        </w:rPr>
        <w:t>: maistas apie 30 % reikšmingai sumažina bilastino bioįsisavinamumą.</w:t>
      </w:r>
    </w:p>
    <w:p w14:paraId="7039974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C6E39B7" w14:textId="03B8DCA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Sąveika su greipfrutų sultimis</w:t>
      </w:r>
      <w:r w:rsidRPr="00846A3E">
        <w:rPr>
          <w:rFonts w:ascii="Times New Roman" w:eastAsia="Calibri" w:hAnsi="Times New Roman" w:cs="Times New Roman"/>
          <w:lang w:val="lt-LT"/>
        </w:rPr>
        <w:t>: vienu metu išgėrus 20 mg bilastino ir greipfrutų sulčių, bilastino bioįsisavinamumas sumažėja 30 %. Šis poveikis būdingas ir kitoms vaisių sultims. Bioįsisavinamumo sumažėjimas kinta atsižvelgiant į vaisių pobūdį ir gamintoją. Šios sąveikos mechanizmas yra suvartojimo pernašos OATP1A2, kurios substratas yra bilastinas, slopinimas (žr. 5.2</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Vaistiniai preparatai, kurie yra OATP1A2 substratas arba inhibitorius, pvz., ritonaviras arba rifampicinas, gali pasižymėti bilastino koncentraciją kraujo plazmoje mažinančiomis savybėmis.</w:t>
      </w:r>
    </w:p>
    <w:p w14:paraId="5BA90C1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F422D90" w14:textId="4BACCCF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Sąveika su ketokonazolu arba eritromicinu</w:t>
      </w:r>
      <w:r w:rsidRPr="00846A3E">
        <w:rPr>
          <w:rFonts w:ascii="Times New Roman" w:eastAsia="Calibri" w:hAnsi="Times New Roman" w:cs="Times New Roman"/>
          <w:lang w:val="lt-LT"/>
        </w:rPr>
        <w:t>: 20 mg bilastino vartojimas vieną kartą per parą kartu su 400 mg ketokonazolo vieną kartą per parą doze arba su eritromicino 500 mg 2 kartus per parą doze padidina bilastino AUC (plotą po koncentracijos kraujyje ir laiko sankirtos kreive) 2</w:t>
      </w:r>
      <w:r w:rsidR="005D097B" w:rsidRPr="00846A3E">
        <w:rPr>
          <w:rFonts w:ascii="Times New Roman" w:eastAsia="Calibri" w:hAnsi="Times New Roman" w:cs="Times New Roman"/>
          <w:lang w:val="lt-LT"/>
        </w:rPr>
        <w:t> </w:t>
      </w:r>
      <w:r w:rsidRPr="00846A3E">
        <w:rPr>
          <w:rFonts w:ascii="Times New Roman" w:eastAsia="Calibri" w:hAnsi="Times New Roman" w:cs="Times New Roman"/>
          <w:lang w:val="lt-LT"/>
        </w:rPr>
        <w:t>kartus ir C</w:t>
      </w:r>
      <w:r w:rsidRPr="00846A3E">
        <w:rPr>
          <w:rFonts w:ascii="Times New Roman" w:eastAsia="Calibri" w:hAnsi="Times New Roman" w:cs="Times New Roman"/>
          <w:vertAlign w:val="subscript"/>
          <w:lang w:val="lt-LT"/>
        </w:rPr>
        <w:t xml:space="preserve">max </w:t>
      </w:r>
      <w:r w:rsidRPr="00846A3E">
        <w:rPr>
          <w:rFonts w:ascii="Times New Roman" w:eastAsia="Calibri" w:hAnsi="Times New Roman" w:cs="Times New Roman"/>
          <w:lang w:val="lt-LT"/>
        </w:rPr>
        <w:t>(didžiausią koncentraciją) 2</w:t>
      </w:r>
      <w:r w:rsidR="005D097B" w:rsidRPr="00846A3E">
        <w:rPr>
          <w:rFonts w:ascii="Times New Roman" w:eastAsia="Calibri" w:hAnsi="Times New Roman" w:cs="Times New Roman"/>
          <w:lang w:val="lt-LT"/>
        </w:rPr>
        <w:t>–</w:t>
      </w:r>
      <w:r w:rsidRPr="00846A3E">
        <w:rPr>
          <w:rFonts w:ascii="Times New Roman" w:eastAsia="Calibri" w:hAnsi="Times New Roman" w:cs="Times New Roman"/>
          <w:lang w:val="lt-LT"/>
        </w:rPr>
        <w:t>3</w:t>
      </w:r>
      <w:r w:rsidR="005D097B" w:rsidRPr="00846A3E">
        <w:rPr>
          <w:rFonts w:ascii="Times New Roman" w:eastAsia="Calibri" w:hAnsi="Times New Roman" w:cs="Times New Roman"/>
          <w:lang w:val="lt-LT"/>
        </w:rPr>
        <w:t> </w:t>
      </w:r>
      <w:r w:rsidRPr="00846A3E">
        <w:rPr>
          <w:rFonts w:ascii="Times New Roman" w:eastAsia="Calibri" w:hAnsi="Times New Roman" w:cs="Times New Roman"/>
          <w:lang w:val="lt-LT"/>
        </w:rPr>
        <w:t>kartus. Šiuos pokyčius galima paaiškinti sąveika su iš žarnyno išnešančiomis pernašomis, nes bilastinas yra P-gp substratas ir nėra metabolizuojamas (žr. 5.2</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Manoma, kad šie pokyčiai bilastino bei ketokonazolo arba eritromicino vartojimo saugumui įtakos neturi. Kiti vaistiniai preparatai, kurie yra P-glikoproteino substratai arba jo inhibitoriai, pavyzdžiui, ciklosporinas, gali pasižymėti panašiu gebėjimu padidinti bilastino koncentraciją kraujo plazmoje.</w:t>
      </w:r>
    </w:p>
    <w:p w14:paraId="28DAF1A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274CBA9" w14:textId="3F3FA99F"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Sąveika su diltiazemu</w:t>
      </w:r>
      <w:r w:rsidRPr="00846A3E">
        <w:rPr>
          <w:rFonts w:ascii="Times New Roman" w:eastAsia="Calibri" w:hAnsi="Times New Roman" w:cs="Times New Roman"/>
          <w:lang w:val="lt-LT"/>
        </w:rPr>
        <w:t>: vartojant bilastino po 20 mg vieną kartą per parą kartu su 60 mg diltiazemo vieną kartą per parą, bilastino C</w:t>
      </w:r>
      <w:r w:rsidRPr="00846A3E">
        <w:rPr>
          <w:rFonts w:ascii="Times New Roman" w:eastAsia="Calibri" w:hAnsi="Times New Roman" w:cs="Times New Roman"/>
          <w:vertAlign w:val="subscript"/>
          <w:lang w:val="lt-LT"/>
        </w:rPr>
        <w:t xml:space="preserve">max </w:t>
      </w:r>
      <w:r w:rsidRPr="00846A3E">
        <w:rPr>
          <w:rFonts w:ascii="Times New Roman" w:eastAsia="Calibri" w:hAnsi="Times New Roman" w:cs="Times New Roman"/>
          <w:lang w:val="lt-LT"/>
        </w:rPr>
        <w:t>padidėja apie 50 %. Šiuos pokyčius galima paaiškinti sąveika su iš žarnyno išnešančiomis pernašomis (žr. 5.2</w:t>
      </w:r>
      <w:r w:rsidR="005D097B"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manoma, kad šie pokyčiai bilastino vartojimo saugumui įtakos neturi.</w:t>
      </w:r>
    </w:p>
    <w:p w14:paraId="05B5FD3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1C10E4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Sąveika su alkoholiu</w:t>
      </w:r>
      <w:r w:rsidRPr="00846A3E">
        <w:rPr>
          <w:rFonts w:ascii="Times New Roman" w:eastAsia="Calibri" w:hAnsi="Times New Roman" w:cs="Times New Roman"/>
          <w:lang w:val="lt-LT"/>
        </w:rPr>
        <w:t>: psichomotorinis aktyvumas pavartojus alkoholio ir 20 mg vieną kartą per parą bilastino buvo panašus į aktyvumą, pavartojus kartu alkoholio ir placebo.</w:t>
      </w:r>
    </w:p>
    <w:p w14:paraId="564CF8E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1F5AA9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u w:val="single"/>
          <w:lang w:val="lt-LT"/>
        </w:rPr>
        <w:t>Sąveika su lorazepamu</w:t>
      </w:r>
      <w:r w:rsidRPr="00846A3E">
        <w:rPr>
          <w:rFonts w:ascii="Times New Roman" w:eastAsia="Calibri" w:hAnsi="Times New Roman" w:cs="Times New Roman"/>
          <w:lang w:val="lt-LT"/>
        </w:rPr>
        <w:t>: 20 mg vieną kartą per parą bilastino vartojimas kartu su 3 mg lorazepamo vieną kartą per parą 8 paras lorazepamo slopinančio poveikio centrinei nervų sistemai (CNS) nesustiprino.</w:t>
      </w:r>
    </w:p>
    <w:p w14:paraId="289DE8D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CFABB0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Vaikų populiacija</w:t>
      </w:r>
    </w:p>
    <w:p w14:paraId="49E6C2F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Sąveikos tyrimai buvo atlikti tik su suaugusiaisiais. Kadangi klinikinio patyrimo apie bilastino sąveiką su kitais vaistiniais preparatais, maistu arba vaisių sultimis vartojant vaikams nėra, šiuo metu skiriant vartoti vaistą vaikams reikia atsižvelgti į sukauptus sąveikos tyrimų su suaugusiaisiais duomenis. Klinikinių duomenų vaikams apie tai, kad AUC arba C</w:t>
      </w:r>
      <w:r w:rsidRPr="00846A3E">
        <w:rPr>
          <w:rFonts w:ascii="Times New Roman" w:eastAsia="Calibri" w:hAnsi="Times New Roman" w:cs="Times New Roman"/>
          <w:vertAlign w:val="subscript"/>
          <w:lang w:val="lt-LT"/>
        </w:rPr>
        <w:t>max</w:t>
      </w:r>
      <w:r w:rsidRPr="00846A3E">
        <w:rPr>
          <w:rFonts w:ascii="Times New Roman" w:eastAsia="Calibri" w:hAnsi="Times New Roman" w:cs="Times New Roman"/>
          <w:lang w:val="lt-LT"/>
        </w:rPr>
        <w:t xml:space="preserve"> pokyčiai dėl sąveikos turi įtakos bilastino vartojimo saugumui, nėra.</w:t>
      </w:r>
    </w:p>
    <w:p w14:paraId="34D2E82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A22141D"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23" w:name="_Toc129243107"/>
      <w:bookmarkStart w:id="24" w:name="_Toc129243232"/>
      <w:r w:rsidRPr="00846A3E">
        <w:rPr>
          <w:rFonts w:ascii="Times New Roman" w:eastAsia="Times New Roman" w:hAnsi="Times New Roman" w:cs="Times New Roman"/>
          <w:b/>
          <w:kern w:val="28"/>
          <w:lang w:val="lt-LT"/>
        </w:rPr>
        <w:t>4.6</w:t>
      </w:r>
      <w:r w:rsidRPr="00846A3E">
        <w:rPr>
          <w:rFonts w:ascii="Times New Roman" w:eastAsia="Times New Roman" w:hAnsi="Times New Roman" w:cs="Times New Roman"/>
          <w:b/>
          <w:kern w:val="28"/>
          <w:lang w:val="lt-LT"/>
        </w:rPr>
        <w:tab/>
        <w:t>Vaisingumas, nėštumo ir žindymo laikotarpis</w:t>
      </w:r>
      <w:bookmarkEnd w:id="23"/>
      <w:bookmarkEnd w:id="24"/>
    </w:p>
    <w:p w14:paraId="286A697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55DA8C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Nėštumas</w:t>
      </w:r>
    </w:p>
    <w:p w14:paraId="4521390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Duomenų apie bilastino vartojimą nėštumo metu nėra arba jie negausūs. </w:t>
      </w:r>
    </w:p>
    <w:p w14:paraId="2696A89A" w14:textId="085B11B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 gyvūnais atlikti tyrimai parodė toksinį poveikį reprodukcijai, gimdymui arba postnataliniam vystymuisi,</w:t>
      </w:r>
      <w:r w:rsidRPr="00846A3E">
        <w:rPr>
          <w:rFonts w:ascii="Times New Roman" w:hAnsi="Times New Roman" w:cs="Times New Roman"/>
          <w:lang w:val="lt-LT"/>
        </w:rPr>
        <w:t xml:space="preserve"> </w:t>
      </w:r>
      <w:r w:rsidRPr="00846A3E">
        <w:rPr>
          <w:rFonts w:ascii="Times New Roman" w:eastAsia="Calibri" w:hAnsi="Times New Roman" w:cs="Times New Roman"/>
          <w:lang w:val="lt-LT"/>
        </w:rPr>
        <w:t>tačiau toks poveikis pasireiškė tik tada, kai jis buvo pakankamai didesnis už didžiausią žmogaus organizmui daromą poveikį, o tai rodo, kad tai mažai reikšminga klinikiniam vartojimui (žr. 5.3</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Atsargumo sumetimais nėštumo metu Opexa geriau nevartoti.</w:t>
      </w:r>
    </w:p>
    <w:p w14:paraId="7CCEDF9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76517F9" w14:textId="77777777" w:rsidR="00B1792A" w:rsidRPr="00846A3E" w:rsidRDefault="00B1792A" w:rsidP="00D65358">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Žindymas</w:t>
      </w:r>
    </w:p>
    <w:p w14:paraId="6C557D34" w14:textId="28C2F12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Bilastino išskyrimas į žmonių pieną netirtas. Esami farmakokinetikos tyrimų su gyvūnais duomenys </w:t>
      </w:r>
      <w:r w:rsidRPr="00846A3E">
        <w:rPr>
          <w:rFonts w:ascii="Times New Roman" w:eastAsia="Calibri" w:hAnsi="Times New Roman" w:cs="Times New Roman"/>
          <w:lang w:val="lt-LT"/>
        </w:rPr>
        <w:lastRenderedPageBreak/>
        <w:t>rodo, kad bilastinas išskiria į gyvūnų pieną (žr. 5.3</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Atsižvelgiant į žindymo naudą kūdikiui ir gydymo naudą motinai, reikia nuspręsti, ar nutraukti žindymą ar nutraukti</w:t>
      </w:r>
      <w:r w:rsidR="00181E8D">
        <w:rPr>
          <w:rFonts w:ascii="Times New Roman" w:eastAsia="Calibri" w:hAnsi="Times New Roman" w:cs="Times New Roman"/>
          <w:lang w:val="lt-LT"/>
        </w:rPr>
        <w:t xml:space="preserve"> </w:t>
      </w:r>
      <w:r w:rsidRPr="00846A3E">
        <w:rPr>
          <w:rFonts w:ascii="Times New Roman" w:eastAsia="Calibri" w:hAnsi="Times New Roman" w:cs="Times New Roman"/>
          <w:lang w:val="lt-LT"/>
        </w:rPr>
        <w:t>/</w:t>
      </w:r>
      <w:r w:rsidR="00181E8D">
        <w:rPr>
          <w:rFonts w:ascii="Times New Roman" w:eastAsia="Calibri" w:hAnsi="Times New Roman" w:cs="Times New Roman"/>
          <w:lang w:val="lt-LT"/>
        </w:rPr>
        <w:t xml:space="preserve"> </w:t>
      </w:r>
      <w:r w:rsidRPr="00846A3E">
        <w:rPr>
          <w:rFonts w:ascii="Times New Roman" w:eastAsia="Calibri" w:hAnsi="Times New Roman" w:cs="Times New Roman"/>
          <w:lang w:val="lt-LT"/>
        </w:rPr>
        <w:t>susilaikyti nuo gydymo Opexa.</w:t>
      </w:r>
    </w:p>
    <w:p w14:paraId="26B1144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262A58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Vaisingumas</w:t>
      </w:r>
    </w:p>
    <w:p w14:paraId="4D741FED" w14:textId="59AAE319"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Klinikinių duomenų nėra arba jų nepakanka. Tyrimai su žiurkėmis nepalankaus poveikio vaisingumui neparodė (žr. 5.3</w:t>
      </w:r>
      <w:r w:rsidR="00B109F8"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w:t>
      </w:r>
    </w:p>
    <w:p w14:paraId="7AF9ADD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78E529D"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25" w:name="_Toc129243108"/>
      <w:bookmarkStart w:id="26" w:name="_Toc129243233"/>
      <w:r w:rsidRPr="00846A3E">
        <w:rPr>
          <w:rFonts w:ascii="Times New Roman" w:eastAsia="Times New Roman" w:hAnsi="Times New Roman" w:cs="Times New Roman"/>
          <w:b/>
          <w:kern w:val="28"/>
          <w:lang w:val="lt-LT"/>
        </w:rPr>
        <w:t>4.7</w:t>
      </w:r>
      <w:r w:rsidRPr="00846A3E">
        <w:rPr>
          <w:rFonts w:ascii="Times New Roman" w:eastAsia="Times New Roman" w:hAnsi="Times New Roman" w:cs="Times New Roman"/>
          <w:b/>
          <w:kern w:val="28"/>
          <w:lang w:val="lt-LT"/>
        </w:rPr>
        <w:tab/>
        <w:t>Poveikis gebėjimui vairuoti ir valdyti mechanizmus</w:t>
      </w:r>
      <w:bookmarkEnd w:id="25"/>
      <w:bookmarkEnd w:id="26"/>
    </w:p>
    <w:p w14:paraId="0A043EA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FE482E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Poveikio gebėjimui vairuoti tyrimas su suaugusiais asmenimis parodė, kad bilastino 20 mg tabletės neturi įtakos gebėjimui vairuoti. Tačiau dėl to, kad individualus atsakas į vaistinio preparato vartojimą gali būti įvairus, pacientus reikia įspėti nevairuoti ir nevaldyti mechanizmų iki to laiko, kol nusistovės individualaus jų organizmo atsakas į bilastino vartojimą.</w:t>
      </w:r>
    </w:p>
    <w:p w14:paraId="5C7EC9E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713C782"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27" w:name="_Toc129243109"/>
      <w:bookmarkStart w:id="28" w:name="_Toc129243234"/>
      <w:r w:rsidRPr="00846A3E">
        <w:rPr>
          <w:rFonts w:ascii="Times New Roman" w:eastAsia="Times New Roman" w:hAnsi="Times New Roman" w:cs="Times New Roman"/>
          <w:b/>
          <w:kern w:val="28"/>
          <w:lang w:val="lt-LT"/>
        </w:rPr>
        <w:t>4.8</w:t>
      </w:r>
      <w:r w:rsidRPr="00846A3E">
        <w:rPr>
          <w:rFonts w:ascii="Times New Roman" w:eastAsia="Times New Roman" w:hAnsi="Times New Roman" w:cs="Times New Roman"/>
          <w:b/>
          <w:kern w:val="28"/>
          <w:lang w:val="lt-LT"/>
        </w:rPr>
        <w:tab/>
        <w:t>Nepageidaujamas poveikis</w:t>
      </w:r>
      <w:bookmarkEnd w:id="27"/>
      <w:bookmarkEnd w:id="28"/>
    </w:p>
    <w:p w14:paraId="1CD988F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06925AE" w14:textId="77777777" w:rsidR="00B1792A" w:rsidRPr="00846A3E" w:rsidRDefault="00B1792A" w:rsidP="00846A3E">
      <w:pPr>
        <w:widowControl w:val="0"/>
        <w:autoSpaceDE w:val="0"/>
        <w:autoSpaceDN w:val="0"/>
        <w:adjustRightInd w:val="0"/>
        <w:snapToGrid w:val="0"/>
        <w:spacing w:after="0" w:line="240" w:lineRule="auto"/>
        <w:rPr>
          <w:rFonts w:ascii="Times New Roman" w:eastAsia="TimesNewRoman" w:hAnsi="Times New Roman" w:cs="Times New Roman"/>
          <w:u w:val="single"/>
          <w:lang w:val="lt-LT"/>
        </w:rPr>
      </w:pPr>
      <w:r w:rsidRPr="00846A3E">
        <w:rPr>
          <w:rFonts w:ascii="Times New Roman" w:eastAsia="TimesNewRoman" w:hAnsi="Times New Roman" w:cs="Times New Roman"/>
          <w:u w:val="single"/>
          <w:lang w:val="lt-LT"/>
        </w:rPr>
        <w:t>Saugumo duomenų suaugusiųjų ir paauglių populiacijoje santrauka</w:t>
      </w:r>
    </w:p>
    <w:p w14:paraId="3CD760E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Nepageidaujamų reakcijų dažnis 20 mg bilastino doze klinikinio tyrimo metu gydytų dėl alerginio rinokonjunktyvito arba lėtinės idiopatinės dilgėlinės suaugusių pacientų ir paauglių tarpe buvo panašus į placebą vartojusių pacientų dažnį (12,7 % palyginti su 12,8 %). </w:t>
      </w:r>
    </w:p>
    <w:p w14:paraId="4C63AB04" w14:textId="77777777" w:rsidR="005D097B" w:rsidRPr="00846A3E" w:rsidRDefault="005D097B" w:rsidP="00846A3E">
      <w:pPr>
        <w:widowControl w:val="0"/>
        <w:adjustRightInd w:val="0"/>
        <w:snapToGrid w:val="0"/>
        <w:spacing w:after="0" w:line="240" w:lineRule="auto"/>
        <w:rPr>
          <w:rFonts w:ascii="Times New Roman" w:eastAsia="Calibri" w:hAnsi="Times New Roman" w:cs="Times New Roman"/>
          <w:lang w:val="lt-LT"/>
        </w:rPr>
      </w:pPr>
    </w:p>
    <w:p w14:paraId="2DAD257B" w14:textId="0BD7262E"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II ir III fazės klinikiniuose tyrimuose dalyvavo 2 525 suaugusieji pacientai ir paaugliai, kurie buvo gydyti įvairiomis bilastino dozėmis (1 697 buvo gydyti 20 mg bilastino doze). 1 362 šiuose tyrimuose dalyvavę pacientai vartojo placebą. Vartojant 20 mg bilastino sergantiesiems alerginiu rinokonjunkt</w:t>
      </w:r>
      <w:r w:rsidR="00181E8D">
        <w:rPr>
          <w:rFonts w:ascii="Times New Roman" w:eastAsia="Calibri" w:hAnsi="Times New Roman" w:cs="Times New Roman"/>
          <w:lang w:val="lt-LT"/>
        </w:rPr>
        <w:t>y</w:t>
      </w:r>
      <w:r w:rsidRPr="00846A3E">
        <w:rPr>
          <w:rFonts w:ascii="Times New Roman" w:eastAsia="Calibri" w:hAnsi="Times New Roman" w:cs="Times New Roman"/>
          <w:lang w:val="lt-LT"/>
        </w:rPr>
        <w:t>vitu ar lėtine idiopatine dilgėline, dažniausi nepageidaujamo poveikio reiškiniai pacientams buvo galvos skausmas, mieguistumas, svaigulys ir nuovargis. Jų dažnis buvo beveik toks pat, kaip placebą vartojantiems pacientams.</w:t>
      </w:r>
    </w:p>
    <w:p w14:paraId="6683B5E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5E7218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Nepageidaujamų reakcijų suaugusiems pacientams ir paaugliams santrauka lentelėje</w:t>
      </w:r>
    </w:p>
    <w:p w14:paraId="6EFF4A5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Nepageidaujamų reiškinių atvejai, kurie buvo galimai susiję su bilastino vartojimu jo klinikinio tyrimo (N=1 697) metu, ir kurių dažnumas vartojant 20 mg bilastino buvo didesnis kaip 0,1 %, išvardyti lentelėje žemiau.</w:t>
      </w:r>
    </w:p>
    <w:p w14:paraId="52D3817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71B4D63" w14:textId="77777777" w:rsidR="00B1792A" w:rsidRPr="00846A3E" w:rsidRDefault="00B1792A" w:rsidP="00846A3E">
      <w:pPr>
        <w:widowControl w:val="0"/>
        <w:tabs>
          <w:tab w:val="left" w:pos="1985"/>
        </w:tabs>
        <w:autoSpaceDE w:val="0"/>
        <w:adjustRightInd w:val="0"/>
        <w:snapToGrid w:val="0"/>
        <w:spacing w:after="0" w:line="240" w:lineRule="auto"/>
        <w:rPr>
          <w:rFonts w:ascii="Times New Roman" w:eastAsiaTheme="minorEastAsia" w:hAnsi="Times New Roman" w:cs="Times New Roman"/>
          <w:lang w:val="lt-LT"/>
        </w:rPr>
      </w:pPr>
      <w:r w:rsidRPr="00846A3E">
        <w:rPr>
          <w:rFonts w:ascii="Times New Roman"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0D74928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C26FEE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Retos, labai retos reakcijos ir nežinomo dažnio reakcijos lentelėje nenurodomos.</w:t>
      </w:r>
    </w:p>
    <w:p w14:paraId="33966B6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904"/>
        <w:gridCol w:w="2267"/>
        <w:gridCol w:w="7"/>
        <w:gridCol w:w="1567"/>
        <w:gridCol w:w="20"/>
        <w:gridCol w:w="1457"/>
        <w:gridCol w:w="1468"/>
      </w:tblGrid>
      <w:tr w:rsidR="00B1792A" w:rsidRPr="00846A3E" w14:paraId="23A8D811" w14:textId="77777777" w:rsidTr="002E6364">
        <w:trPr>
          <w:cantSplit/>
          <w:trHeight w:val="916"/>
          <w:tblHeader/>
        </w:trPr>
        <w:tc>
          <w:tcPr>
            <w:tcW w:w="2510" w:type="pct"/>
            <w:gridSpan w:val="5"/>
            <w:tcBorders>
              <w:top w:val="single" w:sz="4" w:space="0" w:color="000000"/>
              <w:left w:val="single" w:sz="4" w:space="0" w:color="000000"/>
              <w:bottom w:val="single" w:sz="4" w:space="0" w:color="000000"/>
              <w:right w:val="single" w:sz="6" w:space="0" w:color="000000"/>
            </w:tcBorders>
            <w:shd w:val="clear" w:color="auto" w:fill="auto"/>
            <w:vAlign w:val="center"/>
          </w:tcPr>
          <w:p w14:paraId="2CA3244A" w14:textId="77777777" w:rsidR="00B1792A" w:rsidRPr="00846A3E" w:rsidDel="00601FFB" w:rsidRDefault="00B1792A" w:rsidP="00846A3E">
            <w:pPr>
              <w:widowControl w:val="0"/>
              <w:adjustRightInd w:val="0"/>
              <w:snapToGrid w:val="0"/>
              <w:spacing w:after="0" w:line="240" w:lineRule="auto"/>
              <w:rPr>
                <w:rFonts w:ascii="Times New Roman" w:eastAsiaTheme="minorEastAsia" w:hAnsi="Times New Roman" w:cs="Times New Roman"/>
                <w:b/>
                <w:lang w:val="lt-LT"/>
              </w:rPr>
            </w:pPr>
            <w:r w:rsidRPr="00846A3E">
              <w:rPr>
                <w:rFonts w:ascii="Times New Roman" w:eastAsiaTheme="minorEastAsia" w:hAnsi="Times New Roman" w:cs="Times New Roman"/>
                <w:b/>
                <w:lang w:val="lt-LT"/>
              </w:rPr>
              <w:t>Organų sistemų klasės</w:t>
            </w:r>
          </w:p>
        </w:tc>
        <w:tc>
          <w:tcPr>
            <w:tcW w:w="876" w:type="pct"/>
            <w:gridSpan w:val="2"/>
            <w:vMerge w:val="restart"/>
            <w:tcBorders>
              <w:top w:val="single" w:sz="4" w:space="0" w:color="000000"/>
              <w:left w:val="single" w:sz="6" w:space="0" w:color="000000"/>
              <w:right w:val="single" w:sz="6" w:space="0" w:color="000000"/>
            </w:tcBorders>
            <w:shd w:val="clear" w:color="auto" w:fill="auto"/>
            <w:vAlign w:val="center"/>
          </w:tcPr>
          <w:p w14:paraId="09B3E48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bCs/>
                <w:iCs/>
                <w:lang w:val="lt-LT"/>
              </w:rPr>
              <w:t>Bilastinas</w:t>
            </w:r>
          </w:p>
          <w:p w14:paraId="5551F67D" w14:textId="234707ED" w:rsidR="00B1792A" w:rsidRPr="00846A3E" w:rsidDel="00601FFB"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bCs/>
                <w:iCs/>
                <w:lang w:val="lt-LT"/>
              </w:rPr>
              <w:t>20 mg</w:t>
            </w:r>
            <w:r w:rsidRPr="00846A3E">
              <w:rPr>
                <w:rFonts w:ascii="Times New Roman" w:eastAsiaTheme="minorEastAsia" w:hAnsi="Times New Roman" w:cs="Times New Roman"/>
                <w:b/>
                <w:bCs/>
                <w:iCs/>
                <w:lang w:val="lt-LT"/>
              </w:rPr>
              <w:br/>
              <w:t>N</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1</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697</w:t>
            </w:r>
          </w:p>
        </w:tc>
        <w:tc>
          <w:tcPr>
            <w:tcW w:w="804" w:type="pct"/>
            <w:vMerge w:val="restart"/>
            <w:tcBorders>
              <w:top w:val="single" w:sz="4" w:space="0" w:color="000000"/>
              <w:left w:val="single" w:sz="6" w:space="0" w:color="000000"/>
              <w:right w:val="single" w:sz="6" w:space="0" w:color="000000"/>
            </w:tcBorders>
            <w:shd w:val="clear" w:color="auto" w:fill="auto"/>
            <w:vAlign w:val="center"/>
          </w:tcPr>
          <w:p w14:paraId="4469FA25" w14:textId="5522A229" w:rsidR="00B1792A" w:rsidRPr="00846A3E" w:rsidDel="00601FFB"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bCs/>
                <w:iCs/>
                <w:lang w:val="lt-LT"/>
              </w:rPr>
              <w:t>Visos bilastino dozės</w:t>
            </w:r>
            <w:r w:rsidRPr="00846A3E">
              <w:rPr>
                <w:rFonts w:ascii="Times New Roman" w:eastAsiaTheme="minorEastAsia" w:hAnsi="Times New Roman" w:cs="Times New Roman"/>
                <w:b/>
                <w:bCs/>
                <w:iCs/>
                <w:lang w:val="lt-LT"/>
              </w:rPr>
              <w:br/>
              <w:t>N</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2</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525</w:t>
            </w:r>
          </w:p>
        </w:tc>
        <w:tc>
          <w:tcPr>
            <w:tcW w:w="810" w:type="pct"/>
            <w:vMerge w:val="restart"/>
            <w:tcBorders>
              <w:top w:val="single" w:sz="4" w:space="0" w:color="000000"/>
              <w:left w:val="single" w:sz="6" w:space="0" w:color="000000"/>
              <w:right w:val="single" w:sz="4" w:space="0" w:color="000000"/>
            </w:tcBorders>
            <w:shd w:val="clear" w:color="auto" w:fill="auto"/>
            <w:vAlign w:val="center"/>
          </w:tcPr>
          <w:p w14:paraId="30AE2406" w14:textId="0DBCB431" w:rsidR="00B1792A" w:rsidRPr="00846A3E" w:rsidDel="00601FFB"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bCs/>
                <w:iCs/>
                <w:lang w:val="lt-LT"/>
              </w:rPr>
              <w:t>Placebas N</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1</w:t>
            </w:r>
            <w:r w:rsidR="005D097B" w:rsidRPr="00846A3E">
              <w:rPr>
                <w:rFonts w:ascii="Times New Roman" w:eastAsiaTheme="minorEastAsia" w:hAnsi="Times New Roman" w:cs="Times New Roman"/>
                <w:b/>
                <w:bCs/>
                <w:iCs/>
                <w:lang w:val="lt-LT"/>
              </w:rPr>
              <w:t> </w:t>
            </w:r>
            <w:r w:rsidRPr="00846A3E">
              <w:rPr>
                <w:rFonts w:ascii="Times New Roman" w:eastAsiaTheme="minorEastAsia" w:hAnsi="Times New Roman" w:cs="Times New Roman"/>
                <w:b/>
                <w:bCs/>
                <w:iCs/>
                <w:lang w:val="lt-LT"/>
              </w:rPr>
              <w:t>362</w:t>
            </w:r>
          </w:p>
        </w:tc>
      </w:tr>
      <w:tr w:rsidR="00B1792A" w:rsidRPr="00846A3E" w14:paraId="6C8D5512" w14:textId="77777777" w:rsidTr="002E6364">
        <w:trPr>
          <w:cantSplit/>
          <w:trHeight w:val="916"/>
          <w:tblHeader/>
        </w:trPr>
        <w:tc>
          <w:tcPr>
            <w:tcW w:w="1255" w:type="pct"/>
            <w:gridSpan w:val="3"/>
            <w:tcBorders>
              <w:top w:val="single" w:sz="4" w:space="0" w:color="000000"/>
              <w:left w:val="single" w:sz="4" w:space="0" w:color="000000"/>
              <w:bottom w:val="single" w:sz="4" w:space="0" w:color="000000"/>
              <w:right w:val="single" w:sz="6" w:space="0" w:color="000000"/>
            </w:tcBorders>
            <w:shd w:val="clear" w:color="auto" w:fill="auto"/>
            <w:vAlign w:val="center"/>
          </w:tcPr>
          <w:p w14:paraId="1F75CE8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lang w:val="lt-LT"/>
              </w:rPr>
            </w:pPr>
            <w:r w:rsidRPr="00846A3E">
              <w:rPr>
                <w:rFonts w:ascii="Times New Roman" w:eastAsiaTheme="minorEastAsia" w:hAnsi="Times New Roman" w:cs="Times New Roman"/>
                <w:b/>
                <w:lang w:val="lt-LT"/>
              </w:rPr>
              <w:t>Dažnumas</w:t>
            </w:r>
          </w:p>
        </w:tc>
        <w:tc>
          <w:tcPr>
            <w:tcW w:w="1255" w:type="pct"/>
            <w:gridSpan w:val="2"/>
            <w:tcBorders>
              <w:top w:val="single" w:sz="4" w:space="0" w:color="000000"/>
              <w:left w:val="single" w:sz="4" w:space="0" w:color="000000"/>
              <w:bottom w:val="single" w:sz="4" w:space="0" w:color="000000"/>
              <w:right w:val="single" w:sz="6" w:space="0" w:color="000000"/>
            </w:tcBorders>
            <w:shd w:val="clear" w:color="auto" w:fill="auto"/>
            <w:vAlign w:val="center"/>
          </w:tcPr>
          <w:p w14:paraId="05800BE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lang w:val="lt-LT"/>
              </w:rPr>
            </w:pPr>
            <w:r w:rsidRPr="00846A3E">
              <w:rPr>
                <w:rFonts w:ascii="Times New Roman" w:eastAsiaTheme="minorEastAsia" w:hAnsi="Times New Roman" w:cs="Times New Roman"/>
                <w:b/>
                <w:lang w:val="lt-LT"/>
              </w:rPr>
              <w:t>Nepageidaujama reakcija</w:t>
            </w:r>
          </w:p>
        </w:tc>
        <w:tc>
          <w:tcPr>
            <w:tcW w:w="876" w:type="pct"/>
            <w:gridSpan w:val="2"/>
            <w:vMerge/>
            <w:tcBorders>
              <w:left w:val="single" w:sz="6" w:space="0" w:color="000000"/>
              <w:bottom w:val="single" w:sz="4" w:space="0" w:color="000000"/>
              <w:right w:val="single" w:sz="6" w:space="0" w:color="000000"/>
            </w:tcBorders>
            <w:shd w:val="clear" w:color="auto" w:fill="auto"/>
            <w:vAlign w:val="center"/>
          </w:tcPr>
          <w:p w14:paraId="1C5532A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p>
        </w:tc>
        <w:tc>
          <w:tcPr>
            <w:tcW w:w="804" w:type="pct"/>
            <w:vMerge/>
            <w:tcBorders>
              <w:left w:val="single" w:sz="6" w:space="0" w:color="000000"/>
              <w:bottom w:val="single" w:sz="4" w:space="0" w:color="000000"/>
              <w:right w:val="single" w:sz="6" w:space="0" w:color="000000"/>
            </w:tcBorders>
            <w:shd w:val="clear" w:color="auto" w:fill="auto"/>
            <w:vAlign w:val="center"/>
          </w:tcPr>
          <w:p w14:paraId="0B84D7B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p>
        </w:tc>
        <w:tc>
          <w:tcPr>
            <w:tcW w:w="810" w:type="pct"/>
            <w:vMerge/>
            <w:tcBorders>
              <w:left w:val="single" w:sz="6" w:space="0" w:color="000000"/>
              <w:bottom w:val="single" w:sz="4" w:space="0" w:color="000000"/>
              <w:right w:val="single" w:sz="4" w:space="0" w:color="000000"/>
            </w:tcBorders>
            <w:shd w:val="clear" w:color="auto" w:fill="auto"/>
            <w:vAlign w:val="center"/>
          </w:tcPr>
          <w:p w14:paraId="0254069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p>
        </w:tc>
      </w:tr>
      <w:tr w:rsidR="00B1792A" w:rsidRPr="00846A3E" w14:paraId="4271E3BB"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050596A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Infekcijos ir infestacijos</w:t>
            </w:r>
          </w:p>
        </w:tc>
      </w:tr>
      <w:tr w:rsidR="00B1792A" w:rsidRPr="00846A3E" w14:paraId="4D577591" w14:textId="77777777" w:rsidTr="002E636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63A4CF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25A72C8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 xml:space="preserve">Burnos </w:t>
            </w:r>
            <w:r w:rsidRPr="00846A3E">
              <w:rPr>
                <w:rFonts w:ascii="Times New Roman" w:eastAsiaTheme="minorEastAsia" w:hAnsi="Times New Roman" w:cs="Times New Roman"/>
                <w:bCs/>
                <w:i/>
                <w:iCs/>
                <w:lang w:val="lt-LT"/>
              </w:rPr>
              <w:t>herpes</w:t>
            </w:r>
            <w:r w:rsidRPr="00846A3E">
              <w:rPr>
                <w:rFonts w:ascii="Times New Roman" w:eastAsiaTheme="minorEastAsia" w:hAnsi="Times New Roman" w:cs="Times New Roman"/>
                <w:bCs/>
                <w:iCs/>
                <w:lang w:val="lt-LT"/>
              </w:rPr>
              <w:t xml:space="preserve"> sukelta infekcija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964ACA9" w14:textId="6BEF1A76"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64092E8" w14:textId="7D0E3B82"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509B02" w14:textId="511B900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D7AE8B9"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2F460D59"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Metabolizmo ir mitybos sutrikimai</w:t>
            </w:r>
          </w:p>
        </w:tc>
      </w:tr>
      <w:tr w:rsidR="00B1792A" w:rsidRPr="00846A3E" w14:paraId="4BA9EC7C"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5F3ECF6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07A8A11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apetitas</w:t>
            </w:r>
          </w:p>
        </w:tc>
        <w:tc>
          <w:tcPr>
            <w:tcW w:w="876" w:type="pct"/>
            <w:gridSpan w:val="2"/>
            <w:shd w:val="clear" w:color="auto" w:fill="FFFFFF"/>
            <w:vAlign w:val="center"/>
          </w:tcPr>
          <w:p w14:paraId="6B38483E" w14:textId="4ABD859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10 (0,59</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69385367" w14:textId="7B6A5306"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11 (0,44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30E49160" w14:textId="09A6386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7 (0,51</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127F7684"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shd w:val="clear" w:color="auto" w:fill="FFFFFF"/>
            <w:vAlign w:val="center"/>
          </w:tcPr>
          <w:p w14:paraId="50E23E5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Psichikos sutrikimai</w:t>
            </w:r>
          </w:p>
        </w:tc>
      </w:tr>
      <w:tr w:rsidR="00B1792A" w:rsidRPr="00846A3E" w14:paraId="3E6EA8CC"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EF25BA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72B3DEC0"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 xml:space="preserve">Nerimas </w:t>
            </w:r>
          </w:p>
        </w:tc>
        <w:tc>
          <w:tcPr>
            <w:tcW w:w="876" w:type="pct"/>
            <w:gridSpan w:val="2"/>
            <w:shd w:val="clear" w:color="auto" w:fill="FFFFFF"/>
            <w:vAlign w:val="center"/>
          </w:tcPr>
          <w:p w14:paraId="797562F5" w14:textId="68A60E7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6 (0,35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276250E9" w14:textId="53C5442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8 (0,32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01C6B086" w14:textId="442AD41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06DCBEB4"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64E62B8"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782DF7B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Nemiga</w:t>
            </w:r>
          </w:p>
        </w:tc>
        <w:tc>
          <w:tcPr>
            <w:tcW w:w="876" w:type="pct"/>
            <w:gridSpan w:val="2"/>
            <w:shd w:val="clear" w:color="auto" w:fill="FFFFFF"/>
            <w:vAlign w:val="center"/>
          </w:tcPr>
          <w:p w14:paraId="1684531D" w14:textId="1ECFA756"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6D75454A" w14:textId="4C71F92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46F02C35" w14:textId="65EC1DB0"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7C4342F6"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5D8CC3E0" w14:textId="77777777" w:rsidR="00B1792A" w:rsidRPr="00846A3E" w:rsidRDefault="00B1792A" w:rsidP="00D65358">
            <w:pPr>
              <w:keepNext/>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lastRenderedPageBreak/>
              <w:t>Nervų sistemos sutrikimai</w:t>
            </w:r>
          </w:p>
        </w:tc>
      </w:tr>
      <w:tr w:rsidR="00B1792A" w:rsidRPr="00846A3E" w14:paraId="7D93B128" w14:textId="77777777" w:rsidTr="002E6364">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3B6CC85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Dažnas</w:t>
            </w:r>
          </w:p>
        </w:tc>
        <w:tc>
          <w:tcPr>
            <w:tcW w:w="1760" w:type="pct"/>
            <w:gridSpan w:val="3"/>
            <w:tcBorders>
              <w:top w:val="single" w:sz="4" w:space="0" w:color="000000"/>
              <w:left w:val="single" w:sz="4" w:space="0" w:color="auto"/>
              <w:bottom w:val="single" w:sz="4" w:space="0" w:color="000000"/>
              <w:right w:val="single" w:sz="4" w:space="0" w:color="auto"/>
            </w:tcBorders>
            <w:shd w:val="clear" w:color="auto" w:fill="FFFFFF"/>
            <w:vAlign w:val="center"/>
          </w:tcPr>
          <w:p w14:paraId="574F47F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Mieguistumas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788A0B4" w14:textId="35C7486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52 (3,06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6F89E84A" w14:textId="2E7FC5C2"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82 (3,25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8A142FD" w14:textId="4ED3187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39 (2,86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325FD870" w14:textId="77777777" w:rsidTr="002E6364">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2600562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60" w:type="pct"/>
            <w:gridSpan w:val="3"/>
            <w:tcBorders>
              <w:top w:val="single" w:sz="4" w:space="0" w:color="000000"/>
              <w:left w:val="single" w:sz="4" w:space="0" w:color="auto"/>
              <w:bottom w:val="single" w:sz="4" w:space="0" w:color="000000"/>
              <w:right w:val="single" w:sz="4" w:space="0" w:color="auto"/>
            </w:tcBorders>
            <w:shd w:val="clear" w:color="auto" w:fill="FFFFFF"/>
            <w:vAlign w:val="center"/>
          </w:tcPr>
          <w:p w14:paraId="75F5CB24"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Galvos skausmas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17F0E06" w14:textId="6A3ECA4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68 (4,01</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3249F664" w14:textId="74AFD4F6"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90 (3,56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A7E17B1" w14:textId="3EBD4E6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46 (3,38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459F0B27" w14:textId="77777777" w:rsidTr="002E6364">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21FF1330"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60" w:type="pct"/>
            <w:gridSpan w:val="3"/>
            <w:tcBorders>
              <w:top w:val="single" w:sz="4" w:space="0" w:color="000000"/>
              <w:left w:val="single" w:sz="4" w:space="0" w:color="auto"/>
              <w:bottom w:val="single" w:sz="4" w:space="0" w:color="000000"/>
              <w:right w:val="single" w:sz="4" w:space="0" w:color="auto"/>
            </w:tcBorders>
            <w:shd w:val="clear" w:color="auto" w:fill="FFFFFF"/>
            <w:vAlign w:val="center"/>
          </w:tcPr>
          <w:p w14:paraId="518FCB6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Svaigulys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47A8297" w14:textId="7F37A33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14 (0,83</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3AF0845E" w14:textId="7D95D9D4"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23 (0,91</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3812D5C0" w14:textId="20D4F51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8 (0,59</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038CD105"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017BC04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Ausų ir labirintų sutrikimai</w:t>
            </w:r>
          </w:p>
        </w:tc>
      </w:tr>
      <w:tr w:rsidR="00B1792A" w:rsidRPr="00846A3E" w14:paraId="1A420BA1" w14:textId="77777777" w:rsidTr="002E636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4C3B6324"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1D573581"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Ūžesys (</w:t>
            </w:r>
            <w:r w:rsidRPr="00846A3E">
              <w:rPr>
                <w:rFonts w:ascii="Times New Roman" w:eastAsiaTheme="minorEastAsia" w:hAnsi="Times New Roman" w:cs="Times New Roman"/>
                <w:bCs/>
                <w:i/>
                <w:iCs/>
                <w:lang w:val="lt-LT"/>
              </w:rPr>
              <w:t>tinnitus</w:t>
            </w:r>
            <w:r w:rsidRPr="00846A3E">
              <w:rPr>
                <w:rFonts w:ascii="Times New Roman" w:eastAsiaTheme="minorEastAsia" w:hAnsi="Times New Roman" w:cs="Times New Roman"/>
                <w:bCs/>
                <w:iCs/>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5AC4CC9" w14:textId="2415756C"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0A9A54" w14:textId="1DFDECF0"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7CF6427" w14:textId="498E357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74B49C5" w14:textId="77777777" w:rsidTr="002E6364">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72C4E2B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639C43F"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Svaigimas (</w:t>
            </w:r>
            <w:r w:rsidRPr="00846A3E">
              <w:rPr>
                <w:rFonts w:ascii="Times New Roman" w:eastAsiaTheme="minorEastAsia" w:hAnsi="Times New Roman" w:cs="Times New Roman"/>
                <w:bCs/>
                <w:i/>
                <w:iCs/>
                <w:lang w:val="lt-LT"/>
              </w:rPr>
              <w:t>vertigo</w:t>
            </w:r>
            <w:r w:rsidRPr="00846A3E">
              <w:rPr>
                <w:rFonts w:ascii="Times New Roman" w:eastAsiaTheme="minorEastAsia" w:hAnsi="Times New Roman" w:cs="Times New Roman"/>
                <w:bCs/>
                <w:iCs/>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12A68D8" w14:textId="2A491780"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3051D02" w14:textId="33F6B9A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63696FC" w14:textId="2758CFD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8998718"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0E59DDA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Cs/>
                <w:iCs/>
                <w:lang w:val="lt-LT"/>
              </w:rPr>
            </w:pPr>
            <w:r w:rsidRPr="00846A3E">
              <w:rPr>
                <w:rFonts w:ascii="Times New Roman" w:eastAsia="Calibri" w:hAnsi="Times New Roman" w:cs="Times New Roman"/>
                <w:lang w:val="lt-LT"/>
              </w:rPr>
              <w:t>Širdies sutrikimai</w:t>
            </w:r>
          </w:p>
        </w:tc>
      </w:tr>
      <w:tr w:rsidR="00B1792A" w:rsidRPr="00846A3E" w14:paraId="3D4936DC" w14:textId="77777777" w:rsidTr="002E63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24E0705F"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143BF6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 xml:space="preserve">Dešiniosios </w:t>
            </w:r>
            <w:r w:rsidRPr="00D65358">
              <w:rPr>
                <w:rFonts w:ascii="Times New Roman" w:eastAsiaTheme="minorEastAsia" w:hAnsi="Times New Roman" w:cs="Times New Roman"/>
                <w:bCs/>
                <w:lang w:val="lt-LT"/>
              </w:rPr>
              <w:t>Hiso</w:t>
            </w:r>
            <w:r w:rsidRPr="00846A3E">
              <w:rPr>
                <w:rFonts w:ascii="Times New Roman" w:eastAsiaTheme="minorEastAsia" w:hAnsi="Times New Roman" w:cs="Times New Roman"/>
                <w:bCs/>
                <w:iCs/>
                <w:lang w:val="lt-LT"/>
              </w:rPr>
              <w:t xml:space="preserve"> pluošto kojytės blokada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F11E865" w14:textId="5418A91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(0,24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0D43B4" w14:textId="0D5F50FC"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(0,20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EB4880" w14:textId="48003806"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(0,22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647FBE2D" w14:textId="77777777" w:rsidTr="002E63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CCA600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3AD2B8A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Sinusinė aritmija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10366F1" w14:textId="7291D22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(0,30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90F7D4" w14:textId="56097DF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(0,20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805668" w14:textId="6342CFE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 (0,07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61E10EE8" w14:textId="77777777" w:rsidTr="002E63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3AFC1D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strike/>
                <w:color w:val="FF0000"/>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8ACAB8D" w14:textId="0218417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color w:val="000000"/>
                <w:lang w:val="lt-LT"/>
              </w:rPr>
              <w:t>Intervalo QT pailgėjimas EKG</w:t>
            </w:r>
            <w:r w:rsidR="001E741E" w:rsidRPr="00846A3E">
              <w:rPr>
                <w:rFonts w:ascii="Times New Roman" w:hAnsi="Times New Roman" w:cs="Times New Roman"/>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33E1484" w14:textId="4E82CE9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9 (0,53</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A5F30E" w14:textId="678F74D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10 (0,40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C6A3788" w14:textId="304880D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(0,37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3383EB9B" w14:textId="77777777" w:rsidTr="002E63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205C47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strike/>
                <w:color w:val="FF0000"/>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24E7EBF"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Kiti EKG pakitimai</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8610862" w14:textId="54B7AB62"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7 (0,41</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8B4469" w14:textId="1D9DBB5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11 (0,44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2CC5273" w14:textId="42B1295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D65358" w14:paraId="7D5AF46E"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shd w:val="clear" w:color="auto" w:fill="FFFFFF"/>
            <w:vAlign w:val="center"/>
          </w:tcPr>
          <w:p w14:paraId="66F26D60"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color w:val="000000"/>
                <w:lang w:val="lt-LT"/>
              </w:rPr>
            </w:pPr>
            <w:r w:rsidRPr="00846A3E">
              <w:rPr>
                <w:rFonts w:ascii="Times New Roman" w:eastAsiaTheme="minorEastAsia" w:hAnsi="Times New Roman" w:cs="Times New Roman"/>
                <w:b/>
                <w:lang w:val="lt-LT"/>
              </w:rPr>
              <w:t>Kvėpavimo sistemos, krūtinės ląstos ir tarpuplaučio sutrikimai</w:t>
            </w:r>
          </w:p>
        </w:tc>
      </w:tr>
      <w:tr w:rsidR="00B1792A" w:rsidRPr="00846A3E" w14:paraId="0F322A3B"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25602A21"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753D0BB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Dusulys</w:t>
            </w:r>
          </w:p>
        </w:tc>
        <w:tc>
          <w:tcPr>
            <w:tcW w:w="876" w:type="pct"/>
            <w:gridSpan w:val="2"/>
            <w:shd w:val="clear" w:color="auto" w:fill="FFFFFF"/>
            <w:vAlign w:val="center"/>
          </w:tcPr>
          <w:p w14:paraId="41F7D34F" w14:textId="3BB98242"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5B725789" w14:textId="32424FD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4C951ACE" w14:textId="4096227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6C571624"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28AC14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70264C5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Nemalonus jutimas nosyje</w:t>
            </w:r>
          </w:p>
        </w:tc>
        <w:tc>
          <w:tcPr>
            <w:tcW w:w="876" w:type="pct"/>
            <w:gridSpan w:val="2"/>
            <w:shd w:val="clear" w:color="auto" w:fill="FFFFFF"/>
            <w:vAlign w:val="center"/>
          </w:tcPr>
          <w:p w14:paraId="084C57C4" w14:textId="31CF433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73CFB4DF" w14:textId="6CBD861C"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025AB179" w14:textId="794AD02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0432B07D"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3F9633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715FCA08"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Nosies džiūvimas</w:t>
            </w:r>
          </w:p>
        </w:tc>
        <w:tc>
          <w:tcPr>
            <w:tcW w:w="876" w:type="pct"/>
            <w:gridSpan w:val="2"/>
            <w:shd w:val="clear" w:color="auto" w:fill="FFFFFF"/>
            <w:vAlign w:val="center"/>
          </w:tcPr>
          <w:p w14:paraId="02D696B0" w14:textId="0D75A38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7D5F8220" w14:textId="2FFCE62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6 (0,24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540FFB90" w14:textId="0DAA435B"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(0,29</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5A7734A"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tcBorders>
              <w:top w:val="single" w:sz="4" w:space="0" w:color="000000"/>
            </w:tcBorders>
            <w:shd w:val="clear" w:color="auto" w:fill="FFFFFF"/>
            <w:vAlign w:val="center"/>
          </w:tcPr>
          <w:p w14:paraId="27A9517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Virškinimo trakto sutrikimai</w:t>
            </w:r>
          </w:p>
        </w:tc>
      </w:tr>
      <w:tr w:rsidR="00B1792A" w:rsidRPr="00846A3E" w14:paraId="2FA719F1"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23FE99A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795A59B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Skausmas viršutinėje pilvo dalyje</w:t>
            </w:r>
          </w:p>
        </w:tc>
        <w:tc>
          <w:tcPr>
            <w:tcW w:w="876" w:type="pct"/>
            <w:gridSpan w:val="2"/>
            <w:shd w:val="clear" w:color="auto" w:fill="FFFFFF"/>
            <w:vAlign w:val="center"/>
          </w:tcPr>
          <w:p w14:paraId="1A3183F9" w14:textId="6058DD04"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11 (0,65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78A0B8E7" w14:textId="03582E5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14 (0,55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48E260C4" w14:textId="50E1C00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6 (0,44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32D6C2D"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89B0B1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2F064C3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Pilvo skausmas</w:t>
            </w:r>
          </w:p>
        </w:tc>
        <w:tc>
          <w:tcPr>
            <w:tcW w:w="876" w:type="pct"/>
            <w:gridSpan w:val="2"/>
            <w:shd w:val="clear" w:color="auto" w:fill="FFFFFF"/>
            <w:vAlign w:val="center"/>
          </w:tcPr>
          <w:p w14:paraId="1FA61340" w14:textId="0B49470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(0,30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413D461B" w14:textId="40A81C8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(0,20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66B75B10" w14:textId="44DAD93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(0,29</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49DA2369"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09BBB6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117091E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Pykinimas</w:t>
            </w:r>
          </w:p>
        </w:tc>
        <w:tc>
          <w:tcPr>
            <w:tcW w:w="876" w:type="pct"/>
            <w:gridSpan w:val="2"/>
            <w:shd w:val="clear" w:color="auto" w:fill="FFFFFF"/>
            <w:vAlign w:val="center"/>
          </w:tcPr>
          <w:p w14:paraId="269AACC1" w14:textId="4012422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7 (0,41</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16E22D6D" w14:textId="7BF6AE8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10 (0,40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7DF562BF" w14:textId="5DEADE8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14 (1,03</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68C86D2D"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08D4DE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57F1AFA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Nemalonus pojūtis pilve</w:t>
            </w:r>
          </w:p>
        </w:tc>
        <w:tc>
          <w:tcPr>
            <w:tcW w:w="876" w:type="pct"/>
            <w:gridSpan w:val="2"/>
            <w:shd w:val="clear" w:color="auto" w:fill="FFFFFF"/>
            <w:vAlign w:val="center"/>
          </w:tcPr>
          <w:p w14:paraId="6DED016B" w14:textId="6DF6C2E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385C5EF5" w14:textId="6FDC117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4AB3A4DC" w14:textId="53D7A4C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03AF2179"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C114EB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6F055D2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Viduriavimas</w:t>
            </w:r>
          </w:p>
        </w:tc>
        <w:tc>
          <w:tcPr>
            <w:tcW w:w="876" w:type="pct"/>
            <w:gridSpan w:val="2"/>
            <w:shd w:val="clear" w:color="auto" w:fill="FFFFFF"/>
            <w:vAlign w:val="center"/>
          </w:tcPr>
          <w:p w14:paraId="3BD3947C" w14:textId="7E727290"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(0,24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3EF42181" w14:textId="3989214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6 (0,24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36B61E24" w14:textId="41D480F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(0,22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D955C4B"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0A3E2F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5A48016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Burnos džiūvimas</w:t>
            </w:r>
          </w:p>
        </w:tc>
        <w:tc>
          <w:tcPr>
            <w:tcW w:w="876" w:type="pct"/>
            <w:gridSpan w:val="2"/>
            <w:shd w:val="clear" w:color="auto" w:fill="FFFFFF"/>
            <w:vAlign w:val="center"/>
          </w:tcPr>
          <w:p w14:paraId="176B22F1" w14:textId="4E39C1B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04282C74" w14:textId="1AF4E41C"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6 (0,24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143E1AC3" w14:textId="54B4C1A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(0,37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0CEFC9FD"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6027E9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38BF3C6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Dispepsija</w:t>
            </w:r>
          </w:p>
        </w:tc>
        <w:tc>
          <w:tcPr>
            <w:tcW w:w="876" w:type="pct"/>
            <w:gridSpan w:val="2"/>
            <w:shd w:val="clear" w:color="auto" w:fill="FFFFFF"/>
            <w:vAlign w:val="center"/>
          </w:tcPr>
          <w:p w14:paraId="1B7DE5B6" w14:textId="1F9B89E0"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47E22EDD" w14:textId="16B91E6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4B2CB385" w14:textId="78A2DF8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(0,29</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1ABEF87F"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624AC20"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27EC30D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Gastritas</w:t>
            </w:r>
          </w:p>
        </w:tc>
        <w:tc>
          <w:tcPr>
            <w:tcW w:w="876" w:type="pct"/>
            <w:gridSpan w:val="2"/>
            <w:shd w:val="clear" w:color="auto" w:fill="FFFFFF"/>
            <w:vAlign w:val="center"/>
          </w:tcPr>
          <w:p w14:paraId="2B19E964" w14:textId="40F98F5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(0,24</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1C1B79E5" w14:textId="3FFE30D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6520147D" w14:textId="71812314"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D65358" w14:paraId="3383DC88"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2B4FE7FF"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Odos ir poodinio audinio sutrikimai</w:t>
            </w:r>
          </w:p>
        </w:tc>
      </w:tr>
      <w:tr w:rsidR="00B1792A" w:rsidRPr="00846A3E" w14:paraId="3DF1B75F" w14:textId="77777777" w:rsidTr="002E636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4B01E6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38B3CD1"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Niežėjimas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FA9113E" w14:textId="1B5606CB"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073FE8" w14:textId="5837010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52B6C98" w14:textId="2A6705D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D65358" w14:paraId="15C621A7" w14:textId="77777777" w:rsidTr="002E6364">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7D147B2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t>Bendrieji sutrikimai ir vartojimo vietos pažeidimai</w:t>
            </w:r>
          </w:p>
        </w:tc>
      </w:tr>
      <w:tr w:rsidR="00B1792A" w:rsidRPr="00846A3E" w14:paraId="59C5D482" w14:textId="77777777" w:rsidTr="002E636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6D05AF0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E19661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Nuovargis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F6DFDE1" w14:textId="1E932FC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14 (0,83</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B1A12B" w14:textId="7897AD93"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19 (0,75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80AEFB" w14:textId="35BB6DB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18 (1,32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179E4EF0" w14:textId="77777777" w:rsidTr="002E636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5766CD9"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B3A90B4"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Troškulys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0CE3B5C" w14:textId="58128A4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C7F689" w14:textId="481A042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49D5DC" w14:textId="5A714D2B"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 (0,07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0D4DA75E" w14:textId="77777777" w:rsidTr="002E636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2F4703E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26CE5D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Buvusios iki ligos būklės pagerėjimas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6BB5DA6" w14:textId="65E05D1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D0487A4" w14:textId="1A3F2B3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D46C5B" w14:textId="7DE2B98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 (0,07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787D6281" w14:textId="77777777" w:rsidTr="002E636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71A7F7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E99BD0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Karščiavimas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AF638B7" w14:textId="279BFE3C"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2EACFFF" w14:textId="0BFCED8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53A4BDF" w14:textId="5480ACD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 (0,07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3A532B60" w14:textId="77777777" w:rsidTr="002E636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D38ED6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BF8F3C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Astenija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8AC9492" w14:textId="34A5879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CC943C" w14:textId="3610E3B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4 (0,16</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65F8A8E" w14:textId="0C25E6D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(0,37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43042F8E"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tcBorders>
              <w:top w:val="single" w:sz="4" w:space="0" w:color="000000"/>
            </w:tcBorders>
            <w:shd w:val="clear" w:color="auto" w:fill="FFFFFF"/>
            <w:vAlign w:val="center"/>
          </w:tcPr>
          <w:p w14:paraId="23B3C7C9" w14:textId="77777777" w:rsidR="00B1792A" w:rsidRPr="00846A3E" w:rsidRDefault="00B1792A" w:rsidP="00D65358">
            <w:pPr>
              <w:keepNext/>
              <w:widowControl w:val="0"/>
              <w:adjustRightInd w:val="0"/>
              <w:snapToGrid w:val="0"/>
              <w:spacing w:after="0" w:line="240" w:lineRule="auto"/>
              <w:rPr>
                <w:rFonts w:ascii="Times New Roman" w:eastAsiaTheme="minorEastAsia" w:hAnsi="Times New Roman" w:cs="Times New Roman"/>
                <w:b/>
                <w:bCs/>
                <w:iCs/>
                <w:lang w:val="lt-LT"/>
              </w:rPr>
            </w:pPr>
            <w:r w:rsidRPr="00846A3E">
              <w:rPr>
                <w:rFonts w:ascii="Times New Roman" w:eastAsiaTheme="minorEastAsia" w:hAnsi="Times New Roman" w:cs="Times New Roman"/>
                <w:b/>
                <w:lang w:val="lt-LT"/>
              </w:rPr>
              <w:lastRenderedPageBreak/>
              <w:t>Laboratoriniai tyrimai</w:t>
            </w:r>
          </w:p>
        </w:tc>
      </w:tr>
      <w:tr w:rsidR="00B1792A" w:rsidRPr="00846A3E" w14:paraId="74B4FEDF"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12A123A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4AE1283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gama-glutamiltransferazės aktyvumas</w:t>
            </w:r>
          </w:p>
        </w:tc>
        <w:tc>
          <w:tcPr>
            <w:tcW w:w="876" w:type="pct"/>
            <w:gridSpan w:val="2"/>
            <w:shd w:val="clear" w:color="auto" w:fill="FFFFFF"/>
            <w:vAlign w:val="center"/>
          </w:tcPr>
          <w:p w14:paraId="3AD187F3" w14:textId="7A6BC6E6"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7 (0,41</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13593C50" w14:textId="40C5C20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8 (0,32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616B8408" w14:textId="333F071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3AF05E68"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EA2944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1E1FCEA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alanininės aminotransferazės aktyvumas</w:t>
            </w:r>
          </w:p>
        </w:tc>
        <w:tc>
          <w:tcPr>
            <w:tcW w:w="876" w:type="pct"/>
            <w:gridSpan w:val="2"/>
            <w:shd w:val="clear" w:color="auto" w:fill="FFFFFF"/>
            <w:vAlign w:val="center"/>
          </w:tcPr>
          <w:p w14:paraId="45478222" w14:textId="1C10D6BB"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(0,30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6358254C" w14:textId="680521E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5 (0,20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479BB15F" w14:textId="4B35CE0B"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(0,22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586E51D7"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2628DE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09EAB3C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aspartato aminotransferazės aktyvumas</w:t>
            </w:r>
          </w:p>
        </w:tc>
        <w:tc>
          <w:tcPr>
            <w:tcW w:w="876" w:type="pct"/>
            <w:gridSpan w:val="2"/>
            <w:shd w:val="clear" w:color="auto" w:fill="FFFFFF"/>
            <w:vAlign w:val="center"/>
          </w:tcPr>
          <w:p w14:paraId="0BFECEFB" w14:textId="6ABB677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49571AD2" w14:textId="3809EB50"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2DACC780" w14:textId="5B0F06ED"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(0,22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74E3D8CD"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B4684D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7B63F15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kreatinino kiekis kraujyje</w:t>
            </w:r>
          </w:p>
        </w:tc>
        <w:tc>
          <w:tcPr>
            <w:tcW w:w="876" w:type="pct"/>
            <w:gridSpan w:val="2"/>
            <w:shd w:val="clear" w:color="auto" w:fill="FFFFFF"/>
            <w:vAlign w:val="center"/>
          </w:tcPr>
          <w:p w14:paraId="442F903E" w14:textId="19E711F8"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6FBD8658" w14:textId="66F7ECCA"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54D7C66B" w14:textId="4323C4B1"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0 (0,0</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20370971"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40119D2"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1948761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trigliceridų kiekis kraujyje</w:t>
            </w:r>
          </w:p>
        </w:tc>
        <w:tc>
          <w:tcPr>
            <w:tcW w:w="876" w:type="pct"/>
            <w:gridSpan w:val="2"/>
            <w:shd w:val="clear" w:color="auto" w:fill="FFFFFF"/>
            <w:vAlign w:val="center"/>
          </w:tcPr>
          <w:p w14:paraId="0BE814CC" w14:textId="4BAE5F2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61729CEA" w14:textId="457B1A22"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(0,08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04FAAFCD" w14:textId="758A72DE"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3 (0,22</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r w:rsidR="00B1792A" w:rsidRPr="00846A3E" w14:paraId="6D46EC43" w14:textId="77777777" w:rsidTr="002E63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A71EFD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3"/>
            <w:shd w:val="clear" w:color="auto" w:fill="FFFFFF"/>
            <w:vAlign w:val="center"/>
          </w:tcPr>
          <w:p w14:paraId="000B095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Padidėjęs svoris</w:t>
            </w:r>
          </w:p>
        </w:tc>
        <w:tc>
          <w:tcPr>
            <w:tcW w:w="876" w:type="pct"/>
            <w:gridSpan w:val="2"/>
            <w:shd w:val="clear" w:color="auto" w:fill="FFFFFF"/>
            <w:vAlign w:val="center"/>
          </w:tcPr>
          <w:p w14:paraId="4272EACF" w14:textId="5BE3A185"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8 (0,47</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04" w:type="pct"/>
            <w:shd w:val="clear" w:color="auto" w:fill="FFFFFF"/>
            <w:vAlign w:val="center"/>
          </w:tcPr>
          <w:p w14:paraId="4DA6DF9E" w14:textId="15DF36D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12 (0,48</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c>
          <w:tcPr>
            <w:tcW w:w="810" w:type="pct"/>
            <w:shd w:val="clear" w:color="auto" w:fill="FFFFFF"/>
            <w:vAlign w:val="center"/>
          </w:tcPr>
          <w:p w14:paraId="15DD7E67" w14:textId="66E8A462"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Cs/>
                <w:iCs/>
                <w:lang w:val="lt-LT"/>
              </w:rPr>
            </w:pPr>
            <w:r w:rsidRPr="00846A3E">
              <w:rPr>
                <w:rFonts w:ascii="Times New Roman" w:eastAsiaTheme="minorEastAsia" w:hAnsi="Times New Roman" w:cs="Times New Roman"/>
                <w:bCs/>
                <w:iCs/>
                <w:lang w:val="lt-LT"/>
              </w:rPr>
              <w:t>2 (0,15</w:t>
            </w:r>
            <w:r w:rsidR="00181E8D">
              <w:rPr>
                <w:rFonts w:ascii="Times New Roman" w:eastAsiaTheme="minorEastAsia" w:hAnsi="Times New Roman" w:cs="Times New Roman"/>
                <w:bCs/>
                <w:iCs/>
                <w:lang w:val="lt-LT"/>
              </w:rPr>
              <w:t> </w:t>
            </w:r>
            <w:r w:rsidRPr="00846A3E">
              <w:rPr>
                <w:rFonts w:ascii="Times New Roman" w:eastAsiaTheme="minorEastAsia" w:hAnsi="Times New Roman" w:cs="Times New Roman"/>
                <w:bCs/>
                <w:iCs/>
                <w:lang w:val="lt-LT"/>
              </w:rPr>
              <w:t>%)</w:t>
            </w:r>
          </w:p>
        </w:tc>
      </w:tr>
    </w:tbl>
    <w:p w14:paraId="54E2C50B" w14:textId="46282A62" w:rsidR="00B1792A" w:rsidRPr="00846A3E" w:rsidRDefault="001E741E"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hAnsi="Times New Roman" w:cs="Times New Roman"/>
          <w:color w:val="000000"/>
          <w:lang w:val="lt-LT" w:bidi="lt-LT"/>
        </w:rPr>
        <w:t>* Vaistiniam preparatui atsiradus rinkoje, taip pat buvo pranešta apie elektrokardiogramoje matomo QT intervalo pailgėjimo atvejus.</w:t>
      </w:r>
    </w:p>
    <w:p w14:paraId="0FD818F9" w14:textId="77777777" w:rsidR="001E741E" w:rsidRPr="00846A3E" w:rsidRDefault="001E741E" w:rsidP="00846A3E">
      <w:pPr>
        <w:widowControl w:val="0"/>
        <w:adjustRightInd w:val="0"/>
        <w:snapToGrid w:val="0"/>
        <w:spacing w:after="0" w:line="240" w:lineRule="auto"/>
        <w:rPr>
          <w:rFonts w:ascii="Times New Roman" w:eastAsia="Calibri" w:hAnsi="Times New Roman" w:cs="Times New Roman"/>
          <w:lang w:val="lt-LT"/>
        </w:rPr>
      </w:pPr>
    </w:p>
    <w:p w14:paraId="1AAE16D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
          <w:lang w:val="lt-LT"/>
        </w:rPr>
        <w:t>Dažnis nežinomas</w:t>
      </w:r>
      <w:r w:rsidRPr="00846A3E">
        <w:rPr>
          <w:rFonts w:ascii="Times New Roman" w:eastAsia="Calibri" w:hAnsi="Times New Roman" w:cs="Times New Roman"/>
          <w:lang w:val="lt-LT"/>
        </w:rPr>
        <w:t xml:space="preserve"> (negali būti apskaičiuotas pagal turimus duomenis): po vaistinio preparato registracijos buvo stebėta palpitacijos, tachikardija, padidėjusio jautrumo reakcijos (pvz., anafilaksija, angioneurozinė edema, dusulys, išbėrimas, lokalizuota edema / lokalizuotas patinimas ir raudonė) ir vėmimas.</w:t>
      </w:r>
    </w:p>
    <w:p w14:paraId="23AEA91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E98DA2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Atrinktų nepageidaujamų reakcijų suaugusiems pacientams ir paaugliams apibūdinimas</w:t>
      </w:r>
    </w:p>
    <w:p w14:paraId="24AF9B34" w14:textId="0E7A1E4D" w:rsidR="00132EED" w:rsidRDefault="00B1792A" w:rsidP="00846A3E">
      <w:pPr>
        <w:widowControl w:val="0"/>
        <w:adjustRightInd w:val="0"/>
        <w:snapToGrid w:val="0"/>
        <w:spacing w:after="0" w:line="240" w:lineRule="auto"/>
        <w:rPr>
          <w:rFonts w:ascii="Times New Roman" w:eastAsia="Calibri" w:hAnsi="Times New Roman" w:cs="Times New Roman"/>
          <w:color w:val="000000"/>
          <w:lang w:val="lt-LT" w:eastAsia="it-IT"/>
        </w:rPr>
      </w:pPr>
      <w:r w:rsidRPr="00846A3E">
        <w:rPr>
          <w:rFonts w:ascii="Times New Roman" w:eastAsia="Calibri" w:hAnsi="Times New Roman" w:cs="Times New Roman"/>
          <w:lang w:val="lt-LT"/>
        </w:rPr>
        <w:t xml:space="preserve">Mieguistumas, galvos skausmas, svaigulys ir nuovargis pasitaikė pacientams vartojusiems tiek 20 mg bilastino, tiek placebą. Šių nepageidaujamų reakcijų dažnumas, lyginant bilastiną su placebu, buvo: mieguistumas </w:t>
      </w:r>
      <w:r w:rsidRPr="00846A3E">
        <w:rPr>
          <w:rFonts w:ascii="Times New Roman" w:eastAsiaTheme="minorEastAsia" w:hAnsi="Times New Roman" w:cs="Times New Roman"/>
          <w:lang w:val="lt-LT"/>
        </w:rPr>
        <w:t xml:space="preserve">3,06 % ir 2,86 %, </w:t>
      </w:r>
      <w:r w:rsidRPr="00846A3E">
        <w:rPr>
          <w:rFonts w:ascii="Times New Roman" w:eastAsia="Calibri" w:hAnsi="Times New Roman" w:cs="Times New Roman"/>
          <w:lang w:val="lt-LT"/>
        </w:rPr>
        <w:t xml:space="preserve">galvos skausmas </w:t>
      </w:r>
      <w:r w:rsidRPr="00846A3E">
        <w:rPr>
          <w:rFonts w:ascii="Times New Roman" w:eastAsia="Calibri" w:hAnsi="Times New Roman" w:cs="Times New Roman"/>
          <w:color w:val="000000"/>
          <w:lang w:val="lt-LT" w:eastAsia="it-IT"/>
        </w:rPr>
        <w:t>4,01 % ir 3,38 %, svaigulys 0,83 % ir 0,59 %, nuovargis 0,83 % ir 1,32 %.</w:t>
      </w:r>
    </w:p>
    <w:p w14:paraId="0D6FB7BE" w14:textId="77777777" w:rsidR="00E75FA0" w:rsidRPr="00846A3E" w:rsidRDefault="00E75FA0" w:rsidP="00846A3E">
      <w:pPr>
        <w:widowControl w:val="0"/>
        <w:adjustRightInd w:val="0"/>
        <w:snapToGrid w:val="0"/>
        <w:spacing w:after="0" w:line="240" w:lineRule="auto"/>
        <w:rPr>
          <w:rFonts w:ascii="Times New Roman" w:eastAsia="Calibri" w:hAnsi="Times New Roman" w:cs="Times New Roman"/>
          <w:color w:val="000000"/>
          <w:lang w:val="lt-LT" w:eastAsia="it-IT"/>
        </w:rPr>
      </w:pPr>
    </w:p>
    <w:p w14:paraId="193974E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Informacija, sukaupta stebėjimo po vaistinio preparato pateikimo į rinką, patvirtino klinikinių tyrimų nustatytus saugumo duomenis.</w:t>
      </w:r>
    </w:p>
    <w:p w14:paraId="4C479BA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22A997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Vaikų populiacijos saugumo profilio santrauka</w:t>
      </w:r>
    </w:p>
    <w:p w14:paraId="674FA2C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Klinikinio vystymosi metu nepageidaujamų reakcijų dažnis, tipas ir sunkumas paaugliams (nuo 12 metų iki 17 metų) buvo tokie patys kaip ir suaugusiems. Informacija, surinkta iš šios populiacijos (paauglių) stebėjimo po pateikimo į rinką, patvirtino klinikinių tyrimų duomenis.</w:t>
      </w:r>
    </w:p>
    <w:p w14:paraId="7525BAD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Vaikų (2–11 metų), kuriems pasireiškė nepageidaujamos reakcijos (NR) po gydymo 10 mg bilastino nuo alerginio rinokonjunktyvito arba lėtinės idiopatinės dilgėlinės 12 savaičių kontroliuojamo klinikinio tyrimo metu, procentas buvo panašus į pacientų, vartojusių placebą (68,5 % ir 67,5 %).</w:t>
      </w:r>
    </w:p>
    <w:p w14:paraId="437D833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Susiję NR, apie kuriuos dažniausiai buvo pranešama iš 291 vaiko (2–11 metų), vartojusių bilastiną (burnoje disperguojamą tabletę) klinikinių tyrimų metu (260 vaikų, kurie dalyvavo klinikinio saugumo tyrime, 31 vaikas dalyvavo farmakokinetikos tyrime), buvo galvos skausmas, alerginis konjunktyvitas, rinitas ir pilvo skausmas. Šie susiję nepageidaujami reiškiniai panašiu dažniu pasireiškė 249 pacientams, vartojusiems placebą.</w:t>
      </w:r>
    </w:p>
    <w:p w14:paraId="411F254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2E4ED67" w14:textId="77777777" w:rsidR="00B1792A" w:rsidRPr="00846A3E" w:rsidRDefault="00B1792A" w:rsidP="00D65358">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Nepageidaujamų reakcijų vaikų populiacijoje santrauka lentelėje</w:t>
      </w:r>
    </w:p>
    <w:p w14:paraId="03746A8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NR, kurie bent jau galėjo būti susiję su bilastinu ir apie kuriuos pranešta daugiau nei 0,1 % vaikų (2–11 metų), vartojusių bilastiną klinikinio vystymosi metu, yra pateikti toliau esančioje lentelėje.</w:t>
      </w:r>
    </w:p>
    <w:p w14:paraId="2426816D" w14:textId="77777777" w:rsidR="00B1792A" w:rsidRPr="00846A3E" w:rsidRDefault="00B1792A" w:rsidP="00846A3E">
      <w:pPr>
        <w:widowControl w:val="0"/>
        <w:adjustRightInd w:val="0"/>
        <w:snapToGrid w:val="0"/>
        <w:spacing w:after="0" w:line="240" w:lineRule="auto"/>
        <w:rPr>
          <w:rFonts w:ascii="Times New Roman" w:hAnsi="Times New Roman" w:cs="Times New Roman"/>
          <w:lang w:val="lt-LT"/>
        </w:rPr>
      </w:pPr>
    </w:p>
    <w:p w14:paraId="743FECA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hAnsi="Times New Roman" w:cs="Times New Roman"/>
          <w:lang w:val="lt-LT"/>
        </w:rPr>
        <w:t xml:space="preserve">Nepageidaujamo poveikio dažnis apibūdinamas taip: labai dažnas (≥ 1/10), dažnas (nuo ≥ 1/100 iki &lt; 1/10), nedažnas (nuo ≥ 1/1 000 iki &lt; 1/100), retas (nuo ≥ 1/10 000 iki &lt; 1/1 000), labai retas </w:t>
      </w:r>
      <w:r w:rsidRPr="00846A3E">
        <w:rPr>
          <w:rFonts w:ascii="Times New Roman" w:hAnsi="Times New Roman" w:cs="Times New Roman"/>
          <w:lang w:val="lt-LT"/>
        </w:rPr>
        <w:lastRenderedPageBreak/>
        <w:t>(&lt; 1/10 000) ir nežinomas (negali būti apskaičiuotas pagal turimus duomenis).</w:t>
      </w:r>
    </w:p>
    <w:p w14:paraId="53672D3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83D9F5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Retos, labai retos reakcijos ir nežinomo dažnio reakcijos lentelėje nenurodomos.</w:t>
      </w:r>
    </w:p>
    <w:p w14:paraId="2F15E38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B1792A" w:rsidRPr="00846A3E" w14:paraId="140DFD0B" w14:textId="77777777" w:rsidTr="002E6364">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C7A57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Organų sistemų klasės</w:t>
            </w:r>
          </w:p>
          <w:p w14:paraId="072388C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bCs/>
                <w:iCs/>
                <w:lang w:val="lt-LT"/>
              </w:rPr>
              <w:t>Dažnumas</w:t>
            </w:r>
            <w:r w:rsidRPr="00846A3E">
              <w:rPr>
                <w:rFonts w:ascii="Times New Roman" w:eastAsia="Calibri" w:hAnsi="Times New Roman" w:cs="Times New Roman"/>
                <w:b/>
                <w:bCs/>
                <w:iCs/>
                <w:lang w:val="lt-LT"/>
              </w:rPr>
              <w:tab/>
              <w:t>Nepageidaujama reakcija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942AC6E" w14:textId="73C7088D"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
                <w:lang w:val="lt-LT"/>
              </w:rPr>
              <w:t>Bilastinas 10 mg (n</w:t>
            </w:r>
            <w:r w:rsidR="00132EED" w:rsidRPr="00846A3E">
              <w:rPr>
                <w:rFonts w:ascii="Times New Roman" w:eastAsia="Calibri" w:hAnsi="Times New Roman" w:cs="Times New Roman"/>
                <w:b/>
                <w:lang w:val="lt-LT"/>
              </w:rPr>
              <w:t> </w:t>
            </w:r>
            <w:r w:rsidRPr="00846A3E">
              <w:rPr>
                <w:rFonts w:ascii="Times New Roman" w:eastAsia="Calibri" w:hAnsi="Times New Roman" w:cs="Times New Roman"/>
                <w:b/>
                <w:lang w:val="lt-LT"/>
              </w:rPr>
              <w:t>=</w:t>
            </w:r>
            <w:r w:rsidR="00132EED" w:rsidRPr="00846A3E">
              <w:rPr>
                <w:rFonts w:ascii="Times New Roman" w:eastAsia="Calibri" w:hAnsi="Times New Roman" w:cs="Times New Roman"/>
                <w:b/>
                <w:lang w:val="lt-LT"/>
              </w:rPr>
              <w:t> </w:t>
            </w:r>
            <w:r w:rsidRPr="00846A3E">
              <w:rPr>
                <w:rFonts w:ascii="Times New Roman" w:eastAsia="Calibri" w:hAnsi="Times New Roman" w:cs="Times New Roman"/>
                <w:b/>
                <w:lang w:val="lt-LT"/>
              </w:rPr>
              <w:t>291)</w:t>
            </w:r>
            <w:r w:rsidRPr="00846A3E">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auto"/>
          </w:tcPr>
          <w:p w14:paraId="0DDDE104" w14:textId="1BF2A436"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
                <w:lang w:val="lt-LT"/>
              </w:rPr>
              <w:t>Placebas (n</w:t>
            </w:r>
            <w:r w:rsidR="00132EED" w:rsidRPr="00846A3E">
              <w:rPr>
                <w:rFonts w:ascii="Times New Roman" w:eastAsia="Calibri" w:hAnsi="Times New Roman" w:cs="Times New Roman"/>
                <w:b/>
                <w:lang w:val="lt-LT"/>
              </w:rPr>
              <w:t> </w:t>
            </w:r>
            <w:r w:rsidRPr="00846A3E">
              <w:rPr>
                <w:rFonts w:ascii="Times New Roman" w:eastAsia="Calibri" w:hAnsi="Times New Roman" w:cs="Times New Roman"/>
                <w:b/>
                <w:lang w:val="lt-LT"/>
              </w:rPr>
              <w:t>=</w:t>
            </w:r>
            <w:r w:rsidR="00132EED" w:rsidRPr="00846A3E">
              <w:rPr>
                <w:rFonts w:ascii="Times New Roman" w:eastAsia="Calibri" w:hAnsi="Times New Roman" w:cs="Times New Roman"/>
                <w:b/>
                <w:lang w:val="lt-LT"/>
              </w:rPr>
              <w:t> </w:t>
            </w:r>
            <w:r w:rsidRPr="00846A3E">
              <w:rPr>
                <w:rFonts w:ascii="Times New Roman" w:eastAsia="Calibri" w:hAnsi="Times New Roman" w:cs="Times New Roman"/>
                <w:b/>
                <w:lang w:val="lt-LT"/>
              </w:rPr>
              <w:t>249)</w:t>
            </w:r>
          </w:p>
        </w:tc>
      </w:tr>
      <w:tr w:rsidR="00B1792A" w:rsidRPr="00846A3E" w14:paraId="6971E98B" w14:textId="77777777" w:rsidTr="002E6364">
        <w:trPr>
          <w:trHeight w:val="335"/>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7B1576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Infekcijos ir infestacijos</w:t>
            </w:r>
          </w:p>
        </w:tc>
      </w:tr>
      <w:tr w:rsidR="00B1792A" w:rsidRPr="00846A3E" w14:paraId="01401887" w14:textId="77777777" w:rsidTr="002E636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2197A7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367B586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34FB6453" w14:textId="57E05BFF"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3 (1,0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B449620" w14:textId="553622B2"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3 (1,2</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0FFFDC46" w14:textId="77777777" w:rsidTr="002E636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2F9B0C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Nervų sistemos sutrikimai</w:t>
            </w:r>
          </w:p>
        </w:tc>
      </w:tr>
      <w:tr w:rsidR="00B1792A" w:rsidRPr="00846A3E" w14:paraId="6B4896DD" w14:textId="77777777" w:rsidTr="002E636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5B232D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00548C2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46908416" w14:textId="18DDF76F"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6 (2,1</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1281F61" w14:textId="166A1EF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3 (1,2</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1961A7B8" w14:textId="77777777" w:rsidTr="002E6364">
        <w:trPr>
          <w:trHeight w:val="224"/>
        </w:trPr>
        <w:tc>
          <w:tcPr>
            <w:tcW w:w="1559" w:type="dxa"/>
            <w:vMerge w:val="restart"/>
            <w:tcBorders>
              <w:top w:val="single" w:sz="4" w:space="0" w:color="auto"/>
              <w:left w:val="single" w:sz="4" w:space="0" w:color="auto"/>
              <w:right w:val="single" w:sz="4" w:space="0" w:color="auto"/>
            </w:tcBorders>
            <w:vAlign w:val="center"/>
          </w:tcPr>
          <w:p w14:paraId="5AD0993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0F91BED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Mieguistumas</w:t>
            </w:r>
          </w:p>
        </w:tc>
        <w:tc>
          <w:tcPr>
            <w:tcW w:w="1701" w:type="dxa"/>
            <w:tcBorders>
              <w:top w:val="single" w:sz="4" w:space="0" w:color="auto"/>
              <w:left w:val="single" w:sz="4" w:space="0" w:color="auto"/>
              <w:bottom w:val="single" w:sz="4" w:space="0" w:color="auto"/>
              <w:right w:val="single" w:sz="4" w:space="0" w:color="auto"/>
            </w:tcBorders>
          </w:tcPr>
          <w:p w14:paraId="655360B3" w14:textId="0032A1B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 (0,3</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AB19303" w14:textId="3172442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3D99B697" w14:textId="77777777" w:rsidTr="002E6364">
        <w:trPr>
          <w:trHeight w:val="224"/>
        </w:trPr>
        <w:tc>
          <w:tcPr>
            <w:tcW w:w="1559" w:type="dxa"/>
            <w:vMerge/>
            <w:tcBorders>
              <w:left w:val="single" w:sz="4" w:space="0" w:color="auto"/>
              <w:bottom w:val="single" w:sz="4" w:space="0" w:color="auto"/>
              <w:right w:val="single" w:sz="4" w:space="0" w:color="auto"/>
            </w:tcBorders>
            <w:vAlign w:val="center"/>
          </w:tcPr>
          <w:p w14:paraId="526BF83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131E1C9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053A9E34" w14:textId="07ADEDEF"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 (0,3</w:t>
            </w:r>
            <w:r w:rsidR="002D1D0E">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4D3D4DB" w14:textId="368D903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5F7F4776" w14:textId="77777777" w:rsidTr="002E636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CFEA15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Akių sutrikimai</w:t>
            </w:r>
          </w:p>
        </w:tc>
      </w:tr>
      <w:tr w:rsidR="00B1792A" w:rsidRPr="00846A3E" w14:paraId="0392A323" w14:textId="77777777" w:rsidTr="002E636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0E56C0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6C6F4E6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051F5575" w14:textId="6FE15B46"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4 (1,4</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E1E1830" w14:textId="337784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5 (2,0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6186C2DF" w14:textId="77777777" w:rsidTr="002E636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B8923F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4734D78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513D1D00" w14:textId="0B21A2C6"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 (0,3</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08E635D" w14:textId="246E3BB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28785338" w14:textId="77777777" w:rsidTr="002E636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9EEC7E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Virškinimo trakto sutrikimai</w:t>
            </w:r>
          </w:p>
        </w:tc>
      </w:tr>
      <w:tr w:rsidR="00B1792A" w:rsidRPr="00846A3E" w14:paraId="2B459E3A" w14:textId="77777777" w:rsidTr="002E636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B1D64C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21B12E6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Pilvo skausmas / </w:t>
            </w:r>
            <w:r w:rsidRPr="00846A3E">
              <w:rPr>
                <w:rFonts w:ascii="Times New Roman" w:eastAsia="Calibri" w:hAnsi="Times New Roman" w:cs="Times New Roman"/>
                <w:bCs/>
                <w:iCs/>
                <w:lang w:val="lt-LT"/>
              </w:rPr>
              <w:t>Skausmas viršutinėje pilvo dalyje</w:t>
            </w:r>
          </w:p>
        </w:tc>
        <w:tc>
          <w:tcPr>
            <w:tcW w:w="1701" w:type="dxa"/>
            <w:tcBorders>
              <w:top w:val="single" w:sz="4" w:space="0" w:color="auto"/>
              <w:left w:val="single" w:sz="4" w:space="0" w:color="auto"/>
              <w:bottom w:val="single" w:sz="4" w:space="0" w:color="auto"/>
              <w:right w:val="single" w:sz="4" w:space="0" w:color="auto"/>
            </w:tcBorders>
          </w:tcPr>
          <w:p w14:paraId="254DA053" w14:textId="33F63872"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3 (1,0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E0C5C81" w14:textId="07E03A2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3 (1,2</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2F86A640" w14:textId="77777777" w:rsidTr="002E6364">
        <w:trPr>
          <w:trHeight w:val="224"/>
        </w:trPr>
        <w:tc>
          <w:tcPr>
            <w:tcW w:w="1559" w:type="dxa"/>
            <w:vMerge w:val="restart"/>
            <w:tcBorders>
              <w:left w:val="single" w:sz="4" w:space="0" w:color="auto"/>
              <w:right w:val="single" w:sz="4" w:space="0" w:color="auto"/>
            </w:tcBorders>
            <w:vAlign w:val="center"/>
          </w:tcPr>
          <w:p w14:paraId="28D3D6F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61EB591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1CC49AA6" w14:textId="402350E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2 (0,7</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D6D91FF" w14:textId="25E4190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6755F207" w14:textId="77777777" w:rsidTr="002E6364">
        <w:trPr>
          <w:trHeight w:val="224"/>
        </w:trPr>
        <w:tc>
          <w:tcPr>
            <w:tcW w:w="1559" w:type="dxa"/>
            <w:vMerge/>
            <w:tcBorders>
              <w:left w:val="single" w:sz="4" w:space="0" w:color="auto"/>
              <w:right w:val="single" w:sz="4" w:space="0" w:color="auto"/>
            </w:tcBorders>
            <w:vAlign w:val="center"/>
          </w:tcPr>
          <w:p w14:paraId="5BA4AB1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5744298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6CFB201F" w14:textId="3AA19463"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 (0,3</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90C48E8" w14:textId="63C6683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4E0B223F" w14:textId="77777777" w:rsidTr="002E6364">
        <w:trPr>
          <w:trHeight w:val="224"/>
        </w:trPr>
        <w:tc>
          <w:tcPr>
            <w:tcW w:w="1559" w:type="dxa"/>
            <w:vMerge/>
            <w:tcBorders>
              <w:left w:val="single" w:sz="4" w:space="0" w:color="auto"/>
              <w:bottom w:val="single" w:sz="4" w:space="0" w:color="auto"/>
              <w:right w:val="single" w:sz="4" w:space="0" w:color="auto"/>
            </w:tcBorders>
            <w:vAlign w:val="center"/>
          </w:tcPr>
          <w:p w14:paraId="6732D93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24C4420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182552EC" w14:textId="4D97EB8E"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 (0,3</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AEAD570" w14:textId="5834729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D65358" w14:paraId="1F9673EA" w14:textId="77777777" w:rsidTr="002E636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C2DAEC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Odos ir poodinio audinio sutrikimai</w:t>
            </w:r>
          </w:p>
        </w:tc>
      </w:tr>
      <w:tr w:rsidR="00B1792A" w:rsidRPr="00846A3E" w14:paraId="3B9DD31C" w14:textId="77777777" w:rsidTr="002E6364">
        <w:trPr>
          <w:trHeight w:val="224"/>
        </w:trPr>
        <w:tc>
          <w:tcPr>
            <w:tcW w:w="1559" w:type="dxa"/>
            <w:vMerge w:val="restart"/>
            <w:tcBorders>
              <w:left w:val="single" w:sz="4" w:space="0" w:color="auto"/>
              <w:right w:val="single" w:sz="4" w:space="0" w:color="auto"/>
            </w:tcBorders>
            <w:vAlign w:val="center"/>
          </w:tcPr>
          <w:p w14:paraId="69E9A24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4302BE6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Egzema</w:t>
            </w:r>
          </w:p>
        </w:tc>
        <w:tc>
          <w:tcPr>
            <w:tcW w:w="1701" w:type="dxa"/>
            <w:tcBorders>
              <w:top w:val="single" w:sz="4" w:space="0" w:color="auto"/>
              <w:left w:val="single" w:sz="4" w:space="0" w:color="auto"/>
              <w:bottom w:val="single" w:sz="4" w:space="0" w:color="auto"/>
              <w:right w:val="single" w:sz="4" w:space="0" w:color="auto"/>
            </w:tcBorders>
          </w:tcPr>
          <w:p w14:paraId="5B4F5BFE" w14:textId="6F1BDF31"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 (0,3</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E8912AB" w14:textId="1B4E55B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846A3E" w14:paraId="5C4FE0BF" w14:textId="77777777" w:rsidTr="002E6364">
        <w:trPr>
          <w:trHeight w:val="224"/>
        </w:trPr>
        <w:tc>
          <w:tcPr>
            <w:tcW w:w="1559" w:type="dxa"/>
            <w:vMerge/>
            <w:tcBorders>
              <w:left w:val="single" w:sz="4" w:space="0" w:color="auto"/>
              <w:bottom w:val="single" w:sz="4" w:space="0" w:color="auto"/>
              <w:right w:val="single" w:sz="4" w:space="0" w:color="auto"/>
            </w:tcBorders>
            <w:vAlign w:val="center"/>
          </w:tcPr>
          <w:p w14:paraId="30B89A5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3506965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58C13B33" w14:textId="2739F03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2 (0,7</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808FFF4" w14:textId="74C15F6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2 (0,8</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r w:rsidR="00B1792A" w:rsidRPr="00D65358" w14:paraId="363300B9" w14:textId="77777777" w:rsidTr="002E636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F6DE68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i/>
                <w:lang w:val="lt-LT"/>
              </w:rPr>
            </w:pPr>
            <w:r w:rsidRPr="00846A3E">
              <w:rPr>
                <w:rFonts w:ascii="Times New Roman" w:eastAsia="Calibri" w:hAnsi="Times New Roman" w:cs="Times New Roman"/>
                <w:i/>
                <w:lang w:val="lt-LT"/>
              </w:rPr>
              <w:t>Bendrieji sutrikimai ir vartojimo vietos pažeidimai</w:t>
            </w:r>
          </w:p>
        </w:tc>
      </w:tr>
      <w:tr w:rsidR="00B1792A" w:rsidRPr="00846A3E" w14:paraId="059BFA68" w14:textId="77777777" w:rsidTr="002E636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DAF8DF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32E58DD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Cs/>
                <w:iCs/>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2B7EBCBB" w14:textId="39768C39"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2 (0,7</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81B2D0C" w14:textId="13EE466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0 (0,0</w:t>
            </w:r>
            <w:r w:rsidR="00E75FA0">
              <w:rPr>
                <w:rFonts w:ascii="Times New Roman" w:eastAsia="Calibri" w:hAnsi="Times New Roman" w:cs="Times New Roman"/>
                <w:lang w:val="lt-LT"/>
              </w:rPr>
              <w:t> </w:t>
            </w:r>
            <w:r w:rsidRPr="00846A3E">
              <w:rPr>
                <w:rFonts w:ascii="Times New Roman" w:eastAsia="Calibri" w:hAnsi="Times New Roman" w:cs="Times New Roman"/>
                <w:lang w:val="lt-LT"/>
              </w:rPr>
              <w:t>%)</w:t>
            </w:r>
          </w:p>
        </w:tc>
      </w:tr>
    </w:tbl>
    <w:p w14:paraId="4BE2217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D2B19E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
          <w:vertAlign w:val="superscript"/>
          <w:lang w:val="lt-LT"/>
        </w:rPr>
        <w:t>#</w:t>
      </w:r>
      <w:r w:rsidRPr="00846A3E">
        <w:rPr>
          <w:rFonts w:ascii="Times New Roman" w:eastAsia="Calibri" w:hAnsi="Times New Roman" w:cs="Times New Roman"/>
          <w:lang w:val="lt-LT"/>
        </w:rPr>
        <w:t>260 vaikų dalyvavo klinikiniame tyrime, 31 vaikas farmakokinetikos tyrime</w:t>
      </w:r>
    </w:p>
    <w:p w14:paraId="398E029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color w:val="000000"/>
          <w:lang w:val="lt-LT" w:eastAsia="it-IT"/>
        </w:rPr>
      </w:pPr>
    </w:p>
    <w:p w14:paraId="180754B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color w:val="000000"/>
          <w:u w:val="single"/>
          <w:lang w:val="lt-LT" w:eastAsia="it-IT"/>
        </w:rPr>
      </w:pPr>
      <w:r w:rsidRPr="00846A3E">
        <w:rPr>
          <w:rFonts w:ascii="Times New Roman" w:eastAsia="Calibri" w:hAnsi="Times New Roman" w:cs="Times New Roman"/>
          <w:color w:val="000000"/>
          <w:u w:val="single"/>
          <w:lang w:val="lt-LT" w:eastAsia="it-IT"/>
        </w:rPr>
        <w:t>Atrinktų nepageidaujamų reakcijų vaikų populiacijoje apibūdinimas</w:t>
      </w:r>
    </w:p>
    <w:p w14:paraId="6C49F13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color w:val="000000"/>
          <w:lang w:val="lt-LT" w:eastAsia="it-IT"/>
        </w:rPr>
      </w:pPr>
      <w:r w:rsidRPr="00846A3E">
        <w:rPr>
          <w:rFonts w:ascii="Times New Roman" w:eastAsia="Calibri" w:hAnsi="Times New Roman" w:cs="Times New Roman"/>
          <w:color w:val="000000"/>
          <w:lang w:val="lt-LT" w:eastAsia="it-IT"/>
        </w:rPr>
        <w:t>Galvos, pilvo skausmas, alerginis konjunktyvitas ir rinitas pasitaikė vaikams, vartojusiems tiek 10 mg bilastino, tiek placebo. Šių nepageidaujamų reakcijų dažnumas, lyginant bilastiną su placebu, buvo: galvos skausmas 2,1 % ir 1,2 %, pilvo skausmas 1,0 % ir 1,2 %, alerginis konjunktyvitas 1,4 % ir 2,0 %, rinitas 1,0 % ir 1,2 %.</w:t>
      </w:r>
    </w:p>
    <w:p w14:paraId="6BB75A5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color w:val="000000"/>
          <w:lang w:val="lt-LT" w:eastAsia="it-IT"/>
        </w:rPr>
      </w:pPr>
    </w:p>
    <w:p w14:paraId="74119E95" w14:textId="77777777" w:rsidR="00B1792A" w:rsidRPr="00846A3E" w:rsidRDefault="00B1792A" w:rsidP="00846A3E">
      <w:pPr>
        <w:pStyle w:val="NormalParagraphStyle"/>
        <w:widowControl w:val="0"/>
        <w:suppressAutoHyphens w:val="0"/>
        <w:snapToGrid w:val="0"/>
        <w:spacing w:line="240" w:lineRule="auto"/>
        <w:rPr>
          <w:sz w:val="22"/>
          <w:szCs w:val="22"/>
          <w:u w:val="single"/>
          <w:lang w:val="lt-LT"/>
        </w:rPr>
      </w:pPr>
      <w:r w:rsidRPr="00846A3E">
        <w:rPr>
          <w:sz w:val="22"/>
          <w:szCs w:val="22"/>
          <w:u w:val="single"/>
          <w:lang w:val="lt-LT"/>
        </w:rPr>
        <w:t>Pranešimas apie įtariamas nepageidaujamas reakcijas</w:t>
      </w:r>
    </w:p>
    <w:p w14:paraId="62FDB86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846A3E">
        <w:rPr>
          <w:rFonts w:ascii="Times New Roman" w:hAnsi="Times New Roman" w:cs="Times New Roman"/>
          <w:color w:val="0000FF"/>
          <w:u w:val="single"/>
          <w:lang w:val="lt-LT"/>
        </w:rPr>
        <w:t>https://vapris.vvkt.lt/vvkt-web/public/nrvSpecialist</w:t>
      </w:r>
      <w:r w:rsidRPr="00846A3E">
        <w:rPr>
          <w:rFonts w:ascii="Times New Roman" w:hAnsi="Times New Roman" w:cs="Times New Roman"/>
          <w:lang w:val="lt-LT"/>
        </w:rPr>
        <w:t xml:space="preserve"> arba užpildę Sveikatos priežiūros ar farmacijos specialisto pranešimo apie įtariamą nepageidaujamą reakciją (ĮNR) formą, kuri skelbiama </w:t>
      </w:r>
      <w:r w:rsidRPr="00846A3E">
        <w:rPr>
          <w:rFonts w:ascii="Times New Roman" w:hAnsi="Times New Roman" w:cs="Times New Roman"/>
          <w:color w:val="0000FF"/>
          <w:u w:val="single"/>
          <w:lang w:val="lt-LT"/>
        </w:rPr>
        <w:t>https://www.vvkt.lt/index.php?1399030386</w:t>
      </w:r>
      <w:r w:rsidRPr="00846A3E">
        <w:rPr>
          <w:rFonts w:ascii="Times New Roman" w:hAnsi="Times New Roman" w:cs="Times New Roman"/>
          <w:lang w:val="lt-LT"/>
        </w:rPr>
        <w:t>, ir atsiųsti elektroniniu paštu (adresu NepageidaujamaR@vvkt.lt).</w:t>
      </w:r>
    </w:p>
    <w:p w14:paraId="3A9763F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CE3B953"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29" w:name="_Toc129243110"/>
      <w:bookmarkStart w:id="30" w:name="_Toc129243235"/>
      <w:r w:rsidRPr="00846A3E">
        <w:rPr>
          <w:rFonts w:ascii="Times New Roman" w:eastAsia="Times New Roman" w:hAnsi="Times New Roman" w:cs="Times New Roman"/>
          <w:b/>
          <w:kern w:val="28"/>
          <w:lang w:val="lt-LT"/>
        </w:rPr>
        <w:t>4.9</w:t>
      </w:r>
      <w:r w:rsidRPr="00846A3E">
        <w:rPr>
          <w:rFonts w:ascii="Times New Roman" w:eastAsia="Times New Roman" w:hAnsi="Times New Roman" w:cs="Times New Roman"/>
          <w:b/>
          <w:kern w:val="28"/>
          <w:lang w:val="lt-LT"/>
        </w:rPr>
        <w:tab/>
        <w:t>Perdozavimas</w:t>
      </w:r>
      <w:bookmarkEnd w:id="29"/>
      <w:bookmarkEnd w:id="30"/>
    </w:p>
    <w:p w14:paraId="27498BE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B8811B3" w14:textId="20E64E2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Duomenys apie ūminį perdozavimą gauti tiek iš bilastino klinikinių tyrimų, tiek po vaistinio preparato pateikimo į rinką. Klinikinių tyrimų metu sveikiems savanoriams davus išgerti bilastino dozes, kurios 10</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11</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kartų viršijo terapinę dozę (220 mg vienkartinę dozę arba 200 mg/parą 7 paras), nepageidaujamo poveikio reiškinių, kuriuos reikėjo skubiai gydyti, dažnis buvo 2</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kartus didesnis palyginti su placebo. Dažniausios reakcijos buvo svaigulys, galvos skausmas ir pykinimas. Pranešimų apie sunkias nepageidaujamas reakcijas ir reikšmingą QTc intervalo pailgėjimą negauta. Informacija, kuri buvo gauta po vaistinio preparato registracijos, atitinka klinikinių tyrimų duomenis.</w:t>
      </w:r>
    </w:p>
    <w:p w14:paraId="3E1BED7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0730970" w14:textId="3E50F3C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lastRenderedPageBreak/>
        <w:t>Kritinio bilastino daug</w:t>
      </w:r>
      <w:r w:rsidR="00577D46" w:rsidRPr="00846A3E">
        <w:rPr>
          <w:rFonts w:ascii="Times New Roman" w:eastAsia="Calibri" w:hAnsi="Times New Roman" w:cs="Times New Roman"/>
          <w:lang w:val="lt-LT"/>
        </w:rPr>
        <w:t>kartinių</w:t>
      </w:r>
      <w:r w:rsidRPr="00846A3E">
        <w:rPr>
          <w:rFonts w:ascii="Times New Roman" w:eastAsia="Calibri" w:hAnsi="Times New Roman" w:cs="Times New Roman"/>
          <w:lang w:val="lt-LT"/>
        </w:rPr>
        <w:t xml:space="preserve"> dozių (100 mg 4</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kartus per parą) poveikio skilvelių repoliarizacijai „išsamaus QT</w:t>
      </w:r>
      <w:r w:rsidR="00132EED" w:rsidRPr="00846A3E">
        <w:rPr>
          <w:rFonts w:ascii="Times New Roman" w:eastAsia="Calibri" w:hAnsi="Times New Roman" w:cs="Times New Roman"/>
          <w:lang w:val="lt-LT"/>
        </w:rPr>
        <w:t xml:space="preserve"> </w:t>
      </w:r>
      <w:r w:rsidRPr="00846A3E">
        <w:rPr>
          <w:rFonts w:ascii="Times New Roman" w:eastAsia="Calibri" w:hAnsi="Times New Roman" w:cs="Times New Roman"/>
          <w:lang w:val="lt-LT"/>
        </w:rPr>
        <w:t>/</w:t>
      </w:r>
      <w:r w:rsidR="00132EED" w:rsidRPr="00846A3E">
        <w:rPr>
          <w:rFonts w:ascii="Times New Roman" w:eastAsia="Calibri" w:hAnsi="Times New Roman" w:cs="Times New Roman"/>
          <w:lang w:val="lt-LT"/>
        </w:rPr>
        <w:t xml:space="preserve"> </w:t>
      </w:r>
      <w:r w:rsidRPr="00846A3E">
        <w:rPr>
          <w:rFonts w:ascii="Times New Roman" w:eastAsia="Calibri" w:hAnsi="Times New Roman" w:cs="Times New Roman"/>
          <w:lang w:val="lt-LT"/>
        </w:rPr>
        <w:t>QTC kryžminio tyrimo“ metu su 30 sveikų savanorių reikšmingo QTc pailgėjimo nenustatyta.</w:t>
      </w:r>
    </w:p>
    <w:p w14:paraId="683DE18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902021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Duomenų apie perdozavimą vaikams nėra.</w:t>
      </w:r>
    </w:p>
    <w:p w14:paraId="4D15E99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CB02904" w14:textId="77777777" w:rsidR="00B1792A"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Esant aiškiems perdozavimo požymiams, rekomenduojama taikyti simptominį ir palaikomąjį gydymą.</w:t>
      </w:r>
    </w:p>
    <w:p w14:paraId="2DAF7CA9" w14:textId="77777777" w:rsidR="0017792B" w:rsidRPr="00846A3E" w:rsidRDefault="0017792B" w:rsidP="00846A3E">
      <w:pPr>
        <w:widowControl w:val="0"/>
        <w:adjustRightInd w:val="0"/>
        <w:snapToGrid w:val="0"/>
        <w:spacing w:after="0" w:line="240" w:lineRule="auto"/>
        <w:rPr>
          <w:rFonts w:ascii="Times New Roman" w:eastAsia="Calibri" w:hAnsi="Times New Roman" w:cs="Times New Roman"/>
          <w:lang w:val="lt-LT"/>
        </w:rPr>
      </w:pPr>
    </w:p>
    <w:p w14:paraId="6D22576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Bilastino specifinis priešnuodis nežinomas. </w:t>
      </w:r>
    </w:p>
    <w:p w14:paraId="597F887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CA3483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F168A5F"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31" w:name="_Toc129243111"/>
      <w:bookmarkStart w:id="32" w:name="_Toc129243236"/>
      <w:r w:rsidRPr="00846A3E">
        <w:rPr>
          <w:rFonts w:ascii="Times New Roman" w:eastAsia="Times New Roman" w:hAnsi="Times New Roman" w:cs="Times New Roman"/>
          <w:b/>
          <w:lang w:val="lt-LT"/>
        </w:rPr>
        <w:t>5.</w:t>
      </w:r>
      <w:r w:rsidRPr="00846A3E">
        <w:rPr>
          <w:rFonts w:ascii="Times New Roman" w:eastAsia="Times New Roman" w:hAnsi="Times New Roman" w:cs="Times New Roman"/>
          <w:b/>
          <w:lang w:val="lt-LT"/>
        </w:rPr>
        <w:tab/>
        <w:t>FARMAKOLOGINĖS SAVYBĖS</w:t>
      </w:r>
      <w:bookmarkEnd w:id="31"/>
      <w:bookmarkEnd w:id="32"/>
    </w:p>
    <w:p w14:paraId="4EC74C4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EC6440A"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33" w:name="_Toc129243112"/>
      <w:bookmarkStart w:id="34" w:name="_Toc129243237"/>
      <w:r w:rsidRPr="00846A3E">
        <w:rPr>
          <w:rFonts w:ascii="Times New Roman" w:eastAsia="Times New Roman" w:hAnsi="Times New Roman" w:cs="Times New Roman"/>
          <w:b/>
          <w:kern w:val="28"/>
          <w:lang w:val="lt-LT"/>
        </w:rPr>
        <w:t>5.1</w:t>
      </w:r>
      <w:r w:rsidRPr="00846A3E">
        <w:rPr>
          <w:rFonts w:ascii="Times New Roman" w:eastAsia="Times New Roman" w:hAnsi="Times New Roman" w:cs="Times New Roman"/>
          <w:b/>
          <w:kern w:val="28"/>
          <w:lang w:val="lt-LT"/>
        </w:rPr>
        <w:tab/>
        <w:t>Farmakodinaminės savybės</w:t>
      </w:r>
      <w:bookmarkEnd w:id="33"/>
      <w:bookmarkEnd w:id="34"/>
    </w:p>
    <w:p w14:paraId="272D245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9D7653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Farmakoterapinė grupė – sisteminio poveikio antihistamininiai vaistiniai preparatai; kiti sisteminio poveikio antihistamininiai vaistiniai preparatai ATC kodas – R06AX29.</w:t>
      </w:r>
    </w:p>
    <w:p w14:paraId="27519E8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13B94D0"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u w:val="single"/>
          <w:lang w:val="lt-LT"/>
        </w:rPr>
      </w:pPr>
      <w:r w:rsidRPr="00846A3E">
        <w:rPr>
          <w:rFonts w:ascii="Times New Roman" w:eastAsiaTheme="minorEastAsia" w:hAnsi="Times New Roman" w:cs="Times New Roman"/>
          <w:u w:val="single"/>
          <w:lang w:val="lt-LT"/>
        </w:rPr>
        <w:t>Veikimo mechanizmas</w:t>
      </w:r>
    </w:p>
    <w:p w14:paraId="65C89506" w14:textId="77777777" w:rsidR="00B1792A"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Bilastinas yra ilgai veikiantis antihistaminas be sedatyvaus poveikio, pasižymintis selektyviu antagonizmu H</w:t>
      </w:r>
      <w:r w:rsidRPr="00846A3E">
        <w:rPr>
          <w:rFonts w:ascii="Times New Roman" w:eastAsiaTheme="minorEastAsia" w:hAnsi="Times New Roman" w:cs="Times New Roman"/>
          <w:vertAlign w:val="subscript"/>
          <w:lang w:val="lt-LT"/>
        </w:rPr>
        <w:t>1</w:t>
      </w:r>
      <w:r w:rsidRPr="00846A3E">
        <w:rPr>
          <w:rFonts w:ascii="Times New Roman" w:eastAsiaTheme="minorEastAsia" w:hAnsi="Times New Roman" w:cs="Times New Roman"/>
          <w:lang w:val="lt-LT"/>
        </w:rPr>
        <w:t xml:space="preserve"> receptoriams ir neturintis afiniteto muskarino receptoriams. </w:t>
      </w:r>
    </w:p>
    <w:p w14:paraId="1B22C572" w14:textId="77777777" w:rsidR="0017792B" w:rsidRPr="00846A3E" w:rsidRDefault="0017792B" w:rsidP="00846A3E">
      <w:pPr>
        <w:widowControl w:val="0"/>
        <w:adjustRightInd w:val="0"/>
        <w:snapToGrid w:val="0"/>
        <w:spacing w:after="0" w:line="240" w:lineRule="auto"/>
        <w:rPr>
          <w:rFonts w:ascii="Times New Roman" w:eastAsiaTheme="minorEastAsia" w:hAnsi="Times New Roman" w:cs="Times New Roman"/>
          <w:lang w:val="lt-LT"/>
        </w:rPr>
      </w:pPr>
    </w:p>
    <w:p w14:paraId="5B0A007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Vienkartinė bilastino dozė 24 valandas slopina histamino sukeltas odos reakcijas – pūkšles ir uždegimą.</w:t>
      </w:r>
    </w:p>
    <w:p w14:paraId="29C1A3A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p>
    <w:p w14:paraId="04AF7118"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u w:val="single"/>
          <w:lang w:val="lt-LT"/>
        </w:rPr>
      </w:pPr>
      <w:r w:rsidRPr="00846A3E">
        <w:rPr>
          <w:rFonts w:ascii="Times New Roman" w:eastAsiaTheme="minorEastAsia" w:hAnsi="Times New Roman" w:cs="Times New Roman"/>
          <w:u w:val="single"/>
          <w:lang w:val="lt-LT"/>
        </w:rPr>
        <w:t>Klinikinis veiksmingumas ir saugumas</w:t>
      </w:r>
    </w:p>
    <w:p w14:paraId="5992672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bookmarkStart w:id="35" w:name="_Hlk164068721"/>
      <w:r w:rsidRPr="00846A3E">
        <w:rPr>
          <w:rFonts w:ascii="Times New Roman" w:eastAsia="Calibri" w:hAnsi="Times New Roman" w:cs="Times New Roman"/>
          <w:lang w:val="lt-LT"/>
        </w:rPr>
        <w:t>Veiksmingumo ir saugumo tyrimai buvo atlikti su tabletėmis, kurioms buvo įrodyta, kad bilastino 20 mg ODT yra biologiškai ekvivalentiškas.</w:t>
      </w:r>
    </w:p>
    <w:p w14:paraId="6EBC4632" w14:textId="77777777" w:rsidR="00132EED" w:rsidRPr="00846A3E" w:rsidRDefault="00132EED" w:rsidP="00846A3E">
      <w:pPr>
        <w:widowControl w:val="0"/>
        <w:adjustRightInd w:val="0"/>
        <w:snapToGrid w:val="0"/>
        <w:spacing w:after="0" w:line="240" w:lineRule="auto"/>
        <w:rPr>
          <w:rFonts w:ascii="Times New Roman" w:eastAsia="Calibri" w:hAnsi="Times New Roman" w:cs="Times New Roman"/>
          <w:lang w:val="lt-LT"/>
        </w:rPr>
      </w:pPr>
    </w:p>
    <w:p w14:paraId="608B4CC8" w14:textId="42A4E951" w:rsidR="00B1792A"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Suaugusiųjų ir paauglių, sergančių alerginiu rinokonjunktyvitu (sezoniniu ir nuolatiniu), klinikinių tyrimų metu pacientams vartojant bilastino vieną kartą per parą po 20 mg 14</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18 dienų veiksmingai sumažėjo tokie simptomai kaip čiaudulys, išskyros iš nosies, nosies niežėjimas, nosies užgulimas, akių niežėjimas, ašarojimas ir akių paraudimas. Bilastinas veiksmingai veikė simptomus 24 valandas.</w:t>
      </w:r>
    </w:p>
    <w:p w14:paraId="398B3923" w14:textId="77777777" w:rsidR="0089791D" w:rsidRPr="00846A3E" w:rsidRDefault="0089791D" w:rsidP="00846A3E">
      <w:pPr>
        <w:widowControl w:val="0"/>
        <w:adjustRightInd w:val="0"/>
        <w:snapToGrid w:val="0"/>
        <w:spacing w:after="0" w:line="240" w:lineRule="auto"/>
        <w:rPr>
          <w:rFonts w:ascii="Times New Roman" w:eastAsia="Calibri" w:hAnsi="Times New Roman" w:cs="Times New Roman"/>
          <w:lang w:val="lt-LT"/>
        </w:rPr>
      </w:pPr>
    </w:p>
    <w:p w14:paraId="5B0D6EC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Dviejų klinikinių tyrimų metu pacientams, sergantiems idiopatine dilgėline bilastino 20 g tablečių buvo duodama gerti vieną kartą per parą 28 dienas; vaistinis preparatas reikšmingai slopino niežėjimo intensyvumą ir sumažino pūkšlių skaičių bei dilgėlinės sukeltą diskomfortą. Pagerėjo pacientų miegas ir gyvenimo kokybė.</w:t>
      </w:r>
    </w:p>
    <w:p w14:paraId="70D2E0DE" w14:textId="77777777" w:rsidR="00132EED" w:rsidRPr="00846A3E" w:rsidRDefault="00132EED" w:rsidP="00846A3E">
      <w:pPr>
        <w:widowControl w:val="0"/>
        <w:adjustRightInd w:val="0"/>
        <w:snapToGrid w:val="0"/>
        <w:spacing w:after="0" w:line="240" w:lineRule="auto"/>
        <w:rPr>
          <w:rFonts w:ascii="Times New Roman" w:eastAsia="Calibri" w:hAnsi="Times New Roman" w:cs="Times New Roman"/>
          <w:lang w:val="lt-LT"/>
        </w:rPr>
      </w:pPr>
    </w:p>
    <w:p w14:paraId="2D604F4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Klinikiniu požiūriu reikšmingo QTc intervalo pailgėjimo ar kitų širdies ir kraujagyslių sistemos poveikių atliekant Opexa klinikinius tyrimus nestebėta, netgi tuomet, kai 9 tiriamieji vartojo 200 mg per parą dozę (10 kartų didesnę nei gydomoji dozė) 7 paras, arba kai buvo vartojama kartu su P-glikoproteino inhibitoriais, pvz., ketokonazolu (24 tiriamieji asmenys) ir eritromicinu (24 tiriamieji asmenys). Papildomai atliktas išsamus 30 savanorių QT tyrimas.</w:t>
      </w:r>
    </w:p>
    <w:p w14:paraId="2858FF4F" w14:textId="77777777" w:rsidR="00132EED" w:rsidRPr="00846A3E" w:rsidRDefault="00132EED" w:rsidP="00846A3E">
      <w:pPr>
        <w:widowControl w:val="0"/>
        <w:adjustRightInd w:val="0"/>
        <w:snapToGrid w:val="0"/>
        <w:spacing w:after="0" w:line="240" w:lineRule="auto"/>
        <w:rPr>
          <w:rFonts w:ascii="Times New Roman" w:eastAsia="Calibri" w:hAnsi="Times New Roman" w:cs="Times New Roman"/>
          <w:lang w:val="lt-LT"/>
        </w:rPr>
      </w:pPr>
    </w:p>
    <w:p w14:paraId="62CEB92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bilastino dozę iki 40 mg keturis kartus per parą, jis poveikio psichomotoriniam aktyvumui neturėjo; atliekant standartinius vairavimo mėginius įtakos gebėjimui vairuoti nenustatyta.</w:t>
      </w:r>
    </w:p>
    <w:p w14:paraId="2FA1DCE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FA3FADB" w14:textId="22AF07D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Senyviems pacientams (≥</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65 metų), įtrauktiems į II ir III fazės klin</w:t>
      </w:r>
      <w:r w:rsidR="00627509">
        <w:rPr>
          <w:rFonts w:ascii="Times New Roman" w:eastAsia="Calibri" w:hAnsi="Times New Roman" w:cs="Times New Roman"/>
          <w:lang w:val="lt-LT"/>
        </w:rPr>
        <w:t>i</w:t>
      </w:r>
      <w:r w:rsidRPr="00846A3E">
        <w:rPr>
          <w:rFonts w:ascii="Times New Roman" w:eastAsia="Calibri" w:hAnsi="Times New Roman" w:cs="Times New Roman"/>
          <w:lang w:val="lt-LT"/>
        </w:rPr>
        <w:t>kinius tyrimus, veiksmingumo arba saugumo skirtumų, palyginti su jaunesniais pacientais, nenustatyta. Poregistracinis tyrimas, kuriame dalyvavo 146 senyvi pacientai, neparodė saugumo skirtumų, palyginti su suaugusiųjų populiacija.</w:t>
      </w:r>
    </w:p>
    <w:p w14:paraId="00DB903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238036B" w14:textId="77777777" w:rsidR="00B1792A" w:rsidRPr="00846A3E" w:rsidRDefault="00B1792A" w:rsidP="00D65358">
      <w:pPr>
        <w:keepNext/>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i/>
          <w:lang w:val="lt-LT"/>
        </w:rPr>
        <w:lastRenderedPageBreak/>
        <w:t>Vaikų populiacija</w:t>
      </w:r>
    </w:p>
    <w:p w14:paraId="39E7E242" w14:textId="77777777" w:rsidR="00B1792A" w:rsidRPr="00846A3E" w:rsidRDefault="00B1792A" w:rsidP="00D65358">
      <w:pPr>
        <w:keepNext/>
        <w:widowControl w:val="0"/>
        <w:adjustRightInd w:val="0"/>
        <w:snapToGrid w:val="0"/>
        <w:spacing w:after="0" w:line="240" w:lineRule="auto"/>
        <w:rPr>
          <w:rFonts w:ascii="Times New Roman" w:eastAsia="Calibri" w:hAnsi="Times New Roman" w:cs="Times New Roman"/>
          <w:lang w:val="lt-LT"/>
        </w:rPr>
      </w:pPr>
    </w:p>
    <w:p w14:paraId="0FDFE0C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Paaugliai (nuo 12 metų iki 17 metų) buvo įtraukti į klinikinius tyrimus. Klinikinių tyrimų metu bilastiną vartojo 128 paaugliai (81 – dvigubai koduotų alerginio rinokonjunktyvito tyrimų metu). Dar 116 paauglių atsitiktinės atrankos būdu buvo suskirstyti į aktyvių lyginamųjų preparatų arba placebo grupes. Tarp suaugusiųjų ir paauglių veiksmingumo ir saugumo skirtumų nepastebėta.</w:t>
      </w:r>
    </w:p>
    <w:p w14:paraId="1ABEA82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F46B28C" w14:textId="4B97A1F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Remiantis gairėmis, įrodytas veiksmingumas suaugusiesiems ir paaugliams gali būti ekstrapoliuotas ir vaikams, įrodžius, kad sisteminė 10 mg bilastino ekspozicija 6–11 metų vaikams, sveriantiems ne mažiau kaip 20 kg, yra lygi poveikiui suaugusiesiems su 20 mg bilastino (žr. 5.2</w:t>
      </w:r>
      <w:r w:rsidR="0069740B"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Suaugusiųjų ir paauglių duomenų ekstrapoliacija laikoma tinkama šiam produktui, nes alerginio rinokonjunktyvito ir dilgėlinės patofiziologija yra vienoda visoms amžiaus grupėms.</w:t>
      </w:r>
    </w:p>
    <w:p w14:paraId="763C636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5BF19C7" w14:textId="27C3461E"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12 savaičių trukmės kontroliuojamame klinikiniame tyrime dalyvavo 2</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 xml:space="preserve">11 metų vaikai (iš viso 509 vaikai, 260 buvo gydyti 10 mg bilastino doze: nuo 2 iki mažiau kaip 6 metų 58 vaikai, nuo 6 iki mažiau kaip 9 metų 105 vaikai, nuo 9 iki mažiau kaip 12 metų 97 vaikai; 249 vaikai vartojo placebą: nuo 2 iki mažiau kaip 6 metų 58 vaikai, nuo 6 iki mažiau kaip 9 metų 95 vaikai, nuo 9 iki mažiau kaip 12 metų 96 vaikai), kurie vartojo rekomenduojamą vaikams dozę 10 mg vieną kartą per parą. Bilastino (n = 260) vartojimo saugumo duomenys buvo panašūs į vartojusių placebą (n = 249) duomenis: nepageidaujamos reakcijos pasitaikė 5,8 % vartojusiems 10 mg bilastino ir 8,0 % vartojusiems placebą. Tiek bilastino, tiek placebo vartojimas tyrimo metu pasireiškė nedideliu mieguistumo ir slopinimo įvertinimo balų sumažėjimu pagal vaikų miego vertinimo klausimyną (angl. </w:t>
      </w:r>
      <w:r w:rsidRPr="00846A3E">
        <w:rPr>
          <w:rFonts w:ascii="Times New Roman" w:eastAsia="Calibri" w:hAnsi="Times New Roman" w:cs="Times New Roman"/>
          <w:i/>
          <w:lang w:val="lt-LT"/>
        </w:rPr>
        <w:t>Paediatric Sleep Questionnaire</w:t>
      </w:r>
      <w:r w:rsidRPr="00846A3E">
        <w:rPr>
          <w:rFonts w:ascii="Times New Roman" w:eastAsia="Calibri" w:hAnsi="Times New Roman" w:cs="Times New Roman"/>
          <w:lang w:val="lt-LT"/>
        </w:rPr>
        <w:t>), tačiau tarp grupių statistiškai reikšmingo skirtumo nebuvo. 2</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 xml:space="preserve">11 metų vaikams, vartojusiems 10 mg bilastino, palyginti su vartojusiais placebą, reikšmingo QTc nenustatyta. Panaudojant sergantiems alerginiu rinokonjunktyvitu arba lėtine dilgėline vaikams specifinį gyvenimo kokybės klausimyną (angl. </w:t>
      </w:r>
      <w:r w:rsidRPr="00846A3E">
        <w:rPr>
          <w:rFonts w:ascii="Times New Roman" w:eastAsia="Calibri" w:hAnsi="Times New Roman" w:cs="Times New Roman"/>
          <w:i/>
          <w:lang w:val="lt-LT"/>
        </w:rPr>
        <w:t>Quality of Life Questionnaire</w:t>
      </w:r>
      <w:r w:rsidRPr="00846A3E">
        <w:rPr>
          <w:rFonts w:ascii="Times New Roman" w:eastAsia="Calibri" w:hAnsi="Times New Roman" w:cs="Times New Roman"/>
          <w:lang w:val="lt-LT"/>
        </w:rPr>
        <w:t xml:space="preserve">) nustatyta, kad po 12 savaičių padidėjo bendras vertinimo balų skaičius, tačiau tarp bilastino ir placebo grupių statistiškai reikšmingo skirtumo nebuvo. Bendroje 509 vaikų populiacijoje buvo 479 sergantys alerginiu rinokonjunktyvitu vaikai ir 30 vaikų, sergančių lėtine dilgėline. 260 vaikų buvo gydomi bilastinu, 252 (96,9 %) sirgo alerginiu rinokonjunktyvitu ir 8 (3,1 %) lėtine dilgėline. Atitinkamai 249 vaikams buvo duodamas placebas; iš jų 227 (91,2 %) sirgo alerginiu rinokonjunktyvitu ir 22 (8,8 %) – lėtine dilgėline. </w:t>
      </w:r>
    </w:p>
    <w:p w14:paraId="0F4C9E5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bookmarkEnd w:id="35"/>
    <w:p w14:paraId="09644309" w14:textId="246E00B4"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Europos Vaistų Agentūra atidėjo būtinybę svarstyti bilastino tyrimų su jaunesniais kaip 2 metų vaikais, sergančiais alerginiu rinokonjunkt</w:t>
      </w:r>
      <w:r w:rsidR="0089791D">
        <w:rPr>
          <w:rFonts w:ascii="Times New Roman" w:eastAsia="Calibri" w:hAnsi="Times New Roman" w:cs="Times New Roman"/>
          <w:lang w:val="lt-LT"/>
        </w:rPr>
        <w:t>y</w:t>
      </w:r>
      <w:r w:rsidRPr="00846A3E">
        <w:rPr>
          <w:rFonts w:ascii="Times New Roman" w:eastAsia="Calibri" w:hAnsi="Times New Roman" w:cs="Times New Roman"/>
          <w:lang w:val="lt-LT"/>
        </w:rPr>
        <w:t>vitu ir dilgėline, rezultatus (žr. 4.2</w:t>
      </w:r>
      <w:r w:rsidR="0069740B"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informaciją apie vartojimą vaikams).</w:t>
      </w:r>
    </w:p>
    <w:p w14:paraId="666C5D4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644332E"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36" w:name="_Toc129243113"/>
      <w:bookmarkStart w:id="37" w:name="_Toc129243238"/>
      <w:r w:rsidRPr="00846A3E">
        <w:rPr>
          <w:rFonts w:ascii="Times New Roman" w:eastAsia="Times New Roman" w:hAnsi="Times New Roman" w:cs="Times New Roman"/>
          <w:b/>
          <w:kern w:val="28"/>
          <w:lang w:val="lt-LT"/>
        </w:rPr>
        <w:t>5.2</w:t>
      </w:r>
      <w:r w:rsidRPr="00846A3E">
        <w:rPr>
          <w:rFonts w:ascii="Times New Roman" w:eastAsia="Times New Roman" w:hAnsi="Times New Roman" w:cs="Times New Roman"/>
          <w:b/>
          <w:kern w:val="28"/>
          <w:lang w:val="lt-LT"/>
        </w:rPr>
        <w:tab/>
        <w:t>Farmakokinetinės savybės</w:t>
      </w:r>
      <w:bookmarkEnd w:id="36"/>
      <w:bookmarkEnd w:id="37"/>
    </w:p>
    <w:p w14:paraId="616C4E3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30274E5" w14:textId="77777777" w:rsidR="00B1792A"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Farmakokinetinės savybės buvo tiriamos su tabletėmis.</w:t>
      </w:r>
    </w:p>
    <w:p w14:paraId="5A50F1CB" w14:textId="77777777" w:rsidR="003214B1" w:rsidRPr="00846A3E" w:rsidRDefault="003214B1" w:rsidP="00846A3E">
      <w:pPr>
        <w:widowControl w:val="0"/>
        <w:adjustRightInd w:val="0"/>
        <w:snapToGrid w:val="0"/>
        <w:spacing w:after="0" w:line="240" w:lineRule="auto"/>
        <w:rPr>
          <w:rFonts w:ascii="Times New Roman" w:eastAsia="Calibri" w:hAnsi="Times New Roman" w:cs="Times New Roman"/>
          <w:lang w:val="lt-LT"/>
        </w:rPr>
      </w:pPr>
    </w:p>
    <w:p w14:paraId="604B3CE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Buvo atlikti du farmakokinetikos tyrimai su sveikais savanoriais, siekiant palyginti bilastino 20 mg burnoje disperguojamųjų tablečių ir bilastino 20 mg tablečių, kurie įrodė šių dviejų formų biologinį ekvivalentiškumą.</w:t>
      </w:r>
    </w:p>
    <w:p w14:paraId="416C16E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AB6689D"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u w:val="single"/>
          <w:lang w:val="lt-LT"/>
        </w:rPr>
      </w:pPr>
      <w:r w:rsidRPr="00846A3E">
        <w:rPr>
          <w:rFonts w:ascii="Times New Roman" w:eastAsiaTheme="minorEastAsia" w:hAnsi="Times New Roman" w:cs="Times New Roman"/>
          <w:u w:val="single"/>
          <w:lang w:val="lt-LT"/>
        </w:rPr>
        <w:t>Absorbcija</w:t>
      </w:r>
    </w:p>
    <w:p w14:paraId="72D835AF" w14:textId="64EBF461"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Išgertas bilastinas greitai absorbuojamas, didžiausia koncentracija kraujo plazmoje susidaro apytikriai po 1,3 valandos. Vaistinio preparato kaupimosi nestebėta. Vidutinis išgerto bilastino </w:t>
      </w:r>
      <w:r w:rsidR="00490655" w:rsidRPr="00846A3E">
        <w:rPr>
          <w:rFonts w:ascii="Times New Roman" w:hAnsi="Times New Roman" w:cs="Times New Roman"/>
          <w:lang w:val="lt-LT"/>
        </w:rPr>
        <w:t>biologinis prieinamumas</w:t>
      </w:r>
      <w:r w:rsidRPr="00846A3E">
        <w:rPr>
          <w:rFonts w:ascii="Times New Roman" w:eastAsia="Calibri" w:hAnsi="Times New Roman" w:cs="Times New Roman"/>
          <w:lang w:val="lt-LT"/>
        </w:rPr>
        <w:t xml:space="preserve"> 61 %.</w:t>
      </w:r>
    </w:p>
    <w:p w14:paraId="6B9074E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FE2C02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Pasiskirstymas</w:t>
      </w:r>
    </w:p>
    <w:p w14:paraId="58F17A98" w14:textId="3171394A" w:rsidR="00B1792A"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Tyrimais </w:t>
      </w:r>
      <w:r w:rsidRPr="00846A3E">
        <w:rPr>
          <w:rFonts w:ascii="Times New Roman" w:eastAsia="Calibri" w:hAnsi="Times New Roman" w:cs="Times New Roman"/>
          <w:i/>
          <w:lang w:val="lt-LT"/>
        </w:rPr>
        <w:t>in vitro</w:t>
      </w:r>
      <w:r w:rsidRPr="00846A3E">
        <w:rPr>
          <w:rFonts w:ascii="Times New Roman" w:eastAsia="Calibri" w:hAnsi="Times New Roman" w:cs="Times New Roman"/>
          <w:lang w:val="lt-LT"/>
        </w:rPr>
        <w:t xml:space="preserve"> ir </w:t>
      </w:r>
      <w:r w:rsidRPr="00846A3E">
        <w:rPr>
          <w:rFonts w:ascii="Times New Roman" w:eastAsia="Calibri" w:hAnsi="Times New Roman" w:cs="Times New Roman"/>
          <w:i/>
          <w:lang w:val="lt-LT"/>
        </w:rPr>
        <w:t>in vivo</w:t>
      </w:r>
      <w:r w:rsidRPr="00846A3E">
        <w:rPr>
          <w:rFonts w:ascii="Times New Roman" w:eastAsia="Calibri" w:hAnsi="Times New Roman" w:cs="Times New Roman"/>
          <w:lang w:val="lt-LT"/>
        </w:rPr>
        <w:t xml:space="preserve"> nustatyta, kad bilastinas yra P-glikoproteino (žr. 4.5</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skyrių „Sąveika su ketokonazolu, eritromicinu ir diltiazemu”) ir OATP substratas (žr. 4.2</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 xml:space="preserve">skyrių „Sąveika su greipfrutų sultimis”). Bilastinas nėra pernešėjo BCRP arba inkstų pernešėjų OCT2, OAT1 ir OAT3 substratas. Remiantis </w:t>
      </w:r>
      <w:r w:rsidRPr="00846A3E">
        <w:rPr>
          <w:rFonts w:ascii="Times New Roman" w:eastAsia="Calibri" w:hAnsi="Times New Roman" w:cs="Times New Roman"/>
          <w:i/>
          <w:lang w:val="lt-LT"/>
        </w:rPr>
        <w:t>in vitro</w:t>
      </w:r>
      <w:r w:rsidRPr="00846A3E">
        <w:rPr>
          <w:rFonts w:ascii="Times New Roman" w:eastAsia="Calibri" w:hAnsi="Times New Roman" w:cs="Times New Roman"/>
          <w:lang w:val="lt-LT"/>
        </w:rPr>
        <w:t xml:space="preserve"> tyrimais, manoma, kad bilastinas neslopins šių pernešėjų sisteminėje kraujotakoje: P gp, MRP2, BCRP, BSEP, OATP1B1, OATP1B3, OATP2B1, OAT1, OAT3, OCT1, OCT2 ir NTCP, kadangi buvo nustatytas tik nedidelis P-gp, OATP2B1 ir OCT1 slopinimas, kurių apskaičiuotas IC</w:t>
      </w:r>
      <w:r w:rsidRPr="00846A3E">
        <w:rPr>
          <w:rFonts w:ascii="Times New Roman" w:eastAsia="Calibri" w:hAnsi="Times New Roman" w:cs="Times New Roman"/>
          <w:vertAlign w:val="subscript"/>
          <w:lang w:val="lt-LT"/>
        </w:rPr>
        <w:t>50</w:t>
      </w:r>
      <w:r w:rsidRPr="00846A3E">
        <w:rPr>
          <w:rFonts w:ascii="Times New Roman" w:eastAsia="Calibri" w:hAnsi="Times New Roman" w:cs="Times New Roman"/>
          <w:lang w:val="lt-LT"/>
        </w:rPr>
        <w:t xml:space="preserve"> ≥ 300 µM, daug didesnis nei apskaičiuota klinikinė C</w:t>
      </w:r>
      <w:r w:rsidRPr="00846A3E">
        <w:rPr>
          <w:rFonts w:ascii="Times New Roman" w:eastAsia="Calibri" w:hAnsi="Times New Roman" w:cs="Times New Roman"/>
          <w:vertAlign w:val="subscript"/>
          <w:lang w:val="lt-LT"/>
        </w:rPr>
        <w:t>max</w:t>
      </w:r>
      <w:r w:rsidRPr="00846A3E">
        <w:rPr>
          <w:rFonts w:ascii="Times New Roman" w:eastAsia="Calibri" w:hAnsi="Times New Roman" w:cs="Times New Roman"/>
          <w:lang w:val="lt-LT"/>
        </w:rPr>
        <w:t xml:space="preserve"> plazmoje, todėl ši sąveika </w:t>
      </w:r>
      <w:r w:rsidRPr="00846A3E">
        <w:rPr>
          <w:rFonts w:ascii="Times New Roman" w:eastAsia="Calibri" w:hAnsi="Times New Roman" w:cs="Times New Roman"/>
          <w:lang w:val="lt-LT"/>
        </w:rPr>
        <w:lastRenderedPageBreak/>
        <w:t>nebus kliniškai reikšminga. Tačiau, remiantis šiais rezultatais, negalima atmesti galimybės, kad bilastinas slopina žarnyno gleivinėje esančius transporterius, pvz. P-gp.</w:t>
      </w:r>
    </w:p>
    <w:p w14:paraId="3AE4D251" w14:textId="77777777" w:rsidR="003214B1" w:rsidRPr="00846A3E" w:rsidRDefault="003214B1" w:rsidP="00846A3E">
      <w:pPr>
        <w:widowControl w:val="0"/>
        <w:adjustRightInd w:val="0"/>
        <w:snapToGrid w:val="0"/>
        <w:spacing w:after="0" w:line="240" w:lineRule="auto"/>
        <w:rPr>
          <w:rFonts w:ascii="Times New Roman" w:eastAsia="Calibri" w:hAnsi="Times New Roman" w:cs="Times New Roman"/>
          <w:lang w:val="lt-LT"/>
        </w:rPr>
      </w:pPr>
    </w:p>
    <w:p w14:paraId="42F8F36F" w14:textId="5FAF96F6"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Vartojant bilastino terapinėmis dozėmis, jo 84</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90 % prisijungia prie kraujo plazmos baltymų.</w:t>
      </w:r>
    </w:p>
    <w:p w14:paraId="639FB77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14E881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Biotransformacija</w:t>
      </w:r>
    </w:p>
    <w:p w14:paraId="3CC843E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Tyrimais </w:t>
      </w:r>
      <w:r w:rsidRPr="00846A3E">
        <w:rPr>
          <w:rFonts w:ascii="Times New Roman" w:eastAsia="Calibri" w:hAnsi="Times New Roman" w:cs="Times New Roman"/>
          <w:i/>
          <w:lang w:val="lt-LT"/>
        </w:rPr>
        <w:t>in vitro</w:t>
      </w:r>
      <w:r w:rsidRPr="00846A3E">
        <w:rPr>
          <w:rFonts w:ascii="Times New Roman" w:eastAsia="Calibri" w:hAnsi="Times New Roman" w:cs="Times New Roman"/>
          <w:lang w:val="lt-LT"/>
        </w:rPr>
        <w:t xml:space="preserve"> nustatyta, kad bilastinas CYP450 izoenzimų nei aktyvina, nei slopina. </w:t>
      </w:r>
    </w:p>
    <w:p w14:paraId="69E1FBC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D8557E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Eliminacija</w:t>
      </w:r>
    </w:p>
    <w:p w14:paraId="1F8981B3" w14:textId="6E3F355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Atliekant su sveikais savanoriais masės balanso tyrimus nustatyta, kad išgėrus vienkartinę </w:t>
      </w:r>
      <w:r w:rsidRPr="00846A3E">
        <w:rPr>
          <w:rFonts w:ascii="Times New Roman" w:eastAsia="Calibri" w:hAnsi="Times New Roman" w:cs="Times New Roman"/>
          <w:vertAlign w:val="superscript"/>
          <w:lang w:val="lt-LT"/>
        </w:rPr>
        <w:t>14</w:t>
      </w:r>
      <w:r w:rsidRPr="00846A3E">
        <w:rPr>
          <w:rFonts w:ascii="Times New Roman" w:eastAsia="Calibri" w:hAnsi="Times New Roman" w:cs="Times New Roman"/>
          <w:lang w:val="lt-LT"/>
        </w:rPr>
        <w:t>C-bilastino 20 mg dozę, beveik 95% jo aptinkama nepakitusio bilastino pavidalu šlapime (28,3 %) ir išmatose (66,5 %); tuo patvirtinama, kad žmogaus organizme bilastinas reikšmingai nemetabolizuojamas. Vidutinis pusinės eliminacijos laikas, nustatytas tiriant sveikus savanorius, buvo 14,5 val.</w:t>
      </w:r>
    </w:p>
    <w:p w14:paraId="7941688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D53B4D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Tiesinis/netiesinis pobūdis</w:t>
      </w:r>
    </w:p>
    <w:p w14:paraId="6F4EA0E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Tirtų dozių (nuo 5 iki 220 mg) ribose bilastino farmakokinetika yra tiesinio pobūdžio. Bilastino farmakokinetika įvairių žmonių organizme labai mažai varijuoja.</w:t>
      </w:r>
    </w:p>
    <w:p w14:paraId="367FD29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0BE39A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Sutrikusi inkstų funkcija</w:t>
      </w:r>
    </w:p>
    <w:p w14:paraId="7CB5A25D" w14:textId="5CDFA242"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Atliekant pacientų su sutrikusia inkstų veikla tyrimus nustatyta, kad vidutinė (</w:t>
      </w:r>
      <w:r w:rsidRPr="00846A3E">
        <w:rPr>
          <w:rFonts w:ascii="Times New Roman" w:hAnsi="Times New Roman" w:cs="Times New Roman"/>
          <w:iCs/>
          <w:lang w:val="lt-LT"/>
        </w:rPr>
        <w:t>±</w:t>
      </w:r>
      <w:r w:rsidRPr="00846A3E">
        <w:rPr>
          <w:rFonts w:ascii="Times New Roman" w:eastAsia="Calibri" w:hAnsi="Times New Roman" w:cs="Times New Roman"/>
          <w:lang w:val="lt-LT"/>
        </w:rPr>
        <w:t>SN) AUC</w:t>
      </w:r>
      <w:r w:rsidRPr="00846A3E">
        <w:rPr>
          <w:rFonts w:ascii="Times New Roman" w:eastAsia="Calibri" w:hAnsi="Times New Roman" w:cs="Times New Roman"/>
          <w:vertAlign w:val="subscript"/>
          <w:lang w:val="lt-LT"/>
        </w:rPr>
        <w:t>0-</w:t>
      </w:r>
      <w:r w:rsidRPr="00846A3E">
        <w:rPr>
          <w:rFonts w:ascii="Times New Roman" w:eastAsia="Calibri" w:hAnsi="Times New Roman" w:cs="Times New Roman"/>
          <w:vertAlign w:val="subscript"/>
          <w:lang w:val="lt-LT"/>
        </w:rPr>
        <w:sym w:font="Symbol" w:char="F0A5"/>
      </w:r>
      <w:r w:rsidRPr="00846A3E">
        <w:rPr>
          <w:rFonts w:ascii="Times New Roman" w:eastAsia="Calibri" w:hAnsi="Times New Roman" w:cs="Times New Roman"/>
          <w:lang w:val="lt-LT"/>
        </w:rPr>
        <w:t xml:space="preserve"> padidėjo nuo 737,4</w:t>
      </w:r>
      <w:r w:rsidR="00627509">
        <w:rPr>
          <w:rFonts w:ascii="Times New Roman" w:eastAsia="Calibri" w:hAnsi="Times New Roman" w:cs="Times New Roman"/>
          <w:lang w:val="lt-LT"/>
        </w:rPr>
        <w:t> </w:t>
      </w:r>
      <w:r w:rsidRPr="00846A3E">
        <w:rPr>
          <w:rFonts w:ascii="Times New Roman" w:eastAsia="Calibri" w:hAnsi="Times New Roman" w:cs="Times New Roman"/>
          <w:lang w:val="lt-LT"/>
        </w:rPr>
        <w:t>(±</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260,8) </w:t>
      </w:r>
      <w:r w:rsidRPr="00846A3E">
        <w:rPr>
          <w:rFonts w:ascii="Times New Roman" w:eastAsia="Calibri" w:hAnsi="Times New Roman" w:cs="Times New Roman"/>
          <w:iCs/>
          <w:lang w:val="lt-LT"/>
        </w:rPr>
        <w:t>ng</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x</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val./ml</w:t>
      </w:r>
      <w:r w:rsidRPr="00846A3E">
        <w:rPr>
          <w:rFonts w:ascii="Times New Roman" w:eastAsia="Calibri" w:hAnsi="Times New Roman" w:cs="Times New Roman"/>
          <w:lang w:val="lt-LT"/>
        </w:rPr>
        <w:t xml:space="preserve"> nesant inkstų funkcijos sutrikimo (glomerulų filtracijos greitis (GFG) &gt; 80 ml/min</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/1,73 m</w:t>
      </w:r>
      <w:r w:rsidRPr="00846A3E">
        <w:rPr>
          <w:rFonts w:ascii="Times New Roman" w:eastAsia="Calibri" w:hAnsi="Times New Roman" w:cs="Times New Roman"/>
          <w:vertAlign w:val="superscript"/>
          <w:lang w:val="lt-LT"/>
        </w:rPr>
        <w:t>2</w:t>
      </w:r>
      <w:r w:rsidRPr="00846A3E">
        <w:rPr>
          <w:rFonts w:ascii="Times New Roman" w:eastAsia="Calibri" w:hAnsi="Times New Roman" w:cs="Times New Roman"/>
          <w:lang w:val="lt-LT"/>
        </w:rPr>
        <w:t>) iki: 967,4</w:t>
      </w:r>
      <w:r w:rsidR="00627509">
        <w:rPr>
          <w:rFonts w:ascii="Times New Roman" w:eastAsia="Calibri" w:hAnsi="Times New Roman" w:cs="Times New Roman"/>
          <w:lang w:val="lt-LT"/>
        </w:rPr>
        <w:t> </w:t>
      </w:r>
      <w:r w:rsidRPr="00846A3E">
        <w:rPr>
          <w:rFonts w:ascii="Times New Roman" w:eastAsia="Calibri" w:hAnsi="Times New Roman" w:cs="Times New Roman"/>
          <w:lang w:val="lt-LT"/>
        </w:rPr>
        <w:t>(±</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140,2) </w:t>
      </w:r>
      <w:r w:rsidRPr="00846A3E">
        <w:rPr>
          <w:rFonts w:ascii="Times New Roman" w:eastAsia="Calibri" w:hAnsi="Times New Roman" w:cs="Times New Roman"/>
          <w:iCs/>
          <w:lang w:val="lt-LT"/>
        </w:rPr>
        <w:t>ng</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x</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val./ml</w:t>
      </w:r>
      <w:r w:rsidRPr="00846A3E">
        <w:rPr>
          <w:rFonts w:ascii="Times New Roman" w:eastAsia="Calibri" w:hAnsi="Times New Roman" w:cs="Times New Roman"/>
          <w:lang w:val="lt-LT"/>
        </w:rPr>
        <w:t xml:space="preserve"> esant lengvam funkcijos sutrikimui (GFG: 50</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80 ml/min</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/1,73 m</w:t>
      </w:r>
      <w:r w:rsidRPr="00846A3E">
        <w:rPr>
          <w:rFonts w:ascii="Times New Roman" w:eastAsia="Calibri" w:hAnsi="Times New Roman" w:cs="Times New Roman"/>
          <w:vertAlign w:val="superscript"/>
          <w:lang w:val="lt-LT"/>
        </w:rPr>
        <w:t>2</w:t>
      </w:r>
      <w:r w:rsidRPr="00846A3E">
        <w:rPr>
          <w:rFonts w:ascii="Times New Roman" w:eastAsia="Calibri" w:hAnsi="Times New Roman" w:cs="Times New Roman"/>
          <w:lang w:val="lt-LT"/>
        </w:rPr>
        <w:t>), iki 1 384,2</w:t>
      </w:r>
      <w:r w:rsidR="00627509">
        <w:rPr>
          <w:rFonts w:ascii="Times New Roman" w:eastAsia="Calibri" w:hAnsi="Times New Roman" w:cs="Times New Roman"/>
          <w:lang w:val="lt-LT"/>
        </w:rPr>
        <w:t> </w:t>
      </w:r>
      <w:r w:rsidRPr="00846A3E">
        <w:rPr>
          <w:rFonts w:ascii="Times New Roman" w:eastAsia="Calibri" w:hAnsi="Times New Roman" w:cs="Times New Roman"/>
          <w:lang w:val="lt-LT"/>
        </w:rPr>
        <w:t>(±</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263,23) </w:t>
      </w:r>
      <w:r w:rsidRPr="00846A3E">
        <w:rPr>
          <w:rFonts w:ascii="Times New Roman" w:eastAsia="Calibri" w:hAnsi="Times New Roman" w:cs="Times New Roman"/>
          <w:iCs/>
          <w:lang w:val="lt-LT"/>
        </w:rPr>
        <w:t>ng</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x</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val./ml</w:t>
      </w:r>
      <w:r w:rsidRPr="00846A3E">
        <w:rPr>
          <w:rFonts w:ascii="Times New Roman" w:eastAsia="Calibri" w:hAnsi="Times New Roman" w:cs="Times New Roman"/>
          <w:lang w:val="lt-LT"/>
        </w:rPr>
        <w:t xml:space="preserve"> esant vidutinio sunkumo inkstų funkcijos sutrikimui (GFG: 30</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&lt;</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50 ml/min</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/1,73 m</w:t>
      </w:r>
      <w:r w:rsidRPr="00846A3E">
        <w:rPr>
          <w:rFonts w:ascii="Times New Roman" w:eastAsia="Calibri" w:hAnsi="Times New Roman" w:cs="Times New Roman"/>
          <w:vertAlign w:val="superscript"/>
          <w:lang w:val="lt-LT"/>
        </w:rPr>
        <w:t>2</w:t>
      </w:r>
      <w:r w:rsidRPr="00846A3E">
        <w:rPr>
          <w:rFonts w:ascii="Times New Roman" w:eastAsia="Calibri" w:hAnsi="Times New Roman" w:cs="Times New Roman"/>
          <w:lang w:val="lt-LT"/>
        </w:rPr>
        <w:t>), iki 1 708,5</w:t>
      </w:r>
      <w:r w:rsidR="00627509">
        <w:rPr>
          <w:rFonts w:ascii="Times New Roman" w:eastAsia="Calibri" w:hAnsi="Times New Roman" w:cs="Times New Roman"/>
          <w:lang w:val="lt-LT"/>
        </w:rPr>
        <w:t> </w:t>
      </w:r>
      <w:r w:rsidRPr="00846A3E">
        <w:rPr>
          <w:rFonts w:ascii="Times New Roman" w:eastAsia="Calibri" w:hAnsi="Times New Roman" w:cs="Times New Roman"/>
          <w:lang w:val="lt-LT"/>
        </w:rPr>
        <w:t>(±</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699,0) </w:t>
      </w:r>
      <w:r w:rsidRPr="00846A3E">
        <w:rPr>
          <w:rFonts w:ascii="Times New Roman" w:eastAsia="Calibri" w:hAnsi="Times New Roman" w:cs="Times New Roman"/>
          <w:iCs/>
          <w:lang w:val="lt-LT"/>
        </w:rPr>
        <w:t>ng</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x</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val./ml</w:t>
      </w:r>
      <w:r w:rsidRPr="00846A3E">
        <w:rPr>
          <w:rFonts w:ascii="Times New Roman" w:eastAsia="Calibri" w:hAnsi="Times New Roman" w:cs="Times New Roman"/>
          <w:lang w:val="lt-LT"/>
        </w:rPr>
        <w:t xml:space="preserve"> esant sunkiam inkstų funkcijos sutrikimui (GFG: &lt;</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30 ml/min</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/1,73 m</w:t>
      </w:r>
      <w:r w:rsidRPr="00846A3E">
        <w:rPr>
          <w:rFonts w:ascii="Times New Roman" w:eastAsia="Calibri" w:hAnsi="Times New Roman" w:cs="Times New Roman"/>
          <w:vertAlign w:val="superscript"/>
          <w:lang w:val="lt-LT"/>
        </w:rPr>
        <w:t>2</w:t>
      </w:r>
      <w:r w:rsidRPr="00846A3E">
        <w:rPr>
          <w:rFonts w:ascii="Times New Roman" w:eastAsia="Calibri" w:hAnsi="Times New Roman" w:cs="Times New Roman"/>
          <w:lang w:val="lt-LT"/>
        </w:rPr>
        <w:t>). Nesant inkstų veiklos sutrikimo, bilastino pusinės eliminacijos laiko vidurkis (</w:t>
      </w:r>
      <w:r w:rsidRPr="00D65358">
        <w:rPr>
          <w:rFonts w:ascii="Times New Roman" w:hAnsi="Times New Roman" w:cs="Times New Roman"/>
          <w:iCs/>
          <w:lang w:val="lt-LT"/>
        </w:rPr>
        <w:t>±</w:t>
      </w:r>
      <w:r w:rsidR="00132EED" w:rsidRPr="00D65358">
        <w:rPr>
          <w:rFonts w:ascii="Times New Roman" w:hAnsi="Times New Roman" w:cs="Times New Roman"/>
          <w:iCs/>
          <w:lang w:val="lt-LT"/>
        </w:rPr>
        <w:t> </w:t>
      </w:r>
      <w:r w:rsidRPr="00846A3E">
        <w:rPr>
          <w:rFonts w:ascii="Times New Roman" w:eastAsia="Calibri" w:hAnsi="Times New Roman" w:cs="Times New Roman"/>
          <w:lang w:val="lt-LT"/>
        </w:rPr>
        <w:t>SN) buvo 9,3 val. (±</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2,8), esant lengvam inkstų funkcijos sutrikimui – 15,1 val. (±</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7,7), esant vidutiniam – 10,5 val. (±</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2,3), esant sunkiam – 18,4 val. (±</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11,4). Nustatyta, kad su šlapimu bilastinas iš visų asmenų organizmo visiškai išsiskyrė po 48</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 xml:space="preserve">72 val. Šių farmakokinetikos pokyčių klinikinė reikšmė bilastino vartojimo saugumui mažai tikėtina, nes pacientų su sutrikusia inkstų veikla kraujo plazmoje bilastino koncentracija išlieka saugiose ribose. </w:t>
      </w:r>
    </w:p>
    <w:p w14:paraId="5F22B18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102AAD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Sutrikusi kepenų funkcija</w:t>
      </w:r>
    </w:p>
    <w:p w14:paraId="6E5FF50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Duomenų apie pacientų su sutrikusia kepenų veikla farmakokinetiką nėra. Bilastinas žmogaus organizme nemetabolizuojamas. Inkstų veiklos sutrikimų tyrimais nustatyta, kad eliminacija su šlapimu yra svarbiausia bilastino išsiskyrimo iš organizmo forma; todėl tikėtina, kad išsiskyrimas su tulžimi bilastino eliminacijoje yra tik labai nedidelis. Tikėtina, kad kepenų funkcijos pokyčiai bilastino farmakokinetikai klinikinės reikšmės neturi.</w:t>
      </w:r>
    </w:p>
    <w:p w14:paraId="72481D5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39A0F3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Senyvi pacientai</w:t>
      </w:r>
    </w:p>
    <w:p w14:paraId="5847440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Yra tik riboti farmakokinetikos duomenys apie vyresnius nei 65 metų asmenis. Senyvų, vyresnių nei 65 metų amžiaus, palyginti su suaugusiųjų nuo 18 iki 35 metų amžiaus, bilastino PK statistiškai reikšmingų skirtumų nepastebėta.</w:t>
      </w:r>
    </w:p>
    <w:p w14:paraId="410A2C4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E51177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u w:val="single"/>
          <w:lang w:val="lt-LT"/>
        </w:rPr>
      </w:pPr>
      <w:r w:rsidRPr="00846A3E">
        <w:rPr>
          <w:rFonts w:ascii="Times New Roman" w:eastAsia="Calibri" w:hAnsi="Times New Roman" w:cs="Times New Roman"/>
          <w:u w:val="single"/>
          <w:lang w:val="lt-LT"/>
        </w:rPr>
        <w:t>Vaikų populiacija</w:t>
      </w:r>
    </w:p>
    <w:p w14:paraId="47FE76F1" w14:textId="6122D94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Farmakokinetikos duomenų apie paauglius (nuo 12</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metų iki 17 metų) nėra, nes buvo nuspręsta, kad ekstrapoliacija iš suaugusiųjų duomenų yra tinkama šiam preparatui. Vaikų farmakokinetikos duomenys sukaupti II fazės farmakokinetinių tyrimų metu, kuriuose dalyvavo 4</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11 metų 31 vaikas, sergantis alerginiu rinokonjunktyvitu arba lėtine dilgėline; buvo vartojama 1 kartą per parą 10 mg burnoje disperguojamųjų tablečių dozė. Kraujo plazmos koncentracijos farmakokinetinė analizė parodė, kad vaikams vartojama 10 mg vieną kartą per parą bilastino dozė sukelia sisteminę ekspoziciją ekvivalentišką ekspozicijai, kuri susidaro suaugusiems asmenims ir paaugliams vartojant 20 mg dozę: daugiau kaip 6, bet mažiau kaip 11 metų vaikams nustatyta AUC buvo 1</w:t>
      </w:r>
      <w:r w:rsidR="00132EED" w:rsidRPr="00846A3E">
        <w:rPr>
          <w:rFonts w:ascii="Times New Roman" w:eastAsia="Calibri" w:hAnsi="Times New Roman" w:cs="Times New Roman"/>
          <w:lang w:val="lt-LT"/>
        </w:rPr>
        <w:t> </w:t>
      </w:r>
      <w:r w:rsidRPr="00846A3E">
        <w:rPr>
          <w:rFonts w:ascii="Times New Roman" w:eastAsia="Calibri" w:hAnsi="Times New Roman" w:cs="Times New Roman"/>
          <w:lang w:val="lt-LT"/>
        </w:rPr>
        <w:t>014 </w:t>
      </w:r>
      <w:r w:rsidRPr="00846A3E">
        <w:rPr>
          <w:rFonts w:ascii="Times New Roman" w:eastAsia="Calibri" w:hAnsi="Times New Roman" w:cs="Times New Roman"/>
          <w:iCs/>
          <w:lang w:val="lt-LT"/>
        </w:rPr>
        <w:t>ng</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x</w:t>
      </w:r>
      <w:r w:rsidR="00132EED" w:rsidRPr="00846A3E">
        <w:rPr>
          <w:rFonts w:ascii="Times New Roman" w:eastAsia="Calibri" w:hAnsi="Times New Roman" w:cs="Times New Roman"/>
          <w:iCs/>
          <w:lang w:val="lt-LT"/>
        </w:rPr>
        <w:t> </w:t>
      </w:r>
      <w:r w:rsidRPr="00846A3E">
        <w:rPr>
          <w:rFonts w:ascii="Times New Roman" w:eastAsia="Calibri" w:hAnsi="Times New Roman" w:cs="Times New Roman"/>
          <w:iCs/>
          <w:lang w:val="lt-LT"/>
        </w:rPr>
        <w:t>val./ml</w:t>
      </w:r>
      <w:r w:rsidRPr="00846A3E">
        <w:rPr>
          <w:rFonts w:ascii="Times New Roman" w:eastAsia="Calibri" w:hAnsi="Times New Roman" w:cs="Times New Roman"/>
          <w:lang w:val="lt-LT"/>
        </w:rPr>
        <w:t>. Šie duomenys yra žymiai mažesni negu saugumo riba, kuri buvo nustatyta vertinant vaisto saugumą suaugusiems, vartojusiems 80 mg dozę vieną kartą per parą. Šie duomenys patvirtina, kad pasirinkta vartoti per burną 10 mg vieną kartą per parą bilastino dozė yra tinkama gydomoji dozė 6</w:t>
      </w:r>
      <w:r w:rsidR="00132EED" w:rsidRPr="00846A3E">
        <w:rPr>
          <w:rFonts w:ascii="Times New Roman" w:eastAsia="Calibri" w:hAnsi="Times New Roman" w:cs="Times New Roman"/>
          <w:lang w:val="lt-LT"/>
        </w:rPr>
        <w:t>–</w:t>
      </w:r>
      <w:r w:rsidRPr="00846A3E">
        <w:rPr>
          <w:rFonts w:ascii="Times New Roman" w:eastAsia="Calibri" w:hAnsi="Times New Roman" w:cs="Times New Roman"/>
          <w:lang w:val="lt-LT"/>
        </w:rPr>
        <w:t xml:space="preserve">11 metų vaikams, sveriantiems bent 20 kg. </w:t>
      </w:r>
    </w:p>
    <w:p w14:paraId="0825CA4E"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38" w:name="_Toc129243114"/>
      <w:bookmarkStart w:id="39" w:name="_Toc129243239"/>
    </w:p>
    <w:p w14:paraId="2CCEC224"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r w:rsidRPr="00846A3E">
        <w:rPr>
          <w:rFonts w:ascii="Times New Roman" w:eastAsia="Times New Roman" w:hAnsi="Times New Roman" w:cs="Times New Roman"/>
          <w:b/>
          <w:kern w:val="28"/>
          <w:lang w:val="lt-LT"/>
        </w:rPr>
        <w:t>5.3</w:t>
      </w:r>
      <w:r w:rsidRPr="00846A3E">
        <w:rPr>
          <w:rFonts w:ascii="Times New Roman" w:eastAsia="Times New Roman" w:hAnsi="Times New Roman" w:cs="Times New Roman"/>
          <w:b/>
          <w:kern w:val="28"/>
          <w:lang w:val="lt-LT"/>
        </w:rPr>
        <w:tab/>
        <w:t>Ikiklinikinių saugumo tyrimų duomenys</w:t>
      </w:r>
      <w:bookmarkEnd w:id="38"/>
      <w:bookmarkEnd w:id="39"/>
    </w:p>
    <w:p w14:paraId="12FAB49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6EE288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Įprastinių ikiklinikinių farmakologinių saugumo, toksinio kartotinių dozių poveikio, genotoksinio bei kancerogeninio poveikio tyrimų duomenimis, specifinio pavojaus žmogui bilastinas nekelia.</w:t>
      </w:r>
    </w:p>
    <w:p w14:paraId="69963EB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3F1446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Bilastino toksinio poveikio reprodukcijai tyrimų duomenimis, jo poveikis vaisiui (pre- ir postimplantacijos sutrikimai žiurkėms, kaukolės, krūtinkaulio ir galūnių kaulų ne visiškas sukaulėjimas triušiams) nustatytas tik duodant patelei toksines dozes. Ekspozicija yra žymiai didesnė (&gt; 30 kartų), palyginti su nepageidaujamų reiškinių nesukeliančios ekspozicijos lygiu (</w:t>
      </w:r>
      <w:r w:rsidRPr="00D65358">
        <w:rPr>
          <w:rFonts w:ascii="Times New Roman" w:eastAsia="Calibri" w:hAnsi="Times New Roman" w:cs="Times New Roman"/>
          <w:iCs/>
          <w:lang w:val="lt-LT"/>
        </w:rPr>
        <w:t>angl.</w:t>
      </w:r>
      <w:r w:rsidRPr="00846A3E">
        <w:rPr>
          <w:rFonts w:ascii="Times New Roman" w:eastAsia="Calibri" w:hAnsi="Times New Roman" w:cs="Times New Roman"/>
          <w:i/>
          <w:lang w:val="lt-LT"/>
        </w:rPr>
        <w:t xml:space="preserve"> </w:t>
      </w:r>
      <w:r w:rsidRPr="00D65358">
        <w:rPr>
          <w:rFonts w:ascii="Times New Roman" w:eastAsia="Calibri" w:hAnsi="Times New Roman" w:cs="Times New Roman"/>
          <w:i/>
          <w:iCs/>
          <w:lang w:val="lt-LT"/>
        </w:rPr>
        <w:t>NOAEL</w:t>
      </w:r>
      <w:r w:rsidRPr="00846A3E">
        <w:rPr>
          <w:rFonts w:ascii="Times New Roman" w:eastAsia="Calibri" w:hAnsi="Times New Roman" w:cs="Times New Roman"/>
          <w:lang w:val="lt-LT"/>
        </w:rPr>
        <w:t xml:space="preserve">), kai vartojamos žmonėms rekomenduojamos gydomosios dozės. </w:t>
      </w:r>
    </w:p>
    <w:p w14:paraId="19DB082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2D491F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Atliekant pieno susidarymo ir išskyrimo tyrimą, bilastino rasta žindančių žiurkių, kurioms sugirdyta vienkartinė dozė (20 mg/kg), piene. Bilastino koncentracija piene siekė beveik pusę bilastino koncentracijos patelės plazmoje. Šių rezultatų aktualumas žmonėms nežinomas.</w:t>
      </w:r>
    </w:p>
    <w:p w14:paraId="2FF17E3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E84B025" w14:textId="5690276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Vaisingumo tyrimų metu žiurkėms bilastino buvo sušeriama iki 1 000 mg/kg/parą; nei patelių, nei patinų reprodukcijos organams poveikio tai nesukėlė. Poravimasis,</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vaisingumas ir vaikingumo eiga nepakito.</w:t>
      </w:r>
    </w:p>
    <w:p w14:paraId="23665EF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9554C2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Kaip nustatyta atliekant pasiskirstymo tyrimus su žiurkėmis nustatant koncentraciją autoradiografiniu metodu, CNS bilastinas nesikaupia.</w:t>
      </w:r>
    </w:p>
    <w:p w14:paraId="4857064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D99902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73C6D15"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40" w:name="_Toc129243115"/>
      <w:bookmarkStart w:id="41" w:name="_Toc129243240"/>
      <w:r w:rsidRPr="00846A3E">
        <w:rPr>
          <w:rFonts w:ascii="Times New Roman" w:eastAsia="Times New Roman" w:hAnsi="Times New Roman" w:cs="Times New Roman"/>
          <w:b/>
          <w:lang w:val="lt-LT"/>
        </w:rPr>
        <w:t>6.</w:t>
      </w:r>
      <w:r w:rsidRPr="00846A3E">
        <w:rPr>
          <w:rFonts w:ascii="Times New Roman" w:eastAsia="Times New Roman" w:hAnsi="Times New Roman" w:cs="Times New Roman"/>
          <w:b/>
          <w:lang w:val="lt-LT"/>
        </w:rPr>
        <w:tab/>
        <w:t>FARMACINĖ INFORMACIJA</w:t>
      </w:r>
      <w:bookmarkEnd w:id="40"/>
      <w:bookmarkEnd w:id="41"/>
    </w:p>
    <w:p w14:paraId="04317F9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9F8B033"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42" w:name="_Toc129243116"/>
      <w:bookmarkStart w:id="43" w:name="_Toc129243241"/>
      <w:r w:rsidRPr="00846A3E">
        <w:rPr>
          <w:rFonts w:ascii="Times New Roman" w:eastAsia="Times New Roman" w:hAnsi="Times New Roman" w:cs="Times New Roman"/>
          <w:b/>
          <w:kern w:val="28"/>
          <w:lang w:val="lt-LT"/>
        </w:rPr>
        <w:t>6.1</w:t>
      </w:r>
      <w:r w:rsidRPr="00846A3E">
        <w:rPr>
          <w:rFonts w:ascii="Times New Roman" w:eastAsia="Times New Roman" w:hAnsi="Times New Roman" w:cs="Times New Roman"/>
          <w:b/>
          <w:kern w:val="28"/>
          <w:lang w:val="lt-LT"/>
        </w:rPr>
        <w:tab/>
        <w:t>Pagalbinių medžiagų sąrašas</w:t>
      </w:r>
      <w:bookmarkEnd w:id="42"/>
      <w:bookmarkEnd w:id="43"/>
    </w:p>
    <w:p w14:paraId="548C876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E32F2B4" w14:textId="63C7DB0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Manitolis (E</w:t>
      </w:r>
      <w:r w:rsidR="003214B1">
        <w:rPr>
          <w:rFonts w:ascii="Times New Roman" w:eastAsia="Calibri" w:hAnsi="Times New Roman" w:cs="Times New Roman"/>
          <w:lang w:val="lt-LT"/>
        </w:rPr>
        <w:t> </w:t>
      </w:r>
      <w:r w:rsidRPr="00846A3E">
        <w:rPr>
          <w:rFonts w:ascii="Times New Roman" w:eastAsia="Calibri" w:hAnsi="Times New Roman" w:cs="Times New Roman"/>
          <w:lang w:val="lt-LT"/>
        </w:rPr>
        <w:t>421)</w:t>
      </w:r>
    </w:p>
    <w:p w14:paraId="7395A20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Kroskarmeliozės natrio druska</w:t>
      </w:r>
    </w:p>
    <w:p w14:paraId="4E75E10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Natrio stearilfumaratas</w:t>
      </w:r>
    </w:p>
    <w:p w14:paraId="1B4788F7" w14:textId="524B5B8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Sukralozė (E</w:t>
      </w:r>
      <w:r w:rsidR="003214B1">
        <w:rPr>
          <w:rFonts w:ascii="Times New Roman" w:eastAsia="Calibri" w:hAnsi="Times New Roman" w:cs="Times New Roman"/>
          <w:lang w:val="lt-LT"/>
        </w:rPr>
        <w:t> </w:t>
      </w:r>
      <w:r w:rsidRPr="00846A3E">
        <w:rPr>
          <w:rFonts w:ascii="Times New Roman" w:eastAsia="Calibri" w:hAnsi="Times New Roman" w:cs="Times New Roman"/>
          <w:lang w:val="lt-LT"/>
        </w:rPr>
        <w:t>955)</w:t>
      </w:r>
    </w:p>
    <w:p w14:paraId="225E2C0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bookmarkStart w:id="44" w:name="_Toc129243117"/>
      <w:bookmarkStart w:id="45" w:name="_Toc129243242"/>
      <w:r w:rsidRPr="00846A3E">
        <w:rPr>
          <w:rFonts w:ascii="Times New Roman" w:eastAsia="Calibri" w:hAnsi="Times New Roman" w:cs="Times New Roman"/>
          <w:lang w:val="lt-LT"/>
        </w:rPr>
        <w:t>Raudonųjų vynuogių aromatinė medžiaga (pagrindiniai komponentai: gumiarabikas, etilo butiratas, triacetinas, metilo antranilatas, etanolis, d-limonenas, linalolis).</w:t>
      </w:r>
    </w:p>
    <w:p w14:paraId="11CB8FD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958E9CA"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r w:rsidRPr="00846A3E">
        <w:rPr>
          <w:rFonts w:ascii="Times New Roman" w:eastAsia="Times New Roman" w:hAnsi="Times New Roman" w:cs="Times New Roman"/>
          <w:b/>
          <w:kern w:val="28"/>
          <w:lang w:val="lt-LT"/>
        </w:rPr>
        <w:t>6.2</w:t>
      </w:r>
      <w:r w:rsidRPr="00846A3E">
        <w:rPr>
          <w:rFonts w:ascii="Times New Roman" w:eastAsia="Times New Roman" w:hAnsi="Times New Roman" w:cs="Times New Roman"/>
          <w:b/>
          <w:kern w:val="28"/>
          <w:lang w:val="lt-LT"/>
        </w:rPr>
        <w:tab/>
        <w:t>Nesuderinamumas</w:t>
      </w:r>
      <w:bookmarkEnd w:id="44"/>
      <w:bookmarkEnd w:id="45"/>
    </w:p>
    <w:p w14:paraId="730DD24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449F81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Duomenys nebūtini.</w:t>
      </w:r>
    </w:p>
    <w:p w14:paraId="54BE763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9CA3EA7"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46" w:name="_Toc129243118"/>
      <w:bookmarkStart w:id="47" w:name="_Toc129243243"/>
      <w:r w:rsidRPr="00846A3E">
        <w:rPr>
          <w:rFonts w:ascii="Times New Roman" w:eastAsia="Times New Roman" w:hAnsi="Times New Roman" w:cs="Times New Roman"/>
          <w:b/>
          <w:kern w:val="28"/>
          <w:lang w:val="lt-LT"/>
        </w:rPr>
        <w:t>6.3</w:t>
      </w:r>
      <w:r w:rsidRPr="00846A3E">
        <w:rPr>
          <w:rFonts w:ascii="Times New Roman" w:eastAsia="Times New Roman" w:hAnsi="Times New Roman" w:cs="Times New Roman"/>
          <w:b/>
          <w:kern w:val="28"/>
          <w:lang w:val="lt-LT"/>
        </w:rPr>
        <w:tab/>
        <w:t>Tinkamumo laikas</w:t>
      </w:r>
      <w:bookmarkEnd w:id="46"/>
      <w:bookmarkEnd w:id="47"/>
    </w:p>
    <w:p w14:paraId="4ED24D4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4EAA67A" w14:textId="10F62634"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4</w:t>
      </w:r>
      <w:r w:rsidR="003214B1">
        <w:rPr>
          <w:rFonts w:ascii="Times New Roman" w:eastAsia="Calibri" w:hAnsi="Times New Roman" w:cs="Times New Roman"/>
          <w:lang w:val="lt-LT"/>
        </w:rPr>
        <w:t> </w:t>
      </w:r>
      <w:r w:rsidRPr="00846A3E">
        <w:rPr>
          <w:rFonts w:ascii="Times New Roman" w:eastAsia="Calibri" w:hAnsi="Times New Roman" w:cs="Times New Roman"/>
          <w:lang w:val="lt-LT"/>
        </w:rPr>
        <w:t>metai.</w:t>
      </w:r>
    </w:p>
    <w:p w14:paraId="69019DC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E0F37CE"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48" w:name="_Toc129243119"/>
      <w:bookmarkStart w:id="49" w:name="_Toc129243244"/>
      <w:r w:rsidRPr="00846A3E">
        <w:rPr>
          <w:rFonts w:ascii="Times New Roman" w:eastAsia="Times New Roman" w:hAnsi="Times New Roman" w:cs="Times New Roman"/>
          <w:b/>
          <w:kern w:val="28"/>
          <w:lang w:val="lt-LT"/>
        </w:rPr>
        <w:t>6.4</w:t>
      </w:r>
      <w:r w:rsidRPr="00846A3E">
        <w:rPr>
          <w:rFonts w:ascii="Times New Roman" w:eastAsia="Times New Roman" w:hAnsi="Times New Roman" w:cs="Times New Roman"/>
          <w:b/>
          <w:kern w:val="28"/>
          <w:lang w:val="lt-LT"/>
        </w:rPr>
        <w:tab/>
        <w:t>Specialios laikymo sąlygos</w:t>
      </w:r>
      <w:bookmarkEnd w:id="48"/>
      <w:bookmarkEnd w:id="49"/>
    </w:p>
    <w:p w14:paraId="28DCC97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92A400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Šiam vaistiniam preparatui specialių laikymo sąlygų nereikia.</w:t>
      </w:r>
    </w:p>
    <w:p w14:paraId="24E776A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EBEE4C4"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50" w:name="_Toc129243120"/>
      <w:bookmarkStart w:id="51" w:name="_Toc129243245"/>
      <w:r w:rsidRPr="00846A3E">
        <w:rPr>
          <w:rFonts w:ascii="Times New Roman" w:eastAsia="Times New Roman" w:hAnsi="Times New Roman" w:cs="Times New Roman"/>
          <w:b/>
          <w:kern w:val="28"/>
          <w:lang w:val="lt-LT"/>
        </w:rPr>
        <w:t>6.5</w:t>
      </w:r>
      <w:r w:rsidRPr="00846A3E">
        <w:rPr>
          <w:rFonts w:ascii="Times New Roman" w:eastAsia="Times New Roman" w:hAnsi="Times New Roman" w:cs="Times New Roman"/>
          <w:b/>
          <w:kern w:val="28"/>
          <w:lang w:val="lt-LT"/>
        </w:rPr>
        <w:tab/>
        <w:t>Talpyklės pobūdis ir jos turinys</w:t>
      </w:r>
      <w:bookmarkEnd w:id="50"/>
      <w:bookmarkEnd w:id="51"/>
    </w:p>
    <w:p w14:paraId="5C5B0AB8"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kern w:val="28"/>
          <w:lang w:val="lt-LT"/>
        </w:rPr>
      </w:pPr>
    </w:p>
    <w:p w14:paraId="2BB714AE" w14:textId="3259C8A4"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OPA</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Alu</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PVC</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w:t>
      </w:r>
      <w:r w:rsidR="003214B1">
        <w:rPr>
          <w:rFonts w:ascii="Times New Roman" w:eastAsia="Calibri" w:hAnsi="Times New Roman" w:cs="Times New Roman"/>
          <w:lang w:val="lt-LT"/>
        </w:rPr>
        <w:t xml:space="preserve"> </w:t>
      </w:r>
      <w:r w:rsidRPr="00846A3E">
        <w:rPr>
          <w:rFonts w:ascii="Times New Roman" w:eastAsia="Calibri" w:hAnsi="Times New Roman" w:cs="Times New Roman"/>
          <w:lang w:val="lt-LT"/>
        </w:rPr>
        <w:t>Alu perforuotos dalomosios vienadozės lizdinės plokštelės po 10</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1, 20</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1, 30</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1, 40</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1, 50</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 xml:space="preserve">1 burnoje disperguojamųjų tablečių, supakuotų į kartonines dėžutes </w:t>
      </w:r>
    </w:p>
    <w:p w14:paraId="29A116E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3F85E8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Gali būti tiekiamos ne visų dydžių pakuotės.</w:t>
      </w:r>
    </w:p>
    <w:p w14:paraId="0A4F4D3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F530217" w14:textId="77777777" w:rsidR="00B1792A" w:rsidRPr="00846A3E" w:rsidRDefault="00B1792A" w:rsidP="00846A3E">
      <w:pPr>
        <w:widowControl w:val="0"/>
        <w:tabs>
          <w:tab w:val="left" w:pos="567"/>
        </w:tabs>
        <w:adjustRightInd w:val="0"/>
        <w:snapToGrid w:val="0"/>
        <w:spacing w:after="0" w:line="240" w:lineRule="auto"/>
        <w:outlineLvl w:val="2"/>
        <w:rPr>
          <w:rFonts w:ascii="Times New Roman" w:eastAsia="Times New Roman" w:hAnsi="Times New Roman" w:cs="Times New Roman"/>
          <w:b/>
          <w:kern w:val="28"/>
          <w:lang w:val="lt-LT"/>
        </w:rPr>
      </w:pPr>
      <w:bookmarkStart w:id="52" w:name="_Toc129243121"/>
      <w:bookmarkStart w:id="53" w:name="_Toc129243246"/>
      <w:r w:rsidRPr="00846A3E">
        <w:rPr>
          <w:rFonts w:ascii="Times New Roman" w:eastAsia="Times New Roman" w:hAnsi="Times New Roman" w:cs="Times New Roman"/>
          <w:b/>
          <w:kern w:val="28"/>
          <w:lang w:val="lt-LT"/>
        </w:rPr>
        <w:t>6.6</w:t>
      </w:r>
      <w:r w:rsidRPr="00846A3E">
        <w:rPr>
          <w:rFonts w:ascii="Times New Roman" w:eastAsia="Times New Roman" w:hAnsi="Times New Roman" w:cs="Times New Roman"/>
          <w:b/>
          <w:kern w:val="28"/>
          <w:lang w:val="lt-LT"/>
        </w:rPr>
        <w:tab/>
        <w:t xml:space="preserve">Specialūs reikalavimai atliekoms tvarkyti </w:t>
      </w:r>
      <w:bookmarkEnd w:id="52"/>
      <w:bookmarkEnd w:id="53"/>
    </w:p>
    <w:p w14:paraId="4E83F98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808B3B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Nesuvartotą vaistinį preparatą ar atliekas reikia tvarkyti laikantis vietinių reikalavimų.</w:t>
      </w:r>
    </w:p>
    <w:p w14:paraId="40E26C9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96D784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7AD4E29"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54" w:name="_Toc129243122"/>
      <w:bookmarkStart w:id="55" w:name="_Toc129243247"/>
      <w:r w:rsidRPr="00846A3E">
        <w:rPr>
          <w:rFonts w:ascii="Times New Roman" w:eastAsia="Times New Roman" w:hAnsi="Times New Roman" w:cs="Times New Roman"/>
          <w:b/>
          <w:lang w:val="lt-LT"/>
        </w:rPr>
        <w:t>7.</w:t>
      </w:r>
      <w:r w:rsidRPr="00846A3E">
        <w:rPr>
          <w:rFonts w:ascii="Times New Roman" w:eastAsia="Times New Roman" w:hAnsi="Times New Roman" w:cs="Times New Roman"/>
          <w:b/>
          <w:lang w:val="lt-LT"/>
        </w:rPr>
        <w:tab/>
      </w:r>
      <w:bookmarkEnd w:id="54"/>
      <w:bookmarkEnd w:id="55"/>
      <w:r w:rsidRPr="00846A3E">
        <w:rPr>
          <w:rFonts w:ascii="Times New Roman" w:eastAsia="Times New Roman" w:hAnsi="Times New Roman" w:cs="Times New Roman"/>
          <w:b/>
          <w:lang w:val="lt-LT"/>
        </w:rPr>
        <w:t>REGISTRUOTOJAS</w:t>
      </w:r>
    </w:p>
    <w:p w14:paraId="1E9C3E1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B07690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Menarini International Operations Luxembourg S.A.</w:t>
      </w:r>
    </w:p>
    <w:p w14:paraId="1654F581"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1, Avenue de la Gare</w:t>
      </w:r>
    </w:p>
    <w:p w14:paraId="545B261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L-1611 Luxembourg</w:t>
      </w:r>
    </w:p>
    <w:p w14:paraId="47D1EE9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 xml:space="preserve">Liuksemburgas </w:t>
      </w:r>
    </w:p>
    <w:p w14:paraId="5BBBF33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46DB02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F0BFD6C"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56" w:name="_Toc129243123"/>
      <w:bookmarkStart w:id="57" w:name="_Toc129243248"/>
      <w:r w:rsidRPr="00846A3E">
        <w:rPr>
          <w:rFonts w:ascii="Times New Roman" w:eastAsia="Times New Roman" w:hAnsi="Times New Roman" w:cs="Times New Roman"/>
          <w:b/>
          <w:lang w:val="lt-LT"/>
        </w:rPr>
        <w:t>8.</w:t>
      </w:r>
      <w:r w:rsidRPr="00846A3E">
        <w:rPr>
          <w:rFonts w:ascii="Times New Roman" w:eastAsia="Times New Roman" w:hAnsi="Times New Roman" w:cs="Times New Roman"/>
          <w:b/>
          <w:lang w:val="lt-LT"/>
        </w:rPr>
        <w:tab/>
        <w:t>REGISTRACIJOS PAŽYMĖJIMO NUMERIS</w:t>
      </w:r>
      <w:bookmarkEnd w:id="56"/>
      <w:bookmarkEnd w:id="57"/>
      <w:r w:rsidRPr="00846A3E">
        <w:rPr>
          <w:rFonts w:ascii="Times New Roman" w:eastAsia="Times New Roman" w:hAnsi="Times New Roman" w:cs="Times New Roman"/>
          <w:b/>
          <w:lang w:val="lt-LT"/>
        </w:rPr>
        <w:t xml:space="preserve"> (-IAI)</w:t>
      </w:r>
    </w:p>
    <w:p w14:paraId="5A05DA9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DA0DD0E" w14:textId="2E91B5A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LT/1/23/5126/001 – N10</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7A529D" w:rsidRPr="00846A3E">
        <w:rPr>
          <w:rFonts w:ascii="Times New Roman" w:eastAsia="Calibri" w:hAnsi="Times New Roman" w:cs="Times New Roman"/>
          <w:lang w:val="lt-LT"/>
        </w:rPr>
        <w:t> </w:t>
      </w:r>
      <w:r w:rsidRPr="00846A3E">
        <w:rPr>
          <w:rFonts w:ascii="Times New Roman" w:eastAsia="Calibri" w:hAnsi="Times New Roman" w:cs="Times New Roman"/>
          <w:lang w:val="lt-LT"/>
        </w:rPr>
        <w:t>1</w:t>
      </w:r>
    </w:p>
    <w:p w14:paraId="36972BD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07958E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A547D8C"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58" w:name="_Toc129243124"/>
      <w:bookmarkStart w:id="59" w:name="_Toc129243249"/>
      <w:r w:rsidRPr="00846A3E">
        <w:rPr>
          <w:rFonts w:ascii="Times New Roman" w:eastAsia="Times New Roman" w:hAnsi="Times New Roman" w:cs="Times New Roman"/>
          <w:b/>
          <w:lang w:val="lt-LT"/>
        </w:rPr>
        <w:t>9.</w:t>
      </w:r>
      <w:r w:rsidRPr="00846A3E">
        <w:rPr>
          <w:rFonts w:ascii="Times New Roman" w:eastAsia="Times New Roman" w:hAnsi="Times New Roman" w:cs="Times New Roman"/>
          <w:b/>
          <w:lang w:val="lt-LT"/>
        </w:rPr>
        <w:tab/>
        <w:t>REGISTRAVIMO/ PERREGISTRAVIMO DATA</w:t>
      </w:r>
      <w:bookmarkEnd w:id="58"/>
      <w:bookmarkEnd w:id="59"/>
    </w:p>
    <w:p w14:paraId="06611F5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6FCA213" w14:textId="0DDE88FF"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hAnsi="Times New Roman" w:cs="Times New Roman"/>
          <w:lang w:val="lt-LT"/>
        </w:rPr>
        <w:t>Registravimo data 2023</w:t>
      </w:r>
      <w:r w:rsidR="007A529D" w:rsidRPr="00846A3E">
        <w:rPr>
          <w:rFonts w:ascii="Times New Roman" w:hAnsi="Times New Roman" w:cs="Times New Roman"/>
          <w:lang w:val="lt-LT"/>
        </w:rPr>
        <w:t> </w:t>
      </w:r>
      <w:r w:rsidRPr="00846A3E">
        <w:rPr>
          <w:rFonts w:ascii="Times New Roman" w:hAnsi="Times New Roman" w:cs="Times New Roman"/>
          <w:lang w:val="lt-LT"/>
        </w:rPr>
        <w:t>m. kovo 7</w:t>
      </w:r>
      <w:r w:rsidR="007A529D" w:rsidRPr="00846A3E">
        <w:rPr>
          <w:rFonts w:ascii="Times New Roman" w:hAnsi="Times New Roman" w:cs="Times New Roman"/>
          <w:lang w:val="lt-LT"/>
        </w:rPr>
        <w:t> </w:t>
      </w:r>
      <w:r w:rsidRPr="00846A3E">
        <w:rPr>
          <w:rFonts w:ascii="Times New Roman" w:hAnsi="Times New Roman" w:cs="Times New Roman"/>
          <w:lang w:val="lt-LT"/>
        </w:rPr>
        <w:t>d.</w:t>
      </w:r>
    </w:p>
    <w:p w14:paraId="34E29FB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51565F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0F5FA64"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60" w:name="_Toc129243125"/>
      <w:bookmarkStart w:id="61" w:name="_Toc129243250"/>
      <w:r w:rsidRPr="00846A3E">
        <w:rPr>
          <w:rFonts w:ascii="Times New Roman" w:eastAsia="Times New Roman" w:hAnsi="Times New Roman" w:cs="Times New Roman"/>
          <w:b/>
          <w:lang w:val="lt-LT"/>
        </w:rPr>
        <w:t>10.</w:t>
      </w:r>
      <w:r w:rsidRPr="00846A3E">
        <w:rPr>
          <w:rFonts w:ascii="Times New Roman" w:eastAsia="Times New Roman" w:hAnsi="Times New Roman" w:cs="Times New Roman"/>
          <w:b/>
          <w:lang w:val="lt-LT"/>
        </w:rPr>
        <w:tab/>
        <w:t>TEKSTO PERŽIŪROS DATA</w:t>
      </w:r>
      <w:bookmarkEnd w:id="60"/>
      <w:bookmarkEnd w:id="61"/>
    </w:p>
    <w:p w14:paraId="0793AEC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7A43FEA" w14:textId="2D9FFFA2" w:rsidR="00B1792A" w:rsidRPr="00846A3E" w:rsidRDefault="00FE1213" w:rsidP="00846A3E">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202</w:t>
      </w:r>
      <w:r w:rsidR="001E741E" w:rsidRPr="00846A3E">
        <w:rPr>
          <w:rFonts w:ascii="Times New Roman" w:hAnsi="Times New Roman" w:cs="Times New Roman"/>
          <w:lang w:val="lt-LT"/>
        </w:rPr>
        <w:t>5</w:t>
      </w:r>
      <w:r w:rsidR="007A529D" w:rsidRPr="00846A3E">
        <w:rPr>
          <w:rFonts w:ascii="Times New Roman" w:hAnsi="Times New Roman" w:cs="Times New Roman"/>
          <w:lang w:val="lt-LT"/>
        </w:rPr>
        <w:t> </w:t>
      </w:r>
      <w:r w:rsidRPr="00846A3E">
        <w:rPr>
          <w:rFonts w:ascii="Times New Roman" w:hAnsi="Times New Roman" w:cs="Times New Roman"/>
          <w:lang w:val="lt-LT"/>
        </w:rPr>
        <w:t xml:space="preserve">m. </w:t>
      </w:r>
      <w:r w:rsidR="001E741E" w:rsidRPr="00846A3E">
        <w:rPr>
          <w:rFonts w:ascii="Times New Roman" w:hAnsi="Times New Roman" w:cs="Times New Roman"/>
          <w:lang w:val="lt-LT"/>
        </w:rPr>
        <w:t>vasario 2</w:t>
      </w:r>
      <w:r w:rsidRPr="00846A3E">
        <w:rPr>
          <w:rFonts w:ascii="Times New Roman" w:hAnsi="Times New Roman" w:cs="Times New Roman"/>
          <w:lang w:val="lt-LT"/>
        </w:rPr>
        <w:t>1</w:t>
      </w:r>
      <w:r w:rsidR="007A529D" w:rsidRPr="00846A3E">
        <w:rPr>
          <w:rFonts w:ascii="Times New Roman" w:hAnsi="Times New Roman" w:cs="Times New Roman"/>
          <w:lang w:val="lt-LT"/>
        </w:rPr>
        <w:t> </w:t>
      </w:r>
      <w:r w:rsidRPr="00846A3E">
        <w:rPr>
          <w:rFonts w:ascii="Times New Roman" w:hAnsi="Times New Roman" w:cs="Times New Roman"/>
          <w:lang w:val="lt-LT"/>
        </w:rPr>
        <w:t>d.</w:t>
      </w:r>
    </w:p>
    <w:p w14:paraId="0334BC0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91DAE4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2B3EF4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Išsami informacija apie šį vaistinį preparatą pateikiama Valstybinės vaistų kontrolės tarnybos prie Lietuvos Respublikos sveikatos apsaugos ministerijos tinklalapyje </w:t>
      </w:r>
      <w:hyperlink r:id="rId8" w:history="1">
        <w:r w:rsidRPr="00846A3E">
          <w:rPr>
            <w:rFonts w:ascii="Times New Roman" w:eastAsia="Times New Roman" w:hAnsi="Times New Roman" w:cs="Times New Roman"/>
            <w:color w:val="0000FF"/>
            <w:u w:val="single"/>
            <w:lang w:val="lt-LT"/>
          </w:rPr>
          <w:t>http://www.vvkt.lt/</w:t>
        </w:r>
      </w:hyperlink>
      <w:r w:rsidRPr="00846A3E">
        <w:rPr>
          <w:rFonts w:ascii="Times New Roman" w:eastAsiaTheme="minorEastAsia" w:hAnsi="Times New Roman" w:cs="Times New Roman"/>
          <w:lang w:val="lt-LT"/>
        </w:rPr>
        <w:br w:type="page"/>
      </w:r>
    </w:p>
    <w:p w14:paraId="6BEF4F95"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62" w:name="_Toc129243253"/>
      <w:bookmarkStart w:id="63" w:name="_Toc129243128"/>
    </w:p>
    <w:p w14:paraId="56CCEA55"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0E46AB9A"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4831FBED"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409A89CA"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03A4EA4C"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68BD05E7"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369853C6"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0CD29924"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0649B520"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54B64532"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6F896E52"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065A33DB"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4D8419F8"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5FE52EE3"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7644949A"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4005C57E"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38763BD4"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2AE211AD"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3DCCF5A3"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7AF8353E"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1F1F9339"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195FA363"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050BD0DB"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t>II PRIEDAS</w:t>
      </w:r>
      <w:bookmarkEnd w:id="62"/>
      <w:bookmarkEnd w:id="63"/>
    </w:p>
    <w:p w14:paraId="31580467"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p>
    <w:p w14:paraId="18ADA8A8"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t>REGISTRACIJOS SĄLYGOS</w:t>
      </w:r>
    </w:p>
    <w:p w14:paraId="592BE23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3921FC4" w14:textId="77777777" w:rsidR="00B1792A" w:rsidRPr="00846A3E" w:rsidRDefault="00B1792A" w:rsidP="00846A3E">
      <w:pPr>
        <w:widowControl w:val="0"/>
        <w:tabs>
          <w:tab w:val="left" w:pos="1701"/>
        </w:tabs>
        <w:adjustRightInd w:val="0"/>
        <w:snapToGrid w:val="0"/>
        <w:spacing w:after="0" w:line="240" w:lineRule="auto"/>
        <w:ind w:left="1701" w:hanging="567"/>
        <w:rPr>
          <w:rFonts w:ascii="Times New Roman" w:eastAsia="Times New Roman" w:hAnsi="Times New Roman" w:cs="Times New Roman"/>
          <w:b/>
          <w:highlight w:val="yellow"/>
          <w:lang w:val="lt-LT"/>
        </w:rPr>
      </w:pPr>
      <w:r w:rsidRPr="00846A3E">
        <w:rPr>
          <w:rFonts w:ascii="Times New Roman" w:eastAsia="Times New Roman" w:hAnsi="Times New Roman" w:cs="Times New Roman"/>
          <w:b/>
          <w:lang w:val="lt-LT"/>
        </w:rPr>
        <w:t>A.</w:t>
      </w:r>
      <w:r w:rsidRPr="00846A3E">
        <w:rPr>
          <w:rFonts w:ascii="Times New Roman" w:eastAsia="Times New Roman" w:hAnsi="Times New Roman" w:cs="Times New Roman"/>
          <w:b/>
          <w:lang w:val="lt-LT"/>
        </w:rPr>
        <w:tab/>
        <w:t>GAMINTOJAS (-AI), ATSAKINGAS (-I) UŽ SERIJŲ IŠLEIDIMĄ</w:t>
      </w:r>
    </w:p>
    <w:p w14:paraId="17D95622" w14:textId="77777777" w:rsidR="00B1792A" w:rsidRPr="00846A3E" w:rsidRDefault="00B1792A" w:rsidP="00846A3E">
      <w:pPr>
        <w:widowControl w:val="0"/>
        <w:adjustRightInd w:val="0"/>
        <w:snapToGrid w:val="0"/>
        <w:spacing w:after="0" w:line="240" w:lineRule="auto"/>
        <w:ind w:left="1701" w:hanging="567"/>
        <w:rPr>
          <w:rFonts w:ascii="Times New Roman" w:eastAsia="Calibri" w:hAnsi="Times New Roman" w:cs="Times New Roman"/>
          <w:highlight w:val="yellow"/>
          <w:lang w:val="lt-LT"/>
        </w:rPr>
      </w:pPr>
    </w:p>
    <w:p w14:paraId="07CA051C" w14:textId="77777777" w:rsidR="00B1792A" w:rsidRPr="00846A3E" w:rsidRDefault="00B1792A" w:rsidP="00846A3E">
      <w:pPr>
        <w:widowControl w:val="0"/>
        <w:tabs>
          <w:tab w:val="left" w:pos="1701"/>
        </w:tabs>
        <w:adjustRightInd w:val="0"/>
        <w:snapToGrid w:val="0"/>
        <w:spacing w:after="0" w:line="240" w:lineRule="auto"/>
        <w:ind w:left="1701" w:hanging="567"/>
        <w:rPr>
          <w:rFonts w:ascii="Times New Roman" w:eastAsia="Times New Roman" w:hAnsi="Times New Roman" w:cs="Times New Roman"/>
          <w:b/>
          <w:lang w:val="lt-LT"/>
        </w:rPr>
      </w:pPr>
      <w:r w:rsidRPr="00846A3E">
        <w:rPr>
          <w:rFonts w:ascii="Times New Roman" w:eastAsia="Times New Roman" w:hAnsi="Times New Roman" w:cs="Times New Roman"/>
          <w:b/>
          <w:lang w:val="lt-LT"/>
        </w:rPr>
        <w:t>B.</w:t>
      </w:r>
      <w:r w:rsidRPr="00846A3E">
        <w:rPr>
          <w:rFonts w:ascii="Times New Roman" w:eastAsia="Times New Roman" w:hAnsi="Times New Roman" w:cs="Times New Roman"/>
          <w:b/>
          <w:lang w:val="lt-LT"/>
        </w:rPr>
        <w:tab/>
        <w:t>TIEKIMO IR VARTOJIMO SĄLYGOS AR APRIBOJIMAI</w:t>
      </w:r>
    </w:p>
    <w:p w14:paraId="6C32C3D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728FB936"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r w:rsidRPr="00846A3E">
        <w:rPr>
          <w:rFonts w:ascii="Times New Roman" w:eastAsia="Times New Roman" w:hAnsi="Times New Roman" w:cs="Times New Roman"/>
          <w:lang w:val="lt-LT"/>
        </w:rPr>
        <w:br w:type="page"/>
      </w:r>
      <w:r w:rsidRPr="00846A3E">
        <w:rPr>
          <w:rFonts w:ascii="Times New Roman" w:eastAsia="Times New Roman" w:hAnsi="Times New Roman" w:cs="Times New Roman"/>
          <w:b/>
          <w:lang w:val="lt-LT"/>
        </w:rPr>
        <w:lastRenderedPageBreak/>
        <w:t>A.</w:t>
      </w:r>
      <w:r w:rsidRPr="00846A3E">
        <w:rPr>
          <w:rFonts w:ascii="Times New Roman" w:eastAsia="Times New Roman" w:hAnsi="Times New Roman" w:cs="Times New Roman"/>
          <w:b/>
          <w:lang w:val="lt-LT"/>
        </w:rPr>
        <w:tab/>
        <w:t>GAMINTOJAS (-AI), ATSAKINGAS (-I) UŽ SERIJŲ IŠLEIDIMĄ</w:t>
      </w:r>
    </w:p>
    <w:p w14:paraId="0EC1501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292B6059" w14:textId="77777777" w:rsidR="00B1792A" w:rsidRPr="00846A3E" w:rsidRDefault="00B1792A" w:rsidP="00846A3E">
      <w:pPr>
        <w:widowControl w:val="0"/>
        <w:tabs>
          <w:tab w:val="left" w:pos="567"/>
        </w:tabs>
        <w:adjustRightInd w:val="0"/>
        <w:snapToGrid w:val="0"/>
        <w:spacing w:after="0" w:line="240" w:lineRule="auto"/>
        <w:rPr>
          <w:rFonts w:ascii="Times New Roman" w:eastAsia="Times New Roman" w:hAnsi="Times New Roman" w:cs="Times New Roman"/>
          <w:snapToGrid w:val="0"/>
          <w:lang w:val="lt-LT"/>
        </w:rPr>
      </w:pPr>
      <w:r w:rsidRPr="00846A3E">
        <w:rPr>
          <w:rFonts w:ascii="Times New Roman" w:eastAsia="Times New Roman" w:hAnsi="Times New Roman" w:cs="Times New Roman"/>
          <w:snapToGrid w:val="0"/>
          <w:u w:val="single"/>
          <w:lang w:val="lt-LT"/>
        </w:rPr>
        <w:t>Gamintojo (-ų), atsakingo (-ų) už serijų išleidimą, pavadinimas (-ai) ir adresas (-ai)</w:t>
      </w:r>
    </w:p>
    <w:p w14:paraId="001BFAD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C71FE83"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FAES FARMA, S.A.</w:t>
      </w:r>
    </w:p>
    <w:p w14:paraId="4C3DD895"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Máximo Aguirre, 14</w:t>
      </w:r>
    </w:p>
    <w:p w14:paraId="7BAAB10E"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48940 – Lejona (Vizcaya)</w:t>
      </w:r>
    </w:p>
    <w:p w14:paraId="5E5759A0"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Ispanija</w:t>
      </w:r>
    </w:p>
    <w:p w14:paraId="58162C8F"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65B85731"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arba</w:t>
      </w:r>
    </w:p>
    <w:p w14:paraId="6BF5EC8F"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54810A28"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A. Menarini Manufacturing Logistics and Services S.r.L.</w:t>
      </w:r>
    </w:p>
    <w:p w14:paraId="756F830F"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 xml:space="preserve">Via Campo di Pile </w:t>
      </w:r>
    </w:p>
    <w:p w14:paraId="5203D12E"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67100, L’Aquila (AQ)</w:t>
      </w:r>
    </w:p>
    <w:p w14:paraId="777CBFE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r w:rsidRPr="00846A3E">
        <w:rPr>
          <w:rFonts w:ascii="Times New Roman" w:eastAsia="Calibri" w:hAnsi="Times New Roman" w:cs="Times New Roman"/>
          <w:lang w:val="lt-LT"/>
        </w:rPr>
        <w:t>Italija</w:t>
      </w:r>
    </w:p>
    <w:p w14:paraId="07DBEEB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1B61D9FE" w14:textId="77777777" w:rsidR="00B1792A" w:rsidRPr="00846A3E" w:rsidRDefault="00B1792A" w:rsidP="00D65358">
      <w:pPr>
        <w:widowControl w:val="0"/>
        <w:tabs>
          <w:tab w:val="left" w:pos="567"/>
        </w:tabs>
        <w:adjustRightInd w:val="0"/>
        <w:snapToGrid w:val="0"/>
        <w:spacing w:after="0" w:line="240" w:lineRule="auto"/>
        <w:rPr>
          <w:rFonts w:ascii="Times New Roman" w:eastAsia="Times New Roman" w:hAnsi="Times New Roman" w:cs="Times New Roman"/>
          <w:snapToGrid w:val="0"/>
          <w:lang w:val="lt-LT"/>
        </w:rPr>
      </w:pPr>
      <w:r w:rsidRPr="00846A3E">
        <w:rPr>
          <w:rFonts w:ascii="Times New Roman" w:eastAsia="Times New Roman" w:hAnsi="Times New Roman" w:cs="Times New Roman"/>
          <w:snapToGrid w:val="0"/>
          <w:lang w:val="lt-LT"/>
        </w:rPr>
        <w:t>Su pakuote pateikiamame lapelyje nurodomas gamintojo, atsakingo už konkrečios serijos išleidimą, pavadinimas ir adresas.</w:t>
      </w:r>
    </w:p>
    <w:p w14:paraId="13F4B44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2DB3BFF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63D8097F"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64" w:name="_Toc129243254"/>
      <w:bookmarkStart w:id="65" w:name="_Toc129243129"/>
      <w:r w:rsidRPr="00846A3E">
        <w:rPr>
          <w:rFonts w:ascii="Times New Roman" w:eastAsia="Times New Roman" w:hAnsi="Times New Roman" w:cs="Times New Roman"/>
          <w:b/>
          <w:lang w:val="lt-LT"/>
        </w:rPr>
        <w:t>B.</w:t>
      </w:r>
      <w:r w:rsidRPr="00846A3E">
        <w:rPr>
          <w:rFonts w:ascii="Times New Roman" w:eastAsia="Times New Roman" w:hAnsi="Times New Roman" w:cs="Times New Roman"/>
          <w:b/>
          <w:lang w:val="lt-LT"/>
        </w:rPr>
        <w:tab/>
      </w:r>
      <w:bookmarkEnd w:id="64"/>
      <w:bookmarkEnd w:id="65"/>
      <w:r w:rsidRPr="00846A3E">
        <w:rPr>
          <w:rFonts w:ascii="Times New Roman" w:eastAsia="Times New Roman" w:hAnsi="Times New Roman" w:cs="Times New Roman"/>
          <w:b/>
          <w:lang w:val="lt-LT"/>
        </w:rPr>
        <w:t>TIEKIMO IR VARTOJIMO SĄLYGOS AR APRIBOJIMAI</w:t>
      </w:r>
    </w:p>
    <w:p w14:paraId="71F131C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D0F03DE" w14:textId="0EDF0602" w:rsidR="00B1792A" w:rsidRPr="00846A3E" w:rsidRDefault="002E6364"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Nereceptinis </w:t>
      </w:r>
      <w:r w:rsidR="00B1792A" w:rsidRPr="00846A3E">
        <w:rPr>
          <w:rFonts w:ascii="Times New Roman" w:eastAsia="Calibri" w:hAnsi="Times New Roman" w:cs="Times New Roman"/>
          <w:lang w:val="lt-LT"/>
        </w:rPr>
        <w:t>vaistinis preparatas.</w:t>
      </w:r>
    </w:p>
    <w:p w14:paraId="5414499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29572B6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029AFB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A46E56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CDABBA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E5D50A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CEBFB0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408EAD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7527258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highlight w:val="yellow"/>
          <w:lang w:val="lt-LT"/>
        </w:rPr>
      </w:pPr>
    </w:p>
    <w:p w14:paraId="79D6C46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br w:type="page"/>
      </w:r>
    </w:p>
    <w:p w14:paraId="3F3A0EC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1556393"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3D9C73C"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4BD118D"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457366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0CDC6C9"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14FD28E"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E4D5AA4"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89B233D"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2A3B6F2"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DAE4F4F"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3256B0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D87E9F2"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226D32A"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67FBB7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D478977"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C716DC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68D3313"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1ED3A3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4DE3EE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D20A46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84FAD8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3C0F108"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66" w:name="_Toc129243259"/>
      <w:bookmarkStart w:id="67" w:name="_Toc129243134"/>
    </w:p>
    <w:p w14:paraId="6BEB8357"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t>III PRIEDAS</w:t>
      </w:r>
      <w:bookmarkEnd w:id="66"/>
      <w:bookmarkEnd w:id="67"/>
    </w:p>
    <w:p w14:paraId="451A8CBA"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695999B"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68" w:name="_Toc129243260"/>
      <w:bookmarkStart w:id="69" w:name="_Toc129243135"/>
      <w:r w:rsidRPr="00846A3E">
        <w:rPr>
          <w:rFonts w:ascii="Times New Roman" w:hAnsi="Times New Roman" w:cs="Times New Roman"/>
          <w:b/>
          <w:lang w:val="lt-LT"/>
        </w:rPr>
        <w:t>ŽENKLINIMAS IR PAKUOTĖS LAPELIS</w:t>
      </w:r>
      <w:bookmarkEnd w:id="68"/>
      <w:bookmarkEnd w:id="69"/>
    </w:p>
    <w:p w14:paraId="5432A79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br w:type="page"/>
      </w:r>
    </w:p>
    <w:p w14:paraId="36538B31"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E0FBA02"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C5FA51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C4D05F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1EAF84D"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E44698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1914BCA"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E1565DC"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5F1B531"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4C0CD79"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3978F6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0864FA0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4D873F9"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EE5EF5A"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61C05A4"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C115C64"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1122CE4"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150E206"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6FBC6B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40224DA"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14CB403"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6A2917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5B32273"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70" w:name="_Toc129243261"/>
      <w:bookmarkStart w:id="71" w:name="_Toc129243136"/>
    </w:p>
    <w:p w14:paraId="243D73AA"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t>A. ŽENKLINIMAS</w:t>
      </w:r>
      <w:bookmarkEnd w:id="70"/>
      <w:bookmarkEnd w:id="71"/>
    </w:p>
    <w:p w14:paraId="648B0B1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br w:type="page"/>
      </w:r>
    </w:p>
    <w:p w14:paraId="45352C06"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lastRenderedPageBreak/>
        <w:t>INFORMACIJA ANT IŠORINĖS PAKUOTĖS</w:t>
      </w:r>
    </w:p>
    <w:p w14:paraId="23E6C4A3"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p>
    <w:p w14:paraId="67126E9D"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bCs/>
          <w:lang w:val="lt-LT"/>
        </w:rPr>
      </w:pPr>
      <w:r w:rsidRPr="00846A3E">
        <w:rPr>
          <w:rFonts w:ascii="Times New Roman" w:hAnsi="Times New Roman" w:cs="Times New Roman"/>
          <w:b/>
          <w:lang w:val="lt-LT"/>
        </w:rPr>
        <w:t>KARTONO DĖŽUTĖ</w:t>
      </w:r>
    </w:p>
    <w:p w14:paraId="492A6F3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BF9D70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ABA9137"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w:t>
      </w:r>
      <w:r w:rsidRPr="00846A3E">
        <w:rPr>
          <w:rFonts w:ascii="Times New Roman" w:hAnsi="Times New Roman" w:cs="Times New Roman"/>
          <w:b/>
          <w:lang w:val="lt-LT"/>
        </w:rPr>
        <w:tab/>
        <w:t>VAISTINIO PREPARATO PAVADINIMAS</w:t>
      </w:r>
    </w:p>
    <w:p w14:paraId="2261C00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B10863E"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lang w:val="lt-LT" w:eastAsia="lt-LT"/>
        </w:rPr>
        <w:t xml:space="preserve">Opexa 20 mg </w:t>
      </w:r>
      <w:r w:rsidRPr="00846A3E">
        <w:rPr>
          <w:rFonts w:ascii="Times New Roman" w:eastAsia="Times New Roman" w:hAnsi="Times New Roman" w:cs="Times New Roman"/>
          <w:color w:val="000000"/>
          <w:spacing w:val="-1"/>
          <w:lang w:val="lt-LT" w:eastAsia="lt-LT"/>
        </w:rPr>
        <w:t>burnoje disperguojamos tabletės</w:t>
      </w:r>
    </w:p>
    <w:p w14:paraId="63FAA6C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spacing w:val="-1"/>
          <w:lang w:val="lt-LT"/>
        </w:rPr>
      </w:pPr>
    </w:p>
    <w:p w14:paraId="21DC16B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hAnsi="Times New Roman" w:cs="Times New Roman"/>
          <w:lang w:val="lt-LT"/>
        </w:rPr>
        <w:t>bilastinas</w:t>
      </w:r>
    </w:p>
    <w:p w14:paraId="1360A48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D94A96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B33D6DE"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2.</w:t>
      </w:r>
      <w:r w:rsidRPr="00846A3E">
        <w:rPr>
          <w:rFonts w:ascii="Times New Roman" w:hAnsi="Times New Roman" w:cs="Times New Roman"/>
          <w:b/>
          <w:lang w:val="lt-LT"/>
        </w:rPr>
        <w:tab/>
        <w:t>VEIKLIOJI (-IOS) MEDŽIAGA (-OS) IR JOS (-Ų) KIEKIS (-IAI)</w:t>
      </w:r>
    </w:p>
    <w:p w14:paraId="1EC6E5A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F64294E"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 xml:space="preserve">Kiekvienoje </w:t>
      </w:r>
      <w:r w:rsidRPr="00846A3E">
        <w:rPr>
          <w:rFonts w:ascii="Times New Roman" w:eastAsia="Times New Roman" w:hAnsi="Times New Roman" w:cs="Times New Roman"/>
          <w:color w:val="000000"/>
          <w:spacing w:val="-1"/>
          <w:lang w:val="lt-LT" w:eastAsia="lt-LT"/>
        </w:rPr>
        <w:t>burnoje disperguojamoje t</w:t>
      </w:r>
      <w:r w:rsidRPr="00846A3E">
        <w:rPr>
          <w:rFonts w:ascii="Times New Roman" w:eastAsia="Times New Roman" w:hAnsi="Times New Roman" w:cs="Times New Roman"/>
          <w:color w:val="000000"/>
          <w:lang w:val="lt-LT" w:eastAsia="lt-LT"/>
        </w:rPr>
        <w:t>abletėje yra 20 mg bilastino.</w:t>
      </w:r>
    </w:p>
    <w:p w14:paraId="50916AA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5B66AC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22B3EC3"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846A3E">
        <w:rPr>
          <w:rFonts w:ascii="Times New Roman" w:hAnsi="Times New Roman" w:cs="Times New Roman"/>
          <w:b/>
          <w:lang w:val="lt-LT"/>
        </w:rPr>
        <w:t>3.</w:t>
      </w:r>
      <w:r w:rsidRPr="00846A3E">
        <w:rPr>
          <w:rFonts w:ascii="Times New Roman" w:hAnsi="Times New Roman" w:cs="Times New Roman"/>
          <w:b/>
          <w:lang w:val="lt-LT"/>
        </w:rPr>
        <w:tab/>
        <w:t>PAGALBINIŲ MEDŽIAGŲ SĄRAŠAS</w:t>
      </w:r>
    </w:p>
    <w:p w14:paraId="0013C36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13B933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Sudėtyje yra etanolio. Daugiau informacijos rasite pakuotės lapelyje.</w:t>
      </w:r>
    </w:p>
    <w:p w14:paraId="358C890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B72321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6F9AFB3"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4.</w:t>
      </w:r>
      <w:r w:rsidRPr="00846A3E">
        <w:rPr>
          <w:rFonts w:ascii="Times New Roman" w:hAnsi="Times New Roman" w:cs="Times New Roman"/>
          <w:b/>
          <w:lang w:val="lt-LT"/>
        </w:rPr>
        <w:tab/>
        <w:t>FARMACINĖ FORMA IR KIEKIS PAKUOTĖJE</w:t>
      </w:r>
    </w:p>
    <w:p w14:paraId="03D610D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64FCA8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spacing w:val="-1"/>
          <w:lang w:val="lt-LT"/>
        </w:rPr>
      </w:pPr>
      <w:r w:rsidRPr="00846A3E">
        <w:rPr>
          <w:rFonts w:ascii="Times New Roman" w:eastAsia="Calibri" w:hAnsi="Times New Roman" w:cs="Times New Roman"/>
          <w:spacing w:val="-1"/>
          <w:highlight w:val="lightGray"/>
          <w:shd w:val="clear" w:color="auto" w:fill="D9D9D9" w:themeFill="background1" w:themeFillShade="D9"/>
          <w:lang w:val="lt-LT"/>
        </w:rPr>
        <w:t>Burnoje disperguojama tabletė</w:t>
      </w:r>
    </w:p>
    <w:p w14:paraId="7E19D4D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spacing w:val="-1"/>
          <w:lang w:val="lt-LT"/>
        </w:rPr>
      </w:pPr>
    </w:p>
    <w:p w14:paraId="40072B99" w14:textId="2AF329BF" w:rsidR="00B1792A" w:rsidRPr="00846A3E" w:rsidRDefault="00B1792A" w:rsidP="00846A3E">
      <w:pPr>
        <w:widowControl w:val="0"/>
        <w:adjustRightInd w:val="0"/>
        <w:snapToGrid w:val="0"/>
        <w:spacing w:after="0" w:line="240" w:lineRule="auto"/>
        <w:rPr>
          <w:rFonts w:ascii="Times New Roman" w:eastAsia="Calibri" w:hAnsi="Times New Roman" w:cs="Times New Roman"/>
          <w:spacing w:val="-1"/>
          <w:lang w:val="lt-LT"/>
        </w:rPr>
      </w:pPr>
      <w:r w:rsidRPr="00846A3E">
        <w:rPr>
          <w:rFonts w:ascii="Times New Roman" w:eastAsia="Calibri" w:hAnsi="Times New Roman" w:cs="Times New Roman"/>
          <w:spacing w:val="-1"/>
          <w:lang w:val="lt-LT"/>
        </w:rPr>
        <w:t>10</w:t>
      </w:r>
      <w:r w:rsidR="00DE723E" w:rsidRPr="00846A3E">
        <w:rPr>
          <w:rFonts w:ascii="Times New Roman" w:eastAsia="Calibri" w:hAnsi="Times New Roman" w:cs="Times New Roman"/>
          <w:spacing w:val="-1"/>
          <w:lang w:val="lt-LT"/>
        </w:rPr>
        <w:t> </w:t>
      </w:r>
      <w:r w:rsidRPr="00846A3E">
        <w:rPr>
          <w:rFonts w:ascii="Times New Roman" w:eastAsia="Calibri" w:hAnsi="Times New Roman" w:cs="Times New Roman"/>
          <w:spacing w:val="-1"/>
          <w:lang w:val="lt-LT"/>
        </w:rPr>
        <w:t>x</w:t>
      </w:r>
      <w:r w:rsidR="00DE723E" w:rsidRPr="00846A3E">
        <w:rPr>
          <w:rFonts w:ascii="Times New Roman" w:eastAsia="Calibri" w:hAnsi="Times New Roman" w:cs="Times New Roman"/>
          <w:spacing w:val="-1"/>
          <w:lang w:val="lt-LT"/>
        </w:rPr>
        <w:t> </w:t>
      </w:r>
      <w:r w:rsidRPr="00846A3E">
        <w:rPr>
          <w:rFonts w:ascii="Times New Roman" w:eastAsia="Calibri" w:hAnsi="Times New Roman" w:cs="Times New Roman"/>
          <w:spacing w:val="-1"/>
          <w:lang w:val="lt-LT"/>
        </w:rPr>
        <w:t>1 burnoje disperguojamų tablečių</w:t>
      </w:r>
    </w:p>
    <w:p w14:paraId="4C8639A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45EC3D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28ADDF9"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846A3E">
        <w:rPr>
          <w:rFonts w:ascii="Times New Roman" w:hAnsi="Times New Roman" w:cs="Times New Roman"/>
          <w:b/>
          <w:lang w:val="lt-LT"/>
        </w:rPr>
        <w:t>5.</w:t>
      </w:r>
      <w:r w:rsidRPr="00846A3E">
        <w:rPr>
          <w:rFonts w:ascii="Times New Roman" w:hAnsi="Times New Roman" w:cs="Times New Roman"/>
          <w:b/>
          <w:lang w:val="lt-LT"/>
        </w:rPr>
        <w:tab/>
        <w:t>VARTOJIMO METODAS IR BŪDAS (-AI)</w:t>
      </w:r>
    </w:p>
    <w:p w14:paraId="34728A6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9335473" w14:textId="77777777" w:rsidR="00B1792A"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Vartoti per burną.</w:t>
      </w:r>
    </w:p>
    <w:p w14:paraId="13D3EBE1" w14:textId="77777777" w:rsidR="00FF350E" w:rsidRPr="00846A3E" w:rsidRDefault="00FF350E" w:rsidP="00846A3E">
      <w:pPr>
        <w:widowControl w:val="0"/>
        <w:adjustRightInd w:val="0"/>
        <w:snapToGrid w:val="0"/>
        <w:spacing w:after="0" w:line="240" w:lineRule="auto"/>
        <w:rPr>
          <w:rFonts w:ascii="Times New Roman" w:eastAsia="Calibri" w:hAnsi="Times New Roman" w:cs="Times New Roman"/>
          <w:lang w:val="lt-LT"/>
        </w:rPr>
      </w:pPr>
    </w:p>
    <w:p w14:paraId="313B95D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Prieš vartojimą perskaitykite pakuotės lapelį.</w:t>
      </w:r>
    </w:p>
    <w:p w14:paraId="55F15A8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72B216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CAD018C" w14:textId="77777777" w:rsidR="00B1792A" w:rsidRPr="00846A3E" w:rsidRDefault="00B1792A" w:rsidP="00D65358">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ind w:left="567" w:hanging="567"/>
        <w:rPr>
          <w:rFonts w:ascii="Times New Roman" w:hAnsi="Times New Roman" w:cs="Times New Roman"/>
          <w:b/>
          <w:lang w:val="lt-LT"/>
        </w:rPr>
      </w:pPr>
      <w:r w:rsidRPr="00846A3E">
        <w:rPr>
          <w:rFonts w:ascii="Times New Roman" w:hAnsi="Times New Roman" w:cs="Times New Roman"/>
          <w:b/>
          <w:lang w:val="lt-LT"/>
        </w:rPr>
        <w:t>6.</w:t>
      </w:r>
      <w:r w:rsidRPr="00846A3E">
        <w:rPr>
          <w:rFonts w:ascii="Times New Roman" w:hAnsi="Times New Roman" w:cs="Times New Roman"/>
          <w:b/>
          <w:lang w:val="lt-LT"/>
        </w:rPr>
        <w:tab/>
        <w:t>SPECIALUS ĮSPĖJIMAS, KAD VAISTINĮ PREPARATĄ BŪTINA LAIKYTI VAIKAMS NEPASTEBIMOJE IR NEPASIEKIAMOJE VIETOJE</w:t>
      </w:r>
    </w:p>
    <w:p w14:paraId="54213A3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9C422F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Laikyti vaikams nepastebimoje ir nepasiekiamoje vietoje.</w:t>
      </w:r>
    </w:p>
    <w:p w14:paraId="147DE0F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C2BC33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5ECCEE6"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846A3E">
        <w:rPr>
          <w:rFonts w:ascii="Times New Roman" w:hAnsi="Times New Roman" w:cs="Times New Roman"/>
          <w:b/>
          <w:lang w:val="lt-LT"/>
        </w:rPr>
        <w:t>7.</w:t>
      </w:r>
      <w:r w:rsidRPr="00846A3E">
        <w:rPr>
          <w:rFonts w:ascii="Times New Roman" w:hAnsi="Times New Roman" w:cs="Times New Roman"/>
          <w:b/>
          <w:lang w:val="lt-LT"/>
        </w:rPr>
        <w:tab/>
        <w:t>KITAS (-I) SPECIALUS (-ŪS) ĮSPĖJIMAS (-AI) (JEI REIKIA)</w:t>
      </w:r>
    </w:p>
    <w:p w14:paraId="18CA370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0AEE45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07A7F52"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846A3E">
        <w:rPr>
          <w:rFonts w:ascii="Times New Roman" w:hAnsi="Times New Roman" w:cs="Times New Roman"/>
          <w:b/>
          <w:lang w:val="lt-LT"/>
        </w:rPr>
        <w:t>8.</w:t>
      </w:r>
      <w:r w:rsidRPr="00846A3E">
        <w:rPr>
          <w:rFonts w:ascii="Times New Roman" w:hAnsi="Times New Roman" w:cs="Times New Roman"/>
          <w:b/>
          <w:lang w:val="lt-LT"/>
        </w:rPr>
        <w:tab/>
        <w:t>TINKAMUMO LAIKAS</w:t>
      </w:r>
    </w:p>
    <w:p w14:paraId="267362F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3A7EF5A" w14:textId="7AE1F30C" w:rsidR="00B1792A" w:rsidRPr="00846A3E" w:rsidRDefault="002E6364"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Tinka iki </w:t>
      </w:r>
      <w:r w:rsidR="00B1792A" w:rsidRPr="00846A3E">
        <w:rPr>
          <w:rFonts w:ascii="Times New Roman" w:eastAsia="Calibri" w:hAnsi="Times New Roman" w:cs="Times New Roman"/>
          <w:lang w:val="lt-LT"/>
        </w:rPr>
        <w:t>{mm/MMMM}</w:t>
      </w:r>
    </w:p>
    <w:p w14:paraId="4C9618D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5433B4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F4610D2"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9.</w:t>
      </w:r>
      <w:r w:rsidRPr="00846A3E">
        <w:rPr>
          <w:rFonts w:ascii="Times New Roman" w:hAnsi="Times New Roman" w:cs="Times New Roman"/>
          <w:b/>
          <w:lang w:val="lt-LT"/>
        </w:rPr>
        <w:tab/>
        <w:t>SPECIALIOS LAIKYMO SĄLYGOS</w:t>
      </w:r>
    </w:p>
    <w:p w14:paraId="6E00360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926BB56" w14:textId="77777777" w:rsidR="00B1792A" w:rsidRDefault="00B1792A" w:rsidP="00846A3E">
      <w:pPr>
        <w:widowControl w:val="0"/>
        <w:adjustRightInd w:val="0"/>
        <w:snapToGrid w:val="0"/>
        <w:spacing w:after="0" w:line="240" w:lineRule="auto"/>
        <w:rPr>
          <w:rFonts w:ascii="Times New Roman" w:eastAsia="Calibri" w:hAnsi="Times New Roman" w:cs="Times New Roman"/>
          <w:lang w:val="lt-LT"/>
        </w:rPr>
      </w:pPr>
    </w:p>
    <w:p w14:paraId="475F2172" w14:textId="77777777" w:rsidR="00FF350E" w:rsidRPr="00846A3E" w:rsidRDefault="00FF350E" w:rsidP="00846A3E">
      <w:pPr>
        <w:widowControl w:val="0"/>
        <w:adjustRightInd w:val="0"/>
        <w:snapToGrid w:val="0"/>
        <w:spacing w:after="0" w:line="240" w:lineRule="auto"/>
        <w:rPr>
          <w:rFonts w:ascii="Times New Roman" w:eastAsia="Calibri" w:hAnsi="Times New Roman" w:cs="Times New Roman"/>
          <w:lang w:val="lt-LT"/>
        </w:rPr>
      </w:pPr>
    </w:p>
    <w:p w14:paraId="7DED9CA4" w14:textId="77777777" w:rsidR="00B1792A" w:rsidRPr="00846A3E" w:rsidRDefault="00B1792A" w:rsidP="00D65358">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ind w:left="567" w:hanging="567"/>
        <w:rPr>
          <w:rFonts w:ascii="Times New Roman" w:hAnsi="Times New Roman" w:cs="Times New Roman"/>
          <w:b/>
          <w:lang w:val="lt-LT"/>
        </w:rPr>
      </w:pPr>
      <w:r w:rsidRPr="00846A3E">
        <w:rPr>
          <w:rFonts w:ascii="Times New Roman" w:hAnsi="Times New Roman" w:cs="Times New Roman"/>
          <w:b/>
          <w:lang w:val="lt-LT"/>
        </w:rPr>
        <w:lastRenderedPageBreak/>
        <w:t>10.</w:t>
      </w:r>
      <w:r w:rsidRPr="00846A3E">
        <w:rPr>
          <w:rFonts w:ascii="Times New Roman" w:hAnsi="Times New Roman" w:cs="Times New Roman"/>
          <w:b/>
          <w:lang w:val="lt-LT"/>
        </w:rPr>
        <w:tab/>
        <w:t xml:space="preserve">SPECIALIOS ATSARGUMO PRIEMONĖS DĖL NESUVARTOTO </w:t>
      </w:r>
      <w:r w:rsidRPr="00846A3E">
        <w:rPr>
          <w:rFonts w:ascii="Times New Roman" w:hAnsi="Times New Roman" w:cs="Times New Roman"/>
          <w:b/>
          <w:bCs/>
          <w:lang w:val="lt-LT"/>
        </w:rPr>
        <w:t xml:space="preserve">VAISTINIO PREPARATO AR JO ATLIEKŲ </w:t>
      </w:r>
      <w:r w:rsidRPr="00846A3E">
        <w:rPr>
          <w:rFonts w:ascii="Times New Roman" w:hAnsi="Times New Roman" w:cs="Times New Roman"/>
          <w:b/>
          <w:lang w:val="lt-LT"/>
        </w:rPr>
        <w:t>TVARKYMO (JEI REIKIA)</w:t>
      </w:r>
    </w:p>
    <w:p w14:paraId="1F9F4DF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D7DF4E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428763E"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11.</w:t>
      </w:r>
      <w:r w:rsidRPr="00846A3E">
        <w:rPr>
          <w:rFonts w:ascii="Times New Roman" w:hAnsi="Times New Roman" w:cs="Times New Roman"/>
          <w:b/>
          <w:lang w:val="lt-LT"/>
        </w:rPr>
        <w:tab/>
        <w:t>REGISTRUOTOJO PAVADINIMAS IR ADRESAS</w:t>
      </w:r>
    </w:p>
    <w:p w14:paraId="3F4CF0D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5BFD9B9"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Menarini International Operations Luxembourg S.A.</w:t>
      </w:r>
    </w:p>
    <w:p w14:paraId="2C10467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1, Avenue de la Gare</w:t>
      </w:r>
    </w:p>
    <w:p w14:paraId="076C9FF9"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L-1611 Luxembourg</w:t>
      </w:r>
    </w:p>
    <w:p w14:paraId="6D41CB47"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Liuksemburgas</w:t>
      </w:r>
    </w:p>
    <w:p w14:paraId="1020490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19D2F2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6280207"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12.</w:t>
      </w:r>
      <w:r w:rsidRPr="00846A3E">
        <w:rPr>
          <w:rFonts w:ascii="Times New Roman" w:hAnsi="Times New Roman" w:cs="Times New Roman"/>
          <w:b/>
          <w:lang w:val="lt-LT"/>
        </w:rPr>
        <w:tab/>
        <w:t xml:space="preserve">REGISTRACIJOS PAŽYMĖJIMO NUMERIS (-IAI) </w:t>
      </w:r>
    </w:p>
    <w:p w14:paraId="07E2AC3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DF5CCD8" w14:textId="478DB5DA" w:rsidR="00B1792A" w:rsidRPr="00846A3E" w:rsidRDefault="00B1792A" w:rsidP="00846A3E">
      <w:pPr>
        <w:widowControl w:val="0"/>
        <w:adjustRightInd w:val="0"/>
        <w:snapToGrid w:val="0"/>
        <w:spacing w:after="0" w:line="240" w:lineRule="auto"/>
        <w:rPr>
          <w:rFonts w:ascii="Times New Roman" w:eastAsia="Calibri" w:hAnsi="Times New Roman" w:cs="Times New Roman"/>
          <w:spacing w:val="-1"/>
          <w:highlight w:val="lightGray"/>
          <w:lang w:val="lt-LT"/>
        </w:rPr>
      </w:pPr>
      <w:r w:rsidRPr="00846A3E">
        <w:rPr>
          <w:rFonts w:ascii="Times New Roman" w:eastAsia="Calibri" w:hAnsi="Times New Roman" w:cs="Times New Roman"/>
          <w:lang w:val="lt-LT"/>
        </w:rPr>
        <w:t xml:space="preserve">LT/1/23/5126/001 </w:t>
      </w:r>
      <w:r w:rsidRPr="00846A3E">
        <w:rPr>
          <w:rFonts w:ascii="Times New Roman" w:eastAsia="Calibri" w:hAnsi="Times New Roman" w:cs="Times New Roman"/>
          <w:spacing w:val="-1"/>
          <w:highlight w:val="lightGray"/>
          <w:lang w:val="lt-LT"/>
        </w:rPr>
        <w:t>– N10</w:t>
      </w:r>
      <w:r w:rsidR="00DE723E" w:rsidRPr="00846A3E">
        <w:rPr>
          <w:rFonts w:ascii="Times New Roman" w:eastAsia="Calibri" w:hAnsi="Times New Roman" w:cs="Times New Roman"/>
          <w:spacing w:val="-1"/>
          <w:highlight w:val="lightGray"/>
          <w:lang w:val="lt-LT"/>
        </w:rPr>
        <w:t> </w:t>
      </w:r>
      <w:r w:rsidRPr="00846A3E">
        <w:rPr>
          <w:rFonts w:ascii="Times New Roman" w:eastAsia="Calibri" w:hAnsi="Times New Roman" w:cs="Times New Roman"/>
          <w:spacing w:val="-1"/>
          <w:highlight w:val="lightGray"/>
          <w:lang w:val="lt-LT"/>
        </w:rPr>
        <w:t>x</w:t>
      </w:r>
      <w:r w:rsidR="00DE723E" w:rsidRPr="00846A3E">
        <w:rPr>
          <w:rFonts w:ascii="Times New Roman" w:eastAsia="Calibri" w:hAnsi="Times New Roman" w:cs="Times New Roman"/>
          <w:spacing w:val="-1"/>
          <w:highlight w:val="lightGray"/>
          <w:lang w:val="lt-LT"/>
        </w:rPr>
        <w:t> </w:t>
      </w:r>
      <w:r w:rsidRPr="00846A3E">
        <w:rPr>
          <w:rFonts w:ascii="Times New Roman" w:eastAsia="Calibri" w:hAnsi="Times New Roman" w:cs="Times New Roman"/>
          <w:spacing w:val="-1"/>
          <w:highlight w:val="lightGray"/>
          <w:lang w:val="lt-LT"/>
        </w:rPr>
        <w:t>1</w:t>
      </w:r>
    </w:p>
    <w:p w14:paraId="5189BE0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C4AEDB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18DD4DA"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13.</w:t>
      </w:r>
      <w:r w:rsidRPr="00846A3E">
        <w:rPr>
          <w:rFonts w:ascii="Times New Roman" w:hAnsi="Times New Roman" w:cs="Times New Roman"/>
          <w:b/>
          <w:lang w:val="lt-LT"/>
        </w:rPr>
        <w:tab/>
        <w:t>SERIJOS NUMERIS</w:t>
      </w:r>
    </w:p>
    <w:p w14:paraId="492B8D7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6DE8850" w14:textId="24492CBF" w:rsidR="00B1792A" w:rsidRPr="00846A3E" w:rsidRDefault="002E6364"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Serija</w:t>
      </w:r>
    </w:p>
    <w:p w14:paraId="4220317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8176CB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5B370D0"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14.</w:t>
      </w:r>
      <w:r w:rsidRPr="00846A3E">
        <w:rPr>
          <w:rFonts w:ascii="Times New Roman" w:hAnsi="Times New Roman" w:cs="Times New Roman"/>
          <w:b/>
          <w:lang w:val="lt-LT"/>
        </w:rPr>
        <w:tab/>
        <w:t>PARDAVIMO (IŠDAVIMO) TVARKA</w:t>
      </w:r>
    </w:p>
    <w:p w14:paraId="2FFBD9D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BE0033C" w14:textId="26465276" w:rsidR="00B1792A" w:rsidRPr="00846A3E" w:rsidRDefault="002E6364"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Nereceptinis </w:t>
      </w:r>
      <w:r w:rsidR="00B1792A" w:rsidRPr="00846A3E">
        <w:rPr>
          <w:rFonts w:ascii="Times New Roman" w:eastAsia="Calibri" w:hAnsi="Times New Roman" w:cs="Times New Roman"/>
          <w:lang w:val="lt-LT"/>
        </w:rPr>
        <w:t>vaistas.</w:t>
      </w:r>
    </w:p>
    <w:p w14:paraId="0BE90C9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695813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08B95FE"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15.</w:t>
      </w:r>
      <w:r w:rsidRPr="00846A3E">
        <w:rPr>
          <w:rFonts w:ascii="Times New Roman" w:hAnsi="Times New Roman" w:cs="Times New Roman"/>
          <w:b/>
          <w:lang w:val="lt-LT"/>
        </w:rPr>
        <w:tab/>
        <w:t>VARTOJIMO INSTRUKCIJA</w:t>
      </w:r>
    </w:p>
    <w:p w14:paraId="40174944" w14:textId="59EA04FE" w:rsidR="00752EC6" w:rsidRPr="00846A3E" w:rsidRDefault="00752EC6" w:rsidP="00846A3E">
      <w:pPr>
        <w:pStyle w:val="BTEMEASMCA"/>
        <w:widowControl w:val="0"/>
        <w:adjustRightInd w:val="0"/>
        <w:snapToGrid w:val="0"/>
        <w:rPr>
          <w:noProof w:val="0"/>
        </w:rPr>
      </w:pPr>
    </w:p>
    <w:p w14:paraId="01CE66F5" w14:textId="1EA863DA" w:rsidR="00752EC6" w:rsidRPr="00846A3E" w:rsidRDefault="00CF3D62" w:rsidP="00846A3E">
      <w:pPr>
        <w:pStyle w:val="BTEMEASMCA"/>
        <w:widowControl w:val="0"/>
        <w:adjustRightInd w:val="0"/>
        <w:snapToGrid w:val="0"/>
        <w:rPr>
          <w:noProof w:val="0"/>
        </w:rPr>
      </w:pPr>
      <w:r w:rsidRPr="00846A3E">
        <w:rPr>
          <w:noProof w:val="0"/>
        </w:rPr>
        <w:t xml:space="preserve">Vaistas skirtas alergijos sukeltų šienligės, </w:t>
      </w:r>
      <w:r w:rsidR="00FD6FCD" w:rsidRPr="00846A3E">
        <w:rPr>
          <w:noProof w:val="0"/>
        </w:rPr>
        <w:t>nosies gleivinės ir akių junginės uždegimo bei</w:t>
      </w:r>
      <w:r w:rsidRPr="00846A3E">
        <w:rPr>
          <w:noProof w:val="0"/>
        </w:rPr>
        <w:t xml:space="preserve"> niežtinčių odos išbėrimų simptomų palengvinimui. </w:t>
      </w:r>
    </w:p>
    <w:p w14:paraId="76BF00CA" w14:textId="77777777" w:rsidR="00CF3D62" w:rsidRPr="00846A3E" w:rsidRDefault="00CF3D62" w:rsidP="00846A3E">
      <w:pPr>
        <w:pStyle w:val="BTEMEASMCA"/>
        <w:widowControl w:val="0"/>
        <w:adjustRightInd w:val="0"/>
        <w:snapToGrid w:val="0"/>
        <w:rPr>
          <w:noProof w:val="0"/>
        </w:rPr>
      </w:pPr>
    </w:p>
    <w:p w14:paraId="2F73F7DB" w14:textId="71DA5BF4" w:rsidR="00B37834" w:rsidRPr="00846A3E" w:rsidRDefault="00B37834" w:rsidP="00846A3E">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Rekomenduojama dozė suaugusiesiems ir vyresniems nei 12</w:t>
      </w:r>
      <w:r w:rsidR="00DE723E" w:rsidRPr="00846A3E">
        <w:rPr>
          <w:rFonts w:ascii="Times New Roman" w:hAnsi="Times New Roman" w:cs="Times New Roman"/>
          <w:lang w:val="lt-LT"/>
        </w:rPr>
        <w:t> </w:t>
      </w:r>
      <w:r w:rsidRPr="00846A3E">
        <w:rPr>
          <w:rFonts w:ascii="Times New Roman" w:hAnsi="Times New Roman" w:cs="Times New Roman"/>
          <w:lang w:val="lt-LT"/>
        </w:rPr>
        <w:t>metų paaugliams yra 1</w:t>
      </w:r>
      <w:r w:rsidR="00DE723E" w:rsidRPr="00846A3E">
        <w:rPr>
          <w:rFonts w:ascii="Times New Roman" w:hAnsi="Times New Roman" w:cs="Times New Roman"/>
          <w:lang w:val="lt-LT"/>
        </w:rPr>
        <w:t> </w:t>
      </w:r>
      <w:r w:rsidRPr="00846A3E">
        <w:rPr>
          <w:rFonts w:ascii="Times New Roman" w:hAnsi="Times New Roman" w:cs="Times New Roman"/>
          <w:lang w:val="lt-LT"/>
        </w:rPr>
        <w:t>tabletė per parą.</w:t>
      </w:r>
    </w:p>
    <w:p w14:paraId="3EC374D3" w14:textId="77777777" w:rsidR="00DE723E" w:rsidRPr="00846A3E" w:rsidRDefault="00DE723E" w:rsidP="00846A3E">
      <w:pPr>
        <w:widowControl w:val="0"/>
        <w:adjustRightInd w:val="0"/>
        <w:snapToGrid w:val="0"/>
        <w:spacing w:after="0" w:line="240" w:lineRule="auto"/>
        <w:rPr>
          <w:rFonts w:ascii="Times New Roman" w:hAnsi="Times New Roman" w:cs="Times New Roman"/>
          <w:lang w:val="lt-LT"/>
        </w:rPr>
      </w:pPr>
    </w:p>
    <w:p w14:paraId="0CDD6F2A" w14:textId="48F8453D" w:rsidR="00311F90" w:rsidRPr="00846A3E" w:rsidRDefault="00311F90" w:rsidP="00846A3E">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Neviršykite nurodytos dozės.</w:t>
      </w:r>
    </w:p>
    <w:p w14:paraId="27B014C8" w14:textId="77777777" w:rsidR="00DE723E" w:rsidRPr="00846A3E" w:rsidRDefault="00DE723E" w:rsidP="00846A3E">
      <w:pPr>
        <w:widowControl w:val="0"/>
        <w:adjustRightInd w:val="0"/>
        <w:snapToGrid w:val="0"/>
        <w:spacing w:after="0" w:line="240" w:lineRule="auto"/>
        <w:rPr>
          <w:rFonts w:ascii="Times New Roman" w:hAnsi="Times New Roman" w:cs="Times New Roman"/>
          <w:lang w:val="lt-LT"/>
        </w:rPr>
      </w:pPr>
    </w:p>
    <w:p w14:paraId="0EF846DB" w14:textId="61068DB5" w:rsidR="00B37834" w:rsidRPr="00846A3E" w:rsidRDefault="00E70B3F" w:rsidP="00846A3E">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Jeigu per 3</w:t>
      </w:r>
      <w:r w:rsidR="00DE723E" w:rsidRPr="00846A3E">
        <w:rPr>
          <w:rFonts w:ascii="Times New Roman" w:hAnsi="Times New Roman" w:cs="Times New Roman"/>
          <w:lang w:val="lt-LT"/>
        </w:rPr>
        <w:t> </w:t>
      </w:r>
      <w:r w:rsidRPr="00846A3E">
        <w:rPr>
          <w:rFonts w:ascii="Times New Roman" w:hAnsi="Times New Roman" w:cs="Times New Roman"/>
          <w:lang w:val="lt-LT"/>
        </w:rPr>
        <w:t>dienas Jūsų savijauta nepagerėjo arba net pablogėjo, kreipkitės į gydytoją.</w:t>
      </w:r>
    </w:p>
    <w:p w14:paraId="523D220F" w14:textId="77777777" w:rsidR="00311F90" w:rsidRPr="00846A3E" w:rsidRDefault="00311F90" w:rsidP="00846A3E">
      <w:pPr>
        <w:widowControl w:val="0"/>
        <w:adjustRightInd w:val="0"/>
        <w:snapToGrid w:val="0"/>
        <w:spacing w:after="0" w:line="240" w:lineRule="auto"/>
        <w:rPr>
          <w:rFonts w:ascii="Times New Roman" w:eastAsia="Calibri" w:hAnsi="Times New Roman" w:cs="Times New Roman"/>
          <w:lang w:val="lt-LT"/>
        </w:rPr>
      </w:pPr>
    </w:p>
    <w:p w14:paraId="65C2FF2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4C41CFF"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16.</w:t>
      </w:r>
      <w:r w:rsidRPr="00846A3E">
        <w:rPr>
          <w:rFonts w:ascii="Times New Roman" w:hAnsi="Times New Roman" w:cs="Times New Roman"/>
          <w:b/>
          <w:lang w:val="lt-LT"/>
        </w:rPr>
        <w:tab/>
        <w:t>INFORMACIJA BRAILIO RAŠTU</w:t>
      </w:r>
    </w:p>
    <w:p w14:paraId="7299063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390C39F" w14:textId="53775283"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opexa 20</w:t>
      </w:r>
      <w:r w:rsidR="003514DE"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mg disperguojamos tabletės</w:t>
      </w:r>
    </w:p>
    <w:p w14:paraId="13ADA1F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72BA70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0B260CD" w14:textId="77777777" w:rsidR="00B1792A" w:rsidRPr="00846A3E" w:rsidRDefault="00B1792A" w:rsidP="00D65358">
      <w:pPr>
        <w:widowControl w:val="0"/>
        <w:pBdr>
          <w:top w:val="single" w:sz="4" w:space="1" w:color="auto"/>
          <w:left w:val="single" w:sz="4" w:space="4" w:color="auto"/>
          <w:bottom w:val="single" w:sz="4" w:space="1" w:color="auto"/>
          <w:right w:val="single" w:sz="4" w:space="4" w:color="auto"/>
        </w:pBdr>
        <w:tabs>
          <w:tab w:val="left" w:pos="0"/>
        </w:tabs>
        <w:adjustRightInd w:val="0"/>
        <w:snapToGrid w:val="0"/>
        <w:spacing w:after="0" w:line="240" w:lineRule="auto"/>
        <w:ind w:left="567" w:hanging="567"/>
        <w:outlineLvl w:val="0"/>
        <w:rPr>
          <w:rFonts w:ascii="Times New Roman" w:eastAsia="Times New Roman" w:hAnsi="Times New Roman" w:cs="Times New Roman"/>
          <w:i/>
          <w:lang w:val="lt-LT"/>
        </w:rPr>
      </w:pPr>
      <w:r w:rsidRPr="00846A3E">
        <w:rPr>
          <w:rFonts w:ascii="Times New Roman" w:eastAsia="Times New Roman" w:hAnsi="Times New Roman" w:cs="Times New Roman"/>
          <w:b/>
          <w:lang w:val="lt-LT"/>
        </w:rPr>
        <w:t>17.</w:t>
      </w:r>
      <w:r w:rsidRPr="00846A3E">
        <w:rPr>
          <w:rFonts w:ascii="Times New Roman" w:eastAsia="Times New Roman" w:hAnsi="Times New Roman" w:cs="Times New Roman"/>
          <w:b/>
          <w:lang w:val="lt-LT"/>
        </w:rPr>
        <w:tab/>
        <w:t>UNIKALUS IDENTIFIKATORIUS – 2D BRŪKŠNINIS KODAS</w:t>
      </w:r>
    </w:p>
    <w:p w14:paraId="46385BFC"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lang w:val="lt-LT"/>
        </w:rPr>
      </w:pPr>
    </w:p>
    <w:p w14:paraId="7B2D9F45" w14:textId="674D6EF2" w:rsidR="00B1792A" w:rsidRPr="00846A3E" w:rsidRDefault="002E6364" w:rsidP="00846A3E">
      <w:pPr>
        <w:widowControl w:val="0"/>
        <w:adjustRightInd w:val="0"/>
        <w:snapToGrid w:val="0"/>
        <w:spacing w:after="0" w:line="240" w:lineRule="auto"/>
        <w:rPr>
          <w:rFonts w:ascii="Times New Roman" w:eastAsia="Times New Roman" w:hAnsi="Times New Roman" w:cs="Times New Roman"/>
          <w:shd w:val="clear" w:color="auto" w:fill="CCCCCC"/>
          <w:lang w:val="lt-LT"/>
        </w:rPr>
      </w:pPr>
      <w:r w:rsidRPr="00846A3E">
        <w:rPr>
          <w:rFonts w:ascii="Times New Roman" w:hAnsi="Times New Roman" w:cs="Times New Roman"/>
          <w:highlight w:val="lightGray"/>
          <w:lang w:val="lt-LT"/>
        </w:rPr>
        <w:t>Duomenys nebūtini</w:t>
      </w:r>
      <w:r w:rsidRPr="00846A3E">
        <w:rPr>
          <w:rFonts w:ascii="Times New Roman" w:eastAsia="Times New Roman" w:hAnsi="Times New Roman" w:cs="Times New Roman"/>
          <w:lang w:val="lt-LT"/>
        </w:rPr>
        <w:t>.</w:t>
      </w:r>
    </w:p>
    <w:p w14:paraId="20441A45"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shd w:val="clear" w:color="auto" w:fill="CCCCCC"/>
          <w:lang w:val="lt-LT"/>
        </w:rPr>
      </w:pPr>
    </w:p>
    <w:p w14:paraId="6FB09AD0"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lang w:val="lt-LT"/>
        </w:rPr>
      </w:pPr>
    </w:p>
    <w:p w14:paraId="652FFDEB" w14:textId="77777777" w:rsidR="00B1792A" w:rsidRPr="00846A3E" w:rsidRDefault="00B1792A" w:rsidP="00D65358">
      <w:pPr>
        <w:widowControl w:val="0"/>
        <w:pBdr>
          <w:top w:val="single" w:sz="4" w:space="1" w:color="auto"/>
          <w:left w:val="single" w:sz="4" w:space="4" w:color="auto"/>
          <w:bottom w:val="single" w:sz="4" w:space="1" w:color="auto"/>
          <w:right w:val="single" w:sz="4" w:space="4" w:color="auto"/>
        </w:pBdr>
        <w:tabs>
          <w:tab w:val="left" w:pos="0"/>
        </w:tabs>
        <w:adjustRightInd w:val="0"/>
        <w:snapToGrid w:val="0"/>
        <w:spacing w:after="0" w:line="240" w:lineRule="auto"/>
        <w:ind w:left="567" w:hanging="567"/>
        <w:outlineLvl w:val="0"/>
        <w:rPr>
          <w:rFonts w:ascii="Times New Roman" w:eastAsia="Times New Roman" w:hAnsi="Times New Roman" w:cs="Times New Roman"/>
          <w:i/>
          <w:lang w:val="lt-LT"/>
        </w:rPr>
      </w:pPr>
      <w:r w:rsidRPr="00846A3E">
        <w:rPr>
          <w:rFonts w:ascii="Times New Roman" w:eastAsia="Times New Roman" w:hAnsi="Times New Roman" w:cs="Times New Roman"/>
          <w:b/>
          <w:lang w:val="lt-LT"/>
        </w:rPr>
        <w:t>18.</w:t>
      </w:r>
      <w:r w:rsidRPr="00846A3E">
        <w:rPr>
          <w:rFonts w:ascii="Times New Roman" w:eastAsia="Times New Roman" w:hAnsi="Times New Roman" w:cs="Times New Roman"/>
          <w:b/>
          <w:lang w:val="lt-LT"/>
        </w:rPr>
        <w:tab/>
        <w:t>UNIKALUS IDENTIFIKATORIUS – ŽMONĖMS SUPRANTAMI DUOMENYS</w:t>
      </w:r>
    </w:p>
    <w:p w14:paraId="7D2D10FC"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lang w:val="lt-LT"/>
        </w:rPr>
      </w:pPr>
    </w:p>
    <w:p w14:paraId="18AF4C0A" w14:textId="0769FD1F" w:rsidR="00B1792A" w:rsidRPr="00846A3E" w:rsidRDefault="002E6364" w:rsidP="00846A3E">
      <w:pPr>
        <w:widowControl w:val="0"/>
        <w:adjustRightInd w:val="0"/>
        <w:snapToGrid w:val="0"/>
        <w:spacing w:after="0" w:line="240" w:lineRule="auto"/>
        <w:rPr>
          <w:rFonts w:ascii="Times New Roman" w:eastAsia="Times New Roman" w:hAnsi="Times New Roman" w:cs="Times New Roman"/>
          <w:color w:val="000000" w:themeColor="text1"/>
          <w:lang w:val="lt-LT"/>
        </w:rPr>
      </w:pPr>
      <w:r w:rsidRPr="00846A3E">
        <w:rPr>
          <w:rFonts w:ascii="Times New Roman" w:hAnsi="Times New Roman" w:cs="Times New Roman"/>
          <w:highlight w:val="lightGray"/>
          <w:lang w:val="lt-LT"/>
        </w:rPr>
        <w:t>Duomenys nebūtini</w:t>
      </w:r>
    </w:p>
    <w:p w14:paraId="1804E2B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E7B6BF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br w:type="page"/>
      </w:r>
    </w:p>
    <w:p w14:paraId="2FE9AD83"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lastRenderedPageBreak/>
        <w:t xml:space="preserve">MINIMALI </w:t>
      </w:r>
      <w:r w:rsidRPr="00846A3E">
        <w:rPr>
          <w:rFonts w:ascii="Times New Roman" w:hAnsi="Times New Roman" w:cs="Times New Roman"/>
          <w:b/>
          <w:caps/>
          <w:lang w:val="lt-LT"/>
        </w:rPr>
        <w:t xml:space="preserve">informacija ant </w:t>
      </w:r>
      <w:r w:rsidRPr="00846A3E">
        <w:rPr>
          <w:rFonts w:ascii="Times New Roman" w:hAnsi="Times New Roman" w:cs="Times New Roman"/>
          <w:b/>
          <w:lang w:val="lt-LT"/>
        </w:rPr>
        <w:t>LIZDINIŲ PLOKŠTELIŲ ARBA DVISLUOKSNIŲ JUOSTELIŲ</w:t>
      </w:r>
    </w:p>
    <w:p w14:paraId="32B238B5"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p>
    <w:p w14:paraId="7A36417B"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LIZDINĖ PLOKŠTELĖ</w:t>
      </w:r>
    </w:p>
    <w:p w14:paraId="0E7B01B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FFCE6C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42F17D8"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1.</w:t>
      </w:r>
      <w:r w:rsidRPr="00846A3E">
        <w:rPr>
          <w:rFonts w:ascii="Times New Roman" w:hAnsi="Times New Roman" w:cs="Times New Roman"/>
          <w:b/>
          <w:lang w:val="lt-LT"/>
        </w:rPr>
        <w:tab/>
        <w:t>VAISTINIO PREPARATO PAVADINIMAS</w:t>
      </w:r>
    </w:p>
    <w:p w14:paraId="5DB29D5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84B3E0B"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lang w:val="lt-LT" w:eastAsia="lt-LT"/>
        </w:rPr>
        <w:t xml:space="preserve">Opexa 20 mg </w:t>
      </w:r>
      <w:r w:rsidRPr="00846A3E">
        <w:rPr>
          <w:rFonts w:ascii="Times New Roman" w:eastAsia="Times New Roman" w:hAnsi="Times New Roman" w:cs="Times New Roman"/>
          <w:color w:val="000000"/>
          <w:spacing w:val="-1"/>
          <w:lang w:val="lt-LT" w:eastAsia="lt-LT"/>
        </w:rPr>
        <w:t>burnoje disperguojamos tabletės</w:t>
      </w:r>
    </w:p>
    <w:p w14:paraId="6997F63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bilastinas</w:t>
      </w:r>
    </w:p>
    <w:p w14:paraId="05CECF5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9F416A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4155E9A"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2.</w:t>
      </w:r>
      <w:r w:rsidRPr="00846A3E">
        <w:rPr>
          <w:rFonts w:ascii="Times New Roman" w:hAnsi="Times New Roman" w:cs="Times New Roman"/>
          <w:b/>
          <w:lang w:val="lt-LT"/>
        </w:rPr>
        <w:tab/>
        <w:t>REGISTRUOTOJO PAVADINIMAS</w:t>
      </w:r>
    </w:p>
    <w:p w14:paraId="52DB2FA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DC02795"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Menarini International Operations Luxembourg S.A.</w:t>
      </w:r>
    </w:p>
    <w:p w14:paraId="0FBB5A0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17931F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17E4A10"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3.</w:t>
      </w:r>
      <w:r w:rsidRPr="00846A3E">
        <w:rPr>
          <w:rFonts w:ascii="Times New Roman" w:hAnsi="Times New Roman" w:cs="Times New Roman"/>
          <w:b/>
          <w:lang w:val="lt-LT"/>
        </w:rPr>
        <w:tab/>
        <w:t>TINKAMUMO LAIKAS</w:t>
      </w:r>
    </w:p>
    <w:p w14:paraId="24EC1B4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0DF805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EXP {mm/MMMM}</w:t>
      </w:r>
    </w:p>
    <w:p w14:paraId="694B1B4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162BAA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39E76AC"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4.</w:t>
      </w:r>
      <w:r w:rsidRPr="00846A3E">
        <w:rPr>
          <w:rFonts w:ascii="Times New Roman" w:hAnsi="Times New Roman" w:cs="Times New Roman"/>
          <w:b/>
          <w:lang w:val="lt-LT"/>
        </w:rPr>
        <w:tab/>
        <w:t>SERIJOS NUMERIS</w:t>
      </w:r>
    </w:p>
    <w:p w14:paraId="313B899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4193FE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Lot</w:t>
      </w:r>
    </w:p>
    <w:p w14:paraId="67B4DAD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03CD2E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873F5D5" w14:textId="77777777" w:rsidR="00B1792A" w:rsidRPr="00846A3E" w:rsidRDefault="00B1792A" w:rsidP="00846A3E">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846A3E">
        <w:rPr>
          <w:rFonts w:ascii="Times New Roman" w:hAnsi="Times New Roman" w:cs="Times New Roman"/>
          <w:b/>
          <w:lang w:val="lt-LT"/>
        </w:rPr>
        <w:t>5.</w:t>
      </w:r>
      <w:r w:rsidRPr="00846A3E">
        <w:rPr>
          <w:rFonts w:ascii="Times New Roman" w:hAnsi="Times New Roman" w:cs="Times New Roman"/>
          <w:b/>
          <w:lang w:val="lt-LT"/>
        </w:rPr>
        <w:tab/>
        <w:t>KITA</w:t>
      </w:r>
    </w:p>
    <w:p w14:paraId="73AAC74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9AB6234" w14:textId="06783C48"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r w:rsidRPr="00846A3E">
        <w:rPr>
          <w:rFonts w:ascii="Times New Roman" w:eastAsia="Calibri" w:hAnsi="Times New Roman" w:cs="Times New Roman"/>
          <w:b/>
          <w:lang w:val="lt-LT"/>
        </w:rPr>
        <w:br w:type="page"/>
      </w:r>
    </w:p>
    <w:p w14:paraId="3EE3515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1B33D9C"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44F5174"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1F4A96E"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214B61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F9A044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2A381B9"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5B44CD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0F44AD1"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06E6F9B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6058C8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7DED3510"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019AA17"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39EF0D3"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389988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0AD76FF"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69BAC317"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3CDB3ADF"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16E5DF8"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217CE95"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265CFBA7"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582F011F"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1E4AD8BB"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bookmarkStart w:id="72" w:name="_Toc129243262"/>
      <w:bookmarkStart w:id="73" w:name="_Toc129243137"/>
      <w:r w:rsidRPr="00846A3E">
        <w:rPr>
          <w:rFonts w:ascii="Times New Roman" w:hAnsi="Times New Roman" w:cs="Times New Roman"/>
          <w:b/>
          <w:lang w:val="lt-LT"/>
        </w:rPr>
        <w:t>B. PAKUOTĖS LAPELIS</w:t>
      </w:r>
      <w:bookmarkEnd w:id="72"/>
      <w:bookmarkEnd w:id="73"/>
    </w:p>
    <w:p w14:paraId="386948F0" w14:textId="77777777" w:rsidR="00B1792A" w:rsidRPr="00846A3E" w:rsidRDefault="00B1792A" w:rsidP="00846A3E">
      <w:pPr>
        <w:widowControl w:val="0"/>
        <w:tabs>
          <w:tab w:val="left" w:pos="567"/>
        </w:tabs>
        <w:adjustRightInd w:val="0"/>
        <w:snapToGrid w:val="0"/>
        <w:spacing w:after="0" w:line="240" w:lineRule="auto"/>
        <w:outlineLvl w:val="0"/>
        <w:rPr>
          <w:rFonts w:ascii="Times New Roman" w:hAnsi="Times New Roman" w:cs="Times New Roman"/>
          <w:b/>
          <w:lang w:val="lt-LT"/>
        </w:rPr>
      </w:pPr>
      <w:r w:rsidRPr="00846A3E">
        <w:rPr>
          <w:rFonts w:ascii="Times New Roman" w:hAnsi="Times New Roman" w:cs="Times New Roman"/>
          <w:b/>
          <w:lang w:val="lt-LT"/>
        </w:rPr>
        <w:br w:type="page"/>
      </w:r>
    </w:p>
    <w:p w14:paraId="3A1FF235" w14:textId="77777777" w:rsidR="00B1792A" w:rsidRPr="00846A3E" w:rsidRDefault="00B1792A" w:rsidP="00846A3E">
      <w:pPr>
        <w:widowControl w:val="0"/>
        <w:tabs>
          <w:tab w:val="left" w:pos="567"/>
        </w:tabs>
        <w:adjustRightInd w:val="0"/>
        <w:snapToGrid w:val="0"/>
        <w:spacing w:after="0" w:line="240" w:lineRule="auto"/>
        <w:jc w:val="center"/>
        <w:outlineLvl w:val="0"/>
        <w:rPr>
          <w:rFonts w:ascii="Times New Roman" w:hAnsi="Times New Roman" w:cs="Times New Roman"/>
          <w:b/>
          <w:lang w:val="lt-LT"/>
        </w:rPr>
      </w:pPr>
      <w:r w:rsidRPr="00846A3E">
        <w:rPr>
          <w:rFonts w:ascii="Times New Roman" w:hAnsi="Times New Roman" w:cs="Times New Roman"/>
          <w:b/>
          <w:lang w:val="lt-LT"/>
        </w:rPr>
        <w:lastRenderedPageBreak/>
        <w:t>Pakuotės lapelis: informacija pacientui</w:t>
      </w:r>
    </w:p>
    <w:p w14:paraId="769BBEFB"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p>
    <w:p w14:paraId="4FFA9A52" w14:textId="77777777" w:rsidR="00B1792A" w:rsidRPr="00846A3E" w:rsidRDefault="00B1792A" w:rsidP="00846A3E">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r w:rsidRPr="00846A3E">
        <w:rPr>
          <w:rFonts w:ascii="Times New Roman" w:eastAsia="Times New Roman" w:hAnsi="Times New Roman" w:cs="Times New Roman"/>
          <w:b/>
          <w:color w:val="000000"/>
          <w:lang w:val="lt-LT" w:eastAsia="lt-LT"/>
        </w:rPr>
        <w:t xml:space="preserve">Opexa 20 mg </w:t>
      </w:r>
      <w:r w:rsidRPr="00846A3E">
        <w:rPr>
          <w:rFonts w:ascii="Times New Roman" w:eastAsia="Times New Roman" w:hAnsi="Times New Roman" w:cs="Times New Roman"/>
          <w:b/>
          <w:color w:val="000000"/>
          <w:spacing w:val="-1"/>
          <w:lang w:val="lt-LT" w:eastAsia="lt-LT"/>
        </w:rPr>
        <w:t>burnoje disperguojamos tabletės</w:t>
      </w:r>
    </w:p>
    <w:p w14:paraId="796D86B8" w14:textId="77777777" w:rsidR="00DF6B35" w:rsidRPr="00846A3E" w:rsidRDefault="00DF6B35" w:rsidP="00846A3E">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p>
    <w:p w14:paraId="5BFF0E6F" w14:textId="77777777" w:rsidR="00B1792A" w:rsidRPr="00846A3E" w:rsidRDefault="00B1792A" w:rsidP="00846A3E">
      <w:pPr>
        <w:widowControl w:val="0"/>
        <w:adjustRightInd w:val="0"/>
        <w:snapToGrid w:val="0"/>
        <w:spacing w:after="0" w:line="240" w:lineRule="auto"/>
        <w:jc w:val="center"/>
        <w:rPr>
          <w:rFonts w:ascii="Times New Roman" w:eastAsia="Calibri" w:hAnsi="Times New Roman" w:cs="Times New Roman"/>
          <w:lang w:val="lt-LT"/>
        </w:rPr>
      </w:pPr>
      <w:r w:rsidRPr="00846A3E">
        <w:rPr>
          <w:rFonts w:ascii="Times New Roman" w:eastAsia="Calibri" w:hAnsi="Times New Roman" w:cs="Times New Roman"/>
          <w:lang w:val="lt-LT"/>
        </w:rPr>
        <w:t>bilastinas</w:t>
      </w:r>
    </w:p>
    <w:p w14:paraId="62D99F9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51CBAFC8" w14:textId="4C6B3893"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 xml:space="preserve">Atidžiai perskaitykite visą šį lapelį, prieš </w:t>
      </w:r>
      <w:r w:rsidR="001D6217" w:rsidRPr="00846A3E">
        <w:rPr>
          <w:rFonts w:ascii="Times New Roman" w:eastAsia="Calibri" w:hAnsi="Times New Roman" w:cs="Times New Roman"/>
          <w:b/>
          <w:lang w:val="lt-LT"/>
        </w:rPr>
        <w:t>pradėdami</w:t>
      </w:r>
      <w:r w:rsidRPr="00846A3E">
        <w:rPr>
          <w:rFonts w:ascii="Times New Roman" w:eastAsia="Calibri" w:hAnsi="Times New Roman" w:cs="Times New Roman"/>
          <w:b/>
          <w:lang w:val="lt-LT"/>
        </w:rPr>
        <w:t xml:space="preserve"> vartoti šį vaistą, nes jame pateikiama Jums svarbi informacija.</w:t>
      </w:r>
    </w:p>
    <w:p w14:paraId="0E235C48" w14:textId="77777777" w:rsidR="001D6217" w:rsidRPr="00846A3E" w:rsidRDefault="001D6217" w:rsidP="00846A3E">
      <w:pPr>
        <w:widowControl w:val="0"/>
        <w:adjustRightInd w:val="0"/>
        <w:snapToGrid w:val="0"/>
        <w:spacing w:after="0" w:line="240" w:lineRule="auto"/>
        <w:rPr>
          <w:rFonts w:ascii="Times New Roman" w:eastAsia="Calibri" w:hAnsi="Times New Roman" w:cs="Times New Roman"/>
          <w:b/>
          <w:lang w:val="lt-LT"/>
        </w:rPr>
      </w:pPr>
    </w:p>
    <w:p w14:paraId="7D97FAB6" w14:textId="77777777" w:rsidR="001D6217" w:rsidRPr="00846A3E" w:rsidRDefault="001D6217"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lang w:val="lt-LT"/>
        </w:rPr>
        <w:t>Visada vartokite šį vaistą tiksliai kaip aprašyta šiame lapelyje arba kaip nurodė gydytojas arba vaistininkas.</w:t>
      </w:r>
    </w:p>
    <w:p w14:paraId="4A7A2009"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Neišmeskite šio lapelio, nes vėl gali prireikti jį perskaityti.</w:t>
      </w:r>
    </w:p>
    <w:p w14:paraId="4A2BE64A" w14:textId="16F3996D"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 xml:space="preserve">Jeigu </w:t>
      </w:r>
      <w:r w:rsidR="001D6217" w:rsidRPr="00846A3E">
        <w:rPr>
          <w:rFonts w:ascii="Times New Roman" w:eastAsia="Calibri" w:hAnsi="Times New Roman" w:cs="Times New Roman"/>
          <w:lang w:val="lt-LT"/>
        </w:rPr>
        <w:t xml:space="preserve">norite sužinoti </w:t>
      </w:r>
      <w:r w:rsidRPr="00846A3E">
        <w:rPr>
          <w:rFonts w:ascii="Times New Roman" w:eastAsia="Calibri" w:hAnsi="Times New Roman" w:cs="Times New Roman"/>
          <w:lang w:val="lt-LT"/>
        </w:rPr>
        <w:t xml:space="preserve">daugiau </w:t>
      </w:r>
      <w:r w:rsidR="001D6217" w:rsidRPr="00846A3E">
        <w:rPr>
          <w:rFonts w:ascii="Times New Roman" w:eastAsia="Calibri" w:hAnsi="Times New Roman" w:cs="Times New Roman"/>
          <w:lang w:val="lt-LT"/>
        </w:rPr>
        <w:t>arba pasitarti</w:t>
      </w:r>
      <w:r w:rsidRPr="00846A3E">
        <w:rPr>
          <w:rFonts w:ascii="Times New Roman" w:eastAsia="Calibri" w:hAnsi="Times New Roman" w:cs="Times New Roman"/>
          <w:lang w:val="lt-LT"/>
        </w:rPr>
        <w:t>, kreipkitės į vaistininką.</w:t>
      </w:r>
    </w:p>
    <w:p w14:paraId="4166DDDE" w14:textId="08203BE6"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Jeigu pasireiškė šalutinis poveikis (net jeigu jis šiame lapelyje nenurodytas), kreipkitės į gydytoją arba vaistininką. Žr. 4</w:t>
      </w:r>
      <w:r w:rsidR="00F4713D" w:rsidRPr="00D65358">
        <w:rPr>
          <w:rFonts w:ascii="Times New Roman" w:hAnsi="Times New Roman" w:cs="Times New Roman"/>
          <w:lang w:val="lt-LT"/>
        </w:rPr>
        <w:t> </w:t>
      </w:r>
      <w:r w:rsidRPr="00846A3E">
        <w:rPr>
          <w:rFonts w:ascii="Times New Roman" w:eastAsia="Calibri" w:hAnsi="Times New Roman" w:cs="Times New Roman"/>
          <w:lang w:val="lt-LT"/>
        </w:rPr>
        <w:t>skyrių.</w:t>
      </w:r>
    </w:p>
    <w:p w14:paraId="225A6F0F" w14:textId="57A68B6B" w:rsidR="00F21548" w:rsidRPr="00846A3E" w:rsidRDefault="00F21548"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r>
      <w:r w:rsidR="000155F6" w:rsidRPr="00846A3E">
        <w:rPr>
          <w:rFonts w:ascii="Times New Roman" w:hAnsi="Times New Roman" w:cs="Times New Roman"/>
          <w:lang w:val="lt-LT"/>
        </w:rPr>
        <w:t>Jeigu per 3</w:t>
      </w:r>
      <w:r w:rsidR="00DE723E" w:rsidRPr="00846A3E">
        <w:rPr>
          <w:rFonts w:ascii="Times New Roman" w:hAnsi="Times New Roman" w:cs="Times New Roman"/>
          <w:lang w:val="lt-LT"/>
        </w:rPr>
        <w:t> </w:t>
      </w:r>
      <w:r w:rsidR="000155F6" w:rsidRPr="00846A3E">
        <w:rPr>
          <w:rFonts w:ascii="Times New Roman" w:hAnsi="Times New Roman" w:cs="Times New Roman"/>
          <w:lang w:val="lt-LT"/>
        </w:rPr>
        <w:t>dienas Jūsų savijauta nepagerėjo arba net pablogėjo, kreipkitės į gydytoją.</w:t>
      </w:r>
    </w:p>
    <w:p w14:paraId="02634B0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641DDF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7ED8D8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Apie ką rašoma šiame lapelyje?</w:t>
      </w:r>
    </w:p>
    <w:p w14:paraId="0F5B2606"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1.</w:t>
      </w:r>
      <w:r w:rsidRPr="00846A3E">
        <w:rPr>
          <w:rFonts w:ascii="Times New Roman" w:eastAsia="Calibri" w:hAnsi="Times New Roman" w:cs="Times New Roman"/>
          <w:lang w:val="lt-LT"/>
        </w:rPr>
        <w:tab/>
        <w:t>Kas yra Opexa ir kam jis vartojamas</w:t>
      </w:r>
    </w:p>
    <w:p w14:paraId="36CE6D93"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2.</w:t>
      </w:r>
      <w:r w:rsidRPr="00846A3E">
        <w:rPr>
          <w:rFonts w:ascii="Times New Roman" w:eastAsia="Calibri" w:hAnsi="Times New Roman" w:cs="Times New Roman"/>
          <w:lang w:val="lt-LT"/>
        </w:rPr>
        <w:tab/>
        <w:t>Kas žinotina prieš vartojant Opexa</w:t>
      </w:r>
    </w:p>
    <w:p w14:paraId="284E7F7D"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3.</w:t>
      </w:r>
      <w:r w:rsidRPr="00846A3E">
        <w:rPr>
          <w:rFonts w:ascii="Times New Roman" w:eastAsia="Calibri" w:hAnsi="Times New Roman" w:cs="Times New Roman"/>
          <w:lang w:val="lt-LT"/>
        </w:rPr>
        <w:tab/>
        <w:t xml:space="preserve">Kaip vartoti Opexa </w:t>
      </w:r>
    </w:p>
    <w:p w14:paraId="667DA524"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4.</w:t>
      </w:r>
      <w:r w:rsidRPr="00846A3E">
        <w:rPr>
          <w:rFonts w:ascii="Times New Roman" w:eastAsia="Calibri" w:hAnsi="Times New Roman" w:cs="Times New Roman"/>
          <w:lang w:val="lt-LT"/>
        </w:rPr>
        <w:tab/>
        <w:t>Galimas šalutinis poveikis</w:t>
      </w:r>
    </w:p>
    <w:p w14:paraId="7D3541E6"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5.</w:t>
      </w:r>
      <w:r w:rsidRPr="00846A3E">
        <w:rPr>
          <w:rFonts w:ascii="Times New Roman" w:eastAsia="Calibri" w:hAnsi="Times New Roman" w:cs="Times New Roman"/>
          <w:lang w:val="lt-LT"/>
        </w:rPr>
        <w:tab/>
        <w:t>Kaip laikyti Opexa</w:t>
      </w:r>
    </w:p>
    <w:p w14:paraId="7F2DFD00"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6.</w:t>
      </w:r>
      <w:r w:rsidRPr="00846A3E">
        <w:rPr>
          <w:rFonts w:ascii="Times New Roman" w:eastAsia="Calibri" w:hAnsi="Times New Roman" w:cs="Times New Roman"/>
          <w:lang w:val="lt-LT"/>
        </w:rPr>
        <w:tab/>
        <w:t>Pakuotės turinys ir kita informacija</w:t>
      </w:r>
    </w:p>
    <w:p w14:paraId="224FF14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FE8B3A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D4196C4"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74" w:name="_Toc129243264"/>
      <w:bookmarkStart w:id="75" w:name="_Toc129243139"/>
      <w:r w:rsidRPr="00846A3E">
        <w:rPr>
          <w:rFonts w:ascii="Times New Roman" w:eastAsia="Times New Roman" w:hAnsi="Times New Roman" w:cs="Times New Roman"/>
          <w:b/>
          <w:lang w:val="lt-LT"/>
        </w:rPr>
        <w:t>1.</w:t>
      </w:r>
      <w:r w:rsidRPr="00846A3E">
        <w:rPr>
          <w:rFonts w:ascii="Times New Roman" w:eastAsia="Times New Roman" w:hAnsi="Times New Roman" w:cs="Times New Roman"/>
          <w:b/>
          <w:lang w:val="lt-LT"/>
        </w:rPr>
        <w:tab/>
      </w:r>
      <w:bookmarkEnd w:id="74"/>
      <w:bookmarkEnd w:id="75"/>
      <w:r w:rsidRPr="00846A3E">
        <w:rPr>
          <w:rFonts w:ascii="Times New Roman" w:eastAsia="Times New Roman" w:hAnsi="Times New Roman" w:cs="Times New Roman"/>
          <w:b/>
          <w:lang w:val="lt-LT"/>
        </w:rPr>
        <w:t>Kas yra Opexa ir kam jis vartojamas</w:t>
      </w:r>
    </w:p>
    <w:p w14:paraId="6841A98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A1289F3" w14:textId="77777777" w:rsidR="00B1792A"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Opexa tablečių sudėties veiklioji medžiaga bilastinas yra antihistamininis vaistas. </w:t>
      </w:r>
    </w:p>
    <w:p w14:paraId="07F7DE1D" w14:textId="77777777" w:rsidR="00026C48" w:rsidRPr="00846A3E" w:rsidRDefault="00026C48" w:rsidP="00846A3E">
      <w:pPr>
        <w:widowControl w:val="0"/>
        <w:adjustRightInd w:val="0"/>
        <w:snapToGrid w:val="0"/>
        <w:spacing w:after="0" w:line="240" w:lineRule="auto"/>
        <w:rPr>
          <w:rFonts w:ascii="Times New Roman" w:eastAsia="Calibri" w:hAnsi="Times New Roman" w:cs="Times New Roman"/>
          <w:lang w:val="lt-LT"/>
        </w:rPr>
      </w:pPr>
    </w:p>
    <w:p w14:paraId="7442EF30" w14:textId="3BB0BC7A"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 xml:space="preserve">Opexa </w:t>
      </w:r>
      <w:r w:rsidR="00225FE4" w:rsidRPr="00846A3E">
        <w:rPr>
          <w:rFonts w:ascii="Times New Roman" w:eastAsia="Times New Roman" w:hAnsi="Times New Roman" w:cs="Times New Roman"/>
          <w:color w:val="000000"/>
          <w:lang w:val="lt-LT" w:eastAsia="lt-LT"/>
        </w:rPr>
        <w:t xml:space="preserve">vartojamas </w:t>
      </w:r>
      <w:r w:rsidRPr="00846A3E">
        <w:rPr>
          <w:rFonts w:ascii="Times New Roman" w:eastAsia="Times New Roman" w:hAnsi="Times New Roman" w:cs="Times New Roman"/>
          <w:color w:val="000000"/>
          <w:lang w:val="lt-LT" w:eastAsia="lt-LT"/>
        </w:rPr>
        <w:t>šienligės (kuriai būdingi simptomai yra čiaudulys, niežulys, sloga, užgulta nosis, paraudusios ir ašarojančios akys) ir kitų alerginio rinito formų simptomų slopinimui. Jis taip pat gali būti vartojamas niežtinčių odos išbėrimų (</w:t>
      </w:r>
      <w:r w:rsidR="00432AC8" w:rsidRPr="00846A3E">
        <w:rPr>
          <w:rFonts w:ascii="Times New Roman" w:hAnsi="Times New Roman" w:cs="Times New Roman"/>
          <w:lang w:val="lt-LT"/>
        </w:rPr>
        <w:t>pūkšlių arba dilgėlinės)</w:t>
      </w:r>
      <w:r w:rsidRPr="00846A3E">
        <w:rPr>
          <w:rFonts w:ascii="Times New Roman" w:eastAsia="Times New Roman" w:hAnsi="Times New Roman" w:cs="Times New Roman"/>
          <w:color w:val="000000"/>
          <w:lang w:val="lt-LT" w:eastAsia="lt-LT"/>
        </w:rPr>
        <w:t xml:space="preserve"> gydymui.</w:t>
      </w:r>
    </w:p>
    <w:p w14:paraId="46DF025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468BD4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1317307"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76" w:name="_Toc129243265"/>
      <w:bookmarkStart w:id="77" w:name="_Toc129243140"/>
      <w:r w:rsidRPr="00846A3E">
        <w:rPr>
          <w:rFonts w:ascii="Times New Roman" w:eastAsia="Times New Roman" w:hAnsi="Times New Roman" w:cs="Times New Roman"/>
          <w:b/>
          <w:lang w:val="lt-LT"/>
        </w:rPr>
        <w:t>2.</w:t>
      </w:r>
      <w:r w:rsidRPr="00846A3E">
        <w:rPr>
          <w:rFonts w:ascii="Times New Roman" w:eastAsia="Times New Roman" w:hAnsi="Times New Roman" w:cs="Times New Roman"/>
          <w:b/>
          <w:lang w:val="lt-LT"/>
        </w:rPr>
        <w:tab/>
      </w:r>
      <w:bookmarkEnd w:id="76"/>
      <w:bookmarkEnd w:id="77"/>
      <w:r w:rsidRPr="00846A3E">
        <w:rPr>
          <w:rFonts w:ascii="Times New Roman" w:eastAsia="Times New Roman" w:hAnsi="Times New Roman" w:cs="Times New Roman"/>
          <w:b/>
          <w:lang w:val="lt-LT"/>
        </w:rPr>
        <w:t>Kas žinotina prieš vartojant Opexa</w:t>
      </w:r>
    </w:p>
    <w:p w14:paraId="1116BCAC"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p>
    <w:p w14:paraId="3050BFF8" w14:textId="063B6639"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b/>
          <w:caps/>
          <w:lang w:val="lt-LT"/>
        </w:rPr>
      </w:pPr>
      <w:r w:rsidRPr="00846A3E">
        <w:rPr>
          <w:rFonts w:ascii="Times New Roman" w:eastAsiaTheme="minorEastAsia" w:hAnsi="Times New Roman" w:cs="Times New Roman"/>
          <w:b/>
          <w:lang w:val="lt-LT"/>
        </w:rPr>
        <w:t>Opexa</w:t>
      </w:r>
      <w:r w:rsidRPr="00846A3E">
        <w:rPr>
          <w:rFonts w:ascii="Times New Roman" w:eastAsiaTheme="minorEastAsia" w:hAnsi="Times New Roman" w:cs="Times New Roman"/>
          <w:b/>
          <w:bCs/>
          <w:lang w:val="lt-LT"/>
        </w:rPr>
        <w:t xml:space="preserve"> vartoti draudžiama</w:t>
      </w:r>
    </w:p>
    <w:p w14:paraId="24E14A63" w14:textId="2FCD3A4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Jums yra alergija bilastinui arba bet kuriai pagalbinei šio vaisto medžiagai (jos išvardytos 6</w:t>
      </w:r>
      <w:r w:rsidR="003514DE"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skyriuje).</w:t>
      </w:r>
    </w:p>
    <w:p w14:paraId="71EF81C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C523930"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Įspėjimai ir atsargumo priemonės</w:t>
      </w:r>
    </w:p>
    <w:p w14:paraId="49689904" w14:textId="0B9DB152" w:rsidR="00B1792A" w:rsidRPr="00846A3E" w:rsidRDefault="00B1792A" w:rsidP="00846A3E">
      <w:pPr>
        <w:widowControl w:val="0"/>
        <w:adjustRightInd w:val="0"/>
        <w:snapToGrid w:val="0"/>
        <w:spacing w:after="0" w:line="240" w:lineRule="auto"/>
        <w:rPr>
          <w:rFonts w:ascii="Times New Roman" w:eastAsia="Times New Roman" w:hAnsi="Times New Roman" w:cs="Times New Roman"/>
          <w:bCs/>
          <w:lang w:val="lt-LT"/>
        </w:rPr>
      </w:pPr>
      <w:r w:rsidRPr="00846A3E">
        <w:rPr>
          <w:rFonts w:ascii="Times New Roman" w:eastAsia="Times New Roman" w:hAnsi="Times New Roman" w:cs="Times New Roman"/>
          <w:bCs/>
          <w:lang w:val="lt-LT"/>
        </w:rPr>
        <w:t>Pasitarkite su gydytoju arba vaistininku prieš pradedant vartoti Opexa, jei Jums nustatytas vidutinio sunkumo arba sunkus inkstų veiklos sutrikimas</w:t>
      </w:r>
      <w:r w:rsidR="001E741E" w:rsidRPr="00846A3E">
        <w:rPr>
          <w:rFonts w:ascii="Times New Roman" w:eastAsia="Times New Roman" w:hAnsi="Times New Roman" w:cs="Times New Roman"/>
          <w:bCs/>
          <w:lang w:val="lt-LT"/>
        </w:rPr>
        <w:t xml:space="preserve">, </w:t>
      </w:r>
      <w:r w:rsidR="001E741E" w:rsidRPr="00846A3E">
        <w:rPr>
          <w:rFonts w:ascii="Times New Roman" w:hAnsi="Times New Roman" w:cs="Times New Roman"/>
          <w:lang w:val="lt-LT" w:bidi="lt-LT"/>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846A3E">
        <w:rPr>
          <w:rFonts w:ascii="Times New Roman" w:eastAsia="Times New Roman" w:hAnsi="Times New Roman" w:cs="Times New Roman"/>
          <w:bCs/>
          <w:lang w:val="lt-LT"/>
        </w:rPr>
        <w:t xml:space="preserve"> ir Jūs vartojate kitus vaistus (žr. skyrių žemiau „Kiti vaistai ir Opexa“).</w:t>
      </w:r>
    </w:p>
    <w:p w14:paraId="4CC2F93B"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p>
    <w:p w14:paraId="6EE030E9"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Vaikams</w:t>
      </w:r>
    </w:p>
    <w:p w14:paraId="29C14ABD"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Cs/>
          <w:lang w:val="lt-LT"/>
        </w:rPr>
      </w:pPr>
      <w:r w:rsidRPr="00846A3E">
        <w:rPr>
          <w:rFonts w:ascii="Times New Roman" w:eastAsia="Times New Roman" w:hAnsi="Times New Roman" w:cs="Times New Roman"/>
          <w:b/>
          <w:bCs/>
          <w:lang w:val="lt-LT"/>
        </w:rPr>
        <w:t>Neduokite šio vaisto jaunesniems kaip 12 metų vaikams.</w:t>
      </w:r>
    </w:p>
    <w:p w14:paraId="775D044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67B27C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b/>
          <w:lang w:val="lt-LT"/>
        </w:rPr>
        <w:t>Neviršykite</w:t>
      </w:r>
      <w:r w:rsidRPr="00846A3E">
        <w:rPr>
          <w:rFonts w:ascii="Times New Roman" w:eastAsia="Calibri" w:hAnsi="Times New Roman" w:cs="Times New Roman"/>
          <w:lang w:val="lt-LT"/>
        </w:rPr>
        <w:t xml:space="preserve"> rekomenduojamos dozės. Jei simptomai išlieka, kreipkitės į gydytoją.</w:t>
      </w:r>
    </w:p>
    <w:p w14:paraId="67648887" w14:textId="77777777" w:rsidR="007C4D1C" w:rsidRPr="00846A3E" w:rsidRDefault="007C4D1C" w:rsidP="00846A3E">
      <w:pPr>
        <w:widowControl w:val="0"/>
        <w:adjustRightInd w:val="0"/>
        <w:snapToGrid w:val="0"/>
        <w:spacing w:after="0" w:line="240" w:lineRule="auto"/>
        <w:rPr>
          <w:rFonts w:ascii="Times New Roman" w:eastAsia="Calibri" w:hAnsi="Times New Roman" w:cs="Times New Roman"/>
          <w:lang w:val="lt-LT"/>
        </w:rPr>
      </w:pPr>
    </w:p>
    <w:p w14:paraId="7DB12E64" w14:textId="29466B5E" w:rsidR="00B1792A" w:rsidRPr="00846A3E" w:rsidRDefault="00E22632" w:rsidP="00846A3E">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 xml:space="preserve">Rekomenduojama paros dozė yra </w:t>
      </w:r>
      <w:r w:rsidR="005553DD" w:rsidRPr="00846A3E">
        <w:rPr>
          <w:rFonts w:ascii="Times New Roman" w:hAnsi="Times New Roman" w:cs="Times New Roman"/>
          <w:lang w:val="lt-LT"/>
        </w:rPr>
        <w:t>viena</w:t>
      </w:r>
      <w:r w:rsidRPr="00846A3E">
        <w:rPr>
          <w:rFonts w:ascii="Times New Roman" w:hAnsi="Times New Roman" w:cs="Times New Roman"/>
          <w:lang w:val="lt-LT"/>
        </w:rPr>
        <w:t xml:space="preserve"> Opexa 20</w:t>
      </w:r>
      <w:r w:rsidR="005553DD" w:rsidRPr="00846A3E">
        <w:rPr>
          <w:rFonts w:ascii="Times New Roman" w:hAnsi="Times New Roman" w:cs="Times New Roman"/>
          <w:lang w:val="lt-LT"/>
        </w:rPr>
        <w:t> </w:t>
      </w:r>
      <w:r w:rsidRPr="00846A3E">
        <w:rPr>
          <w:rFonts w:ascii="Times New Roman" w:hAnsi="Times New Roman" w:cs="Times New Roman"/>
          <w:lang w:val="lt-LT"/>
        </w:rPr>
        <w:t>mg burnoje disperguojama tabletė.</w:t>
      </w:r>
    </w:p>
    <w:p w14:paraId="4F1EB417" w14:textId="77777777" w:rsidR="007C4D1C" w:rsidRPr="00846A3E" w:rsidRDefault="007C4D1C" w:rsidP="00846A3E">
      <w:pPr>
        <w:widowControl w:val="0"/>
        <w:adjustRightInd w:val="0"/>
        <w:snapToGrid w:val="0"/>
        <w:spacing w:after="0" w:line="240" w:lineRule="auto"/>
        <w:rPr>
          <w:rFonts w:ascii="Times New Roman" w:eastAsia="Calibri" w:hAnsi="Times New Roman" w:cs="Times New Roman"/>
          <w:lang w:val="lt-LT"/>
        </w:rPr>
      </w:pPr>
    </w:p>
    <w:p w14:paraId="2BCC8036" w14:textId="6F4177A7" w:rsidR="00E22632" w:rsidRPr="00846A3E" w:rsidRDefault="00E22632" w:rsidP="00846A3E">
      <w:pPr>
        <w:widowControl w:val="0"/>
        <w:tabs>
          <w:tab w:val="left" w:pos="709"/>
        </w:tabs>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Nevartokite Opexa ilgiau nei 10</w:t>
      </w:r>
      <w:r w:rsidR="00DE723E" w:rsidRPr="00846A3E">
        <w:rPr>
          <w:rFonts w:ascii="Times New Roman" w:eastAsia="Calibri" w:hAnsi="Times New Roman" w:cs="Times New Roman"/>
          <w:lang w:val="lt-LT"/>
        </w:rPr>
        <w:t> </w:t>
      </w:r>
      <w:r w:rsidRPr="00846A3E">
        <w:rPr>
          <w:rFonts w:ascii="Times New Roman" w:eastAsia="Calibri" w:hAnsi="Times New Roman" w:cs="Times New Roman"/>
          <w:lang w:val="lt-LT"/>
        </w:rPr>
        <w:t>dienų nepasi</w:t>
      </w:r>
      <w:r w:rsidR="005553DD" w:rsidRPr="00846A3E">
        <w:rPr>
          <w:rFonts w:ascii="Times New Roman" w:eastAsia="Calibri" w:hAnsi="Times New Roman" w:cs="Times New Roman"/>
          <w:lang w:val="lt-LT"/>
        </w:rPr>
        <w:t>tarę</w:t>
      </w:r>
      <w:r w:rsidRPr="00846A3E">
        <w:rPr>
          <w:rFonts w:ascii="Times New Roman" w:eastAsia="Calibri" w:hAnsi="Times New Roman" w:cs="Times New Roman"/>
          <w:lang w:val="lt-LT"/>
        </w:rPr>
        <w:t xml:space="preserve"> su gydytoju.</w:t>
      </w:r>
    </w:p>
    <w:p w14:paraId="6AA43A06" w14:textId="77777777" w:rsidR="00E22632" w:rsidRPr="00846A3E" w:rsidRDefault="00E22632" w:rsidP="00846A3E">
      <w:pPr>
        <w:widowControl w:val="0"/>
        <w:adjustRightInd w:val="0"/>
        <w:snapToGrid w:val="0"/>
        <w:spacing w:after="0" w:line="240" w:lineRule="auto"/>
        <w:rPr>
          <w:rFonts w:ascii="Times New Roman" w:eastAsia="Times New Roman" w:hAnsi="Times New Roman" w:cs="Times New Roman"/>
          <w:b/>
          <w:bCs/>
          <w:lang w:val="lt-LT"/>
        </w:rPr>
      </w:pPr>
    </w:p>
    <w:p w14:paraId="114DA845" w14:textId="48867E33" w:rsidR="00B1792A" w:rsidRPr="00846A3E" w:rsidRDefault="00B1792A" w:rsidP="00D65358">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Kiti vaistai ir Opexa</w:t>
      </w:r>
    </w:p>
    <w:p w14:paraId="6B3D0EF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Jeigu Jūs vartojate ar neseniai vartojote kitų vaistų, įskaitant įgytus be recepto, arba dėl to nesate tikri, apie tai pasakykite gydytojui arba vaistininkui. </w:t>
      </w:r>
    </w:p>
    <w:p w14:paraId="2073366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EF9E068" w14:textId="3D9834E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Pirmiausia pasitarkite su gydytoju, jeigu vartojate kurį nors iš toliau išvardytų vaistų</w:t>
      </w:r>
      <w:r w:rsidR="007C4D1C" w:rsidRPr="00846A3E">
        <w:rPr>
          <w:rFonts w:ascii="Times New Roman" w:eastAsia="Calibri" w:hAnsi="Times New Roman" w:cs="Times New Roman"/>
          <w:lang w:val="lt-LT"/>
        </w:rPr>
        <w:t>.</w:t>
      </w:r>
    </w:p>
    <w:p w14:paraId="5322E653" w14:textId="77777777" w:rsidR="00B1792A" w:rsidRPr="00846A3E" w:rsidRDefault="00B1792A" w:rsidP="00846A3E">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Ketokonazolą (vaistą grybelių sukeltoms ligoms gydyti).</w:t>
      </w:r>
    </w:p>
    <w:p w14:paraId="7CEAD165" w14:textId="77777777" w:rsidR="00B1792A" w:rsidRPr="00846A3E" w:rsidRDefault="00B1792A" w:rsidP="00D65358">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Eritromiciną (antibiotiką).</w:t>
      </w:r>
    </w:p>
    <w:p w14:paraId="57700853" w14:textId="71E36A7A" w:rsidR="00B1792A" w:rsidRPr="00846A3E" w:rsidRDefault="00B1792A" w:rsidP="00D65358">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Diltiazemą (vaistą </w:t>
      </w:r>
      <w:r w:rsidRPr="00D65358">
        <w:rPr>
          <w:rFonts w:ascii="Times New Roman" w:eastAsia="Calibri" w:hAnsi="Times New Roman" w:cs="Times New Roman"/>
          <w:i/>
          <w:iCs/>
          <w:lang w:val="lt-LT"/>
        </w:rPr>
        <w:t>angina pectoris</w:t>
      </w:r>
      <w:r w:rsidRPr="00846A3E">
        <w:rPr>
          <w:rFonts w:ascii="Times New Roman" w:eastAsia="Calibri" w:hAnsi="Times New Roman" w:cs="Times New Roman"/>
          <w:lang w:val="lt-LT"/>
        </w:rPr>
        <w:t xml:space="preserve"> gydyti</w:t>
      </w:r>
      <w:r w:rsidR="00DE723E" w:rsidRPr="00846A3E">
        <w:rPr>
          <w:rFonts w:ascii="Times New Roman" w:eastAsia="Calibri" w:hAnsi="Times New Roman" w:cs="Times New Roman"/>
          <w:lang w:val="lt-LT"/>
        </w:rPr>
        <w:t xml:space="preserve"> </w:t>
      </w:r>
      <w:r w:rsidRPr="00846A3E">
        <w:rPr>
          <w:rFonts w:ascii="Times New Roman" w:hAnsi="Times New Roman" w:cs="Times New Roman"/>
          <w:lang w:val="lt-LT"/>
        </w:rPr>
        <w:t>– skausmui ar spaudimui krūtinės srityje</w:t>
      </w:r>
      <w:r w:rsidRPr="00846A3E">
        <w:rPr>
          <w:rFonts w:ascii="Times New Roman" w:eastAsia="Calibri" w:hAnsi="Times New Roman" w:cs="Times New Roman"/>
          <w:lang w:val="lt-LT"/>
        </w:rPr>
        <w:t>).</w:t>
      </w:r>
    </w:p>
    <w:p w14:paraId="7FFC4312" w14:textId="77777777" w:rsidR="00B1792A" w:rsidRPr="00846A3E" w:rsidRDefault="00B1792A" w:rsidP="00D65358">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Ciklosporiną (vaistą, mažinantį imuninės sistemos aktyvumą ir tokiu būdu padedantį išvengti persodinto organo atmetimo arba mažinantį ligos aktyvumą sergant tokiomis ligomis, kaip žvynelinė, atopinis dermatitas ar reumatoidinis artritas).</w:t>
      </w:r>
    </w:p>
    <w:p w14:paraId="0BA61176" w14:textId="77777777" w:rsidR="00B1792A" w:rsidRPr="00846A3E" w:rsidRDefault="00B1792A" w:rsidP="00D65358">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Ritonavirą (vaistą ŽIV infekcijai gydyti).</w:t>
      </w:r>
    </w:p>
    <w:p w14:paraId="7CF8A285" w14:textId="77777777" w:rsidR="00B1792A" w:rsidRPr="00846A3E" w:rsidRDefault="00B1792A" w:rsidP="00D65358">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Rifampiciną (antibiotiką).</w:t>
      </w:r>
    </w:p>
    <w:p w14:paraId="697FD38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7E2F520"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Opexa vartojimas su maistu, gėrimais ir alkoholiu</w:t>
      </w:r>
    </w:p>
    <w:p w14:paraId="08E2BBF9" w14:textId="77777777"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 xml:space="preserve">Šių </w:t>
      </w:r>
      <w:r w:rsidRPr="00846A3E">
        <w:rPr>
          <w:rFonts w:ascii="Times New Roman" w:eastAsia="Times New Roman" w:hAnsi="Times New Roman" w:cs="Times New Roman"/>
          <w:color w:val="000000"/>
          <w:spacing w:val="-1"/>
          <w:lang w:val="lt-LT" w:eastAsia="lt-LT"/>
        </w:rPr>
        <w:t xml:space="preserve">burnoje disperguojamųjų </w:t>
      </w:r>
      <w:r w:rsidRPr="00846A3E">
        <w:rPr>
          <w:rFonts w:ascii="Times New Roman" w:eastAsia="Times New Roman" w:hAnsi="Times New Roman" w:cs="Times New Roman"/>
          <w:color w:val="000000"/>
          <w:lang w:val="lt-LT" w:eastAsia="lt-LT"/>
        </w:rPr>
        <w:t xml:space="preserve">tablečių </w:t>
      </w:r>
      <w:r w:rsidRPr="00846A3E">
        <w:rPr>
          <w:rFonts w:ascii="Times New Roman" w:eastAsia="Times New Roman" w:hAnsi="Times New Roman" w:cs="Times New Roman"/>
          <w:b/>
          <w:color w:val="000000"/>
          <w:lang w:val="lt-LT" w:eastAsia="lt-LT"/>
        </w:rPr>
        <w:t>negalima</w:t>
      </w:r>
      <w:r w:rsidRPr="00846A3E">
        <w:rPr>
          <w:rFonts w:ascii="Times New Roman" w:eastAsia="Times New Roman" w:hAnsi="Times New Roman" w:cs="Times New Roman"/>
          <w:color w:val="000000"/>
          <w:lang w:val="lt-LT" w:eastAsia="lt-LT"/>
        </w:rPr>
        <w:t xml:space="preserve"> vartoti kartu su </w:t>
      </w:r>
      <w:r w:rsidRPr="00846A3E">
        <w:rPr>
          <w:rFonts w:ascii="Times New Roman" w:eastAsia="Times New Roman" w:hAnsi="Times New Roman" w:cs="Times New Roman"/>
          <w:b/>
          <w:color w:val="000000"/>
          <w:lang w:val="lt-LT" w:eastAsia="lt-LT"/>
        </w:rPr>
        <w:t>maistu</w:t>
      </w:r>
      <w:r w:rsidRPr="00846A3E">
        <w:rPr>
          <w:rFonts w:ascii="Times New Roman" w:eastAsia="Times New Roman" w:hAnsi="Times New Roman" w:cs="Times New Roman"/>
          <w:color w:val="000000"/>
          <w:lang w:val="lt-LT" w:eastAsia="lt-LT"/>
        </w:rPr>
        <w:t xml:space="preserve">, </w:t>
      </w:r>
      <w:r w:rsidRPr="00846A3E">
        <w:rPr>
          <w:rFonts w:ascii="Times New Roman" w:eastAsia="Times New Roman" w:hAnsi="Times New Roman" w:cs="Times New Roman"/>
          <w:b/>
          <w:color w:val="000000"/>
          <w:lang w:val="lt-LT" w:eastAsia="lt-LT"/>
        </w:rPr>
        <w:t>greipfrutų ar kitų vaisių sultimis</w:t>
      </w:r>
      <w:r w:rsidRPr="00846A3E">
        <w:rPr>
          <w:rFonts w:ascii="Times New Roman" w:eastAsia="Times New Roman" w:hAnsi="Times New Roman" w:cs="Times New Roman"/>
          <w:color w:val="000000"/>
          <w:lang w:val="lt-LT" w:eastAsia="lt-LT"/>
        </w:rPr>
        <w:t>, nes tai sumažins bilastino veiksmingumą. Siekiant to išvengti, Jūs galite:</w:t>
      </w:r>
    </w:p>
    <w:p w14:paraId="7D51EFC8" w14:textId="77777777" w:rsidR="00B1792A" w:rsidRPr="00846A3E" w:rsidRDefault="00B1792A" w:rsidP="00846A3E">
      <w:pPr>
        <w:pStyle w:val="Sraopastraipa"/>
        <w:widowControl w:val="0"/>
        <w:numPr>
          <w:ilvl w:val="0"/>
          <w:numId w:val="9"/>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išgerkite burnoje disperguojamą tabletę ir padarykite vienos valandos pertrauką iki valgymo arba sulčių gėrimo arba</w:t>
      </w:r>
    </w:p>
    <w:p w14:paraId="4B68D1ED" w14:textId="77777777" w:rsidR="00B1792A" w:rsidRPr="00846A3E" w:rsidRDefault="00B1792A" w:rsidP="00846A3E">
      <w:pPr>
        <w:pStyle w:val="Sraopastraipa"/>
        <w:widowControl w:val="0"/>
        <w:numPr>
          <w:ilvl w:val="0"/>
          <w:numId w:val="9"/>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jeigu Jūs pavalgėte arba išgėrėte sulčių, reikia palaukti dvi valandas ir tada išgerti burnoje disperguojamą tabletę. </w:t>
      </w:r>
    </w:p>
    <w:p w14:paraId="0F4A5E1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30989C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Rekomenduojama bilastino dozė (20 mg) nesustiprina alkoholio sukelto mieguistumo.</w:t>
      </w:r>
    </w:p>
    <w:p w14:paraId="0FF6775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D4C6631"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Nėštumas, žindymo laikotarpis ir vaisingumas</w:t>
      </w:r>
    </w:p>
    <w:p w14:paraId="76F96B1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Kokių nors duomenų apie bilastino vartojimą nėštumo ar žindymo metu, o taip pat apie jo poveikį vaisingumui nėra arba jie labai riboti.</w:t>
      </w:r>
    </w:p>
    <w:p w14:paraId="598E7D5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A6A612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 esate nėščia, žindote kūdikį, manote, kad galbūt esate nėščia, arba planuojate pastoti, tai prieš vartodama šį vaistą, pasitarkite su gydytoju.</w:t>
      </w:r>
    </w:p>
    <w:p w14:paraId="755AEF87" w14:textId="77777777" w:rsidR="007C4D1C" w:rsidRPr="00846A3E" w:rsidRDefault="007C4D1C" w:rsidP="00846A3E">
      <w:pPr>
        <w:widowControl w:val="0"/>
        <w:adjustRightInd w:val="0"/>
        <w:snapToGrid w:val="0"/>
        <w:spacing w:after="0" w:line="240" w:lineRule="auto"/>
        <w:rPr>
          <w:rFonts w:ascii="Times New Roman" w:eastAsia="Calibri" w:hAnsi="Times New Roman" w:cs="Times New Roman"/>
          <w:lang w:val="lt-LT"/>
        </w:rPr>
      </w:pPr>
    </w:p>
    <w:p w14:paraId="6E1E992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Prieš pradedant vartoti bet kokį vaistą pasitarkite su gydytoju.</w:t>
      </w:r>
    </w:p>
    <w:p w14:paraId="26E6EBB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3ED0D38"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Vairavimas ir mechanizmų valdymas</w:t>
      </w:r>
    </w:p>
    <w:p w14:paraId="3820D2F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Nustatyta, kad bilastino 20 mg dozė nesutrikdo suaugusiųjų gebėjimo vairuoti. Tačiau kiekvieno paciento reakciją į vaistą gali būti skirtinga. Todėl prieš vairuodami ar valdydami mechanizmus turite patikrinti, kaip šis vaistas Jus veikia.</w:t>
      </w:r>
    </w:p>
    <w:p w14:paraId="5E4B363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66B8A97" w14:textId="77777777" w:rsidR="00B1792A" w:rsidRPr="00846A3E" w:rsidRDefault="00B1792A" w:rsidP="00846A3E">
      <w:pPr>
        <w:widowControl w:val="0"/>
        <w:adjustRightInd w:val="0"/>
        <w:snapToGrid w:val="0"/>
        <w:spacing w:after="0" w:line="240" w:lineRule="auto"/>
        <w:outlineLvl w:val="3"/>
        <w:rPr>
          <w:rFonts w:ascii="Times New Roman" w:eastAsia="Times New Roman" w:hAnsi="Times New Roman" w:cs="Times New Roman"/>
          <w:b/>
          <w:iCs/>
          <w:lang w:val="lt-LT"/>
        </w:rPr>
      </w:pPr>
      <w:r w:rsidRPr="00846A3E">
        <w:rPr>
          <w:rFonts w:ascii="Times New Roman" w:eastAsia="Times New Roman" w:hAnsi="Times New Roman" w:cs="Times New Roman"/>
          <w:b/>
          <w:iCs/>
          <w:lang w:val="lt-LT"/>
        </w:rPr>
        <w:t>Opexa yra natrio ir etanolio</w:t>
      </w:r>
    </w:p>
    <w:p w14:paraId="66B07594" w14:textId="77777777" w:rsidR="00B1792A" w:rsidRPr="00846A3E" w:rsidRDefault="00B1792A" w:rsidP="00846A3E">
      <w:pPr>
        <w:widowControl w:val="0"/>
        <w:adjustRightInd w:val="0"/>
        <w:snapToGrid w:val="0"/>
        <w:spacing w:after="0" w:line="240" w:lineRule="auto"/>
        <w:rPr>
          <w:rFonts w:ascii="Times New Roman" w:hAnsi="Times New Roman" w:cs="Times New Roman"/>
          <w:iCs/>
          <w:lang w:val="lt-LT" w:eastAsia="lt-LT"/>
        </w:rPr>
      </w:pPr>
      <w:r w:rsidRPr="00846A3E">
        <w:rPr>
          <w:rFonts w:ascii="Times New Roman" w:hAnsi="Times New Roman" w:cs="Times New Roman"/>
          <w:iCs/>
          <w:lang w:val="lt-LT"/>
        </w:rPr>
        <w:t xml:space="preserve">Šio vaisto burnoje disperguojamoje tabletėje yra mažiau kaip 1 mmol (23 mg) natrio, </w:t>
      </w:r>
      <w:r w:rsidRPr="00846A3E">
        <w:rPr>
          <w:rFonts w:ascii="Times New Roman" w:hAnsi="Times New Roman" w:cs="Times New Roman"/>
          <w:iCs/>
          <w:lang w:val="lt-LT" w:eastAsia="lt-LT"/>
        </w:rPr>
        <w:t>t. y. jis beveik neturi reikšmės.</w:t>
      </w:r>
    </w:p>
    <w:p w14:paraId="1A9BADD9" w14:textId="77777777" w:rsidR="00B1792A" w:rsidRPr="00846A3E" w:rsidRDefault="00B1792A" w:rsidP="00846A3E">
      <w:pPr>
        <w:widowControl w:val="0"/>
        <w:adjustRightInd w:val="0"/>
        <w:snapToGrid w:val="0"/>
        <w:spacing w:after="0" w:line="240" w:lineRule="auto"/>
        <w:rPr>
          <w:rFonts w:ascii="Times New Roman" w:hAnsi="Times New Roman" w:cs="Times New Roman"/>
          <w:iCs/>
          <w:lang w:val="lt-LT" w:eastAsia="lt-LT"/>
        </w:rPr>
      </w:pPr>
    </w:p>
    <w:p w14:paraId="616913B4" w14:textId="5E645DA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Kiekvienoje šio vaisto burnoje disperguojamojoje tabletėje yra 0,0030</w:t>
      </w:r>
      <w:r w:rsidR="003514DE"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mg alkoholio (etanolio), tai atitinka 1,6 mg/100 g (0,0016</w:t>
      </w:r>
      <w:r w:rsidR="004D1196">
        <w:rPr>
          <w:rFonts w:ascii="Times New Roman" w:eastAsia="Calibri" w:hAnsi="Times New Roman" w:cs="Times New Roman"/>
          <w:lang w:val="lt-LT"/>
        </w:rPr>
        <w:t> </w:t>
      </w:r>
      <w:r w:rsidRPr="00846A3E">
        <w:rPr>
          <w:rFonts w:ascii="Times New Roman" w:eastAsia="Calibri" w:hAnsi="Times New Roman" w:cs="Times New Roman"/>
          <w:lang w:val="lt-LT"/>
        </w:rPr>
        <w:t>%</w:t>
      </w:r>
      <w:r w:rsidR="003514DE" w:rsidRPr="00846A3E">
        <w:rPr>
          <w:rFonts w:ascii="Times New Roman" w:eastAsia="Times New Roman" w:hAnsi="Times New Roman" w:cs="Times New Roman"/>
          <w:color w:val="000000"/>
          <w:lang w:val="lt-LT" w:eastAsia="lt-LT"/>
        </w:rPr>
        <w:t> </w:t>
      </w:r>
      <w:r w:rsidRPr="00846A3E">
        <w:rPr>
          <w:rFonts w:ascii="Times New Roman" w:eastAsia="Calibri" w:hAnsi="Times New Roman" w:cs="Times New Roman"/>
          <w:lang w:val="lt-LT"/>
        </w:rPr>
        <w:t>m/m). Toks vienoje burnoje disperguojamoje tabletėje, sveriančioje 185 mg, esantis alkoholio kiekis atitinka mažiau nei 1 ml alaus arba 1 ml vyno.</w:t>
      </w:r>
    </w:p>
    <w:p w14:paraId="3ABA1407" w14:textId="77777777" w:rsidR="007C4D1C" w:rsidRPr="00846A3E" w:rsidRDefault="007C4D1C" w:rsidP="00846A3E">
      <w:pPr>
        <w:widowControl w:val="0"/>
        <w:adjustRightInd w:val="0"/>
        <w:snapToGrid w:val="0"/>
        <w:spacing w:after="0" w:line="240" w:lineRule="auto"/>
        <w:rPr>
          <w:rFonts w:ascii="Times New Roman" w:eastAsia="Calibri" w:hAnsi="Times New Roman" w:cs="Times New Roman"/>
          <w:lang w:val="lt-LT"/>
        </w:rPr>
      </w:pPr>
    </w:p>
    <w:p w14:paraId="1725D13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Mažas alkoholio kiekis, esantis šio vaisto sudėtyje, nesukelia jokio pastebimo poveikio.</w:t>
      </w:r>
    </w:p>
    <w:p w14:paraId="20D8B36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46750A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A8D2500"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78" w:name="_Toc129243266"/>
      <w:bookmarkStart w:id="79" w:name="_Toc129243141"/>
      <w:r w:rsidRPr="00846A3E">
        <w:rPr>
          <w:rFonts w:ascii="Times New Roman" w:eastAsia="Times New Roman" w:hAnsi="Times New Roman" w:cs="Times New Roman"/>
          <w:b/>
          <w:lang w:val="lt-LT"/>
        </w:rPr>
        <w:t>3.</w:t>
      </w:r>
      <w:r w:rsidRPr="00846A3E">
        <w:rPr>
          <w:rFonts w:ascii="Times New Roman" w:eastAsia="Times New Roman" w:hAnsi="Times New Roman" w:cs="Times New Roman"/>
          <w:b/>
          <w:lang w:val="lt-LT"/>
        </w:rPr>
        <w:tab/>
      </w:r>
      <w:bookmarkEnd w:id="78"/>
      <w:bookmarkEnd w:id="79"/>
      <w:r w:rsidRPr="00846A3E">
        <w:rPr>
          <w:rFonts w:ascii="Times New Roman" w:eastAsia="Times New Roman" w:hAnsi="Times New Roman" w:cs="Times New Roman"/>
          <w:b/>
          <w:lang w:val="lt-LT"/>
        </w:rPr>
        <w:t>Kaip vartoti Opexa</w:t>
      </w:r>
    </w:p>
    <w:p w14:paraId="13D15C2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461572A" w14:textId="7A619C69" w:rsidR="00B1792A" w:rsidRPr="00846A3E" w:rsidRDefault="00F9035E" w:rsidP="00846A3E">
      <w:pPr>
        <w:widowControl w:val="0"/>
        <w:adjustRightInd w:val="0"/>
        <w:snapToGrid w:val="0"/>
        <w:spacing w:after="0" w:line="240" w:lineRule="auto"/>
        <w:rPr>
          <w:rFonts w:ascii="Times New Roman" w:hAnsi="Times New Roman" w:cs="Times New Roman"/>
          <w:lang w:val="lt-LT"/>
        </w:rPr>
      </w:pPr>
      <w:r w:rsidRPr="00846A3E">
        <w:rPr>
          <w:rFonts w:ascii="Times New Roman" w:hAnsi="Times New Roman" w:cs="Times New Roman"/>
          <w:lang w:val="lt-LT"/>
        </w:rPr>
        <w:t>Visada vartokite šį vaistą tiksliai taip, kaip aprašyta šiame lapelyje arba kaip nurodė gydytojas arba vaistininkas. Jeigu abejojate, kreipkitės į gydytoją arba vaistininką.</w:t>
      </w:r>
    </w:p>
    <w:p w14:paraId="7DA52BCA" w14:textId="77777777" w:rsidR="00DE723E" w:rsidRPr="00846A3E" w:rsidRDefault="00DE723E" w:rsidP="00846A3E">
      <w:pPr>
        <w:widowControl w:val="0"/>
        <w:adjustRightInd w:val="0"/>
        <w:snapToGrid w:val="0"/>
        <w:spacing w:after="0" w:line="240" w:lineRule="auto"/>
        <w:rPr>
          <w:rFonts w:ascii="Times New Roman" w:eastAsia="Calibri" w:hAnsi="Times New Roman" w:cs="Times New Roman"/>
          <w:lang w:val="lt-LT"/>
        </w:rPr>
      </w:pPr>
    </w:p>
    <w:p w14:paraId="0C6401D0" w14:textId="206B62A0" w:rsidR="00E664FB"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Times New Roman" w:hAnsi="Times New Roman" w:cs="Times New Roman"/>
          <w:color w:val="000000"/>
          <w:lang w:val="lt-LT" w:eastAsia="lt-LT"/>
        </w:rPr>
        <w:t xml:space="preserve">Suaugusiems pacientams, įskaitant senyvus, 12 metų ir vyresniems paaugliams rekomenduojama dozė yra 1 burnoje disperguojamoji tabletė (20 mg bilastino) vieną kartą per </w:t>
      </w:r>
      <w:r w:rsidR="00056691" w:rsidRPr="00846A3E">
        <w:rPr>
          <w:rFonts w:ascii="Times New Roman" w:eastAsia="Times New Roman" w:hAnsi="Times New Roman" w:cs="Times New Roman"/>
          <w:color w:val="000000"/>
          <w:lang w:val="lt-LT" w:eastAsia="lt-LT"/>
        </w:rPr>
        <w:t>parą</w:t>
      </w:r>
      <w:r w:rsidRPr="00846A3E">
        <w:rPr>
          <w:rFonts w:ascii="Times New Roman" w:eastAsia="Times New Roman" w:hAnsi="Times New Roman" w:cs="Times New Roman"/>
          <w:color w:val="000000"/>
          <w:lang w:val="lt-LT" w:eastAsia="lt-LT"/>
        </w:rPr>
        <w:t>.</w:t>
      </w:r>
    </w:p>
    <w:p w14:paraId="7F9651B9" w14:textId="77777777" w:rsidR="007C4D1C" w:rsidRPr="00846A3E" w:rsidRDefault="007C4D1C"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14:paraId="2AAD8F21" w14:textId="089DCF19" w:rsidR="00E664FB" w:rsidRPr="00846A3E" w:rsidRDefault="00C757FB"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846A3E">
        <w:rPr>
          <w:rFonts w:ascii="Times New Roman" w:eastAsia="Calibri" w:hAnsi="Times New Roman" w:cs="Times New Roman"/>
          <w:b/>
          <w:lang w:val="lt-LT"/>
        </w:rPr>
        <w:t>Neviršykite</w:t>
      </w:r>
      <w:r w:rsidRPr="00846A3E">
        <w:rPr>
          <w:rFonts w:ascii="Times New Roman" w:eastAsia="Calibri" w:hAnsi="Times New Roman" w:cs="Times New Roman"/>
          <w:lang w:val="lt-LT"/>
        </w:rPr>
        <w:t xml:space="preserve"> rekomenduojamos dozės.</w:t>
      </w:r>
    </w:p>
    <w:p w14:paraId="5559DC6B" w14:textId="0DBA5C5D" w:rsidR="00B1792A" w:rsidRPr="00846A3E" w:rsidRDefault="00B1792A" w:rsidP="00846A3E">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14:paraId="3FC1100B" w14:textId="77777777" w:rsidR="00B1792A" w:rsidRPr="00846A3E" w:rsidRDefault="00B1792A" w:rsidP="00846A3E">
      <w:pPr>
        <w:pStyle w:val="Sraopastraipa"/>
        <w:widowControl w:val="0"/>
        <w:numPr>
          <w:ilvl w:val="0"/>
          <w:numId w:val="10"/>
        </w:numPr>
        <w:autoSpaceDE w:val="0"/>
        <w:autoSpaceDN w:val="0"/>
        <w:adjustRightInd w:val="0"/>
        <w:snapToGrid w:val="0"/>
        <w:spacing w:after="0" w:line="240" w:lineRule="auto"/>
        <w:ind w:left="567" w:hanging="567"/>
        <w:contextualSpacing w:val="0"/>
        <w:textAlignment w:val="center"/>
        <w:rPr>
          <w:rFonts w:ascii="Times New Roman" w:eastAsia="Times New Roman" w:hAnsi="Times New Roman" w:cs="Times New Roman"/>
          <w:color w:val="000000"/>
          <w:spacing w:val="-1"/>
          <w:lang w:val="lt-LT" w:eastAsia="lt-LT"/>
        </w:rPr>
      </w:pPr>
      <w:r w:rsidRPr="00846A3E">
        <w:rPr>
          <w:rFonts w:ascii="Times New Roman" w:eastAsia="Times New Roman" w:hAnsi="Times New Roman" w:cs="Times New Roman"/>
          <w:color w:val="000000"/>
          <w:spacing w:val="-1"/>
          <w:lang w:val="lt-LT" w:eastAsia="lt-LT"/>
        </w:rPr>
        <w:t>Burnoje disperguojama tabletė vartojama per burną.</w:t>
      </w:r>
    </w:p>
    <w:p w14:paraId="6C915A9F" w14:textId="77777777" w:rsidR="00B1792A" w:rsidRPr="00846A3E" w:rsidRDefault="00B1792A" w:rsidP="00D65358">
      <w:pPr>
        <w:pStyle w:val="Sraopastraipa"/>
        <w:widowControl w:val="0"/>
        <w:numPr>
          <w:ilvl w:val="0"/>
          <w:numId w:val="10"/>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Įdėkite </w:t>
      </w:r>
      <w:r w:rsidRPr="00846A3E">
        <w:rPr>
          <w:rFonts w:ascii="Times New Roman" w:eastAsia="Calibri" w:hAnsi="Times New Roman" w:cs="Times New Roman"/>
          <w:spacing w:val="-1"/>
          <w:lang w:val="lt-LT"/>
        </w:rPr>
        <w:t>burnoje disperguojamą t</w:t>
      </w:r>
      <w:r w:rsidRPr="00846A3E">
        <w:rPr>
          <w:rFonts w:ascii="Times New Roman" w:eastAsia="Calibri" w:hAnsi="Times New Roman" w:cs="Times New Roman"/>
          <w:lang w:val="lt-LT"/>
        </w:rPr>
        <w:t>abletę į burną. Ji greitai disperguojasi seilėse ir gali būti lengvai nuryjama.</w:t>
      </w:r>
    </w:p>
    <w:p w14:paraId="1F4E83CB" w14:textId="77777777" w:rsidR="00B1792A" w:rsidRPr="00846A3E" w:rsidRDefault="00B1792A" w:rsidP="00D65358">
      <w:pPr>
        <w:pStyle w:val="Sraopastraipa"/>
        <w:widowControl w:val="0"/>
        <w:numPr>
          <w:ilvl w:val="0"/>
          <w:numId w:val="10"/>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 xml:space="preserve">Taip pat burnoje disperguojamą tabletę galima ištirpinti arbatiniame šaukštelyje vandens. </w:t>
      </w:r>
    </w:p>
    <w:p w14:paraId="2222CA4E" w14:textId="77777777" w:rsidR="00B1792A" w:rsidRPr="00846A3E" w:rsidRDefault="00B1792A" w:rsidP="00D65358">
      <w:pPr>
        <w:pStyle w:val="Sraopastraipa"/>
        <w:widowControl w:val="0"/>
        <w:numPr>
          <w:ilvl w:val="0"/>
          <w:numId w:val="10"/>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b/>
          <w:lang w:val="lt-LT"/>
        </w:rPr>
        <w:t>Tirpinimui galima naudoti tik vandenį</w:t>
      </w:r>
      <w:r w:rsidRPr="00846A3E">
        <w:rPr>
          <w:rFonts w:ascii="Times New Roman" w:eastAsia="Calibri" w:hAnsi="Times New Roman" w:cs="Times New Roman"/>
          <w:lang w:val="lt-LT"/>
        </w:rPr>
        <w:t>, nenaudokite greipfrutų ar kitų vaisių sulčių.</w:t>
      </w:r>
    </w:p>
    <w:p w14:paraId="2BB7D7B9" w14:textId="4B69E453" w:rsidR="00B1792A" w:rsidRPr="00846A3E" w:rsidRDefault="00B1792A" w:rsidP="00D65358">
      <w:pPr>
        <w:pStyle w:val="Sraopastraipa"/>
        <w:widowControl w:val="0"/>
        <w:numPr>
          <w:ilvl w:val="0"/>
          <w:numId w:val="10"/>
        </w:numPr>
        <w:adjustRightInd w:val="0"/>
        <w:snapToGrid w:val="0"/>
        <w:spacing w:after="0" w:line="240" w:lineRule="auto"/>
        <w:ind w:left="567" w:hanging="567"/>
        <w:contextualSpacing w:val="0"/>
        <w:rPr>
          <w:rFonts w:ascii="Times New Roman" w:eastAsia="Calibri" w:hAnsi="Times New Roman" w:cs="Times New Roman"/>
          <w:lang w:val="lt-LT"/>
        </w:rPr>
      </w:pPr>
      <w:r w:rsidRPr="00846A3E">
        <w:rPr>
          <w:rFonts w:ascii="Times New Roman" w:eastAsia="Calibri" w:hAnsi="Times New Roman" w:cs="Times New Roman"/>
          <w:lang w:val="lt-LT"/>
        </w:rPr>
        <w:t>Burnoje disperguojamą tabletę reikia išgerti vieną valandą iki arba praėjus dviem valandoms po valgymo arba vaisių sulčių gėrimo</w:t>
      </w:r>
      <w:r w:rsidRPr="00846A3E">
        <w:rPr>
          <w:rFonts w:ascii="Times New Roman" w:hAnsi="Times New Roman" w:cs="Times New Roman"/>
          <w:lang w:val="lt-LT"/>
        </w:rPr>
        <w:t xml:space="preserve"> </w:t>
      </w:r>
      <w:r w:rsidRPr="00846A3E">
        <w:rPr>
          <w:rFonts w:ascii="Times New Roman" w:eastAsia="Calibri" w:hAnsi="Times New Roman" w:cs="Times New Roman"/>
          <w:lang w:val="lt-LT"/>
        </w:rPr>
        <w:t>(žr. 2</w:t>
      </w:r>
      <w:r w:rsidR="00DE723E" w:rsidRPr="00846A3E">
        <w:rPr>
          <w:rFonts w:ascii="Times New Roman" w:eastAsia="Calibri" w:hAnsi="Times New Roman" w:cs="Times New Roman"/>
          <w:lang w:val="lt-LT"/>
        </w:rPr>
        <w:t> </w:t>
      </w:r>
      <w:r w:rsidRPr="00846A3E">
        <w:rPr>
          <w:rFonts w:ascii="Times New Roman" w:eastAsia="Calibri" w:hAnsi="Times New Roman" w:cs="Times New Roman"/>
          <w:lang w:val="lt-LT"/>
        </w:rPr>
        <w:t>skyri</w:t>
      </w:r>
      <w:r w:rsidR="00485536" w:rsidRPr="00846A3E">
        <w:rPr>
          <w:rFonts w:ascii="Times New Roman" w:eastAsia="Calibri" w:hAnsi="Times New Roman" w:cs="Times New Roman"/>
          <w:lang w:val="lt-LT"/>
        </w:rPr>
        <w:t>aus poskyrį</w:t>
      </w:r>
      <w:r w:rsidRPr="00846A3E">
        <w:rPr>
          <w:rFonts w:ascii="Times New Roman" w:eastAsia="Calibri" w:hAnsi="Times New Roman" w:cs="Times New Roman"/>
          <w:lang w:val="lt-LT"/>
        </w:rPr>
        <w:t xml:space="preserve"> „</w:t>
      </w:r>
      <w:r w:rsidRPr="00846A3E">
        <w:rPr>
          <w:rFonts w:ascii="Times New Roman" w:eastAsia="Calibri" w:hAnsi="Times New Roman" w:cs="Times New Roman"/>
          <w:i/>
          <w:iCs/>
          <w:lang w:val="lt-LT"/>
        </w:rPr>
        <w:t>Opexa</w:t>
      </w:r>
      <w:r w:rsidR="00A357B1" w:rsidRPr="00846A3E">
        <w:rPr>
          <w:rFonts w:ascii="Times New Roman" w:eastAsia="Calibri" w:hAnsi="Times New Roman" w:cs="Times New Roman"/>
          <w:i/>
          <w:iCs/>
          <w:lang w:val="lt-LT"/>
        </w:rPr>
        <w:t xml:space="preserve"> </w:t>
      </w:r>
      <w:r w:rsidRPr="00846A3E">
        <w:rPr>
          <w:rFonts w:ascii="Times New Roman" w:eastAsia="Calibri" w:hAnsi="Times New Roman" w:cs="Times New Roman"/>
          <w:i/>
          <w:iCs/>
          <w:lang w:val="lt-LT"/>
        </w:rPr>
        <w:t>vartojimas su maistu, gėrimais ir alkoholiu</w:t>
      </w:r>
      <w:r w:rsidRPr="00846A3E">
        <w:rPr>
          <w:rFonts w:ascii="Times New Roman" w:eastAsia="Calibri" w:hAnsi="Times New Roman" w:cs="Times New Roman"/>
          <w:lang w:val="lt-LT"/>
        </w:rPr>
        <w:t>“).</w:t>
      </w:r>
    </w:p>
    <w:p w14:paraId="46DB8F53" w14:textId="77777777" w:rsidR="00B1792A" w:rsidRPr="00846A3E" w:rsidRDefault="00B1792A" w:rsidP="00846A3E">
      <w:pPr>
        <w:pStyle w:val="Sraopastraipa"/>
        <w:widowControl w:val="0"/>
        <w:adjustRightInd w:val="0"/>
        <w:snapToGrid w:val="0"/>
        <w:spacing w:after="0" w:line="240" w:lineRule="auto"/>
        <w:ind w:left="0"/>
        <w:contextualSpacing w:val="0"/>
        <w:rPr>
          <w:rFonts w:ascii="Times New Roman" w:eastAsia="Calibri" w:hAnsi="Times New Roman" w:cs="Times New Roman"/>
          <w:lang w:val="lt-LT"/>
        </w:rPr>
      </w:pPr>
    </w:p>
    <w:p w14:paraId="21FD7920" w14:textId="35D8521E" w:rsidR="00B1792A" w:rsidRPr="00846A3E" w:rsidRDefault="001C1AEF"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hAnsi="Times New Roman" w:cs="Times New Roman"/>
          <w:lang w:val="lt-LT"/>
        </w:rPr>
        <w:t>Jeigu per 3</w:t>
      </w:r>
      <w:r w:rsidR="007C4D1C" w:rsidRPr="00846A3E">
        <w:rPr>
          <w:rFonts w:ascii="Times New Roman" w:hAnsi="Times New Roman" w:cs="Times New Roman"/>
          <w:lang w:val="lt-LT"/>
        </w:rPr>
        <w:t> </w:t>
      </w:r>
      <w:r w:rsidRPr="00846A3E">
        <w:rPr>
          <w:rFonts w:ascii="Times New Roman" w:hAnsi="Times New Roman" w:cs="Times New Roman"/>
          <w:lang w:val="lt-LT"/>
        </w:rPr>
        <w:t>dienas Jūsų savijauta nepagerėjo arba net pablogėjo, kreipkitės į gydytoją.</w:t>
      </w:r>
      <w:r w:rsidR="00CE5F38" w:rsidRPr="00846A3E">
        <w:rPr>
          <w:rFonts w:ascii="Times New Roman" w:eastAsia="Calibri" w:hAnsi="Times New Roman" w:cs="Times New Roman"/>
          <w:lang w:val="lt-LT"/>
        </w:rPr>
        <w:t xml:space="preserve"> </w:t>
      </w:r>
      <w:r w:rsidR="00E664FB" w:rsidRPr="00846A3E">
        <w:rPr>
          <w:rFonts w:ascii="Times New Roman" w:eastAsia="Calibri" w:hAnsi="Times New Roman" w:cs="Times New Roman"/>
          <w:lang w:val="lt-LT"/>
        </w:rPr>
        <w:t>Nevartokite Opexa ilgiau nei 10</w:t>
      </w:r>
      <w:r w:rsidR="007C4D1C" w:rsidRPr="00846A3E">
        <w:rPr>
          <w:rFonts w:ascii="Times New Roman" w:eastAsia="Calibri" w:hAnsi="Times New Roman" w:cs="Times New Roman"/>
          <w:lang w:val="lt-LT"/>
        </w:rPr>
        <w:t> </w:t>
      </w:r>
      <w:r w:rsidR="00E664FB" w:rsidRPr="00846A3E">
        <w:rPr>
          <w:rFonts w:ascii="Times New Roman" w:eastAsia="Calibri" w:hAnsi="Times New Roman" w:cs="Times New Roman"/>
          <w:lang w:val="lt-LT"/>
        </w:rPr>
        <w:t>dienų nepasitarę su gydytoju.</w:t>
      </w:r>
    </w:p>
    <w:p w14:paraId="64CEEF9F" w14:textId="77777777" w:rsidR="00E664FB" w:rsidRPr="00846A3E" w:rsidRDefault="00E664FB" w:rsidP="00846A3E">
      <w:pPr>
        <w:widowControl w:val="0"/>
        <w:adjustRightInd w:val="0"/>
        <w:snapToGrid w:val="0"/>
        <w:spacing w:after="0" w:line="240" w:lineRule="auto"/>
        <w:rPr>
          <w:rFonts w:ascii="Times New Roman" w:eastAsia="Calibri" w:hAnsi="Times New Roman" w:cs="Times New Roman"/>
          <w:lang w:val="lt-LT"/>
        </w:rPr>
      </w:pPr>
    </w:p>
    <w:p w14:paraId="141C8EC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highlight w:val="yellow"/>
          <w:lang w:val="lt-LT"/>
        </w:rPr>
      </w:pPr>
      <w:r w:rsidRPr="00846A3E">
        <w:rPr>
          <w:rFonts w:ascii="Times New Roman" w:eastAsia="Calibri" w:hAnsi="Times New Roman" w:cs="Times New Roman"/>
          <w:b/>
          <w:lang w:val="lt-LT"/>
        </w:rPr>
        <w:t>Vartojimas vaikams</w:t>
      </w:r>
    </w:p>
    <w:p w14:paraId="484616C9" w14:textId="77777777" w:rsidR="00E96682" w:rsidRPr="00846A3E" w:rsidRDefault="00EC3246"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 xml:space="preserve">Neduokite šio vaisto jaunesniems kaip 12 metų vaikams. </w:t>
      </w:r>
    </w:p>
    <w:p w14:paraId="75489399" w14:textId="53A050F0" w:rsidR="00C85710" w:rsidRPr="00846A3E" w:rsidRDefault="008E58CE"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Kitos bilastino dozės ar farmacinės formos vaistai gali tikti vaikams nuo 6 iki 11 metų, kurių kūno svoris ne mažesnis kaip 20 kg. Tokio amžiaus vaikams šie vaistai </w:t>
      </w:r>
      <w:r w:rsidR="00392A65" w:rsidRPr="00846A3E">
        <w:rPr>
          <w:rFonts w:ascii="Times New Roman" w:eastAsia="Calibri" w:hAnsi="Times New Roman" w:cs="Times New Roman"/>
          <w:lang w:val="lt-LT"/>
        </w:rPr>
        <w:t>parduodami</w:t>
      </w:r>
      <w:r w:rsidRPr="00846A3E">
        <w:rPr>
          <w:rFonts w:ascii="Times New Roman" w:eastAsia="Calibri" w:hAnsi="Times New Roman" w:cs="Times New Roman"/>
          <w:lang w:val="lt-LT"/>
        </w:rPr>
        <w:t xml:space="preserve"> tik pagal gydytojo receptą, todėl kreipkitės į gydytoją. </w:t>
      </w:r>
    </w:p>
    <w:p w14:paraId="6CD1E16B" w14:textId="77777777" w:rsidR="008E58CE" w:rsidRPr="00846A3E" w:rsidRDefault="008E58CE" w:rsidP="00846A3E">
      <w:pPr>
        <w:widowControl w:val="0"/>
        <w:adjustRightInd w:val="0"/>
        <w:snapToGrid w:val="0"/>
        <w:spacing w:after="0" w:line="240" w:lineRule="auto"/>
        <w:rPr>
          <w:rFonts w:ascii="Times New Roman" w:eastAsia="Calibri" w:hAnsi="Times New Roman" w:cs="Times New Roman"/>
          <w:lang w:val="lt-LT"/>
        </w:rPr>
      </w:pPr>
    </w:p>
    <w:p w14:paraId="12D793D9"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Ką daryti pavartojus per didelę Opexa dozę</w:t>
      </w:r>
    </w:p>
    <w:p w14:paraId="734F95A4" w14:textId="13890AB9"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Jeigu Jūs arba kas nors kitas išgėrė per daug Opexa disperguojamųjų tablečių, </w:t>
      </w:r>
      <w:r w:rsidRPr="00846A3E">
        <w:rPr>
          <w:rFonts w:ascii="Times New Roman" w:eastAsia="Calibri" w:hAnsi="Times New Roman" w:cs="Times New Roman"/>
          <w:b/>
          <w:lang w:val="lt-LT"/>
        </w:rPr>
        <w:t xml:space="preserve">nedelsiant </w:t>
      </w:r>
      <w:r w:rsidRPr="00846A3E">
        <w:rPr>
          <w:rFonts w:ascii="Times New Roman" w:eastAsia="Calibri" w:hAnsi="Times New Roman" w:cs="Times New Roman"/>
          <w:lang w:val="lt-LT"/>
        </w:rPr>
        <w:t>kreipkitės į gydytoją arba vaistininką arba į artimiausios ligoninės skubios pagalbos skyrių. Nepamirškite pasiimti kartu šio vaisto pakuotę arba šį informacinį lapelį.</w:t>
      </w:r>
    </w:p>
    <w:p w14:paraId="4F2C9C0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D6B9914"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 xml:space="preserve">Pamiršus pavartoti Opexa </w:t>
      </w:r>
    </w:p>
    <w:p w14:paraId="23DC85D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Nevartokite dvigubos dozės norint kompensuoti praleistą dozę.</w:t>
      </w:r>
    </w:p>
    <w:p w14:paraId="5CF411B1" w14:textId="77777777" w:rsidR="00DE723E" w:rsidRPr="00846A3E" w:rsidRDefault="00DE723E" w:rsidP="00846A3E">
      <w:pPr>
        <w:widowControl w:val="0"/>
        <w:adjustRightInd w:val="0"/>
        <w:snapToGrid w:val="0"/>
        <w:spacing w:after="0" w:line="240" w:lineRule="auto"/>
        <w:rPr>
          <w:rFonts w:ascii="Times New Roman" w:eastAsia="Calibri" w:hAnsi="Times New Roman" w:cs="Times New Roman"/>
          <w:lang w:val="lt-LT"/>
        </w:rPr>
      </w:pPr>
    </w:p>
    <w:p w14:paraId="5E080A7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 užmiršote išgerti vaisto dozę tinkamu laiku, išgerkite kuo įmanoma greičiau,</w:t>
      </w:r>
      <w:r w:rsidRPr="00846A3E">
        <w:rPr>
          <w:rFonts w:ascii="Times New Roman" w:hAnsi="Times New Roman" w:cs="Times New Roman"/>
          <w:lang w:val="lt-LT"/>
        </w:rPr>
        <w:t xml:space="preserve"> </w:t>
      </w:r>
      <w:r w:rsidRPr="00846A3E">
        <w:rPr>
          <w:rFonts w:ascii="Times New Roman" w:eastAsia="Calibri" w:hAnsi="Times New Roman" w:cs="Times New Roman"/>
          <w:lang w:val="lt-LT"/>
        </w:rPr>
        <w:t>o tada grįžkite prie įprasto dozavimo grafiko.</w:t>
      </w:r>
    </w:p>
    <w:p w14:paraId="7B647B06" w14:textId="77777777" w:rsidR="00DE723E" w:rsidRPr="00846A3E" w:rsidRDefault="00DE723E" w:rsidP="00846A3E">
      <w:pPr>
        <w:widowControl w:val="0"/>
        <w:adjustRightInd w:val="0"/>
        <w:snapToGrid w:val="0"/>
        <w:spacing w:after="0" w:line="240" w:lineRule="auto"/>
        <w:rPr>
          <w:rFonts w:ascii="Times New Roman" w:eastAsia="Calibri" w:hAnsi="Times New Roman" w:cs="Times New Roman"/>
          <w:lang w:val="lt-LT"/>
        </w:rPr>
      </w:pPr>
    </w:p>
    <w:p w14:paraId="75870E6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kiltų daugiau klausimų dėl šio vaisto vartojimo, kreipkitės į gydytoją arba vaistininką.</w:t>
      </w:r>
    </w:p>
    <w:p w14:paraId="5940CA6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5A1BFCA" w14:textId="77777777" w:rsidR="00B1792A" w:rsidRPr="00846A3E" w:rsidRDefault="00B1792A" w:rsidP="00846A3E">
      <w:pPr>
        <w:widowControl w:val="0"/>
        <w:adjustRightInd w:val="0"/>
        <w:snapToGrid w:val="0"/>
        <w:spacing w:after="0" w:line="240" w:lineRule="auto"/>
        <w:outlineLvl w:val="3"/>
        <w:rPr>
          <w:rFonts w:ascii="Times New Roman" w:eastAsiaTheme="majorEastAsia" w:hAnsi="Times New Roman" w:cs="Times New Roman"/>
          <w:b/>
          <w:iCs/>
          <w:lang w:val="lt-LT"/>
        </w:rPr>
      </w:pPr>
      <w:r w:rsidRPr="00846A3E">
        <w:rPr>
          <w:rFonts w:ascii="Times New Roman" w:eastAsiaTheme="majorEastAsia" w:hAnsi="Times New Roman" w:cs="Times New Roman"/>
          <w:b/>
          <w:iCs/>
          <w:lang w:val="lt-LT"/>
        </w:rPr>
        <w:t>Nustojus vartoti Jeigu kiltų daugiau klausimų dėl šio vaisto vartojimo, kreipkitės į gydytoją arba vaistininką.</w:t>
      </w:r>
    </w:p>
    <w:p w14:paraId="49477136" w14:textId="46D30A5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Nustojus vartoti Jeigu kiltų daugiau klausimų dėl šio vaisto vartojimo, kreipkitės į gydytoją arba vaistininką. </w:t>
      </w:r>
      <w:r w:rsidR="007C4D1C" w:rsidRPr="00846A3E">
        <w:rPr>
          <w:rFonts w:ascii="Times New Roman" w:eastAsia="Calibri" w:hAnsi="Times New Roman" w:cs="Times New Roman"/>
          <w:lang w:val="lt-LT"/>
        </w:rPr>
        <w:t>D</w:t>
      </w:r>
      <w:r w:rsidRPr="00846A3E">
        <w:rPr>
          <w:rFonts w:ascii="Times New Roman" w:eastAsia="Calibri" w:hAnsi="Times New Roman" w:cs="Times New Roman"/>
          <w:lang w:val="lt-LT"/>
        </w:rPr>
        <w:t>ažniausiai neturėtų būti kokių nors sutrikimų.</w:t>
      </w:r>
    </w:p>
    <w:p w14:paraId="54CF13B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734FB7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kiltų daugiau klausimų dėl šio vaisto vartojimo, kreipkitės į gydytoją arba vaistininką.</w:t>
      </w:r>
    </w:p>
    <w:p w14:paraId="369F30B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41B957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1420C04"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80" w:name="_Toc129243267"/>
      <w:bookmarkStart w:id="81" w:name="_Toc129243142"/>
      <w:r w:rsidRPr="00846A3E">
        <w:rPr>
          <w:rFonts w:ascii="Times New Roman" w:eastAsia="Times New Roman" w:hAnsi="Times New Roman" w:cs="Times New Roman"/>
          <w:b/>
          <w:lang w:val="lt-LT"/>
        </w:rPr>
        <w:t>4.</w:t>
      </w:r>
      <w:r w:rsidRPr="00846A3E">
        <w:rPr>
          <w:rFonts w:ascii="Times New Roman" w:eastAsia="Times New Roman" w:hAnsi="Times New Roman" w:cs="Times New Roman"/>
          <w:b/>
          <w:lang w:val="lt-LT"/>
        </w:rPr>
        <w:tab/>
      </w:r>
      <w:bookmarkEnd w:id="80"/>
      <w:bookmarkEnd w:id="81"/>
      <w:r w:rsidRPr="00846A3E">
        <w:rPr>
          <w:rFonts w:ascii="Times New Roman" w:eastAsia="Times New Roman" w:hAnsi="Times New Roman" w:cs="Times New Roman"/>
          <w:b/>
          <w:lang w:val="lt-LT"/>
        </w:rPr>
        <w:t>Galimas šalutinis poveikis</w:t>
      </w:r>
    </w:p>
    <w:p w14:paraId="5DD3ACC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C971D8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Šis vaistas, kaip ir visi kiti, gali sukelti šalutinį poveikį, nors jis pasireiškia ne visiems žmonėms.</w:t>
      </w:r>
    </w:p>
    <w:p w14:paraId="6C5509A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55F3EC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01F92C1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F1D6497" w14:textId="293F687E" w:rsidR="00B1792A" w:rsidRPr="00846A3E" w:rsidRDefault="00B1792A" w:rsidP="00D65358">
      <w:pPr>
        <w:keepNext/>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lastRenderedPageBreak/>
        <w:t xml:space="preserve">Kiti šalutinio poveikio reiškiniai, </w:t>
      </w:r>
      <w:r w:rsidR="000E79D8" w:rsidRPr="00846A3E">
        <w:rPr>
          <w:rFonts w:ascii="Times New Roman" w:eastAsia="Calibri" w:hAnsi="Times New Roman" w:cs="Times New Roman"/>
          <w:b/>
          <w:lang w:val="lt-LT"/>
        </w:rPr>
        <w:t xml:space="preserve">kurie </w:t>
      </w:r>
      <w:r w:rsidRPr="00846A3E">
        <w:rPr>
          <w:rFonts w:ascii="Times New Roman" w:eastAsia="Calibri" w:hAnsi="Times New Roman" w:cs="Times New Roman"/>
          <w:b/>
          <w:lang w:val="lt-LT"/>
        </w:rPr>
        <w:t>gali pasireikšti suaugusiesiems ir paaugliams</w:t>
      </w:r>
    </w:p>
    <w:p w14:paraId="35A8E6D3" w14:textId="77777777" w:rsidR="00B1792A" w:rsidRPr="00846A3E" w:rsidRDefault="00B1792A" w:rsidP="00D65358">
      <w:pPr>
        <w:keepNext/>
        <w:widowControl w:val="0"/>
        <w:adjustRightInd w:val="0"/>
        <w:snapToGrid w:val="0"/>
        <w:spacing w:after="0" w:line="240" w:lineRule="auto"/>
        <w:rPr>
          <w:rFonts w:ascii="Times New Roman" w:eastAsia="Calibri" w:hAnsi="Times New Roman" w:cs="Times New Roman"/>
          <w:lang w:val="lt-LT"/>
        </w:rPr>
      </w:pPr>
    </w:p>
    <w:p w14:paraId="2BAC01B3" w14:textId="62FB73B5" w:rsidR="00B1792A" w:rsidRPr="00846A3E" w:rsidRDefault="00B1792A" w:rsidP="00D65358">
      <w:pPr>
        <w:keepNext/>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b/>
          <w:bCs/>
          <w:lang w:val="lt-LT"/>
        </w:rPr>
        <w:t>Dažni: gali pasireikšti rečiau kaip</w:t>
      </w:r>
      <w:r w:rsidRPr="00846A3E">
        <w:rPr>
          <w:rFonts w:ascii="Times New Roman" w:hAnsi="Times New Roman" w:cs="Times New Roman"/>
          <w:b/>
          <w:bCs/>
          <w:snapToGrid w:val="0"/>
          <w:lang w:val="lt-LT"/>
        </w:rPr>
        <w:t xml:space="preserve"> </w:t>
      </w:r>
      <w:r w:rsidRPr="00846A3E">
        <w:rPr>
          <w:rFonts w:ascii="Times New Roman" w:hAnsi="Times New Roman" w:cs="Times New Roman"/>
          <w:b/>
          <w:bCs/>
          <w:lang w:val="lt-LT"/>
        </w:rPr>
        <w:t>1 iš 10</w:t>
      </w:r>
      <w:r w:rsidR="00DE723E" w:rsidRPr="00846A3E">
        <w:rPr>
          <w:rFonts w:ascii="Times New Roman" w:hAnsi="Times New Roman" w:cs="Times New Roman"/>
          <w:b/>
          <w:bCs/>
          <w:lang w:val="lt-LT"/>
        </w:rPr>
        <w:t> </w:t>
      </w:r>
      <w:r w:rsidRPr="00846A3E">
        <w:rPr>
          <w:rFonts w:ascii="Times New Roman" w:hAnsi="Times New Roman" w:cs="Times New Roman"/>
          <w:b/>
          <w:bCs/>
          <w:lang w:val="lt-LT"/>
        </w:rPr>
        <w:t>asmenų</w:t>
      </w:r>
    </w:p>
    <w:p w14:paraId="00C9E9BA" w14:textId="77777777" w:rsidR="00B1792A" w:rsidRPr="00846A3E" w:rsidRDefault="00B1792A" w:rsidP="00846A3E">
      <w:pPr>
        <w:widowControl w:val="0"/>
        <w:numPr>
          <w:ilvl w:val="0"/>
          <w:numId w:val="5"/>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galvos skausmas,</w:t>
      </w:r>
    </w:p>
    <w:p w14:paraId="5D1832CD" w14:textId="77777777" w:rsidR="00B1792A" w:rsidRPr="00846A3E" w:rsidRDefault="00B1792A" w:rsidP="00846A3E">
      <w:pPr>
        <w:widowControl w:val="0"/>
        <w:numPr>
          <w:ilvl w:val="0"/>
          <w:numId w:val="5"/>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mieguistumas.</w:t>
      </w:r>
    </w:p>
    <w:p w14:paraId="0461BF1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4EC816A" w14:textId="23264208"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b/>
          <w:bCs/>
          <w:lang w:val="lt-LT"/>
        </w:rPr>
        <w:t>Nedažni:</w:t>
      </w:r>
      <w:r w:rsidR="00DE723E" w:rsidRPr="00846A3E">
        <w:rPr>
          <w:rFonts w:ascii="Times New Roman" w:hAnsi="Times New Roman" w:cs="Times New Roman"/>
          <w:b/>
          <w:bCs/>
          <w:lang w:val="lt-LT"/>
        </w:rPr>
        <w:t xml:space="preserve"> </w:t>
      </w:r>
      <w:r w:rsidRPr="00846A3E">
        <w:rPr>
          <w:rFonts w:ascii="Times New Roman" w:hAnsi="Times New Roman" w:cs="Times New Roman"/>
          <w:b/>
          <w:bCs/>
          <w:lang w:val="lt-LT"/>
        </w:rPr>
        <w:t>gali pasireikšti rečiau kaip 1 iš 100</w:t>
      </w:r>
      <w:r w:rsidR="00DE723E" w:rsidRPr="00846A3E">
        <w:rPr>
          <w:rFonts w:ascii="Times New Roman" w:hAnsi="Times New Roman" w:cs="Times New Roman"/>
          <w:b/>
          <w:bCs/>
          <w:lang w:val="lt-LT"/>
        </w:rPr>
        <w:t> </w:t>
      </w:r>
      <w:r w:rsidRPr="00846A3E">
        <w:rPr>
          <w:rFonts w:ascii="Times New Roman" w:hAnsi="Times New Roman" w:cs="Times New Roman"/>
          <w:b/>
          <w:bCs/>
          <w:lang w:val="lt-LT"/>
        </w:rPr>
        <w:t>asmenų</w:t>
      </w:r>
    </w:p>
    <w:p w14:paraId="702D91DA" w14:textId="0243B864" w:rsidR="00B1792A" w:rsidRPr="00846A3E" w:rsidRDefault="00B86223" w:rsidP="00846A3E">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hAnsi="Times New Roman" w:cs="Times New Roman"/>
          <w:lang w:val="lt-LT"/>
        </w:rPr>
        <w:t>elektrokardiogramo</w:t>
      </w:r>
      <w:r w:rsidRPr="00846A3E">
        <w:rPr>
          <w:rFonts w:ascii="Times New Roman" w:eastAsia="Calibri" w:hAnsi="Times New Roman" w:cs="Times New Roman"/>
          <w:lang w:val="lt-LT"/>
        </w:rPr>
        <w:t>s (</w:t>
      </w:r>
      <w:r w:rsidR="00B1792A" w:rsidRPr="00846A3E">
        <w:rPr>
          <w:rFonts w:ascii="Times New Roman" w:eastAsia="Calibri" w:hAnsi="Times New Roman" w:cs="Times New Roman"/>
          <w:lang w:val="lt-LT"/>
        </w:rPr>
        <w:t>EKG</w:t>
      </w:r>
      <w:r w:rsidRPr="00846A3E">
        <w:rPr>
          <w:rFonts w:ascii="Times New Roman" w:eastAsia="Calibri" w:hAnsi="Times New Roman" w:cs="Times New Roman"/>
          <w:lang w:val="lt-LT"/>
        </w:rPr>
        <w:t>)</w:t>
      </w:r>
      <w:r w:rsidR="00B1792A" w:rsidRPr="00846A3E">
        <w:rPr>
          <w:rFonts w:ascii="Times New Roman" w:eastAsia="Calibri" w:hAnsi="Times New Roman" w:cs="Times New Roman"/>
          <w:lang w:val="lt-LT"/>
        </w:rPr>
        <w:t xml:space="preserve"> pakitimai,</w:t>
      </w:r>
    </w:p>
    <w:p w14:paraId="1F4149F0"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kraujo pakitimai, rodantys kepenų veiklos aktyvumą,</w:t>
      </w:r>
    </w:p>
    <w:p w14:paraId="26BE4BD7"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svaigulys,</w:t>
      </w:r>
    </w:p>
    <w:p w14:paraId="6D702DCD"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skrandžio skausmas,</w:t>
      </w:r>
    </w:p>
    <w:p w14:paraId="039A023E"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nuovargis,</w:t>
      </w:r>
    </w:p>
    <w:p w14:paraId="4654C63C"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padidėjęs apetitas,</w:t>
      </w:r>
    </w:p>
    <w:p w14:paraId="3D45D11A"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nereguliarus širdies plakimas,</w:t>
      </w:r>
    </w:p>
    <w:p w14:paraId="3A739C1A"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 xml:space="preserve">padidėjęs svoris, </w:t>
      </w:r>
    </w:p>
    <w:p w14:paraId="00385A21"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pykinimas,</w:t>
      </w:r>
    </w:p>
    <w:p w14:paraId="0CE65ECF"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baimė,</w:t>
      </w:r>
    </w:p>
    <w:p w14:paraId="7CCFF53A"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nosies džiūvimas arba kitas nemalonus pojūtis,</w:t>
      </w:r>
    </w:p>
    <w:p w14:paraId="50FFABF8"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pilvo skausmas,</w:t>
      </w:r>
    </w:p>
    <w:p w14:paraId="7B752806"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 xml:space="preserve">viduriavimas, </w:t>
      </w:r>
    </w:p>
    <w:p w14:paraId="588D73B3"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gastritas (skrandžio gleivinės uždegimas),</w:t>
      </w:r>
    </w:p>
    <w:p w14:paraId="459C8E3E"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galvos svaigimas (</w:t>
      </w:r>
      <w:r w:rsidRPr="00846A3E">
        <w:rPr>
          <w:rFonts w:ascii="Times New Roman" w:eastAsia="Calibri" w:hAnsi="Times New Roman" w:cs="Times New Roman"/>
          <w:i/>
          <w:lang w:val="lt-LT"/>
        </w:rPr>
        <w:t>vertigo</w:t>
      </w:r>
      <w:r w:rsidRPr="00846A3E">
        <w:rPr>
          <w:rFonts w:ascii="Times New Roman" w:eastAsia="Calibri" w:hAnsi="Times New Roman" w:cs="Times New Roman"/>
          <w:lang w:val="lt-LT"/>
        </w:rPr>
        <w:t>),</w:t>
      </w:r>
    </w:p>
    <w:p w14:paraId="2209AFCD"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silpnumas,</w:t>
      </w:r>
    </w:p>
    <w:p w14:paraId="68AA05B1"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troškulys,</w:t>
      </w:r>
    </w:p>
    <w:p w14:paraId="5DA9364F"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dusulys (pasunkėjęs kvėpavimas),</w:t>
      </w:r>
    </w:p>
    <w:p w14:paraId="3F955AD4"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burnos džiūvimas,</w:t>
      </w:r>
    </w:p>
    <w:p w14:paraId="5FCA4098"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sutrikęs virškinimas,</w:t>
      </w:r>
    </w:p>
    <w:p w14:paraId="6D1CEF4B" w14:textId="06FED4EF"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niež</w:t>
      </w:r>
      <w:r w:rsidR="00B86223" w:rsidRPr="00846A3E">
        <w:rPr>
          <w:rFonts w:ascii="Times New Roman" w:eastAsia="Calibri" w:hAnsi="Times New Roman" w:cs="Times New Roman"/>
          <w:lang w:val="lt-LT"/>
        </w:rPr>
        <w:t>ėjimas</w:t>
      </w:r>
      <w:r w:rsidRPr="00846A3E">
        <w:rPr>
          <w:rFonts w:ascii="Times New Roman" w:eastAsia="Calibri" w:hAnsi="Times New Roman" w:cs="Times New Roman"/>
          <w:lang w:val="lt-LT"/>
        </w:rPr>
        <w:t>,</w:t>
      </w:r>
    </w:p>
    <w:p w14:paraId="0A14F58E"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pūslelinė (</w:t>
      </w:r>
      <w:r w:rsidRPr="00846A3E">
        <w:rPr>
          <w:rFonts w:ascii="Times New Roman" w:eastAsia="Calibri" w:hAnsi="Times New Roman" w:cs="Times New Roman"/>
          <w:i/>
          <w:lang w:val="lt-LT"/>
        </w:rPr>
        <w:t>herpes)</w:t>
      </w:r>
      <w:r w:rsidRPr="00846A3E">
        <w:rPr>
          <w:rFonts w:ascii="Times New Roman" w:eastAsia="Calibri" w:hAnsi="Times New Roman" w:cs="Times New Roman"/>
          <w:lang w:val="lt-LT"/>
        </w:rPr>
        <w:t>,</w:t>
      </w:r>
    </w:p>
    <w:p w14:paraId="611CEBE0"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karščiavimas,</w:t>
      </w:r>
    </w:p>
    <w:p w14:paraId="2D91DF6C"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ūžesys ausyse,</w:t>
      </w:r>
    </w:p>
    <w:p w14:paraId="5034ED0D"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miego sutrikimas,</w:t>
      </w:r>
    </w:p>
    <w:p w14:paraId="1976FC1E"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kraujo tyrimai, rodantys inkstų veiklos pakitimus,</w:t>
      </w:r>
    </w:p>
    <w:p w14:paraId="04B2D010" w14:textId="77777777" w:rsidR="00B1792A" w:rsidRPr="00846A3E" w:rsidRDefault="00B1792A" w:rsidP="00D65358">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padidėjęs riebalų kiekis kraujyje.</w:t>
      </w:r>
    </w:p>
    <w:p w14:paraId="5AE49C0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p>
    <w:p w14:paraId="0F428473"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Dažnis nežinomas: negali būti apskaičiuotas pagal turimus duomenis</w:t>
      </w:r>
    </w:p>
    <w:p w14:paraId="05DFE355" w14:textId="77777777" w:rsidR="00B1792A" w:rsidRPr="00846A3E" w:rsidRDefault="00B1792A" w:rsidP="00846A3E">
      <w:pPr>
        <w:widowControl w:val="0"/>
        <w:numPr>
          <w:ilvl w:val="0"/>
          <w:numId w:val="7"/>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širdies tvinksniai (pojūtis, kad jūsų širdis plaka),</w:t>
      </w:r>
    </w:p>
    <w:p w14:paraId="7920E627" w14:textId="77777777" w:rsidR="00B1792A" w:rsidRPr="00846A3E" w:rsidRDefault="00B1792A" w:rsidP="00846A3E">
      <w:pPr>
        <w:widowControl w:val="0"/>
        <w:numPr>
          <w:ilvl w:val="0"/>
          <w:numId w:val="7"/>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tachikardija (dažnas širdies plakimas),</w:t>
      </w:r>
    </w:p>
    <w:p w14:paraId="7E2A61CC" w14:textId="77777777" w:rsidR="00B1792A" w:rsidRPr="00846A3E" w:rsidRDefault="00B1792A" w:rsidP="00846A3E">
      <w:pPr>
        <w:widowControl w:val="0"/>
        <w:numPr>
          <w:ilvl w:val="0"/>
          <w:numId w:val="7"/>
        </w:numPr>
        <w:tabs>
          <w:tab w:val="num" w:pos="1498"/>
        </w:tabs>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Theme="minorEastAsia" w:hAnsi="Times New Roman" w:cs="Times New Roman"/>
          <w:lang w:val="lt-LT"/>
        </w:rPr>
        <w:t>vėmimas.</w:t>
      </w:r>
    </w:p>
    <w:p w14:paraId="3AF6C43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7D294F4" w14:textId="0DC002A1"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Šalutinio poveikio reiškiniai, kurių gali pasireikšti vaikams</w:t>
      </w:r>
    </w:p>
    <w:p w14:paraId="3D462C97" w14:textId="77777777" w:rsidR="007C4D1C" w:rsidRPr="00846A3E" w:rsidRDefault="007C4D1C" w:rsidP="00846A3E">
      <w:pPr>
        <w:widowControl w:val="0"/>
        <w:adjustRightInd w:val="0"/>
        <w:snapToGrid w:val="0"/>
        <w:spacing w:after="0" w:line="240" w:lineRule="auto"/>
        <w:rPr>
          <w:rFonts w:ascii="Times New Roman" w:eastAsia="Calibri" w:hAnsi="Times New Roman" w:cs="Times New Roman"/>
          <w:b/>
          <w:lang w:val="lt-LT"/>
        </w:rPr>
      </w:pPr>
    </w:p>
    <w:p w14:paraId="54A90ABD"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 xml:space="preserve">Dažni: gali pasireikšti </w:t>
      </w:r>
      <w:r w:rsidRPr="00846A3E">
        <w:rPr>
          <w:rFonts w:ascii="Times New Roman" w:hAnsi="Times New Roman" w:cs="Times New Roman"/>
          <w:b/>
          <w:bCs/>
          <w:lang w:val="lt-LT"/>
        </w:rPr>
        <w:t>rečiau kaip</w:t>
      </w:r>
      <w:r w:rsidRPr="00846A3E">
        <w:rPr>
          <w:rFonts w:ascii="Times New Roman" w:eastAsia="Calibri" w:hAnsi="Times New Roman" w:cs="Times New Roman"/>
          <w:b/>
          <w:lang w:val="lt-LT"/>
        </w:rPr>
        <w:t xml:space="preserve"> 1 iš 10 asmenų</w:t>
      </w:r>
    </w:p>
    <w:p w14:paraId="740DD40B"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sloga (nosies dirginimas),</w:t>
      </w:r>
    </w:p>
    <w:p w14:paraId="518C8C9A"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alerginis konjunktyvitas (akių sudirginimas),</w:t>
      </w:r>
    </w:p>
    <w:p w14:paraId="17FACB49"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galvos skausmas,</w:t>
      </w:r>
    </w:p>
    <w:p w14:paraId="0B55731C"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skausmas skrandžio plote (pilvo arba pilvo viršutinės dalies skausmas).</w:t>
      </w:r>
    </w:p>
    <w:p w14:paraId="682DA68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A597895"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 xml:space="preserve">Nedažni: gali pasireikšti </w:t>
      </w:r>
      <w:r w:rsidRPr="00846A3E">
        <w:rPr>
          <w:rFonts w:ascii="Times New Roman" w:hAnsi="Times New Roman" w:cs="Times New Roman"/>
          <w:b/>
          <w:bCs/>
          <w:lang w:val="lt-LT"/>
        </w:rPr>
        <w:t>rečiau kaip</w:t>
      </w:r>
      <w:r w:rsidRPr="00846A3E">
        <w:rPr>
          <w:rFonts w:ascii="Times New Roman" w:eastAsia="Calibri" w:hAnsi="Times New Roman" w:cs="Times New Roman"/>
          <w:b/>
          <w:lang w:val="lt-LT"/>
        </w:rPr>
        <w:t xml:space="preserve"> 1 iš 100 asmenų</w:t>
      </w:r>
    </w:p>
    <w:p w14:paraId="1573BE2E"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akių sudirginimas,</w:t>
      </w:r>
    </w:p>
    <w:p w14:paraId="14539A38"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mieguistumas,</w:t>
      </w:r>
    </w:p>
    <w:p w14:paraId="66500FF6"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sąmonės netekimas,</w:t>
      </w:r>
    </w:p>
    <w:p w14:paraId="2881445C"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viduriavimas,</w:t>
      </w:r>
    </w:p>
    <w:p w14:paraId="022837CC"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pykinimas,</w:t>
      </w:r>
    </w:p>
    <w:p w14:paraId="5BF12D54"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lastRenderedPageBreak/>
        <w:t>-</w:t>
      </w:r>
      <w:r w:rsidRPr="00846A3E">
        <w:rPr>
          <w:rFonts w:ascii="Times New Roman" w:eastAsia="Calibri" w:hAnsi="Times New Roman" w:cs="Times New Roman"/>
          <w:lang w:val="lt-LT"/>
        </w:rPr>
        <w:tab/>
        <w:t>lūpų patinimas,</w:t>
      </w:r>
    </w:p>
    <w:p w14:paraId="4E64CD67"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 xml:space="preserve">egzema, </w:t>
      </w:r>
    </w:p>
    <w:p w14:paraId="0C28C9C1"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dilgėlinė (pūkšlės),</w:t>
      </w:r>
    </w:p>
    <w:p w14:paraId="13D0A2B8"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nuovargis.</w:t>
      </w:r>
    </w:p>
    <w:p w14:paraId="45FF29C3" w14:textId="77777777" w:rsidR="00B1792A" w:rsidRPr="00846A3E" w:rsidRDefault="00B1792A" w:rsidP="00846A3E">
      <w:pPr>
        <w:widowControl w:val="0"/>
        <w:adjustRightInd w:val="0"/>
        <w:snapToGrid w:val="0"/>
        <w:spacing w:after="0" w:line="240" w:lineRule="auto"/>
        <w:ind w:left="567" w:hanging="567"/>
        <w:rPr>
          <w:rFonts w:ascii="Times New Roman" w:eastAsia="Calibri" w:hAnsi="Times New Roman" w:cs="Times New Roman"/>
          <w:lang w:val="lt-LT"/>
        </w:rPr>
      </w:pPr>
    </w:p>
    <w:p w14:paraId="68F1EB2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lang w:val="lt-LT"/>
        </w:rPr>
        <w:t>Pranešimas apie šalutinį poveikį</w:t>
      </w:r>
    </w:p>
    <w:p w14:paraId="23D7957B" w14:textId="78F51BD9"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pasireiškė šalutinis poveikis, įskaitant šiame l</w:t>
      </w:r>
      <w:r w:rsidR="002B036F" w:rsidRPr="00846A3E">
        <w:rPr>
          <w:rFonts w:ascii="Times New Roman" w:eastAsia="Calibri" w:hAnsi="Times New Roman" w:cs="Times New Roman"/>
          <w:lang w:val="lt-LT"/>
        </w:rPr>
        <w:t>a</w:t>
      </w:r>
      <w:r w:rsidRPr="00846A3E">
        <w:rPr>
          <w:rFonts w:ascii="Times New Roman" w:eastAsia="Calibri" w:hAnsi="Times New Roman" w:cs="Times New Roman"/>
          <w:lang w:val="lt-LT"/>
        </w:rPr>
        <w:t xml:space="preserve">pelyje nenurodytą, pasakykite gydytojui arba vaistininkui. </w:t>
      </w:r>
      <w:r w:rsidRPr="00846A3E">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846A3E">
        <w:rPr>
          <w:rFonts w:ascii="Times New Roman" w:hAnsi="Times New Roman" w:cs="Times New Roman"/>
          <w:color w:val="0000FF"/>
          <w:u w:val="single"/>
          <w:lang w:val="lt-LT"/>
        </w:rPr>
        <w:t>https://vapris.vvkt.lt/vvkt-web/public/nrv</w:t>
      </w:r>
      <w:r w:rsidRPr="00846A3E">
        <w:rPr>
          <w:rFonts w:ascii="Times New Roman" w:hAnsi="Times New Roman" w:cs="Times New Roman"/>
          <w:lang w:val="lt-LT"/>
        </w:rPr>
        <w:t xml:space="preserve"> arba užpildant Paciento pranešimo apie įtariamą nepageidaujamą reakciją (ĮNR) formą, kuri skelbiama </w:t>
      </w:r>
      <w:r w:rsidRPr="00846A3E">
        <w:rPr>
          <w:rFonts w:ascii="Times New Roman" w:hAnsi="Times New Roman" w:cs="Times New Roman"/>
          <w:color w:val="0000FF"/>
          <w:u w:val="single"/>
          <w:lang w:val="lt-LT"/>
        </w:rPr>
        <w:t>https://www.vvkt.lt/index.php?4004286486</w:t>
      </w:r>
      <w:r w:rsidRPr="00846A3E">
        <w:rPr>
          <w:rFonts w:ascii="Times New Roman" w:hAnsi="Times New Roman" w:cs="Times New Roman"/>
          <w:lang w:val="lt-LT"/>
        </w:rPr>
        <w:t xml:space="preserve">, ir atsiunčiant elektroniniu paštu (adresu </w:t>
      </w:r>
      <w:r w:rsidRPr="00846A3E">
        <w:rPr>
          <w:rFonts w:ascii="Times New Roman" w:hAnsi="Times New Roman" w:cs="Times New Roman"/>
          <w:color w:val="0000FF"/>
          <w:u w:val="single"/>
          <w:lang w:val="lt-LT"/>
        </w:rPr>
        <w:t>NepageidaujamaR@vvkt.lt</w:t>
      </w:r>
      <w:r w:rsidRPr="00846A3E">
        <w:rPr>
          <w:rFonts w:ascii="Times New Roman" w:hAnsi="Times New Roman" w:cs="Times New Roman"/>
          <w:lang w:val="lt-LT"/>
        </w:rPr>
        <w:t>) arba nemokamu telefonu 8 800 73 568.</w:t>
      </w:r>
      <w:r w:rsidRPr="00846A3E">
        <w:rPr>
          <w:rFonts w:ascii="Times New Roman" w:eastAsia="Calibri" w:hAnsi="Times New Roman" w:cs="Times New Roman"/>
          <w:lang w:val="lt-LT"/>
        </w:rPr>
        <w:t xml:space="preserve"> </w:t>
      </w:r>
    </w:p>
    <w:p w14:paraId="208E66C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208B02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Pranešdami apie šalutinį poveikį galite mums padėti gauti daugiau informacijos apie šio vaisto saugumą.</w:t>
      </w:r>
    </w:p>
    <w:p w14:paraId="725A072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2D063B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F8E3E86" w14:textId="6E3A5A2D"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82" w:name="_Toc129243268"/>
      <w:bookmarkStart w:id="83" w:name="_Toc129243143"/>
      <w:r w:rsidRPr="00846A3E">
        <w:rPr>
          <w:rFonts w:ascii="Times New Roman" w:eastAsia="Times New Roman" w:hAnsi="Times New Roman" w:cs="Times New Roman"/>
          <w:b/>
          <w:lang w:val="lt-LT"/>
        </w:rPr>
        <w:t>5.</w:t>
      </w:r>
      <w:r w:rsidRPr="00846A3E">
        <w:rPr>
          <w:rFonts w:ascii="Times New Roman" w:eastAsia="Times New Roman" w:hAnsi="Times New Roman" w:cs="Times New Roman"/>
          <w:b/>
          <w:lang w:val="lt-LT"/>
        </w:rPr>
        <w:tab/>
      </w:r>
      <w:bookmarkEnd w:id="82"/>
      <w:bookmarkEnd w:id="83"/>
      <w:r w:rsidRPr="00846A3E">
        <w:rPr>
          <w:rFonts w:ascii="Times New Roman" w:eastAsia="Times New Roman" w:hAnsi="Times New Roman" w:cs="Times New Roman"/>
          <w:b/>
          <w:lang w:val="lt-LT"/>
        </w:rPr>
        <w:t>Kaip laikyti Opexa</w:t>
      </w:r>
    </w:p>
    <w:p w14:paraId="5F014264"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4E5CF18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Šį vaistą laikykite vaikams nepastebimoje ir nepasiekiamoje vietoje.</w:t>
      </w:r>
    </w:p>
    <w:p w14:paraId="5EA9F9B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9DECEFB" w14:textId="5BE1989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Ant dėžutės ir lizdinės plokštelės po „</w:t>
      </w:r>
      <w:r w:rsidR="000E79D8" w:rsidRPr="00846A3E">
        <w:rPr>
          <w:rFonts w:ascii="Times New Roman" w:eastAsia="Calibri" w:hAnsi="Times New Roman" w:cs="Times New Roman"/>
          <w:lang w:val="lt-LT"/>
        </w:rPr>
        <w:t>Tinka iki</w:t>
      </w:r>
      <w:r w:rsidR="00274C5D" w:rsidRPr="00846A3E">
        <w:rPr>
          <w:rFonts w:ascii="Times New Roman" w:eastAsia="Calibri" w:hAnsi="Times New Roman" w:cs="Times New Roman"/>
          <w:lang w:val="lt-LT"/>
        </w:rPr>
        <w:t xml:space="preserve"> </w:t>
      </w:r>
      <w:r w:rsidR="000E79D8" w:rsidRPr="00846A3E">
        <w:rPr>
          <w:rFonts w:ascii="Times New Roman" w:eastAsia="Calibri" w:hAnsi="Times New Roman" w:cs="Times New Roman"/>
          <w:lang w:val="lt-LT"/>
        </w:rPr>
        <w:t>/</w:t>
      </w:r>
      <w:r w:rsidR="00274C5D" w:rsidRPr="00846A3E">
        <w:rPr>
          <w:rFonts w:ascii="Times New Roman" w:eastAsia="Calibri" w:hAnsi="Times New Roman" w:cs="Times New Roman"/>
          <w:lang w:val="lt-LT"/>
        </w:rPr>
        <w:t xml:space="preserve"> </w:t>
      </w:r>
      <w:r w:rsidRPr="00846A3E">
        <w:rPr>
          <w:rFonts w:ascii="Times New Roman" w:eastAsia="Calibri" w:hAnsi="Times New Roman" w:cs="Times New Roman"/>
          <w:lang w:val="lt-LT"/>
        </w:rPr>
        <w:t>EXP“ nurodytam tinkamumo laikui pasibaigus, šio vaisto vartoti negalima. Vaistas tinkamas vartoti iki paskutinės nurodyto mėnesio dienos.</w:t>
      </w:r>
    </w:p>
    <w:p w14:paraId="33B74EA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A51EE0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Šiam vaistui specialių laikymo sąlygų nereikia.</w:t>
      </w:r>
    </w:p>
    <w:p w14:paraId="54248E2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96F512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5E8A1CB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37C6B80"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734F13C" w14:textId="77777777" w:rsidR="00B1792A" w:rsidRPr="00846A3E" w:rsidRDefault="00B1792A" w:rsidP="00846A3E">
      <w:pPr>
        <w:widowControl w:val="0"/>
        <w:tabs>
          <w:tab w:val="left" w:pos="567"/>
        </w:tabs>
        <w:adjustRightInd w:val="0"/>
        <w:snapToGrid w:val="0"/>
        <w:spacing w:after="0" w:line="240" w:lineRule="auto"/>
        <w:outlineLvl w:val="1"/>
        <w:rPr>
          <w:rFonts w:ascii="Times New Roman" w:eastAsia="Times New Roman" w:hAnsi="Times New Roman" w:cs="Times New Roman"/>
          <w:b/>
          <w:lang w:val="lt-LT"/>
        </w:rPr>
      </w:pPr>
      <w:bookmarkStart w:id="84" w:name="_Toc129243269"/>
      <w:bookmarkStart w:id="85" w:name="_Toc129243144"/>
      <w:r w:rsidRPr="00846A3E">
        <w:rPr>
          <w:rFonts w:ascii="Times New Roman" w:eastAsia="Times New Roman" w:hAnsi="Times New Roman" w:cs="Times New Roman"/>
          <w:b/>
          <w:lang w:val="lt-LT"/>
        </w:rPr>
        <w:t>6.</w:t>
      </w:r>
      <w:r w:rsidRPr="00846A3E">
        <w:rPr>
          <w:rFonts w:ascii="Times New Roman" w:eastAsia="Times New Roman" w:hAnsi="Times New Roman" w:cs="Times New Roman"/>
          <w:b/>
          <w:lang w:val="lt-LT"/>
        </w:rPr>
        <w:tab/>
      </w:r>
      <w:bookmarkEnd w:id="84"/>
      <w:bookmarkEnd w:id="85"/>
      <w:r w:rsidRPr="00846A3E">
        <w:rPr>
          <w:rFonts w:ascii="Times New Roman" w:eastAsia="Times New Roman" w:hAnsi="Times New Roman" w:cs="Times New Roman"/>
          <w:b/>
          <w:lang w:val="lt-LT"/>
        </w:rPr>
        <w:t>Pakuotės turinys ir kita informacija</w:t>
      </w:r>
    </w:p>
    <w:p w14:paraId="15173549"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3663E49F"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Opexa sudėtis</w:t>
      </w:r>
    </w:p>
    <w:p w14:paraId="31467CF5" w14:textId="7777777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 xml:space="preserve">Veiklioji medžiaga yra bilastinas. Kiekvienoje </w:t>
      </w:r>
      <w:r w:rsidRPr="00846A3E">
        <w:rPr>
          <w:rFonts w:ascii="Times New Roman" w:eastAsia="Calibri" w:hAnsi="Times New Roman" w:cs="Times New Roman"/>
          <w:spacing w:val="-1"/>
          <w:lang w:val="lt-LT"/>
        </w:rPr>
        <w:t xml:space="preserve">burnoje disperguojamoje </w:t>
      </w:r>
      <w:r w:rsidRPr="00846A3E">
        <w:rPr>
          <w:rFonts w:ascii="Times New Roman" w:eastAsia="Calibri" w:hAnsi="Times New Roman" w:cs="Times New Roman"/>
          <w:lang w:val="lt-LT"/>
        </w:rPr>
        <w:t>tabletėje yra 20 mg bilastino.</w:t>
      </w:r>
    </w:p>
    <w:p w14:paraId="78348AA2" w14:textId="1190B167" w:rsidR="00B1792A" w:rsidRPr="00846A3E" w:rsidRDefault="00B1792A" w:rsidP="00D65358">
      <w:pPr>
        <w:widowControl w:val="0"/>
        <w:adjustRightInd w:val="0"/>
        <w:snapToGrid w:val="0"/>
        <w:spacing w:after="0" w:line="240" w:lineRule="auto"/>
        <w:ind w:left="567" w:hanging="567"/>
        <w:rPr>
          <w:rFonts w:ascii="Times New Roman" w:eastAsia="Calibri" w:hAnsi="Times New Roman" w:cs="Times New Roman"/>
          <w:lang w:val="lt-LT"/>
        </w:rPr>
      </w:pPr>
      <w:r w:rsidRPr="00846A3E">
        <w:rPr>
          <w:rFonts w:ascii="Times New Roman" w:eastAsia="Calibri" w:hAnsi="Times New Roman" w:cs="Times New Roman"/>
          <w:lang w:val="lt-LT"/>
        </w:rPr>
        <w:t>-</w:t>
      </w:r>
      <w:r w:rsidRPr="00846A3E">
        <w:rPr>
          <w:rFonts w:ascii="Times New Roman" w:eastAsia="Calibri" w:hAnsi="Times New Roman" w:cs="Times New Roman"/>
          <w:lang w:val="lt-LT"/>
        </w:rPr>
        <w:tab/>
        <w:t>Pagalbinės medžiagos yra manitolis (E</w:t>
      </w:r>
      <w:r w:rsidR="00274C5D" w:rsidRPr="00846A3E">
        <w:rPr>
          <w:rFonts w:ascii="Times New Roman" w:eastAsia="Calibri" w:hAnsi="Times New Roman" w:cs="Times New Roman"/>
          <w:lang w:val="lt-LT"/>
        </w:rPr>
        <w:t> </w:t>
      </w:r>
      <w:r w:rsidRPr="00846A3E">
        <w:rPr>
          <w:rFonts w:ascii="Times New Roman" w:eastAsia="Calibri" w:hAnsi="Times New Roman" w:cs="Times New Roman"/>
          <w:lang w:val="lt-LT"/>
        </w:rPr>
        <w:t>421), kroskarmeliozės natrio druska, natrio stearilfumaratas, sukralozė (E</w:t>
      </w:r>
      <w:r w:rsidR="00274C5D" w:rsidRPr="00846A3E">
        <w:rPr>
          <w:rFonts w:ascii="Times New Roman" w:eastAsia="Calibri" w:hAnsi="Times New Roman" w:cs="Times New Roman"/>
          <w:lang w:val="lt-LT"/>
        </w:rPr>
        <w:t> </w:t>
      </w:r>
      <w:r w:rsidRPr="00846A3E">
        <w:rPr>
          <w:rFonts w:ascii="Times New Roman" w:eastAsia="Calibri" w:hAnsi="Times New Roman" w:cs="Times New Roman"/>
          <w:lang w:val="lt-LT"/>
        </w:rPr>
        <w:t>955), raudonųjų vynuogių aromatinė medžiaga (pagrindiniai komponentai – gumiarabikas, etilo butiratas, triacetinas, metilo antranilatas, etanolis, d-limonenas, linalolis).</w:t>
      </w:r>
    </w:p>
    <w:p w14:paraId="12B75B9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F40A71D"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Opexa išvaizda ir kiekis pakuotėje</w:t>
      </w:r>
    </w:p>
    <w:p w14:paraId="0E57CA6C" w14:textId="4FA26469"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Opexa </w:t>
      </w:r>
      <w:r w:rsidRPr="00846A3E">
        <w:rPr>
          <w:rFonts w:ascii="Times New Roman" w:eastAsia="Calibri" w:hAnsi="Times New Roman" w:cs="Times New Roman"/>
          <w:spacing w:val="-1"/>
          <w:lang w:val="lt-LT"/>
        </w:rPr>
        <w:t>burnoje disperguojamos tabletės</w:t>
      </w:r>
      <w:r w:rsidRPr="00846A3E">
        <w:rPr>
          <w:rFonts w:ascii="Times New Roman" w:eastAsia="Calibri" w:hAnsi="Times New Roman" w:cs="Times New Roman"/>
          <w:lang w:val="lt-LT"/>
        </w:rPr>
        <w:t xml:space="preserve"> yra baltos, apvalios, plokščios, vienoje pusėje įspausta „20“, 8 mm skersmens.</w:t>
      </w:r>
    </w:p>
    <w:p w14:paraId="321D607D" w14:textId="77777777" w:rsidR="002B036F" w:rsidRPr="00846A3E" w:rsidRDefault="002B036F" w:rsidP="00846A3E">
      <w:pPr>
        <w:widowControl w:val="0"/>
        <w:adjustRightInd w:val="0"/>
        <w:snapToGrid w:val="0"/>
        <w:spacing w:after="0" w:line="240" w:lineRule="auto"/>
        <w:rPr>
          <w:rFonts w:ascii="Times New Roman" w:eastAsia="Calibri" w:hAnsi="Times New Roman" w:cs="Times New Roman"/>
          <w:lang w:val="lt-LT"/>
        </w:rPr>
      </w:pPr>
    </w:p>
    <w:p w14:paraId="58FD3E44" w14:textId="3B1DE22A"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Opexa tiekiamos dalomosiose vienadozėse lizdinėse plokštelėse po 10</w:t>
      </w:r>
      <w:r w:rsidR="00274C5D" w:rsidRPr="00846A3E">
        <w:rPr>
          <w:rFonts w:ascii="Times New Roman" w:eastAsia="Calibri" w:hAnsi="Times New Roman" w:cs="Times New Roman"/>
          <w:lang w:val="lt-LT"/>
        </w:rPr>
        <w:t> </w:t>
      </w:r>
      <w:r w:rsidRPr="00846A3E">
        <w:rPr>
          <w:rFonts w:ascii="Times New Roman" w:eastAsia="Calibri" w:hAnsi="Times New Roman" w:cs="Times New Roman"/>
          <w:lang w:val="lt-LT"/>
        </w:rPr>
        <w:t>x</w:t>
      </w:r>
      <w:r w:rsidR="00274C5D" w:rsidRPr="00846A3E">
        <w:rPr>
          <w:rFonts w:ascii="Times New Roman" w:eastAsia="Calibri" w:hAnsi="Times New Roman" w:cs="Times New Roman"/>
          <w:lang w:val="lt-LT"/>
        </w:rPr>
        <w:t> </w:t>
      </w:r>
      <w:r w:rsidRPr="00846A3E">
        <w:rPr>
          <w:rFonts w:ascii="Times New Roman" w:eastAsia="Calibri" w:hAnsi="Times New Roman" w:cs="Times New Roman"/>
          <w:lang w:val="lt-LT"/>
        </w:rPr>
        <w:t xml:space="preserve">1 disperguojamų tablečių. </w:t>
      </w:r>
    </w:p>
    <w:p w14:paraId="064A96EA"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68C4B2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Gali būti tiekiamos ne visų dydžių pakuotės.</w:t>
      </w:r>
    </w:p>
    <w:p w14:paraId="7F2CD1B7"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757647B2" w14:textId="77777777" w:rsidR="00B1792A" w:rsidRPr="00846A3E" w:rsidRDefault="00B1792A" w:rsidP="00846A3E">
      <w:pPr>
        <w:widowControl w:val="0"/>
        <w:adjustRightInd w:val="0"/>
        <w:snapToGrid w:val="0"/>
        <w:spacing w:after="0" w:line="240" w:lineRule="auto"/>
        <w:rPr>
          <w:rFonts w:ascii="Times New Roman" w:eastAsia="Times New Roman" w:hAnsi="Times New Roman" w:cs="Times New Roman"/>
          <w:b/>
          <w:bCs/>
          <w:lang w:val="lt-LT"/>
        </w:rPr>
      </w:pPr>
      <w:r w:rsidRPr="00846A3E">
        <w:rPr>
          <w:rFonts w:ascii="Times New Roman" w:eastAsia="Times New Roman" w:hAnsi="Times New Roman" w:cs="Times New Roman"/>
          <w:b/>
          <w:bCs/>
          <w:lang w:val="lt-LT"/>
        </w:rPr>
        <w:t>Registruotojas ir gamintojas</w:t>
      </w:r>
    </w:p>
    <w:p w14:paraId="5EFCC83A" w14:textId="77777777" w:rsidR="002B036F" w:rsidRPr="00846A3E" w:rsidRDefault="002B036F" w:rsidP="00846A3E">
      <w:pPr>
        <w:widowControl w:val="0"/>
        <w:adjustRightInd w:val="0"/>
        <w:snapToGrid w:val="0"/>
        <w:spacing w:after="0" w:line="240" w:lineRule="auto"/>
        <w:rPr>
          <w:rFonts w:ascii="Times New Roman" w:eastAsia="Times New Roman" w:hAnsi="Times New Roman" w:cs="Times New Roman"/>
          <w:b/>
          <w:bCs/>
          <w:lang w:val="lt-LT"/>
        </w:rPr>
      </w:pPr>
    </w:p>
    <w:p w14:paraId="55A97F5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i/>
          <w:lang w:val="lt-LT"/>
        </w:rPr>
      </w:pPr>
      <w:r w:rsidRPr="00846A3E">
        <w:rPr>
          <w:rFonts w:ascii="Times New Roman" w:eastAsiaTheme="minorEastAsia" w:hAnsi="Times New Roman" w:cs="Times New Roman"/>
          <w:i/>
          <w:lang w:val="lt-LT"/>
        </w:rPr>
        <w:t>Registruotojas</w:t>
      </w:r>
    </w:p>
    <w:p w14:paraId="6287C476"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Menarini International Operations Luxembourg S.A.</w:t>
      </w:r>
    </w:p>
    <w:p w14:paraId="0D88CD1E"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1, Avenue de la Gare</w:t>
      </w:r>
    </w:p>
    <w:p w14:paraId="5431C11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L-1611 Luxembourg</w:t>
      </w:r>
    </w:p>
    <w:p w14:paraId="13C9EE0C"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Liuksemburgas</w:t>
      </w:r>
    </w:p>
    <w:p w14:paraId="44BDEF8B"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p>
    <w:p w14:paraId="459B6F47" w14:textId="77777777" w:rsidR="00B1792A" w:rsidRPr="00846A3E" w:rsidRDefault="00B1792A" w:rsidP="00D65358">
      <w:pPr>
        <w:keepNext/>
        <w:widowControl w:val="0"/>
        <w:adjustRightInd w:val="0"/>
        <w:snapToGrid w:val="0"/>
        <w:spacing w:after="0" w:line="240" w:lineRule="auto"/>
        <w:rPr>
          <w:rFonts w:ascii="Times New Roman" w:eastAsiaTheme="minorEastAsia" w:hAnsi="Times New Roman" w:cs="Times New Roman"/>
          <w:i/>
          <w:lang w:val="lt-LT"/>
        </w:rPr>
      </w:pPr>
      <w:r w:rsidRPr="00846A3E">
        <w:rPr>
          <w:rFonts w:ascii="Times New Roman" w:eastAsiaTheme="minorEastAsia" w:hAnsi="Times New Roman" w:cs="Times New Roman"/>
          <w:i/>
          <w:lang w:val="lt-LT"/>
        </w:rPr>
        <w:lastRenderedPageBreak/>
        <w:t>Gamintojas</w:t>
      </w:r>
    </w:p>
    <w:p w14:paraId="7708D114" w14:textId="77777777" w:rsidR="00B1792A" w:rsidRPr="00846A3E" w:rsidRDefault="00B1792A" w:rsidP="00D65358">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FAES FARMA, S.A.</w:t>
      </w:r>
    </w:p>
    <w:p w14:paraId="2849E7C0"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 xml:space="preserve">Máximo Aguirre, 14 </w:t>
      </w:r>
    </w:p>
    <w:p w14:paraId="364C716A"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48940 – Lejona (Vizcaya)</w:t>
      </w:r>
    </w:p>
    <w:p w14:paraId="2DA7BFFB"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Ispanija</w:t>
      </w:r>
    </w:p>
    <w:p w14:paraId="177CDD2C"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2C3DA46C"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arba</w:t>
      </w:r>
    </w:p>
    <w:p w14:paraId="53D988FE"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5B69563B"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A. Menarini Manufacturing Logistics and Services S.r.L.</w:t>
      </w:r>
    </w:p>
    <w:p w14:paraId="731E0D17"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 xml:space="preserve">Via Campo di Pile </w:t>
      </w:r>
    </w:p>
    <w:p w14:paraId="62E92EA1" w14:textId="77777777" w:rsidR="00B1792A" w:rsidRPr="00846A3E" w:rsidRDefault="00B1792A" w:rsidP="00846A3E">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846A3E">
        <w:rPr>
          <w:rFonts w:ascii="Times New Roman" w:eastAsiaTheme="minorEastAsia" w:hAnsi="Times New Roman" w:cs="Times New Roman"/>
          <w:lang w:val="lt-LT"/>
        </w:rPr>
        <w:t>67100, L’Aquila (AQ)</w:t>
      </w:r>
    </w:p>
    <w:p w14:paraId="26AEB952" w14:textId="77777777" w:rsidR="00B1792A" w:rsidRPr="00846A3E" w:rsidRDefault="00B1792A" w:rsidP="00846A3E">
      <w:pPr>
        <w:widowControl w:val="0"/>
        <w:autoSpaceDE w:val="0"/>
        <w:autoSpaceDN w:val="0"/>
        <w:adjustRightInd w:val="0"/>
        <w:snapToGrid w:val="0"/>
        <w:spacing w:after="0" w:line="240" w:lineRule="auto"/>
        <w:rPr>
          <w:rFonts w:ascii="Times New Roman" w:eastAsia="Times New Roman" w:hAnsi="Times New Roman" w:cs="Times New Roman"/>
          <w:color w:val="000000"/>
          <w:lang w:val="lt-LT" w:eastAsia="de-DE"/>
        </w:rPr>
      </w:pPr>
      <w:r w:rsidRPr="00846A3E">
        <w:rPr>
          <w:rFonts w:ascii="Times New Roman" w:eastAsia="Times New Roman" w:hAnsi="Times New Roman" w:cs="Times New Roman"/>
          <w:color w:val="000000"/>
          <w:lang w:val="lt-LT" w:eastAsia="de-DE"/>
        </w:rPr>
        <w:t>Italija</w:t>
      </w:r>
    </w:p>
    <w:p w14:paraId="180848A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10D8A5B6"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Jeigu apie šį vaistą norite sužinoti daugiau, kreipkitės į vietinį registruotojo atstovą.</w:t>
      </w:r>
    </w:p>
    <w:p w14:paraId="6259E59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2DC9038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UAB „BERLIN CHEMIE MENARINI BALTIC“</w:t>
      </w:r>
    </w:p>
    <w:p w14:paraId="139A3F8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J. Jasinskio g. 16a, LT-03163 Vilnius</w:t>
      </w:r>
    </w:p>
    <w:p w14:paraId="1F8492FC"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Lietuva</w:t>
      </w:r>
    </w:p>
    <w:p w14:paraId="3C079F12"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Tel.: +370 5 269 19 43</w:t>
      </w:r>
    </w:p>
    <w:p w14:paraId="1FC026B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El. paštas: lt@berlin-chemie.com</w:t>
      </w:r>
      <w:r w:rsidRPr="00846A3E">
        <w:rPr>
          <w:rFonts w:ascii="Times New Roman" w:eastAsia="Calibri" w:hAnsi="Times New Roman" w:cs="Times New Roman"/>
          <w:lang w:val="lt-LT"/>
        </w:rPr>
        <w:cr/>
      </w:r>
    </w:p>
    <w:p w14:paraId="299B1207" w14:textId="047A3F67"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hAnsi="Times New Roman" w:cs="Times New Roman"/>
          <w:b/>
          <w:lang w:val="lt-LT"/>
        </w:rPr>
        <w:t>Šis vaistas Europos ekonominės erdvės valstybėse narėse registruotas tokiais pavadinimais</w:t>
      </w:r>
    </w:p>
    <w:p w14:paraId="3D0F6990" w14:textId="60DEF33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Airija: Drynol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 xml:space="preserve">mg orodispersible tablets </w:t>
      </w:r>
    </w:p>
    <w:p w14:paraId="13519D0C" w14:textId="64263410"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Austrija: Olisir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 xml:space="preserve">mg Schmelztabletten </w:t>
      </w:r>
    </w:p>
    <w:p w14:paraId="3D027FC5" w14:textId="28A83FE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Belgija: Bellozal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orodispersible tablets</w:t>
      </w:r>
    </w:p>
    <w:p w14:paraId="23EC7B1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Bulgarija: </w:t>
      </w:r>
      <w:r w:rsidRPr="00846A3E">
        <w:rPr>
          <w:rFonts w:ascii="Times New Roman" w:eastAsia="Calibri" w:hAnsi="Times New Roman" w:cs="Times New Roman"/>
          <w:bCs/>
          <w:color w:val="000000"/>
          <w:lang w:val="lt-LT"/>
        </w:rPr>
        <w:t>Фортекал за деца 20 mg диспергиращи се в устата таблетки</w:t>
      </w:r>
      <w:r w:rsidRPr="00846A3E">
        <w:rPr>
          <w:rFonts w:ascii="Times New Roman" w:eastAsia="Calibri" w:hAnsi="Times New Roman" w:cs="Times New Roman"/>
          <w:lang w:val="lt-LT"/>
        </w:rPr>
        <w:t xml:space="preserve"> </w:t>
      </w:r>
    </w:p>
    <w:p w14:paraId="4239EE21"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Čekija: Xados</w:t>
      </w:r>
    </w:p>
    <w:p w14:paraId="43712F3F"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Estija: Opexa</w:t>
      </w:r>
    </w:p>
    <w:p w14:paraId="682E53C2" w14:textId="59A83E9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Graikija: Bilaz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δισκία διασπειρόμενα στο στόμα</w:t>
      </w:r>
    </w:p>
    <w:p w14:paraId="54502B71" w14:textId="2675C6C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Ispanija: Ibis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comprimidos bucodispersables</w:t>
      </w:r>
    </w:p>
    <w:p w14:paraId="229F7275" w14:textId="0F57824F"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Italija: Bysabel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compressa orodispersibile</w:t>
      </w:r>
    </w:p>
    <w:p w14:paraId="59F6B544" w14:textId="2B2EC52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Kipras: Bilaz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δισκία διασπειρόμενα στο στόμα</w:t>
      </w:r>
    </w:p>
    <w:p w14:paraId="6894C579" w14:textId="3C4E225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Kroatija: Nixar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raspadljive tablete za usta</w:t>
      </w:r>
    </w:p>
    <w:p w14:paraId="2E688FA5" w14:textId="1C882DC9"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Latvija: Opexa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mutē disperģējamās tabletes</w:t>
      </w:r>
    </w:p>
    <w:p w14:paraId="7C5B7ADD" w14:textId="2F514B1E"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Lietuva: Opexa 20 mg</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burnoje disperguojamos tabletės</w:t>
      </w:r>
    </w:p>
    <w:p w14:paraId="5C856CE4" w14:textId="5CBB823B"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Liuksemburgas: Bellozal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orodispersible tablets</w:t>
      </w:r>
    </w:p>
    <w:p w14:paraId="05AF435E"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Lenkija: Clatra</w:t>
      </w:r>
    </w:p>
    <w:p w14:paraId="2FB82D23" w14:textId="20800473"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Malta: Gosall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orodispersible tablets</w:t>
      </w:r>
    </w:p>
    <w:p w14:paraId="47A87633" w14:textId="6A3782A5"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Prancūzija: Bilaska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comprimé orodispersible</w:t>
      </w:r>
    </w:p>
    <w:p w14:paraId="24CB5E3E" w14:textId="6E9BF01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Portugalija: Lergonix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comprimido orodispersível</w:t>
      </w:r>
    </w:p>
    <w:p w14:paraId="28EB3097" w14:textId="6F56C818"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Rumunija: Borenar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comprimate orodispersabile</w:t>
      </w:r>
    </w:p>
    <w:p w14:paraId="61B3CFF2" w14:textId="6F4738D4"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Suomija: Revitelle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tabletti, suussa hajoava</w:t>
      </w:r>
    </w:p>
    <w:p w14:paraId="4A3D4E81" w14:textId="1A5BFD73"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Slovakija: Omarit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orodispergovateľné tablety</w:t>
      </w:r>
    </w:p>
    <w:p w14:paraId="2CF991AB" w14:textId="5616F5E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Slovėnija: Bilador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orodisperzibilne tablete</w:t>
      </w:r>
    </w:p>
    <w:p w14:paraId="7D5608B0" w14:textId="49E55412"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Vokietija: Bilaxten 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Schmelztabletten</w:t>
      </w:r>
    </w:p>
    <w:p w14:paraId="68983149" w14:textId="7DD7219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Vengrija: Lendin </w:t>
      </w:r>
      <w:r w:rsidR="002021AF" w:rsidRPr="00846A3E">
        <w:rPr>
          <w:rFonts w:ascii="Times New Roman" w:eastAsia="Calibri" w:hAnsi="Times New Roman" w:cs="Times New Roman"/>
          <w:lang w:val="lt-LT"/>
        </w:rPr>
        <w:t xml:space="preserve">NEO </w:t>
      </w:r>
      <w:r w:rsidRPr="00846A3E">
        <w:rPr>
          <w:rFonts w:ascii="Times New Roman" w:eastAsia="Calibri" w:hAnsi="Times New Roman" w:cs="Times New Roman"/>
          <w:lang w:val="lt-LT"/>
        </w:rPr>
        <w:t>20</w:t>
      </w:r>
      <w:r w:rsidR="00F85A82" w:rsidRPr="00846A3E">
        <w:rPr>
          <w:rFonts w:ascii="Times New Roman" w:eastAsia="Calibri" w:hAnsi="Times New Roman" w:cs="Times New Roman"/>
          <w:lang w:val="lt-LT"/>
        </w:rPr>
        <w:t> </w:t>
      </w:r>
      <w:r w:rsidRPr="00846A3E">
        <w:rPr>
          <w:rFonts w:ascii="Times New Roman" w:eastAsia="Calibri" w:hAnsi="Times New Roman" w:cs="Times New Roman"/>
          <w:lang w:val="lt-LT"/>
        </w:rPr>
        <w:t>mg szájban diszpergálódó tabletta</w:t>
      </w:r>
    </w:p>
    <w:p w14:paraId="31A7A658"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07A55C3B" w14:textId="77777777"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p>
    <w:p w14:paraId="6DD00A3D" w14:textId="52AF6421" w:rsidR="00B1792A" w:rsidRPr="00846A3E" w:rsidRDefault="00B1792A" w:rsidP="00846A3E">
      <w:pPr>
        <w:widowControl w:val="0"/>
        <w:adjustRightInd w:val="0"/>
        <w:snapToGrid w:val="0"/>
        <w:spacing w:after="0" w:line="240" w:lineRule="auto"/>
        <w:rPr>
          <w:rFonts w:ascii="Times New Roman" w:eastAsia="Calibri" w:hAnsi="Times New Roman" w:cs="Times New Roman"/>
          <w:b/>
          <w:lang w:val="lt-LT"/>
        </w:rPr>
      </w:pPr>
      <w:r w:rsidRPr="00846A3E">
        <w:rPr>
          <w:rFonts w:ascii="Times New Roman" w:eastAsia="Calibri" w:hAnsi="Times New Roman" w:cs="Times New Roman"/>
          <w:b/>
          <w:bCs/>
          <w:lang w:val="lt-LT"/>
        </w:rPr>
        <w:t>Šis pakuotės lapelis</w:t>
      </w:r>
      <w:r w:rsidRPr="00846A3E">
        <w:rPr>
          <w:rFonts w:ascii="Times New Roman" w:eastAsia="Calibri" w:hAnsi="Times New Roman" w:cs="Times New Roman"/>
          <w:b/>
          <w:lang w:val="lt-LT"/>
        </w:rPr>
        <w:t xml:space="preserve"> paskutinį kartą peržiūrėtas</w:t>
      </w:r>
      <w:r w:rsidR="00CC7519" w:rsidRPr="00846A3E">
        <w:rPr>
          <w:rFonts w:ascii="Times New Roman" w:eastAsia="Calibri" w:hAnsi="Times New Roman" w:cs="Times New Roman"/>
          <w:b/>
          <w:lang w:val="lt-LT"/>
        </w:rPr>
        <w:t xml:space="preserve"> 202</w:t>
      </w:r>
      <w:r w:rsidR="001E741E" w:rsidRPr="00846A3E">
        <w:rPr>
          <w:rFonts w:ascii="Times New Roman" w:eastAsia="Calibri" w:hAnsi="Times New Roman" w:cs="Times New Roman"/>
          <w:b/>
          <w:lang w:val="lt-LT"/>
        </w:rPr>
        <w:t>5</w:t>
      </w:r>
      <w:r w:rsidR="00CC7519" w:rsidRPr="00846A3E">
        <w:rPr>
          <w:rFonts w:ascii="Times New Roman" w:eastAsia="Calibri" w:hAnsi="Times New Roman" w:cs="Times New Roman"/>
          <w:b/>
          <w:lang w:val="lt-LT"/>
        </w:rPr>
        <w:t>-0</w:t>
      </w:r>
      <w:r w:rsidR="001E741E" w:rsidRPr="00846A3E">
        <w:rPr>
          <w:rFonts w:ascii="Times New Roman" w:eastAsia="Calibri" w:hAnsi="Times New Roman" w:cs="Times New Roman"/>
          <w:b/>
          <w:lang w:val="lt-LT"/>
        </w:rPr>
        <w:t>2</w:t>
      </w:r>
      <w:r w:rsidR="00CC7519" w:rsidRPr="00846A3E">
        <w:rPr>
          <w:rFonts w:ascii="Times New Roman" w:eastAsia="Calibri" w:hAnsi="Times New Roman" w:cs="Times New Roman"/>
          <w:b/>
          <w:lang w:val="lt-LT"/>
        </w:rPr>
        <w:t>-</w:t>
      </w:r>
      <w:r w:rsidR="001E741E" w:rsidRPr="00846A3E">
        <w:rPr>
          <w:rFonts w:ascii="Times New Roman" w:eastAsia="Calibri" w:hAnsi="Times New Roman" w:cs="Times New Roman"/>
          <w:b/>
          <w:lang w:val="lt-LT"/>
        </w:rPr>
        <w:t>2</w:t>
      </w:r>
      <w:r w:rsidR="00CC7519" w:rsidRPr="00846A3E">
        <w:rPr>
          <w:rFonts w:ascii="Times New Roman" w:eastAsia="Calibri" w:hAnsi="Times New Roman" w:cs="Times New Roman"/>
          <w:b/>
          <w:lang w:val="lt-LT"/>
        </w:rPr>
        <w:t>1</w:t>
      </w:r>
      <w:r w:rsidRPr="00846A3E">
        <w:rPr>
          <w:rFonts w:ascii="Times New Roman" w:hAnsi="Times New Roman" w:cs="Times New Roman"/>
          <w:b/>
          <w:lang w:val="lt-LT"/>
        </w:rPr>
        <w:t>.</w:t>
      </w:r>
    </w:p>
    <w:p w14:paraId="6125B8F3"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p>
    <w:p w14:paraId="7F35269A" w14:textId="77777777" w:rsidR="00B1792A" w:rsidRPr="00846A3E" w:rsidRDefault="00B1792A" w:rsidP="00846A3E">
      <w:pPr>
        <w:widowControl w:val="0"/>
        <w:adjustRightInd w:val="0"/>
        <w:snapToGrid w:val="0"/>
        <w:spacing w:after="0" w:line="240" w:lineRule="auto"/>
        <w:rPr>
          <w:rFonts w:ascii="Times New Roman" w:eastAsiaTheme="minorEastAsia" w:hAnsi="Times New Roman" w:cs="Times New Roman"/>
          <w:lang w:val="lt-LT"/>
        </w:rPr>
      </w:pPr>
    </w:p>
    <w:p w14:paraId="3516EA77" w14:textId="41F4785C" w:rsidR="00B1792A" w:rsidRPr="00846A3E" w:rsidRDefault="00B1792A" w:rsidP="00846A3E">
      <w:pPr>
        <w:widowControl w:val="0"/>
        <w:adjustRightInd w:val="0"/>
        <w:snapToGrid w:val="0"/>
        <w:spacing w:after="0" w:line="240" w:lineRule="auto"/>
        <w:rPr>
          <w:rFonts w:ascii="Times New Roman" w:eastAsia="Calibri" w:hAnsi="Times New Roman" w:cs="Times New Roman"/>
          <w:lang w:val="lt-LT"/>
        </w:rPr>
      </w:pPr>
      <w:r w:rsidRPr="00846A3E">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hyperlink r:id="rId9" w:history="1">
        <w:r w:rsidRPr="00846A3E">
          <w:rPr>
            <w:rFonts w:ascii="Times New Roman" w:eastAsia="Calibri" w:hAnsi="Times New Roman" w:cs="Times New Roman"/>
            <w:color w:val="0000FF"/>
            <w:u w:val="single"/>
            <w:lang w:val="lt-LT"/>
          </w:rPr>
          <w:t>http://www.vvkt.lt/</w:t>
        </w:r>
      </w:hyperlink>
    </w:p>
    <w:p w14:paraId="6F92CF2A" w14:textId="77777777" w:rsidR="00C82807" w:rsidRPr="00D65358" w:rsidRDefault="00C82807" w:rsidP="00D65358">
      <w:pPr>
        <w:widowControl w:val="0"/>
        <w:adjustRightInd w:val="0"/>
        <w:snapToGrid w:val="0"/>
        <w:spacing w:after="0" w:line="240" w:lineRule="auto"/>
        <w:rPr>
          <w:rFonts w:ascii="Times New Roman" w:hAnsi="Times New Roman" w:cs="Times New Roman"/>
          <w:lang w:val="lt-LT"/>
        </w:rPr>
      </w:pPr>
    </w:p>
    <w:sectPr w:rsidR="00C82807" w:rsidRPr="00D65358" w:rsidSect="00F86DA8">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961841" w14:textId="77777777" w:rsidR="002B7E30" w:rsidRDefault="002B7E30">
      <w:pPr>
        <w:spacing w:after="0" w:line="240" w:lineRule="auto"/>
      </w:pPr>
      <w:r>
        <w:separator/>
      </w:r>
    </w:p>
  </w:endnote>
  <w:endnote w:type="continuationSeparator" w:id="0">
    <w:p w14:paraId="3A6E07EC" w14:textId="77777777" w:rsidR="002B7E30" w:rsidRDefault="002B7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1CF6C" w14:textId="3F3A9FDC" w:rsidR="003514DE" w:rsidRPr="00AD623E" w:rsidRDefault="003514DE">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77209C">
      <w:rPr>
        <w:noProof/>
        <w:sz w:val="22"/>
        <w:szCs w:val="22"/>
      </w:rPr>
      <w:t>2</w:t>
    </w:r>
    <w:r w:rsidRPr="00AD623E">
      <w:rPr>
        <w:sz w:val="22"/>
        <w:szCs w:val="22"/>
      </w:rPr>
      <w:fldChar w:fldCharType="end"/>
    </w:r>
  </w:p>
  <w:p w14:paraId="7C3F4BBB" w14:textId="77777777" w:rsidR="003514DE" w:rsidRDefault="003514D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638C6B" w14:textId="77777777" w:rsidR="002B7E30" w:rsidRDefault="002B7E30">
      <w:pPr>
        <w:spacing w:after="0" w:line="240" w:lineRule="auto"/>
      </w:pPr>
      <w:r>
        <w:separator/>
      </w:r>
    </w:p>
  </w:footnote>
  <w:footnote w:type="continuationSeparator" w:id="0">
    <w:p w14:paraId="648B7D32" w14:textId="77777777" w:rsidR="002B7E30" w:rsidRDefault="002B7E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D062A"/>
    <w:multiLevelType w:val="hybridMultilevel"/>
    <w:tmpl w:val="D45A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16F69"/>
    <w:multiLevelType w:val="hybridMultilevel"/>
    <w:tmpl w:val="CA223546"/>
    <w:lvl w:ilvl="0" w:tplc="BC00E7B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25F09"/>
    <w:multiLevelType w:val="hybridMultilevel"/>
    <w:tmpl w:val="63484F96"/>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3" w15:restartNumberingAfterBreak="0">
    <w:nsid w:val="264D1956"/>
    <w:multiLevelType w:val="hybridMultilevel"/>
    <w:tmpl w:val="64080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D4AE736"/>
    <w:lvl w:ilvl="0" w:tplc="BC00E7B8">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5" w15:restartNumberingAfterBreak="0">
    <w:nsid w:val="42450991"/>
    <w:multiLevelType w:val="hybridMultilevel"/>
    <w:tmpl w:val="5EB6047E"/>
    <w:lvl w:ilvl="0" w:tplc="C25600A0">
      <w:start w:val="1"/>
      <w:numFmt w:val="bullet"/>
      <w:lvlText w:val="-"/>
      <w:lvlJc w:val="left"/>
      <w:pPr>
        <w:ind w:left="1855" w:hanging="360"/>
      </w:pPr>
      <w:rPr>
        <w:rFonts w:ascii="Times New Roman" w:eastAsia="Times New Roman" w:hAnsi="Times New Roman" w:hint="default"/>
        <w:b/>
        <w:sz w:val="24"/>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6" w15:restartNumberingAfterBreak="0">
    <w:nsid w:val="4BFC570A"/>
    <w:multiLevelType w:val="hybridMultilevel"/>
    <w:tmpl w:val="D910D4F4"/>
    <w:lvl w:ilvl="0" w:tplc="379A7482">
      <w:start w:val="7"/>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347841"/>
    <w:multiLevelType w:val="hybridMultilevel"/>
    <w:tmpl w:val="7034E69E"/>
    <w:lvl w:ilvl="0" w:tplc="379A7482">
      <w:start w:val="7"/>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BC5DF5"/>
    <w:multiLevelType w:val="hybridMultilevel"/>
    <w:tmpl w:val="64F0BBB6"/>
    <w:lvl w:ilvl="0" w:tplc="C25600A0">
      <w:start w:val="1"/>
      <w:numFmt w:val="bullet"/>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425AB2"/>
    <w:multiLevelType w:val="hybridMultilevel"/>
    <w:tmpl w:val="770EB7C8"/>
    <w:lvl w:ilvl="0" w:tplc="E71485FE">
      <w:start w:val="1"/>
      <w:numFmt w:val="bullet"/>
      <w:pStyle w:val="BT-EMEASMCA"/>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A73403"/>
    <w:multiLevelType w:val="hybridMultilevel"/>
    <w:tmpl w:val="1BFACCB0"/>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11" w15:restartNumberingAfterBreak="0">
    <w:nsid w:val="75075192"/>
    <w:multiLevelType w:val="hybridMultilevel"/>
    <w:tmpl w:val="272C4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9"/>
  </w:num>
  <w:num w:numId="4">
    <w:abstractNumId w:val="8"/>
  </w:num>
  <w:num w:numId="5">
    <w:abstractNumId w:val="10"/>
  </w:num>
  <w:num w:numId="6">
    <w:abstractNumId w:val="5"/>
  </w:num>
  <w:num w:numId="7">
    <w:abstractNumId w:val="2"/>
  </w:num>
  <w:num w:numId="8">
    <w:abstractNumId w:val="11"/>
  </w:num>
  <w:num w:numId="9">
    <w:abstractNumId w:val="0"/>
  </w:num>
  <w:num w:numId="10">
    <w:abstractNumId w:val="3"/>
  </w:num>
  <w:num w:numId="11">
    <w:abstractNumId w:val="4"/>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92A"/>
    <w:rsid w:val="000155F6"/>
    <w:rsid w:val="000232D7"/>
    <w:rsid w:val="00026C48"/>
    <w:rsid w:val="0004456E"/>
    <w:rsid w:val="00056691"/>
    <w:rsid w:val="00067DAF"/>
    <w:rsid w:val="000E79D8"/>
    <w:rsid w:val="000F3015"/>
    <w:rsid w:val="000F5538"/>
    <w:rsid w:val="001022CB"/>
    <w:rsid w:val="001171F2"/>
    <w:rsid w:val="00132EED"/>
    <w:rsid w:val="0013405F"/>
    <w:rsid w:val="00142DF4"/>
    <w:rsid w:val="001569AF"/>
    <w:rsid w:val="0017792B"/>
    <w:rsid w:val="00181E8D"/>
    <w:rsid w:val="00184B9E"/>
    <w:rsid w:val="00191DD3"/>
    <w:rsid w:val="001B7F4C"/>
    <w:rsid w:val="001C1AEF"/>
    <w:rsid w:val="001C7D59"/>
    <w:rsid w:val="001D18A2"/>
    <w:rsid w:val="001D4A25"/>
    <w:rsid w:val="001D5135"/>
    <w:rsid w:val="001D6217"/>
    <w:rsid w:val="001E741E"/>
    <w:rsid w:val="001F35A1"/>
    <w:rsid w:val="002021AF"/>
    <w:rsid w:val="00211EFC"/>
    <w:rsid w:val="00225FE4"/>
    <w:rsid w:val="00242710"/>
    <w:rsid w:val="00257E04"/>
    <w:rsid w:val="00274C5D"/>
    <w:rsid w:val="002B036F"/>
    <w:rsid w:val="002B7E30"/>
    <w:rsid w:val="002D1D0E"/>
    <w:rsid w:val="002E3B0D"/>
    <w:rsid w:val="002E5FB1"/>
    <w:rsid w:val="002E6364"/>
    <w:rsid w:val="002F3766"/>
    <w:rsid w:val="00306D6B"/>
    <w:rsid w:val="00311F90"/>
    <w:rsid w:val="00320F08"/>
    <w:rsid w:val="003214B1"/>
    <w:rsid w:val="00333100"/>
    <w:rsid w:val="003514DE"/>
    <w:rsid w:val="00374C2C"/>
    <w:rsid w:val="00392A65"/>
    <w:rsid w:val="00396A71"/>
    <w:rsid w:val="00396E11"/>
    <w:rsid w:val="003D63D7"/>
    <w:rsid w:val="00404768"/>
    <w:rsid w:val="004130CB"/>
    <w:rsid w:val="00432AC8"/>
    <w:rsid w:val="0046443C"/>
    <w:rsid w:val="00485536"/>
    <w:rsid w:val="00490655"/>
    <w:rsid w:val="00497C66"/>
    <w:rsid w:val="004A3617"/>
    <w:rsid w:val="004A59CB"/>
    <w:rsid w:val="004D1196"/>
    <w:rsid w:val="004D4A4F"/>
    <w:rsid w:val="004D7A94"/>
    <w:rsid w:val="004F1AC8"/>
    <w:rsid w:val="004F2CD2"/>
    <w:rsid w:val="00500708"/>
    <w:rsid w:val="00505CD0"/>
    <w:rsid w:val="0050769A"/>
    <w:rsid w:val="005452F4"/>
    <w:rsid w:val="00553C56"/>
    <w:rsid w:val="005553DD"/>
    <w:rsid w:val="00564736"/>
    <w:rsid w:val="00577D46"/>
    <w:rsid w:val="005860F2"/>
    <w:rsid w:val="005A21F2"/>
    <w:rsid w:val="005A2280"/>
    <w:rsid w:val="005D097B"/>
    <w:rsid w:val="005D5112"/>
    <w:rsid w:val="0061151D"/>
    <w:rsid w:val="00611B01"/>
    <w:rsid w:val="00627509"/>
    <w:rsid w:val="00650A0A"/>
    <w:rsid w:val="00672F6F"/>
    <w:rsid w:val="0069740B"/>
    <w:rsid w:val="006B2E9D"/>
    <w:rsid w:val="006F0DF3"/>
    <w:rsid w:val="006F50FC"/>
    <w:rsid w:val="006F727D"/>
    <w:rsid w:val="00732164"/>
    <w:rsid w:val="0073629C"/>
    <w:rsid w:val="007443AA"/>
    <w:rsid w:val="00752EC6"/>
    <w:rsid w:val="0077209C"/>
    <w:rsid w:val="00781AD7"/>
    <w:rsid w:val="00784823"/>
    <w:rsid w:val="007A529D"/>
    <w:rsid w:val="007B4D1D"/>
    <w:rsid w:val="007C4D1C"/>
    <w:rsid w:val="007E59DE"/>
    <w:rsid w:val="00812478"/>
    <w:rsid w:val="00846A3E"/>
    <w:rsid w:val="00860203"/>
    <w:rsid w:val="0087293C"/>
    <w:rsid w:val="00892503"/>
    <w:rsid w:val="0089791D"/>
    <w:rsid w:val="008C0B9E"/>
    <w:rsid w:val="008E22A0"/>
    <w:rsid w:val="008E58CE"/>
    <w:rsid w:val="00920095"/>
    <w:rsid w:val="009F4EF3"/>
    <w:rsid w:val="00A064F3"/>
    <w:rsid w:val="00A343D6"/>
    <w:rsid w:val="00A357B1"/>
    <w:rsid w:val="00A6743F"/>
    <w:rsid w:val="00A929BB"/>
    <w:rsid w:val="00A9463D"/>
    <w:rsid w:val="00AA0C71"/>
    <w:rsid w:val="00AB332A"/>
    <w:rsid w:val="00AC30FE"/>
    <w:rsid w:val="00AC3303"/>
    <w:rsid w:val="00AE323E"/>
    <w:rsid w:val="00AE5046"/>
    <w:rsid w:val="00B109F8"/>
    <w:rsid w:val="00B111D8"/>
    <w:rsid w:val="00B1792A"/>
    <w:rsid w:val="00B37834"/>
    <w:rsid w:val="00B4666A"/>
    <w:rsid w:val="00B61E5D"/>
    <w:rsid w:val="00B86223"/>
    <w:rsid w:val="00BF150B"/>
    <w:rsid w:val="00BF3E24"/>
    <w:rsid w:val="00C01B40"/>
    <w:rsid w:val="00C20D58"/>
    <w:rsid w:val="00C508BC"/>
    <w:rsid w:val="00C757FB"/>
    <w:rsid w:val="00C803CB"/>
    <w:rsid w:val="00C80A9B"/>
    <w:rsid w:val="00C82807"/>
    <w:rsid w:val="00C85710"/>
    <w:rsid w:val="00C86F6C"/>
    <w:rsid w:val="00CA26CE"/>
    <w:rsid w:val="00CC7519"/>
    <w:rsid w:val="00CD6824"/>
    <w:rsid w:val="00CE5F38"/>
    <w:rsid w:val="00CF3D62"/>
    <w:rsid w:val="00D24821"/>
    <w:rsid w:val="00D46861"/>
    <w:rsid w:val="00D65358"/>
    <w:rsid w:val="00D70CE4"/>
    <w:rsid w:val="00DA0086"/>
    <w:rsid w:val="00DC1511"/>
    <w:rsid w:val="00DE723E"/>
    <w:rsid w:val="00DF3D12"/>
    <w:rsid w:val="00DF6B35"/>
    <w:rsid w:val="00E22632"/>
    <w:rsid w:val="00E34D8B"/>
    <w:rsid w:val="00E51224"/>
    <w:rsid w:val="00E664FB"/>
    <w:rsid w:val="00E70B3F"/>
    <w:rsid w:val="00E75FA0"/>
    <w:rsid w:val="00E803C6"/>
    <w:rsid w:val="00E82E0A"/>
    <w:rsid w:val="00E96682"/>
    <w:rsid w:val="00EA5FCD"/>
    <w:rsid w:val="00EC3246"/>
    <w:rsid w:val="00F20ECB"/>
    <w:rsid w:val="00F21548"/>
    <w:rsid w:val="00F27D98"/>
    <w:rsid w:val="00F4713D"/>
    <w:rsid w:val="00F85652"/>
    <w:rsid w:val="00F85A82"/>
    <w:rsid w:val="00F85F92"/>
    <w:rsid w:val="00F86DA8"/>
    <w:rsid w:val="00F9035E"/>
    <w:rsid w:val="00FB46A5"/>
    <w:rsid w:val="00FD15B6"/>
    <w:rsid w:val="00FD6FCD"/>
    <w:rsid w:val="00FE1213"/>
    <w:rsid w:val="00FF3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7763F"/>
  <w15:docId w15:val="{8B0395E0-3838-4A7B-929B-5B0CC427C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664FB"/>
  </w:style>
  <w:style w:type="paragraph" w:styleId="Antrat1">
    <w:name w:val="heading 1"/>
    <w:basedOn w:val="prastasis"/>
    <w:next w:val="prastasis"/>
    <w:link w:val="Antrat1Diagrama"/>
    <w:uiPriority w:val="9"/>
    <w:qFormat/>
    <w:rsid w:val="00B179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B1792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B1792A"/>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B1792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1792A"/>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B1792A"/>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B1792A"/>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B1792A"/>
    <w:rPr>
      <w:rFonts w:asciiTheme="majorHAnsi" w:eastAsiaTheme="majorEastAsia" w:hAnsiTheme="majorHAnsi" w:cstheme="majorBidi"/>
      <w:i/>
      <w:iCs/>
      <w:color w:val="365F91" w:themeColor="accent1" w:themeShade="BF"/>
    </w:rPr>
  </w:style>
  <w:style w:type="numbering" w:customStyle="1" w:styleId="NoList1">
    <w:name w:val="No List1"/>
    <w:next w:val="Sraonra"/>
    <w:uiPriority w:val="99"/>
    <w:semiHidden/>
    <w:unhideWhenUsed/>
    <w:rsid w:val="00B1792A"/>
  </w:style>
  <w:style w:type="character" w:styleId="Hipersaitas">
    <w:name w:val="Hyperlink"/>
    <w:basedOn w:val="Numatytasispastraiposriftas"/>
    <w:unhideWhenUsed/>
    <w:rsid w:val="00B1792A"/>
    <w:rPr>
      <w:color w:val="0000FF"/>
      <w:u w:val="single"/>
    </w:rPr>
  </w:style>
  <w:style w:type="paragraph" w:customStyle="1" w:styleId="PI-1EMEASMCA">
    <w:name w:val="PI-1 EMEA_SMCA"/>
    <w:basedOn w:val="Antrat2"/>
    <w:autoRedefine/>
    <w:rsid w:val="00B1792A"/>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B1792A"/>
    <w:rPr>
      <w:b/>
      <w:noProof/>
    </w:rPr>
  </w:style>
  <w:style w:type="paragraph" w:customStyle="1" w:styleId="PI-1labEMEASMCA">
    <w:name w:val="PI-1_lab EMEA_SMCA"/>
    <w:basedOn w:val="prastasis"/>
    <w:link w:val="PI-1labEMEASMCAChar"/>
    <w:autoRedefine/>
    <w:rsid w:val="00B1792A"/>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B1792A"/>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46443C"/>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46443C"/>
    <w:pPr>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B1792A"/>
    <w:rPr>
      <w:rFonts w:ascii="Times New Roman" w:hAnsi="Times New Roman" w:cs="Times New Roman"/>
      <w:b/>
      <w:lang w:val="lt-LT"/>
    </w:rPr>
  </w:style>
  <w:style w:type="paragraph" w:customStyle="1" w:styleId="TTEMEASMCA">
    <w:name w:val="TT EMEA_SMCA"/>
    <w:basedOn w:val="Antrat1"/>
    <w:link w:val="TTEMEASMCAChar"/>
    <w:autoRedefine/>
    <w:rsid w:val="00B1792A"/>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B1792A"/>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B1792A"/>
    <w:pPr>
      <w:numPr>
        <w:numId w:val="3"/>
      </w:numPr>
      <w:ind w:left="567" w:hanging="567"/>
    </w:pPr>
  </w:style>
  <w:style w:type="paragraph" w:customStyle="1" w:styleId="PI-3EMEASMCA">
    <w:name w:val="PI-3 EMEA_SMCA"/>
    <w:basedOn w:val="prastasis"/>
    <w:autoRedefine/>
    <w:rsid w:val="00B1792A"/>
    <w:pPr>
      <w:spacing w:after="0" w:line="240" w:lineRule="auto"/>
    </w:pPr>
    <w:rPr>
      <w:rFonts w:ascii="Times New Roman" w:eastAsia="Times New Roman" w:hAnsi="Times New Roman" w:cs="Times New Roman"/>
      <w:b/>
      <w:bCs/>
      <w:lang w:val="lt-LT"/>
    </w:rPr>
  </w:style>
  <w:style w:type="paragraph" w:customStyle="1" w:styleId="BTbEMEASMCA">
    <w:name w:val="BT(b) EMEA_SMCA"/>
    <w:basedOn w:val="BTEMEASMCA"/>
    <w:autoRedefine/>
    <w:rsid w:val="00B1792A"/>
    <w:rPr>
      <w:b/>
    </w:rPr>
  </w:style>
  <w:style w:type="paragraph" w:customStyle="1" w:styleId="BTbeEMEASMCA">
    <w:name w:val="BT(be) EMEA_SMCA"/>
    <w:basedOn w:val="BTEMEASMCA"/>
    <w:autoRedefine/>
    <w:rsid w:val="00B1792A"/>
    <w:pPr>
      <w:jc w:val="center"/>
    </w:pPr>
    <w:rPr>
      <w:b/>
    </w:rPr>
  </w:style>
  <w:style w:type="paragraph" w:customStyle="1" w:styleId="BTeEMEASMCA">
    <w:name w:val="BT(e) EMEA_SMCA"/>
    <w:basedOn w:val="BTEMEASMCA"/>
    <w:autoRedefine/>
    <w:rsid w:val="00B1792A"/>
    <w:pPr>
      <w:jc w:val="center"/>
    </w:pPr>
  </w:style>
  <w:style w:type="paragraph" w:customStyle="1" w:styleId="BTuEMEASMCA">
    <w:name w:val="BT(u) EMEA_SMCA"/>
    <w:basedOn w:val="BTEMEASMCA"/>
    <w:autoRedefine/>
    <w:rsid w:val="00B1792A"/>
    <w:rPr>
      <w:u w:val="single"/>
    </w:rPr>
  </w:style>
  <w:style w:type="paragraph" w:styleId="Porat">
    <w:name w:val="footer"/>
    <w:basedOn w:val="prastasis"/>
    <w:link w:val="PoratDiagrama"/>
    <w:uiPriority w:val="99"/>
    <w:unhideWhenUsed/>
    <w:rsid w:val="00B1792A"/>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B1792A"/>
    <w:rPr>
      <w:rFonts w:ascii="Times New Roman" w:eastAsia="Times New Roman" w:hAnsi="Times New Roman" w:cs="Times New Roman"/>
      <w:sz w:val="24"/>
      <w:szCs w:val="24"/>
      <w:lang w:val="lt-LT"/>
    </w:rPr>
  </w:style>
  <w:style w:type="paragraph" w:customStyle="1" w:styleId="Default">
    <w:name w:val="Default"/>
    <w:rsid w:val="00B1792A"/>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B1792A"/>
    <w:pPr>
      <w:spacing w:after="0" w:line="240" w:lineRule="auto"/>
    </w:pPr>
    <w:rPr>
      <w:rFonts w:ascii="Tahoma" w:eastAsiaTheme="minorEastAsia" w:hAnsi="Tahoma" w:cs="Tahoma"/>
      <w:sz w:val="16"/>
      <w:szCs w:val="16"/>
    </w:rPr>
  </w:style>
  <w:style w:type="character" w:customStyle="1" w:styleId="DebesliotekstasDiagrama">
    <w:name w:val="Debesėlio tekstas Diagrama"/>
    <w:basedOn w:val="Numatytasispastraiposriftas"/>
    <w:link w:val="Debesliotekstas"/>
    <w:uiPriority w:val="99"/>
    <w:semiHidden/>
    <w:rsid w:val="00B1792A"/>
    <w:rPr>
      <w:rFonts w:ascii="Tahoma" w:eastAsiaTheme="minorEastAsia" w:hAnsi="Tahoma" w:cs="Tahoma"/>
      <w:sz w:val="16"/>
      <w:szCs w:val="16"/>
    </w:rPr>
  </w:style>
  <w:style w:type="character" w:styleId="Komentaronuoroda">
    <w:name w:val="annotation reference"/>
    <w:basedOn w:val="Numatytasispastraiposriftas"/>
    <w:uiPriority w:val="99"/>
    <w:semiHidden/>
    <w:unhideWhenUsed/>
    <w:rsid w:val="00B1792A"/>
    <w:rPr>
      <w:sz w:val="16"/>
      <w:szCs w:val="16"/>
    </w:rPr>
  </w:style>
  <w:style w:type="paragraph" w:styleId="Komentarotekstas">
    <w:name w:val="annotation text"/>
    <w:basedOn w:val="prastasis"/>
    <w:link w:val="KomentarotekstasDiagrama"/>
    <w:uiPriority w:val="99"/>
    <w:unhideWhenUsed/>
    <w:rsid w:val="00B1792A"/>
    <w:pPr>
      <w:spacing w:line="240" w:lineRule="auto"/>
    </w:pPr>
    <w:rPr>
      <w:rFonts w:eastAsiaTheme="minorEastAsia"/>
      <w:sz w:val="20"/>
      <w:szCs w:val="20"/>
    </w:rPr>
  </w:style>
  <w:style w:type="character" w:customStyle="1" w:styleId="KomentarotekstasDiagrama">
    <w:name w:val="Komentaro tekstas Diagrama"/>
    <w:basedOn w:val="Numatytasispastraiposriftas"/>
    <w:link w:val="Komentarotekstas"/>
    <w:uiPriority w:val="99"/>
    <w:rsid w:val="00B1792A"/>
    <w:rPr>
      <w:rFonts w:eastAsiaTheme="minorEastAsia"/>
      <w:sz w:val="20"/>
      <w:szCs w:val="20"/>
    </w:rPr>
  </w:style>
  <w:style w:type="paragraph" w:styleId="Komentarotema">
    <w:name w:val="annotation subject"/>
    <w:basedOn w:val="Komentarotekstas"/>
    <w:next w:val="Komentarotekstas"/>
    <w:link w:val="KomentarotemaDiagrama"/>
    <w:uiPriority w:val="99"/>
    <w:semiHidden/>
    <w:unhideWhenUsed/>
    <w:rsid w:val="00B1792A"/>
    <w:rPr>
      <w:b/>
      <w:bCs/>
    </w:rPr>
  </w:style>
  <w:style w:type="character" w:customStyle="1" w:styleId="KomentarotemaDiagrama">
    <w:name w:val="Komentaro tema Diagrama"/>
    <w:basedOn w:val="KomentarotekstasDiagrama"/>
    <w:link w:val="Komentarotema"/>
    <w:uiPriority w:val="99"/>
    <w:semiHidden/>
    <w:rsid w:val="00B1792A"/>
    <w:rPr>
      <w:rFonts w:eastAsiaTheme="minorEastAsia"/>
      <w:b/>
      <w:bCs/>
      <w:sz w:val="20"/>
      <w:szCs w:val="20"/>
    </w:rPr>
  </w:style>
  <w:style w:type="paragraph" w:styleId="Antrats">
    <w:name w:val="header"/>
    <w:basedOn w:val="prastasis"/>
    <w:link w:val="AntratsDiagrama"/>
    <w:uiPriority w:val="99"/>
    <w:unhideWhenUsed/>
    <w:rsid w:val="00B1792A"/>
    <w:pPr>
      <w:tabs>
        <w:tab w:val="center" w:pos="4819"/>
        <w:tab w:val="right" w:pos="9638"/>
      </w:tabs>
      <w:spacing w:after="0" w:line="240" w:lineRule="auto"/>
    </w:pPr>
    <w:rPr>
      <w:rFonts w:eastAsiaTheme="minorEastAsia"/>
    </w:rPr>
  </w:style>
  <w:style w:type="character" w:customStyle="1" w:styleId="AntratsDiagrama">
    <w:name w:val="Antraštės Diagrama"/>
    <w:basedOn w:val="Numatytasispastraiposriftas"/>
    <w:link w:val="Antrats"/>
    <w:uiPriority w:val="99"/>
    <w:rsid w:val="00B1792A"/>
    <w:rPr>
      <w:rFonts w:eastAsiaTheme="minorEastAsia"/>
    </w:rPr>
  </w:style>
  <w:style w:type="paragraph" w:customStyle="1" w:styleId="NormalParagraphStyle">
    <w:name w:val="NormalParagraphStyle"/>
    <w:basedOn w:val="prastasis"/>
    <w:rsid w:val="00B1792A"/>
    <w:pPr>
      <w:suppressAutoHyphens/>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lt-LT"/>
    </w:rPr>
  </w:style>
  <w:style w:type="paragraph" w:styleId="Pavadinimas">
    <w:name w:val="Title"/>
    <w:basedOn w:val="prastasis"/>
    <w:link w:val="PavadinimasDiagrama"/>
    <w:qFormat/>
    <w:rsid w:val="00B1792A"/>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rsid w:val="00B1792A"/>
    <w:rPr>
      <w:rFonts w:ascii="Times New Roman" w:eastAsia="Times New Roman" w:hAnsi="Times New Roman" w:cs="Times New Roman"/>
      <w:b/>
      <w:szCs w:val="20"/>
      <w:lang w:val="en-GB"/>
    </w:rPr>
  </w:style>
  <w:style w:type="paragraph" w:styleId="Sraopastraipa">
    <w:name w:val="List Paragraph"/>
    <w:basedOn w:val="prastasis"/>
    <w:uiPriority w:val="34"/>
    <w:qFormat/>
    <w:rsid w:val="00B1792A"/>
    <w:pPr>
      <w:ind w:left="720"/>
      <w:contextualSpacing/>
    </w:pPr>
    <w:rPr>
      <w:rFonts w:eastAsiaTheme="minorEastAsia"/>
    </w:rPr>
  </w:style>
  <w:style w:type="paragraph" w:styleId="Pataisymai">
    <w:name w:val="Revision"/>
    <w:hidden/>
    <w:uiPriority w:val="99"/>
    <w:semiHidden/>
    <w:rsid w:val="00B1792A"/>
    <w:pPr>
      <w:spacing w:after="0" w:line="240" w:lineRule="auto"/>
    </w:pPr>
  </w:style>
  <w:style w:type="paragraph" w:customStyle="1" w:styleId="pf0">
    <w:name w:val="pf0"/>
    <w:basedOn w:val="prastasis"/>
    <w:rsid w:val="00211EFC"/>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character" w:customStyle="1" w:styleId="cf01">
    <w:name w:val="cf01"/>
    <w:basedOn w:val="Numatytasispastraiposriftas"/>
    <w:rsid w:val="00211EFC"/>
    <w:rPr>
      <w:rFonts w:ascii="Segoe UI" w:hAnsi="Segoe UI" w:cs="Segoe UI" w:hint="default"/>
      <w:b/>
      <w:bCs/>
      <w:sz w:val="18"/>
      <w:szCs w:val="18"/>
      <w:shd w:val="clear" w:color="auto" w:fill="00FF00"/>
    </w:rPr>
  </w:style>
  <w:style w:type="paragraph" w:styleId="prastasiniatinklio">
    <w:name w:val="Normal (Web)"/>
    <w:basedOn w:val="prastasis"/>
    <w:uiPriority w:val="99"/>
    <w:unhideWhenUsed/>
    <w:rsid w:val="00211EFC"/>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character" w:customStyle="1" w:styleId="cf21">
    <w:name w:val="cf21"/>
    <w:basedOn w:val="Numatytasispastraiposriftas"/>
    <w:rsid w:val="00211EFC"/>
    <w:rPr>
      <w:rFonts w:ascii="Segoe UI" w:hAnsi="Segoe UI" w:cs="Segoe UI" w:hint="default"/>
      <w:sz w:val="18"/>
      <w:szCs w:val="18"/>
      <w:shd w:val="clear" w:color="auto" w:fill="00FF00"/>
    </w:rPr>
  </w:style>
  <w:style w:type="character" w:customStyle="1" w:styleId="UnresolvedMention">
    <w:name w:val="Unresolved Mention"/>
    <w:basedOn w:val="Numatytasispastraiposriftas"/>
    <w:uiPriority w:val="99"/>
    <w:semiHidden/>
    <w:unhideWhenUsed/>
    <w:rsid w:val="008602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177812">
      <w:bodyDiv w:val="1"/>
      <w:marLeft w:val="0"/>
      <w:marRight w:val="0"/>
      <w:marTop w:val="0"/>
      <w:marBottom w:val="0"/>
      <w:divBdr>
        <w:top w:val="none" w:sz="0" w:space="0" w:color="auto"/>
        <w:left w:val="none" w:sz="0" w:space="0" w:color="auto"/>
        <w:bottom w:val="none" w:sz="0" w:space="0" w:color="auto"/>
        <w:right w:val="none" w:sz="0" w:space="0" w:color="auto"/>
      </w:divBdr>
    </w:div>
    <w:div w:id="131387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3BA2F-004F-45F8-988C-5136A2D82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31407</Words>
  <Characters>17903</Characters>
  <Application>Microsoft Office Word</Application>
  <DocSecurity>4</DocSecurity>
  <Lines>149</Lines>
  <Paragraphs>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cp:lastPrinted>2024-06-06T11:40:00Z</cp:lastPrinted>
  <dcterms:created xsi:type="dcterms:W3CDTF">2025-06-09T08:30:00Z</dcterms:created>
  <dcterms:modified xsi:type="dcterms:W3CDTF">2025-06-09T08:30:00Z</dcterms:modified>
</cp:coreProperties>
</file>