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EF2A" w14:textId="77777777" w:rsidR="0051016D" w:rsidRPr="002472CD" w:rsidRDefault="0051016D" w:rsidP="002472CD">
      <w:pPr>
        <w:tabs>
          <w:tab w:val="left" w:pos="-1440"/>
          <w:tab w:val="left" w:pos="-720"/>
        </w:tabs>
        <w:jc w:val="center"/>
        <w:rPr>
          <w:b/>
          <w:lang w:val="lt-LT"/>
        </w:rPr>
      </w:pPr>
    </w:p>
    <w:p w14:paraId="2955188B" w14:textId="77777777" w:rsidR="0051016D" w:rsidRPr="002472CD" w:rsidRDefault="0051016D" w:rsidP="002472CD">
      <w:pPr>
        <w:tabs>
          <w:tab w:val="left" w:pos="-1440"/>
          <w:tab w:val="left" w:pos="-720"/>
        </w:tabs>
        <w:jc w:val="center"/>
        <w:rPr>
          <w:b/>
          <w:lang w:val="lt-LT"/>
        </w:rPr>
      </w:pPr>
    </w:p>
    <w:p w14:paraId="409B50C2" w14:textId="77777777" w:rsidR="0051016D" w:rsidRPr="002472CD" w:rsidRDefault="0051016D" w:rsidP="002472CD">
      <w:pPr>
        <w:tabs>
          <w:tab w:val="left" w:pos="-1440"/>
          <w:tab w:val="left" w:pos="-720"/>
        </w:tabs>
        <w:jc w:val="center"/>
        <w:rPr>
          <w:b/>
          <w:lang w:val="lt-LT"/>
        </w:rPr>
      </w:pPr>
    </w:p>
    <w:p w14:paraId="2175E829" w14:textId="77777777" w:rsidR="0051016D" w:rsidRPr="002472CD" w:rsidRDefault="0051016D" w:rsidP="002472CD">
      <w:pPr>
        <w:tabs>
          <w:tab w:val="left" w:pos="-1440"/>
          <w:tab w:val="left" w:pos="-720"/>
        </w:tabs>
        <w:jc w:val="center"/>
        <w:rPr>
          <w:b/>
          <w:lang w:val="lt-LT"/>
        </w:rPr>
      </w:pPr>
    </w:p>
    <w:p w14:paraId="435843E3" w14:textId="77777777" w:rsidR="0051016D" w:rsidRPr="002472CD" w:rsidRDefault="0051016D" w:rsidP="002472CD">
      <w:pPr>
        <w:tabs>
          <w:tab w:val="left" w:pos="-1440"/>
          <w:tab w:val="left" w:pos="-720"/>
        </w:tabs>
        <w:jc w:val="center"/>
        <w:rPr>
          <w:b/>
          <w:lang w:val="lt-LT"/>
        </w:rPr>
      </w:pPr>
    </w:p>
    <w:p w14:paraId="2C3130E2" w14:textId="77777777" w:rsidR="0051016D" w:rsidRPr="002472CD" w:rsidRDefault="0051016D" w:rsidP="002472CD">
      <w:pPr>
        <w:tabs>
          <w:tab w:val="left" w:pos="-1440"/>
          <w:tab w:val="left" w:pos="-720"/>
        </w:tabs>
        <w:jc w:val="center"/>
        <w:rPr>
          <w:b/>
          <w:lang w:val="lt-LT"/>
        </w:rPr>
      </w:pPr>
    </w:p>
    <w:p w14:paraId="762D2AA3" w14:textId="77777777" w:rsidR="0051016D" w:rsidRPr="002472CD" w:rsidRDefault="0051016D" w:rsidP="002472CD">
      <w:pPr>
        <w:tabs>
          <w:tab w:val="left" w:pos="-1440"/>
          <w:tab w:val="left" w:pos="-720"/>
        </w:tabs>
        <w:jc w:val="center"/>
        <w:rPr>
          <w:b/>
          <w:lang w:val="lt-LT"/>
        </w:rPr>
      </w:pPr>
    </w:p>
    <w:p w14:paraId="3DC99591" w14:textId="77777777" w:rsidR="0051016D" w:rsidRPr="002472CD" w:rsidRDefault="0051016D" w:rsidP="002472CD">
      <w:pPr>
        <w:tabs>
          <w:tab w:val="left" w:pos="-1440"/>
          <w:tab w:val="left" w:pos="-720"/>
        </w:tabs>
        <w:jc w:val="center"/>
        <w:rPr>
          <w:b/>
          <w:lang w:val="lt-LT"/>
        </w:rPr>
      </w:pPr>
    </w:p>
    <w:p w14:paraId="797BBA4F" w14:textId="77777777" w:rsidR="0051016D" w:rsidRPr="002472CD" w:rsidRDefault="0051016D" w:rsidP="002472CD">
      <w:pPr>
        <w:tabs>
          <w:tab w:val="left" w:pos="-1440"/>
          <w:tab w:val="left" w:pos="-720"/>
        </w:tabs>
        <w:jc w:val="center"/>
        <w:rPr>
          <w:b/>
          <w:lang w:val="lt-LT"/>
        </w:rPr>
      </w:pPr>
    </w:p>
    <w:p w14:paraId="1AA7525A" w14:textId="77777777" w:rsidR="0051016D" w:rsidRPr="002472CD" w:rsidRDefault="0051016D" w:rsidP="002472CD">
      <w:pPr>
        <w:tabs>
          <w:tab w:val="left" w:pos="-1440"/>
          <w:tab w:val="left" w:pos="-720"/>
        </w:tabs>
        <w:jc w:val="center"/>
        <w:rPr>
          <w:b/>
          <w:lang w:val="lt-LT"/>
        </w:rPr>
      </w:pPr>
    </w:p>
    <w:p w14:paraId="200EFEAB" w14:textId="77777777" w:rsidR="0051016D" w:rsidRPr="002472CD" w:rsidRDefault="0051016D" w:rsidP="002472CD">
      <w:pPr>
        <w:tabs>
          <w:tab w:val="left" w:pos="-1440"/>
          <w:tab w:val="left" w:pos="-720"/>
        </w:tabs>
        <w:jc w:val="center"/>
        <w:rPr>
          <w:b/>
          <w:lang w:val="lt-LT"/>
        </w:rPr>
      </w:pPr>
    </w:p>
    <w:p w14:paraId="7A4CB3E5" w14:textId="77777777" w:rsidR="0051016D" w:rsidRPr="002472CD" w:rsidRDefault="0051016D" w:rsidP="002472CD">
      <w:pPr>
        <w:tabs>
          <w:tab w:val="left" w:pos="-1440"/>
          <w:tab w:val="left" w:pos="-720"/>
        </w:tabs>
        <w:jc w:val="center"/>
        <w:rPr>
          <w:b/>
          <w:lang w:val="lt-LT"/>
        </w:rPr>
      </w:pPr>
    </w:p>
    <w:p w14:paraId="6B9E46DC" w14:textId="77777777" w:rsidR="0051016D" w:rsidRPr="002472CD" w:rsidRDefault="0051016D" w:rsidP="002472CD">
      <w:pPr>
        <w:tabs>
          <w:tab w:val="left" w:pos="-1440"/>
          <w:tab w:val="left" w:pos="-720"/>
        </w:tabs>
        <w:jc w:val="center"/>
        <w:rPr>
          <w:b/>
          <w:lang w:val="lt-LT"/>
        </w:rPr>
      </w:pPr>
    </w:p>
    <w:p w14:paraId="32114AB4" w14:textId="77777777" w:rsidR="0051016D" w:rsidRPr="002472CD" w:rsidRDefault="0051016D" w:rsidP="002472CD">
      <w:pPr>
        <w:tabs>
          <w:tab w:val="left" w:pos="-1440"/>
          <w:tab w:val="left" w:pos="-720"/>
        </w:tabs>
        <w:jc w:val="center"/>
        <w:rPr>
          <w:b/>
          <w:lang w:val="lt-LT"/>
        </w:rPr>
      </w:pPr>
    </w:p>
    <w:p w14:paraId="5C6B9AB4" w14:textId="77777777" w:rsidR="0051016D" w:rsidRPr="002472CD" w:rsidRDefault="0051016D" w:rsidP="002472CD">
      <w:pPr>
        <w:tabs>
          <w:tab w:val="left" w:pos="-1440"/>
          <w:tab w:val="left" w:pos="-720"/>
        </w:tabs>
        <w:jc w:val="center"/>
        <w:rPr>
          <w:b/>
          <w:lang w:val="lt-LT"/>
        </w:rPr>
      </w:pPr>
    </w:p>
    <w:p w14:paraId="271AD7E3" w14:textId="77777777" w:rsidR="0051016D" w:rsidRPr="002472CD" w:rsidRDefault="0051016D" w:rsidP="002472CD">
      <w:pPr>
        <w:tabs>
          <w:tab w:val="left" w:pos="-1440"/>
          <w:tab w:val="left" w:pos="-720"/>
        </w:tabs>
        <w:jc w:val="center"/>
        <w:rPr>
          <w:b/>
          <w:lang w:val="lt-LT"/>
        </w:rPr>
      </w:pPr>
    </w:p>
    <w:p w14:paraId="4BD8F9E7" w14:textId="77777777" w:rsidR="0051016D" w:rsidRPr="002472CD" w:rsidRDefault="0051016D" w:rsidP="002472CD">
      <w:pPr>
        <w:tabs>
          <w:tab w:val="left" w:pos="-1440"/>
          <w:tab w:val="left" w:pos="-720"/>
        </w:tabs>
        <w:jc w:val="center"/>
        <w:rPr>
          <w:b/>
          <w:lang w:val="lt-LT"/>
        </w:rPr>
      </w:pPr>
    </w:p>
    <w:p w14:paraId="5DF7F5F9" w14:textId="77777777" w:rsidR="0051016D" w:rsidRPr="002472CD" w:rsidRDefault="0051016D" w:rsidP="002472CD">
      <w:pPr>
        <w:tabs>
          <w:tab w:val="left" w:pos="-1440"/>
          <w:tab w:val="left" w:pos="-720"/>
        </w:tabs>
        <w:jc w:val="center"/>
        <w:rPr>
          <w:b/>
          <w:lang w:val="lt-LT"/>
        </w:rPr>
      </w:pPr>
    </w:p>
    <w:p w14:paraId="0CA4303F" w14:textId="77777777" w:rsidR="0051016D" w:rsidRPr="002472CD" w:rsidRDefault="0051016D" w:rsidP="002472CD">
      <w:pPr>
        <w:tabs>
          <w:tab w:val="left" w:pos="-1440"/>
          <w:tab w:val="left" w:pos="-720"/>
        </w:tabs>
        <w:jc w:val="center"/>
        <w:rPr>
          <w:b/>
          <w:lang w:val="lt-LT"/>
        </w:rPr>
      </w:pPr>
    </w:p>
    <w:p w14:paraId="11DB8BC0" w14:textId="77777777" w:rsidR="0051016D" w:rsidRPr="002472CD" w:rsidRDefault="0051016D" w:rsidP="002472CD">
      <w:pPr>
        <w:tabs>
          <w:tab w:val="left" w:pos="-1440"/>
          <w:tab w:val="left" w:pos="-720"/>
        </w:tabs>
        <w:jc w:val="center"/>
        <w:rPr>
          <w:b/>
          <w:lang w:val="lt-LT"/>
        </w:rPr>
      </w:pPr>
    </w:p>
    <w:p w14:paraId="2E8CF455" w14:textId="77777777" w:rsidR="0051016D" w:rsidRPr="002472CD" w:rsidRDefault="0051016D" w:rsidP="002472CD">
      <w:pPr>
        <w:tabs>
          <w:tab w:val="left" w:pos="-1440"/>
          <w:tab w:val="left" w:pos="-720"/>
        </w:tabs>
        <w:jc w:val="center"/>
        <w:rPr>
          <w:b/>
          <w:lang w:val="lt-LT"/>
        </w:rPr>
      </w:pPr>
    </w:p>
    <w:p w14:paraId="70862177" w14:textId="77777777" w:rsidR="0051016D" w:rsidRPr="002472CD" w:rsidRDefault="0051016D" w:rsidP="002472CD">
      <w:pPr>
        <w:tabs>
          <w:tab w:val="left" w:pos="-1440"/>
          <w:tab w:val="left" w:pos="-720"/>
        </w:tabs>
        <w:jc w:val="center"/>
        <w:rPr>
          <w:b/>
          <w:lang w:val="lt-LT"/>
        </w:rPr>
      </w:pPr>
    </w:p>
    <w:p w14:paraId="64BEC219" w14:textId="77777777" w:rsidR="0051016D" w:rsidRPr="002E7B89" w:rsidRDefault="0051016D" w:rsidP="0051016D">
      <w:pPr>
        <w:pStyle w:val="Antrat2"/>
        <w:spacing w:before="0" w:after="0"/>
        <w:jc w:val="center"/>
        <w:rPr>
          <w:rFonts w:ascii="Times New Roman" w:hAnsi="Times New Roman"/>
          <w:bCs w:val="0"/>
          <w:i w:val="0"/>
          <w:iCs w:val="0"/>
          <w:sz w:val="22"/>
          <w:szCs w:val="24"/>
          <w:lang w:val="lt-LT"/>
        </w:rPr>
      </w:pPr>
      <w:r w:rsidRPr="002E7B89">
        <w:rPr>
          <w:rFonts w:ascii="Times New Roman" w:hAnsi="Times New Roman"/>
          <w:i w:val="0"/>
          <w:sz w:val="22"/>
          <w:lang w:val="lt-LT"/>
        </w:rPr>
        <w:t>I PRIEDAS</w:t>
      </w:r>
    </w:p>
    <w:p w14:paraId="05291A45" w14:textId="77777777" w:rsidR="0051016D" w:rsidRPr="002E7B89" w:rsidRDefault="0051016D" w:rsidP="0051016D">
      <w:pPr>
        <w:rPr>
          <w:szCs w:val="24"/>
          <w:lang w:val="lt-LT"/>
        </w:rPr>
      </w:pPr>
    </w:p>
    <w:p w14:paraId="14E16CBC" w14:textId="77777777" w:rsidR="0051016D" w:rsidRPr="002E7B89" w:rsidRDefault="0051016D" w:rsidP="0051016D">
      <w:pPr>
        <w:tabs>
          <w:tab w:val="left" w:pos="-1440"/>
          <w:tab w:val="left" w:pos="-720"/>
        </w:tabs>
        <w:jc w:val="center"/>
        <w:rPr>
          <w:b/>
          <w:lang w:val="lt-LT"/>
        </w:rPr>
      </w:pPr>
      <w:r w:rsidRPr="002E7B89">
        <w:rPr>
          <w:b/>
          <w:lang w:val="lt-LT"/>
        </w:rPr>
        <w:t>PREPARATO CHARAKTERISTIKŲ SANTRAUKA</w:t>
      </w:r>
    </w:p>
    <w:p w14:paraId="27152D75" w14:textId="77777777" w:rsidR="0051016D" w:rsidRPr="002E7B89" w:rsidRDefault="0051016D" w:rsidP="0051016D">
      <w:pPr>
        <w:tabs>
          <w:tab w:val="left" w:pos="-1440"/>
          <w:tab w:val="left" w:pos="-720"/>
        </w:tabs>
        <w:jc w:val="center"/>
        <w:rPr>
          <w:b/>
          <w:lang w:val="lt-LT"/>
        </w:rPr>
      </w:pPr>
    </w:p>
    <w:p w14:paraId="727DAE14" w14:textId="77777777" w:rsidR="0051016D" w:rsidRPr="002E7B89" w:rsidRDefault="0051016D" w:rsidP="0051016D">
      <w:pPr>
        <w:tabs>
          <w:tab w:val="left" w:pos="-1440"/>
          <w:tab w:val="left" w:pos="-720"/>
        </w:tabs>
        <w:jc w:val="center"/>
        <w:rPr>
          <w:b/>
          <w:lang w:val="lt-LT"/>
        </w:rPr>
      </w:pPr>
    </w:p>
    <w:p w14:paraId="5A8C2788" w14:textId="77777777" w:rsidR="0051016D" w:rsidRPr="002E7B89" w:rsidRDefault="0051016D" w:rsidP="0051016D">
      <w:pPr>
        <w:tabs>
          <w:tab w:val="left" w:pos="-1440"/>
          <w:tab w:val="left" w:pos="-720"/>
        </w:tabs>
        <w:jc w:val="center"/>
        <w:rPr>
          <w:b/>
          <w:lang w:val="lt-LT"/>
        </w:rPr>
      </w:pPr>
    </w:p>
    <w:p w14:paraId="4DD56665" w14:textId="77777777" w:rsidR="0051016D" w:rsidRPr="002E7B89" w:rsidRDefault="0051016D" w:rsidP="0051016D">
      <w:pPr>
        <w:tabs>
          <w:tab w:val="left" w:pos="-1440"/>
          <w:tab w:val="left" w:pos="-720"/>
        </w:tabs>
        <w:jc w:val="center"/>
        <w:rPr>
          <w:b/>
          <w:lang w:val="lt-LT"/>
        </w:rPr>
      </w:pPr>
    </w:p>
    <w:p w14:paraId="0EC6104E" w14:textId="77777777" w:rsidR="0051016D" w:rsidRPr="002E7B89" w:rsidRDefault="0051016D" w:rsidP="0051016D">
      <w:pPr>
        <w:tabs>
          <w:tab w:val="left" w:pos="-1440"/>
          <w:tab w:val="left" w:pos="-720"/>
        </w:tabs>
        <w:jc w:val="center"/>
        <w:rPr>
          <w:b/>
          <w:lang w:val="lt-LT"/>
        </w:rPr>
      </w:pPr>
    </w:p>
    <w:p w14:paraId="5F6C2B1E" w14:textId="77777777" w:rsidR="0051016D" w:rsidRPr="002E7B89" w:rsidRDefault="0051016D" w:rsidP="0051016D">
      <w:pPr>
        <w:tabs>
          <w:tab w:val="left" w:pos="-1440"/>
          <w:tab w:val="left" w:pos="-720"/>
        </w:tabs>
        <w:jc w:val="center"/>
        <w:rPr>
          <w:b/>
          <w:lang w:val="lt-LT"/>
        </w:rPr>
      </w:pPr>
    </w:p>
    <w:p w14:paraId="53BF133C" w14:textId="77777777" w:rsidR="0051016D" w:rsidRPr="002E7B89" w:rsidRDefault="0051016D" w:rsidP="0051016D">
      <w:pPr>
        <w:tabs>
          <w:tab w:val="left" w:pos="-1440"/>
          <w:tab w:val="left" w:pos="-720"/>
        </w:tabs>
        <w:jc w:val="center"/>
        <w:rPr>
          <w:b/>
          <w:lang w:val="lt-LT"/>
        </w:rPr>
      </w:pPr>
    </w:p>
    <w:p w14:paraId="6451CFDE" w14:textId="77777777" w:rsidR="0051016D" w:rsidRPr="002E7B89" w:rsidRDefault="0051016D" w:rsidP="0051016D">
      <w:pPr>
        <w:tabs>
          <w:tab w:val="left" w:pos="-1440"/>
          <w:tab w:val="left" w:pos="-720"/>
        </w:tabs>
        <w:jc w:val="center"/>
        <w:rPr>
          <w:b/>
          <w:lang w:val="lt-LT"/>
        </w:rPr>
      </w:pPr>
    </w:p>
    <w:p w14:paraId="31A06725" w14:textId="77777777" w:rsidR="0051016D" w:rsidRPr="002E7B89" w:rsidRDefault="0051016D" w:rsidP="0051016D">
      <w:pPr>
        <w:tabs>
          <w:tab w:val="left" w:pos="-1440"/>
          <w:tab w:val="left" w:pos="-720"/>
        </w:tabs>
        <w:jc w:val="center"/>
        <w:rPr>
          <w:b/>
          <w:lang w:val="lt-LT"/>
        </w:rPr>
      </w:pPr>
    </w:p>
    <w:p w14:paraId="71A1B4B4" w14:textId="77777777" w:rsidR="0051016D" w:rsidRPr="002E7B89" w:rsidRDefault="0051016D" w:rsidP="0051016D">
      <w:pPr>
        <w:tabs>
          <w:tab w:val="left" w:pos="-1440"/>
          <w:tab w:val="left" w:pos="-720"/>
        </w:tabs>
        <w:jc w:val="center"/>
        <w:rPr>
          <w:b/>
          <w:lang w:val="lt-LT"/>
        </w:rPr>
      </w:pPr>
    </w:p>
    <w:p w14:paraId="639E5B6B" w14:textId="77777777" w:rsidR="0051016D" w:rsidRPr="002E7B89" w:rsidRDefault="0051016D" w:rsidP="0051016D">
      <w:pPr>
        <w:tabs>
          <w:tab w:val="left" w:pos="-1440"/>
          <w:tab w:val="left" w:pos="-720"/>
        </w:tabs>
        <w:jc w:val="center"/>
        <w:rPr>
          <w:b/>
          <w:lang w:val="lt-LT"/>
        </w:rPr>
      </w:pPr>
    </w:p>
    <w:p w14:paraId="4D2605CA" w14:textId="77777777" w:rsidR="0051016D" w:rsidRPr="002E7B89" w:rsidRDefault="0051016D" w:rsidP="0051016D">
      <w:pPr>
        <w:tabs>
          <w:tab w:val="left" w:pos="-1440"/>
          <w:tab w:val="left" w:pos="-720"/>
        </w:tabs>
        <w:jc w:val="center"/>
        <w:rPr>
          <w:b/>
          <w:lang w:val="lt-LT"/>
        </w:rPr>
      </w:pPr>
    </w:p>
    <w:p w14:paraId="46B90221" w14:textId="77777777" w:rsidR="0051016D" w:rsidRPr="002E7B89" w:rsidRDefault="0051016D" w:rsidP="0051016D">
      <w:pPr>
        <w:tabs>
          <w:tab w:val="left" w:pos="-1440"/>
          <w:tab w:val="left" w:pos="-720"/>
        </w:tabs>
        <w:jc w:val="center"/>
        <w:rPr>
          <w:b/>
          <w:lang w:val="lt-LT"/>
        </w:rPr>
      </w:pPr>
    </w:p>
    <w:p w14:paraId="42938D78" w14:textId="77777777" w:rsidR="0051016D" w:rsidRPr="002E7B89" w:rsidRDefault="0051016D" w:rsidP="0051016D">
      <w:pPr>
        <w:tabs>
          <w:tab w:val="left" w:pos="-1440"/>
          <w:tab w:val="left" w:pos="-720"/>
        </w:tabs>
        <w:jc w:val="center"/>
        <w:rPr>
          <w:b/>
          <w:lang w:val="lt-LT"/>
        </w:rPr>
      </w:pPr>
    </w:p>
    <w:p w14:paraId="31A71A7F" w14:textId="77777777" w:rsidR="0051016D" w:rsidRPr="002E7B89" w:rsidRDefault="0051016D" w:rsidP="0051016D">
      <w:pPr>
        <w:tabs>
          <w:tab w:val="left" w:pos="-1440"/>
          <w:tab w:val="left" w:pos="-720"/>
        </w:tabs>
        <w:jc w:val="center"/>
        <w:rPr>
          <w:b/>
          <w:lang w:val="lt-LT"/>
        </w:rPr>
      </w:pPr>
    </w:p>
    <w:p w14:paraId="72B0552C" w14:textId="77777777" w:rsidR="0051016D" w:rsidRPr="002E7B89" w:rsidRDefault="0051016D" w:rsidP="0051016D">
      <w:pPr>
        <w:tabs>
          <w:tab w:val="left" w:pos="-1440"/>
          <w:tab w:val="left" w:pos="-720"/>
        </w:tabs>
        <w:jc w:val="center"/>
        <w:rPr>
          <w:b/>
          <w:lang w:val="lt-LT"/>
        </w:rPr>
      </w:pPr>
    </w:p>
    <w:p w14:paraId="71C06D6C" w14:textId="77777777" w:rsidR="0051016D" w:rsidRPr="002E7B89" w:rsidRDefault="0051016D" w:rsidP="0051016D">
      <w:pPr>
        <w:tabs>
          <w:tab w:val="left" w:pos="-1440"/>
          <w:tab w:val="left" w:pos="-720"/>
        </w:tabs>
        <w:jc w:val="center"/>
        <w:rPr>
          <w:b/>
          <w:lang w:val="lt-LT"/>
        </w:rPr>
      </w:pPr>
    </w:p>
    <w:p w14:paraId="7E32AC8F" w14:textId="77777777" w:rsidR="0051016D" w:rsidRPr="002E7B89" w:rsidRDefault="0051016D" w:rsidP="0051016D">
      <w:pPr>
        <w:tabs>
          <w:tab w:val="left" w:pos="-1440"/>
          <w:tab w:val="left" w:pos="-720"/>
        </w:tabs>
        <w:jc w:val="center"/>
        <w:rPr>
          <w:b/>
          <w:lang w:val="lt-LT"/>
        </w:rPr>
      </w:pPr>
    </w:p>
    <w:p w14:paraId="7912F28A" w14:textId="77777777" w:rsidR="0051016D" w:rsidRPr="002E7B89" w:rsidRDefault="0051016D" w:rsidP="0051016D">
      <w:pPr>
        <w:tabs>
          <w:tab w:val="left" w:pos="-1440"/>
          <w:tab w:val="left" w:pos="-720"/>
        </w:tabs>
        <w:jc w:val="center"/>
        <w:rPr>
          <w:b/>
          <w:lang w:val="lt-LT"/>
        </w:rPr>
      </w:pPr>
    </w:p>
    <w:p w14:paraId="66EF9D6E" w14:textId="77777777" w:rsidR="0051016D" w:rsidRPr="002E7B89" w:rsidRDefault="0051016D" w:rsidP="0051016D">
      <w:pPr>
        <w:tabs>
          <w:tab w:val="left" w:pos="-1440"/>
          <w:tab w:val="left" w:pos="-720"/>
        </w:tabs>
        <w:jc w:val="center"/>
        <w:rPr>
          <w:b/>
          <w:lang w:val="lt-LT"/>
        </w:rPr>
      </w:pPr>
    </w:p>
    <w:p w14:paraId="11776433" w14:textId="77777777" w:rsidR="0051016D" w:rsidRPr="002E7B89" w:rsidRDefault="0051016D" w:rsidP="0051016D">
      <w:pPr>
        <w:tabs>
          <w:tab w:val="left" w:pos="-1440"/>
          <w:tab w:val="left" w:pos="-720"/>
        </w:tabs>
        <w:jc w:val="center"/>
        <w:rPr>
          <w:b/>
          <w:lang w:val="lt-LT"/>
        </w:rPr>
      </w:pPr>
    </w:p>
    <w:p w14:paraId="2C4BA6D6" w14:textId="77777777" w:rsidR="0051016D" w:rsidRPr="002E7B89" w:rsidRDefault="0051016D" w:rsidP="0051016D">
      <w:pPr>
        <w:tabs>
          <w:tab w:val="left" w:pos="-1440"/>
          <w:tab w:val="left" w:pos="-720"/>
        </w:tabs>
        <w:jc w:val="center"/>
        <w:rPr>
          <w:b/>
          <w:lang w:val="lt-LT"/>
        </w:rPr>
      </w:pPr>
    </w:p>
    <w:p w14:paraId="6D4C1CF5" w14:textId="77777777" w:rsidR="0051016D" w:rsidRPr="002E7B89" w:rsidRDefault="0051016D" w:rsidP="0051016D">
      <w:pPr>
        <w:tabs>
          <w:tab w:val="left" w:pos="-1440"/>
          <w:tab w:val="left" w:pos="-720"/>
        </w:tabs>
        <w:jc w:val="center"/>
        <w:rPr>
          <w:b/>
          <w:lang w:val="lt-LT"/>
        </w:rPr>
      </w:pPr>
    </w:p>
    <w:p w14:paraId="1BFFCC35" w14:textId="77777777" w:rsidR="0051016D" w:rsidRPr="002E7B89" w:rsidRDefault="0051016D" w:rsidP="0051016D">
      <w:pPr>
        <w:tabs>
          <w:tab w:val="left" w:pos="-1440"/>
          <w:tab w:val="left" w:pos="-720"/>
        </w:tabs>
        <w:jc w:val="center"/>
        <w:rPr>
          <w:b/>
          <w:lang w:val="lt-LT"/>
        </w:rPr>
      </w:pPr>
    </w:p>
    <w:p w14:paraId="3F49C1A1" w14:textId="77777777" w:rsidR="0051016D" w:rsidRPr="002E7B89" w:rsidRDefault="0051016D" w:rsidP="0051016D">
      <w:pPr>
        <w:tabs>
          <w:tab w:val="left" w:pos="-1440"/>
          <w:tab w:val="left" w:pos="-720"/>
        </w:tabs>
        <w:jc w:val="center"/>
        <w:rPr>
          <w:b/>
          <w:lang w:val="lt-LT"/>
        </w:rPr>
      </w:pPr>
    </w:p>
    <w:p w14:paraId="0B96160F" w14:textId="77777777" w:rsidR="0051016D" w:rsidRPr="002E7B89" w:rsidRDefault="0051016D" w:rsidP="0051016D">
      <w:pPr>
        <w:tabs>
          <w:tab w:val="left" w:pos="-1440"/>
          <w:tab w:val="left" w:pos="-720"/>
        </w:tabs>
        <w:jc w:val="center"/>
        <w:rPr>
          <w:b/>
          <w:lang w:val="lt-LT"/>
        </w:rPr>
      </w:pPr>
    </w:p>
    <w:p w14:paraId="17D8E564" w14:textId="77777777" w:rsidR="0051016D" w:rsidRPr="002E7B89" w:rsidRDefault="0051016D" w:rsidP="0051016D">
      <w:pPr>
        <w:tabs>
          <w:tab w:val="left" w:pos="-1440"/>
          <w:tab w:val="left" w:pos="-720"/>
        </w:tabs>
        <w:jc w:val="center"/>
        <w:rPr>
          <w:b/>
          <w:lang w:val="lt-LT"/>
        </w:rPr>
      </w:pPr>
    </w:p>
    <w:p w14:paraId="76E4D9AF" w14:textId="77777777" w:rsidR="0051016D" w:rsidRPr="002E7B89" w:rsidRDefault="0051016D" w:rsidP="0051016D">
      <w:pPr>
        <w:tabs>
          <w:tab w:val="left" w:pos="-1440"/>
          <w:tab w:val="left" w:pos="-720"/>
        </w:tabs>
        <w:jc w:val="center"/>
        <w:rPr>
          <w:b/>
          <w:lang w:val="lt-LT"/>
        </w:rPr>
      </w:pPr>
    </w:p>
    <w:p w14:paraId="447FFCCB" w14:textId="77777777" w:rsidR="0051016D" w:rsidRPr="002E7B89" w:rsidRDefault="0051016D" w:rsidP="0051016D">
      <w:pPr>
        <w:tabs>
          <w:tab w:val="left" w:pos="-1440"/>
          <w:tab w:val="left" w:pos="-720"/>
        </w:tabs>
        <w:jc w:val="center"/>
        <w:rPr>
          <w:b/>
          <w:lang w:val="lt-LT"/>
        </w:rPr>
      </w:pPr>
    </w:p>
    <w:p w14:paraId="7D11D913" w14:textId="77777777" w:rsidR="0051016D" w:rsidRPr="002E7B89" w:rsidRDefault="0051016D" w:rsidP="0051016D">
      <w:pPr>
        <w:tabs>
          <w:tab w:val="left" w:pos="-1440"/>
          <w:tab w:val="left" w:pos="-720"/>
        </w:tabs>
        <w:jc w:val="center"/>
        <w:rPr>
          <w:b/>
          <w:lang w:val="lt-LT"/>
        </w:rPr>
      </w:pPr>
    </w:p>
    <w:p w14:paraId="30C1AC3C" w14:textId="77777777" w:rsidR="0051016D" w:rsidRPr="002E7B89" w:rsidRDefault="0051016D" w:rsidP="0051016D">
      <w:pPr>
        <w:tabs>
          <w:tab w:val="left" w:pos="-1440"/>
          <w:tab w:val="left" w:pos="-720"/>
        </w:tabs>
        <w:jc w:val="center"/>
        <w:rPr>
          <w:b/>
          <w:lang w:val="lt-LT"/>
        </w:rPr>
      </w:pPr>
    </w:p>
    <w:p w14:paraId="10F936DE" w14:textId="77777777" w:rsidR="0051016D" w:rsidRPr="002E7B89" w:rsidRDefault="0051016D" w:rsidP="0051016D">
      <w:pPr>
        <w:tabs>
          <w:tab w:val="left" w:pos="-1440"/>
          <w:tab w:val="left" w:pos="-720"/>
        </w:tabs>
        <w:jc w:val="center"/>
        <w:rPr>
          <w:b/>
          <w:lang w:val="lt-LT"/>
        </w:rPr>
      </w:pPr>
    </w:p>
    <w:p w14:paraId="43BA978C" w14:textId="77777777" w:rsidR="0069312C" w:rsidRPr="002E7B89" w:rsidRDefault="0069312C" w:rsidP="0069312C">
      <w:pPr>
        <w:pStyle w:val="Betarp"/>
        <w:jc w:val="center"/>
        <w:rPr>
          <w:lang w:val="lt-LT"/>
        </w:rPr>
      </w:pPr>
    </w:p>
    <w:p w14:paraId="6854B8D6" w14:textId="77777777" w:rsidR="00A16F40" w:rsidRPr="002E7B89" w:rsidRDefault="002D4A26" w:rsidP="002D4A26">
      <w:pPr>
        <w:pStyle w:val="Betarp"/>
        <w:rPr>
          <w:b/>
          <w:lang w:val="lt-LT"/>
        </w:rPr>
      </w:pPr>
      <w:r w:rsidRPr="002E7B89">
        <w:rPr>
          <w:b/>
          <w:spacing w:val="-3"/>
          <w:lang w:val="lt-LT" w:bidi="lt-LT"/>
        </w:rPr>
        <w:t>1.</w:t>
      </w:r>
      <w:r w:rsidRPr="002E7B89">
        <w:rPr>
          <w:b/>
          <w:spacing w:val="-3"/>
          <w:lang w:val="lt-LT" w:bidi="lt-LT"/>
        </w:rPr>
        <w:tab/>
        <w:t>VAISTINIO PREPARATO PAVADINIMAS</w:t>
      </w:r>
    </w:p>
    <w:p w14:paraId="1543E7ED" w14:textId="77777777" w:rsidR="00A16F40" w:rsidRPr="002E7B89" w:rsidRDefault="00A16F40" w:rsidP="002D4A26">
      <w:pPr>
        <w:pStyle w:val="Betarp"/>
        <w:rPr>
          <w:lang w:val="lt-LT"/>
        </w:rPr>
      </w:pPr>
    </w:p>
    <w:p w14:paraId="69251E13" w14:textId="77777777" w:rsidR="00A41532" w:rsidRPr="002E7B89" w:rsidRDefault="008765BB" w:rsidP="002D4A26">
      <w:pPr>
        <w:pStyle w:val="Betarp"/>
        <w:rPr>
          <w:lang w:val="lt-LT"/>
        </w:rPr>
      </w:pPr>
      <w:r>
        <w:rPr>
          <w:lang w:val="lt-LT" w:bidi="lt-LT"/>
        </w:rPr>
        <w:t>Dexamethasone Kalceks</w:t>
      </w:r>
      <w:r w:rsidR="00F80D11" w:rsidRPr="002E7B89">
        <w:rPr>
          <w:lang w:val="lt-LT" w:bidi="lt-LT"/>
        </w:rPr>
        <w:t xml:space="preserve"> 4 mg/ml injekcinis ar infuzinis tirpalas</w:t>
      </w:r>
    </w:p>
    <w:p w14:paraId="4FFFBAD5" w14:textId="77777777" w:rsidR="00A16F40" w:rsidRPr="002E7B89" w:rsidRDefault="00A16F40" w:rsidP="002D4A26">
      <w:pPr>
        <w:pStyle w:val="Betarp"/>
        <w:rPr>
          <w:lang w:val="lt-LT"/>
        </w:rPr>
      </w:pPr>
    </w:p>
    <w:p w14:paraId="20AF67DB" w14:textId="77777777" w:rsidR="00A16F40" w:rsidRPr="002E7B89" w:rsidRDefault="00A16F40" w:rsidP="002D4A26">
      <w:pPr>
        <w:pStyle w:val="Betarp"/>
        <w:rPr>
          <w:lang w:val="lt-LT"/>
        </w:rPr>
      </w:pPr>
    </w:p>
    <w:p w14:paraId="042FF44F" w14:textId="77777777" w:rsidR="00A16F40" w:rsidRPr="002E7B89" w:rsidRDefault="002D4A26" w:rsidP="002D4A26">
      <w:pPr>
        <w:pStyle w:val="Betarp"/>
        <w:rPr>
          <w:b/>
          <w:lang w:val="lt-LT"/>
        </w:rPr>
      </w:pPr>
      <w:bookmarkStart w:id="0" w:name="2._QUALITATIVE_UND_QUANTITATIVE_ZUSAMMEN"/>
      <w:bookmarkEnd w:id="0"/>
      <w:r w:rsidRPr="002E7B89">
        <w:rPr>
          <w:b/>
          <w:lang w:val="lt-LT" w:bidi="lt-LT"/>
        </w:rPr>
        <w:t>2.</w:t>
      </w:r>
      <w:r w:rsidRPr="002E7B89">
        <w:rPr>
          <w:b/>
          <w:lang w:val="lt-LT" w:bidi="lt-LT"/>
        </w:rPr>
        <w:tab/>
        <w:t>KOKYBINĖ IR KIEKYBINĖ SUDĖTIS</w:t>
      </w:r>
    </w:p>
    <w:p w14:paraId="3EBC3392" w14:textId="77777777" w:rsidR="00A16F40" w:rsidRPr="002E7B89" w:rsidRDefault="00A16F40" w:rsidP="002D4A26">
      <w:pPr>
        <w:pStyle w:val="Betarp"/>
        <w:rPr>
          <w:lang w:val="lt-LT"/>
        </w:rPr>
      </w:pPr>
    </w:p>
    <w:p w14:paraId="55133CB5" w14:textId="77777777" w:rsidR="006E61D9" w:rsidRPr="002E7B89" w:rsidRDefault="006E61D9" w:rsidP="002D4A26">
      <w:pPr>
        <w:pStyle w:val="Betarp"/>
        <w:rPr>
          <w:lang w:val="lt-LT"/>
        </w:rPr>
      </w:pPr>
      <w:r w:rsidRPr="002E7B89">
        <w:rPr>
          <w:lang w:val="lt-LT" w:bidi="lt-LT"/>
        </w:rPr>
        <w:t>Kiekvienoje 1 ml ampulėje yra deksametazono natrio fosfato, atitinkančio 4 mg deksametazono fosfato.</w:t>
      </w:r>
    </w:p>
    <w:p w14:paraId="5E0CCF55" w14:textId="77777777" w:rsidR="006E61D9" w:rsidRPr="002E7B89" w:rsidRDefault="006E61D9" w:rsidP="008D712E">
      <w:pPr>
        <w:pStyle w:val="Betarp"/>
        <w:rPr>
          <w:lang w:val="lt-LT"/>
        </w:rPr>
      </w:pPr>
      <w:r w:rsidRPr="00A94563">
        <w:rPr>
          <w:lang w:val="lt-LT" w:bidi="lt-LT"/>
        </w:rPr>
        <w:t>Kiekvienoje 2 ml ampulėje yra deksametazono natrio fosfato, atitinkančio 8 mg deksametazono fosfato.</w:t>
      </w:r>
    </w:p>
    <w:p w14:paraId="2C7AD914" w14:textId="77777777" w:rsidR="001C1589" w:rsidRPr="002E7B89" w:rsidRDefault="001C1589" w:rsidP="002D4A26">
      <w:pPr>
        <w:pStyle w:val="Betarp"/>
        <w:rPr>
          <w:lang w:val="lt-LT"/>
        </w:rPr>
      </w:pPr>
    </w:p>
    <w:p w14:paraId="7FE6AF00" w14:textId="77777777" w:rsidR="00FE6FA6" w:rsidRPr="002E7B89" w:rsidRDefault="00FE6FA6" w:rsidP="00FE6FA6">
      <w:pPr>
        <w:pStyle w:val="Betarp"/>
        <w:rPr>
          <w:u w:val="single"/>
          <w:lang w:val="lt-LT"/>
        </w:rPr>
      </w:pPr>
      <w:r w:rsidRPr="002E7B89">
        <w:rPr>
          <w:u w:val="single"/>
          <w:lang w:val="lt-LT" w:bidi="lt-LT"/>
        </w:rPr>
        <w:t>Pagalbinė medžiaga, kurios poveikis žinomas</w:t>
      </w:r>
    </w:p>
    <w:p w14:paraId="4FD491EE" w14:textId="77777777" w:rsidR="00FE6FA6" w:rsidRPr="002E7B89" w:rsidRDefault="00FE6FA6" w:rsidP="00FE6FA6">
      <w:pPr>
        <w:pStyle w:val="Betarp"/>
        <w:rPr>
          <w:lang w:val="lt-LT"/>
        </w:rPr>
      </w:pPr>
      <w:r w:rsidRPr="002E7B89">
        <w:rPr>
          <w:lang w:val="lt-LT" w:bidi="lt-LT"/>
        </w:rPr>
        <w:t>Kiekviename tirpalo ml yra</w:t>
      </w:r>
      <w:r w:rsidR="000D1758">
        <w:rPr>
          <w:lang w:val="lt-LT" w:bidi="lt-LT"/>
        </w:rPr>
        <w:t xml:space="preserve"> apie</w:t>
      </w:r>
      <w:r w:rsidRPr="002E7B89">
        <w:rPr>
          <w:lang w:val="lt-LT" w:bidi="lt-LT"/>
        </w:rPr>
        <w:t xml:space="preserve"> </w:t>
      </w:r>
      <w:r w:rsidR="000D1758">
        <w:rPr>
          <w:lang w:val="lt-LT" w:bidi="lt-LT"/>
        </w:rPr>
        <w:t>3</w:t>
      </w:r>
      <w:r w:rsidRPr="002E7B89">
        <w:rPr>
          <w:lang w:val="lt-LT" w:bidi="lt-LT"/>
        </w:rPr>
        <w:t> mg natrio.</w:t>
      </w:r>
    </w:p>
    <w:p w14:paraId="28EF25EA" w14:textId="77777777" w:rsidR="008D712E" w:rsidRPr="002E7B89" w:rsidRDefault="008D712E" w:rsidP="002D4A26">
      <w:pPr>
        <w:pStyle w:val="Betarp"/>
        <w:rPr>
          <w:lang w:val="lt-LT"/>
        </w:rPr>
      </w:pPr>
    </w:p>
    <w:p w14:paraId="798E3C4D" w14:textId="3D44E7BC" w:rsidR="00A16F40" w:rsidRPr="002E7B89" w:rsidRDefault="00716299" w:rsidP="002D4A26">
      <w:pPr>
        <w:pStyle w:val="Betarp"/>
        <w:rPr>
          <w:lang w:val="lt-LT"/>
        </w:rPr>
      </w:pPr>
      <w:r w:rsidRPr="002E7B89">
        <w:rPr>
          <w:lang w:val="lt-LT" w:bidi="lt-LT"/>
        </w:rPr>
        <w:t>Visos pagalbinės medžiagos išvardytos 6.1</w:t>
      </w:r>
      <w:r w:rsidR="008F6711">
        <w:rPr>
          <w:lang w:val="lt-LT" w:bidi="lt-LT"/>
        </w:rPr>
        <w:t> </w:t>
      </w:r>
      <w:r w:rsidRPr="002E7B89">
        <w:rPr>
          <w:lang w:val="lt-LT" w:bidi="lt-LT"/>
        </w:rPr>
        <w:t>skyriuje.</w:t>
      </w:r>
    </w:p>
    <w:p w14:paraId="60AC3BF3" w14:textId="77777777" w:rsidR="00A16F40" w:rsidRPr="002E7B89" w:rsidRDefault="00A16F40" w:rsidP="002D4A26">
      <w:pPr>
        <w:pStyle w:val="Betarp"/>
        <w:rPr>
          <w:lang w:val="lt-LT"/>
        </w:rPr>
      </w:pPr>
    </w:p>
    <w:p w14:paraId="4A84BB5C" w14:textId="77777777" w:rsidR="000C1C14" w:rsidRPr="002E7B89" w:rsidRDefault="000C1C14" w:rsidP="002D4A26">
      <w:pPr>
        <w:pStyle w:val="Betarp"/>
        <w:rPr>
          <w:lang w:val="lt-LT"/>
        </w:rPr>
      </w:pPr>
    </w:p>
    <w:p w14:paraId="61148958" w14:textId="77777777" w:rsidR="00A16F40" w:rsidRPr="002E7B89" w:rsidRDefault="0069312C" w:rsidP="002D4A26">
      <w:pPr>
        <w:pStyle w:val="Betarp"/>
        <w:rPr>
          <w:b/>
          <w:lang w:val="lt-LT"/>
        </w:rPr>
      </w:pPr>
      <w:bookmarkStart w:id="1" w:name="3._DARREICHUNGSFORM"/>
      <w:bookmarkEnd w:id="1"/>
      <w:r w:rsidRPr="002E7B89">
        <w:rPr>
          <w:b/>
          <w:lang w:val="lt-LT" w:bidi="lt-LT"/>
        </w:rPr>
        <w:t>3.</w:t>
      </w:r>
      <w:r w:rsidRPr="002E7B89">
        <w:rPr>
          <w:b/>
          <w:lang w:val="lt-LT" w:bidi="lt-LT"/>
        </w:rPr>
        <w:tab/>
        <w:t>FARMACINĖ FORMA</w:t>
      </w:r>
    </w:p>
    <w:p w14:paraId="6BE5D566" w14:textId="77777777" w:rsidR="00A16F40" w:rsidRPr="002E7B89" w:rsidRDefault="00A16F40" w:rsidP="002D4A26">
      <w:pPr>
        <w:pStyle w:val="Betarp"/>
        <w:rPr>
          <w:lang w:val="lt-LT"/>
        </w:rPr>
      </w:pPr>
    </w:p>
    <w:p w14:paraId="6B38A17D" w14:textId="7218C2FA" w:rsidR="00A16F40" w:rsidRPr="002E7B89" w:rsidRDefault="00716299" w:rsidP="002D4A26">
      <w:pPr>
        <w:pStyle w:val="Betarp"/>
        <w:rPr>
          <w:lang w:val="lt-LT"/>
        </w:rPr>
      </w:pPr>
      <w:r w:rsidRPr="002E7B89">
        <w:rPr>
          <w:lang w:val="lt-LT" w:bidi="lt-LT"/>
        </w:rPr>
        <w:t>Injekcinis ar infuzinis tirpalas</w:t>
      </w:r>
      <w:r w:rsidR="00C0366C">
        <w:rPr>
          <w:lang w:val="lt-LT" w:bidi="lt-LT"/>
        </w:rPr>
        <w:t>.</w:t>
      </w:r>
    </w:p>
    <w:p w14:paraId="769826ED" w14:textId="77777777" w:rsidR="000C1C14" w:rsidRPr="002E7B89" w:rsidRDefault="000C1C14" w:rsidP="002D4A26">
      <w:pPr>
        <w:pStyle w:val="Betarp"/>
        <w:rPr>
          <w:lang w:val="lt-LT"/>
        </w:rPr>
      </w:pPr>
      <w:r w:rsidRPr="002E7B89">
        <w:rPr>
          <w:lang w:val="lt-LT" w:bidi="lt-LT"/>
        </w:rPr>
        <w:t>Skaidrus, bespalvis tirpalas</w:t>
      </w:r>
      <w:r w:rsidR="004A2F8F" w:rsidRPr="002E7B89">
        <w:rPr>
          <w:lang w:val="lt-LT" w:bidi="lt-LT"/>
        </w:rPr>
        <w:t>,</w:t>
      </w:r>
      <w:r w:rsidRPr="002E7B89">
        <w:rPr>
          <w:lang w:val="lt-LT" w:bidi="lt-LT"/>
        </w:rPr>
        <w:t xml:space="preserve"> </w:t>
      </w:r>
      <w:r w:rsidR="005F756D" w:rsidRPr="002E7B89">
        <w:rPr>
          <w:rFonts w:eastAsia="TimesNewRomanPS-BoldMT"/>
          <w:lang w:val="lt-LT" w:bidi="lt-LT"/>
        </w:rPr>
        <w:t>be matomų dalelių</w:t>
      </w:r>
      <w:r w:rsidRPr="002E7B89">
        <w:rPr>
          <w:lang w:val="lt-LT" w:bidi="lt-LT"/>
        </w:rPr>
        <w:t>.</w:t>
      </w:r>
    </w:p>
    <w:p w14:paraId="461A4F4E" w14:textId="77777777" w:rsidR="00A16F40" w:rsidRPr="002E7B89" w:rsidRDefault="00716299" w:rsidP="002D4A26">
      <w:pPr>
        <w:pStyle w:val="Betarp"/>
        <w:rPr>
          <w:lang w:val="lt-LT"/>
        </w:rPr>
      </w:pPr>
      <w:r w:rsidRPr="002E7B89">
        <w:rPr>
          <w:lang w:val="lt-LT" w:bidi="lt-LT"/>
        </w:rPr>
        <w:t xml:space="preserve">Tirpalo pH yra </w:t>
      </w:r>
      <w:r w:rsidR="004A2F8F" w:rsidRPr="002E7B89">
        <w:rPr>
          <w:lang w:val="lt-LT" w:bidi="lt-LT"/>
        </w:rPr>
        <w:t>7,0 – 8,5</w:t>
      </w:r>
      <w:r w:rsidRPr="002E7B89">
        <w:rPr>
          <w:lang w:val="lt-LT" w:bidi="lt-LT"/>
        </w:rPr>
        <w:t>.</w:t>
      </w:r>
    </w:p>
    <w:p w14:paraId="7A612AE4" w14:textId="77777777" w:rsidR="00382D21" w:rsidRPr="002E7B89" w:rsidRDefault="001027AC" w:rsidP="00382D21">
      <w:pPr>
        <w:pStyle w:val="Betarp"/>
        <w:rPr>
          <w:lang w:val="lt-LT"/>
        </w:rPr>
      </w:pPr>
      <w:r w:rsidRPr="002E7B89">
        <w:rPr>
          <w:lang w:val="lt-LT" w:bidi="lt-LT"/>
        </w:rPr>
        <w:t>Osmolia</w:t>
      </w:r>
      <w:r w:rsidR="00BB772F" w:rsidRPr="002E7B89">
        <w:rPr>
          <w:lang w:val="lt-LT" w:bidi="lt-LT"/>
        </w:rPr>
        <w:t>l</w:t>
      </w:r>
      <w:r w:rsidRPr="002E7B89">
        <w:rPr>
          <w:lang w:val="lt-LT" w:bidi="lt-LT"/>
        </w:rPr>
        <w:t>iškumas yra 270–310 mOsmol/kg.</w:t>
      </w:r>
    </w:p>
    <w:p w14:paraId="7CB75892" w14:textId="77777777" w:rsidR="00382D21" w:rsidRPr="002E7B89" w:rsidRDefault="00382D21" w:rsidP="002D4A26">
      <w:pPr>
        <w:pStyle w:val="Betarp"/>
        <w:rPr>
          <w:lang w:val="lt-LT"/>
        </w:rPr>
      </w:pPr>
    </w:p>
    <w:p w14:paraId="20CDE109" w14:textId="77777777" w:rsidR="00A16F40" w:rsidRPr="002E7B89" w:rsidRDefault="00A16F40" w:rsidP="002D4A26">
      <w:pPr>
        <w:pStyle w:val="Betarp"/>
        <w:rPr>
          <w:lang w:val="lt-LT"/>
        </w:rPr>
      </w:pPr>
    </w:p>
    <w:p w14:paraId="153EE3D3" w14:textId="77777777" w:rsidR="00A16F40" w:rsidRPr="002E7B89" w:rsidRDefault="0069312C" w:rsidP="002D4A26">
      <w:pPr>
        <w:pStyle w:val="Betarp"/>
        <w:rPr>
          <w:b/>
          <w:lang w:val="lt-LT"/>
        </w:rPr>
      </w:pPr>
      <w:bookmarkStart w:id="2" w:name="4._KLINISCHE_ANGABEN"/>
      <w:bookmarkEnd w:id="2"/>
      <w:r w:rsidRPr="002E7B89">
        <w:rPr>
          <w:b/>
          <w:lang w:val="lt-LT" w:bidi="lt-LT"/>
        </w:rPr>
        <w:t>4.</w:t>
      </w:r>
      <w:r w:rsidRPr="002E7B89">
        <w:rPr>
          <w:b/>
          <w:lang w:val="lt-LT" w:bidi="lt-LT"/>
        </w:rPr>
        <w:tab/>
        <w:t>KLINIKINĖ INFORMACIJA</w:t>
      </w:r>
    </w:p>
    <w:p w14:paraId="28B6C90E" w14:textId="77777777" w:rsidR="00A16F40" w:rsidRPr="002E7B89" w:rsidRDefault="00A16F40" w:rsidP="002D4A26">
      <w:pPr>
        <w:pStyle w:val="Betarp"/>
        <w:rPr>
          <w:lang w:val="lt-LT"/>
        </w:rPr>
      </w:pPr>
    </w:p>
    <w:p w14:paraId="074BE8CB" w14:textId="77777777" w:rsidR="00A16F40" w:rsidRPr="002E7B89" w:rsidRDefault="0069312C" w:rsidP="002D4A26">
      <w:pPr>
        <w:pStyle w:val="Betarp"/>
        <w:rPr>
          <w:b/>
          <w:lang w:val="lt-LT"/>
        </w:rPr>
      </w:pPr>
      <w:r w:rsidRPr="002E7B89">
        <w:rPr>
          <w:b/>
          <w:lang w:val="lt-LT" w:bidi="lt-LT"/>
        </w:rPr>
        <w:t>4.1</w:t>
      </w:r>
      <w:r w:rsidRPr="002E7B89">
        <w:rPr>
          <w:b/>
          <w:lang w:val="lt-LT" w:bidi="lt-LT"/>
        </w:rPr>
        <w:tab/>
        <w:t>Terapinės indikacijos</w:t>
      </w:r>
    </w:p>
    <w:p w14:paraId="062E6AE6" w14:textId="77777777" w:rsidR="00A16F40" w:rsidRPr="002E7B89" w:rsidRDefault="00A16F40" w:rsidP="002D4A26">
      <w:pPr>
        <w:pStyle w:val="Betarp"/>
        <w:rPr>
          <w:lang w:val="lt-LT"/>
        </w:rPr>
      </w:pPr>
    </w:p>
    <w:p w14:paraId="3DC7A10B" w14:textId="77777777" w:rsidR="00A16F40" w:rsidRPr="002E7B89" w:rsidRDefault="00862C7D" w:rsidP="002D4A26">
      <w:pPr>
        <w:pStyle w:val="Betarp"/>
        <w:rPr>
          <w:i/>
          <w:lang w:val="lt-LT"/>
        </w:rPr>
      </w:pPr>
      <w:r w:rsidRPr="002E7B89">
        <w:rPr>
          <w:i/>
          <w:lang w:val="lt-LT" w:bidi="lt-LT"/>
        </w:rPr>
        <w:t xml:space="preserve">1. Sisteminis </w:t>
      </w:r>
      <w:r w:rsidR="00E83973" w:rsidRPr="002E7B89">
        <w:rPr>
          <w:i/>
          <w:lang w:val="lt-LT" w:bidi="lt-LT"/>
        </w:rPr>
        <w:t>gydymas</w:t>
      </w:r>
    </w:p>
    <w:p w14:paraId="2E79F246" w14:textId="77777777" w:rsidR="00A16F40" w:rsidRPr="002E7B89" w:rsidRDefault="00A16F40" w:rsidP="002D4A26">
      <w:pPr>
        <w:pStyle w:val="Betarp"/>
        <w:rPr>
          <w:lang w:val="lt-LT"/>
        </w:rPr>
      </w:pPr>
    </w:p>
    <w:p w14:paraId="175021A7" w14:textId="77777777" w:rsidR="00A16F40" w:rsidRPr="002E7B89" w:rsidRDefault="008765BB" w:rsidP="002D4A26">
      <w:pPr>
        <w:pStyle w:val="Betarp"/>
        <w:rPr>
          <w:lang w:val="lt-LT"/>
        </w:rPr>
      </w:pPr>
      <w:r>
        <w:rPr>
          <w:lang w:val="lt-LT" w:bidi="lt-LT"/>
        </w:rPr>
        <w:t>Dexamethasone Kalceks</w:t>
      </w:r>
      <w:r w:rsidR="00F80D11" w:rsidRPr="002E7B89">
        <w:rPr>
          <w:lang w:val="lt-LT" w:bidi="lt-LT"/>
        </w:rPr>
        <w:t xml:space="preserve"> dažnai vartojamas po skubiosios pagalbos, skiriant didelę dozę šiais atvejais:</w:t>
      </w:r>
    </w:p>
    <w:p w14:paraId="7827BC50" w14:textId="77777777" w:rsidR="00A16F40" w:rsidRPr="002E7B89" w:rsidRDefault="00716299" w:rsidP="007D187D">
      <w:pPr>
        <w:pStyle w:val="Betarp"/>
        <w:numPr>
          <w:ilvl w:val="0"/>
          <w:numId w:val="19"/>
        </w:numPr>
        <w:ind w:left="567" w:hanging="567"/>
        <w:rPr>
          <w:lang w:val="lt-LT"/>
        </w:rPr>
      </w:pPr>
      <w:r w:rsidRPr="002E7B89">
        <w:rPr>
          <w:lang w:val="lt-LT" w:bidi="lt-LT"/>
        </w:rPr>
        <w:t>galvos smegenų edemos gydymas ir profilaktika esant galvos smegenų navikų (po operacijos ir po rentgeno spinduliuotės) ir po nugaros smegenų traumos;</w:t>
      </w:r>
    </w:p>
    <w:p w14:paraId="27702F31" w14:textId="77777777" w:rsidR="00A16F40" w:rsidRPr="002E7B89" w:rsidRDefault="00592343" w:rsidP="007D187D">
      <w:pPr>
        <w:pStyle w:val="Betarp"/>
        <w:numPr>
          <w:ilvl w:val="0"/>
          <w:numId w:val="19"/>
        </w:numPr>
        <w:ind w:left="567" w:hanging="567"/>
        <w:rPr>
          <w:lang w:val="lt-LT"/>
        </w:rPr>
      </w:pPr>
      <w:r w:rsidRPr="002E7B89">
        <w:rPr>
          <w:lang w:val="lt-LT" w:bidi="lt-LT"/>
        </w:rPr>
        <w:t xml:space="preserve">anafilaksinio šoko būsena (pvz., reakcija į kontrastinę medžiagą) – kartu su </w:t>
      </w:r>
      <w:r w:rsidR="0059638A">
        <w:rPr>
          <w:lang w:val="lt-LT" w:bidi="lt-LT"/>
        </w:rPr>
        <w:t>epinefrinu (</w:t>
      </w:r>
      <w:r w:rsidRPr="002E7B89">
        <w:rPr>
          <w:lang w:val="lt-LT" w:bidi="lt-LT"/>
        </w:rPr>
        <w:t>adrenalinu</w:t>
      </w:r>
      <w:r w:rsidR="0059638A">
        <w:rPr>
          <w:lang w:val="lt-LT" w:bidi="lt-LT"/>
        </w:rPr>
        <w:t>)</w:t>
      </w:r>
      <w:r w:rsidRPr="002E7B89">
        <w:rPr>
          <w:lang w:val="lt-LT" w:bidi="lt-LT"/>
        </w:rPr>
        <w:t>, antihistamininiais vaist</w:t>
      </w:r>
      <w:r w:rsidR="00CC31C0" w:rsidRPr="002E7B89">
        <w:rPr>
          <w:lang w:val="lt-LT" w:bidi="lt-LT"/>
        </w:rPr>
        <w:t>iniais preparat</w:t>
      </w:r>
      <w:r w:rsidRPr="002E7B89">
        <w:rPr>
          <w:lang w:val="lt-LT" w:bidi="lt-LT"/>
        </w:rPr>
        <w:t>ais ir tinkam</w:t>
      </w:r>
      <w:r w:rsidR="0059638A">
        <w:rPr>
          <w:lang w:val="lt-LT" w:bidi="lt-LT"/>
        </w:rPr>
        <w:t>a infuzine terapija</w:t>
      </w:r>
      <w:r w:rsidRPr="002E7B89">
        <w:rPr>
          <w:lang w:val="lt-LT" w:bidi="lt-LT"/>
        </w:rPr>
        <w:t xml:space="preserve"> (</w:t>
      </w:r>
      <w:r w:rsidR="00664BEB" w:rsidRPr="002E7B89">
        <w:rPr>
          <w:lang w:val="lt-LT" w:bidi="lt-LT"/>
        </w:rPr>
        <w:t>at</w:t>
      </w:r>
      <w:r w:rsidR="0059638A">
        <w:rPr>
          <w:lang w:val="lt-LT" w:bidi="lt-LT"/>
        </w:rPr>
        <w:t>kreipti dėmesį: ne</w:t>
      </w:r>
      <w:r w:rsidR="00664BEB" w:rsidRPr="002E7B89">
        <w:rPr>
          <w:lang w:val="lt-LT" w:bidi="lt-LT"/>
        </w:rPr>
        <w:t>maišyti</w:t>
      </w:r>
      <w:r w:rsidRPr="002E7B89">
        <w:rPr>
          <w:lang w:val="lt-LT" w:bidi="lt-LT"/>
        </w:rPr>
        <w:t xml:space="preserve"> švirkšt</w:t>
      </w:r>
      <w:r w:rsidR="0059638A">
        <w:rPr>
          <w:lang w:val="lt-LT" w:bidi="lt-LT"/>
        </w:rPr>
        <w:t>ų</w:t>
      </w:r>
      <w:r w:rsidRPr="002E7B89">
        <w:rPr>
          <w:lang w:val="lt-LT" w:bidi="lt-LT"/>
        </w:rPr>
        <w:t>);</w:t>
      </w:r>
    </w:p>
    <w:p w14:paraId="15CF3475" w14:textId="77777777" w:rsidR="006B522E" w:rsidRPr="002E7B89" w:rsidRDefault="006B522E" w:rsidP="006B522E">
      <w:pPr>
        <w:pStyle w:val="Betarp"/>
        <w:numPr>
          <w:ilvl w:val="0"/>
          <w:numId w:val="19"/>
        </w:numPr>
        <w:ind w:left="567" w:hanging="567"/>
        <w:rPr>
          <w:lang w:val="lt-LT"/>
        </w:rPr>
      </w:pPr>
      <w:r w:rsidRPr="002E7B89">
        <w:rPr>
          <w:lang w:val="lt-LT" w:bidi="lt-LT"/>
        </w:rPr>
        <w:t>politrauminis šokas ar potrauminio plaučių šoko profilaktika;</w:t>
      </w:r>
    </w:p>
    <w:p w14:paraId="491C352F" w14:textId="77777777" w:rsidR="00A16F40" w:rsidRPr="002E7B89" w:rsidRDefault="005D2470" w:rsidP="007D187D">
      <w:pPr>
        <w:pStyle w:val="Betarp"/>
        <w:numPr>
          <w:ilvl w:val="0"/>
          <w:numId w:val="19"/>
        </w:numPr>
        <w:ind w:left="567" w:hanging="567"/>
        <w:rPr>
          <w:lang w:val="lt-LT"/>
        </w:rPr>
      </w:pPr>
      <w:r w:rsidRPr="002E7B89">
        <w:rPr>
          <w:lang w:val="lt-LT" w:bidi="lt-LT"/>
        </w:rPr>
        <w:t>sunkus astmos paūmėjimas (tik kartu vartojant simpatikomimetikus);</w:t>
      </w:r>
    </w:p>
    <w:p w14:paraId="5A312D41" w14:textId="77777777" w:rsidR="00A16F40" w:rsidRPr="002E7B89" w:rsidRDefault="00664BEB" w:rsidP="007D187D">
      <w:pPr>
        <w:pStyle w:val="Betarp"/>
        <w:numPr>
          <w:ilvl w:val="0"/>
          <w:numId w:val="19"/>
        </w:numPr>
        <w:ind w:left="567" w:hanging="567"/>
        <w:rPr>
          <w:lang w:val="lt-LT"/>
        </w:rPr>
      </w:pPr>
      <w:r w:rsidRPr="002E7B89">
        <w:rPr>
          <w:lang w:val="lt-LT" w:bidi="lt-LT"/>
        </w:rPr>
        <w:t xml:space="preserve">sunki </w:t>
      </w:r>
      <w:r w:rsidR="00716299" w:rsidRPr="002E7B89">
        <w:rPr>
          <w:lang w:val="lt-LT" w:bidi="lt-LT"/>
        </w:rPr>
        <w:t>ūminė dermatozė (pvz., paprastoji pūslinė, eritrodermija);</w:t>
      </w:r>
    </w:p>
    <w:p w14:paraId="2BA20702" w14:textId="77777777" w:rsidR="00A16F40" w:rsidRPr="002E7B89" w:rsidRDefault="00B46993" w:rsidP="007D187D">
      <w:pPr>
        <w:pStyle w:val="Betarp"/>
        <w:numPr>
          <w:ilvl w:val="0"/>
          <w:numId w:val="19"/>
        </w:numPr>
        <w:ind w:left="567" w:hanging="567"/>
        <w:rPr>
          <w:lang w:val="lt-LT"/>
        </w:rPr>
      </w:pPr>
      <w:r w:rsidRPr="002E7B89">
        <w:rPr>
          <w:lang w:val="lt-LT" w:bidi="lt-LT"/>
        </w:rPr>
        <w:t>sunkios kraujo ligos (pvz., ūminė trombocitopeninė purpura, hemolizinė anemija, kaip kartu vartojamas vaist</w:t>
      </w:r>
      <w:r w:rsidR="00CC31C0" w:rsidRPr="002E7B89">
        <w:rPr>
          <w:lang w:val="lt-LT" w:bidi="lt-LT"/>
        </w:rPr>
        <w:t>inis preparat</w:t>
      </w:r>
      <w:r w:rsidRPr="002E7B89">
        <w:rPr>
          <w:lang w:val="lt-LT" w:bidi="lt-LT"/>
        </w:rPr>
        <w:t>as gydant leukemiją);</w:t>
      </w:r>
    </w:p>
    <w:p w14:paraId="01F39CE4" w14:textId="77777777" w:rsidR="00A16F40" w:rsidRPr="002E7B89" w:rsidRDefault="00716299" w:rsidP="007D187D">
      <w:pPr>
        <w:pStyle w:val="Betarp"/>
        <w:numPr>
          <w:ilvl w:val="0"/>
          <w:numId w:val="19"/>
        </w:numPr>
        <w:ind w:left="567" w:hanging="567"/>
        <w:rPr>
          <w:lang w:val="lt-LT"/>
        </w:rPr>
      </w:pPr>
      <w:r w:rsidRPr="002E7B89">
        <w:rPr>
          <w:lang w:val="lt-LT" w:bidi="lt-LT"/>
        </w:rPr>
        <w:t xml:space="preserve">kaip antros eilės </w:t>
      </w:r>
      <w:r w:rsidR="00664BEB" w:rsidRPr="002E7B89">
        <w:rPr>
          <w:lang w:val="lt-LT" w:bidi="lt-LT"/>
        </w:rPr>
        <w:t xml:space="preserve">ūminio antinksčių žievės nepakankamumo </w:t>
      </w:r>
      <w:r w:rsidRPr="002E7B89">
        <w:rPr>
          <w:lang w:val="lt-LT" w:bidi="lt-LT"/>
        </w:rPr>
        <w:t>gydymas (Adisono krizė).</w:t>
      </w:r>
    </w:p>
    <w:p w14:paraId="79D67D0A" w14:textId="77777777" w:rsidR="00A16F40" w:rsidRPr="002E7B89" w:rsidRDefault="00A16F40" w:rsidP="002D4A26">
      <w:pPr>
        <w:pStyle w:val="Betarp"/>
        <w:rPr>
          <w:lang w:val="lt-LT"/>
        </w:rPr>
      </w:pPr>
    </w:p>
    <w:p w14:paraId="3487DAE7" w14:textId="177AECDE" w:rsidR="00A16F40" w:rsidRPr="002E7B89" w:rsidRDefault="008765BB" w:rsidP="002D4A26">
      <w:pPr>
        <w:pStyle w:val="Betarp"/>
        <w:rPr>
          <w:lang w:val="lt-LT"/>
        </w:rPr>
      </w:pPr>
      <w:r>
        <w:rPr>
          <w:lang w:val="lt-LT" w:bidi="lt-LT"/>
        </w:rPr>
        <w:t>Dexamethasone Kalceks</w:t>
      </w:r>
      <w:r w:rsidR="00F80D11" w:rsidRPr="002E7B89">
        <w:rPr>
          <w:lang w:val="lt-LT" w:bidi="lt-LT"/>
        </w:rPr>
        <w:t xml:space="preserve"> </w:t>
      </w:r>
      <w:r w:rsidR="00CC31C0" w:rsidRPr="002E7B89">
        <w:rPr>
          <w:lang w:val="lt-LT" w:bidi="lt-LT"/>
        </w:rPr>
        <w:t>skirtas</w:t>
      </w:r>
      <w:r w:rsidR="00F80D11" w:rsidRPr="002E7B89">
        <w:rPr>
          <w:lang w:val="lt-LT" w:bidi="lt-LT"/>
        </w:rPr>
        <w:t xml:space="preserve"> 2019 m. koronavirusinei ligai (COVID-19) gydyti suaugusiesiems ir paaugliams (12</w:t>
      </w:r>
      <w:r w:rsidR="008F6711">
        <w:rPr>
          <w:lang w:val="lt-LT" w:bidi="lt-LT"/>
        </w:rPr>
        <w:t> </w:t>
      </w:r>
      <w:r w:rsidR="00F80D11" w:rsidRPr="002E7B89">
        <w:rPr>
          <w:lang w:val="lt-LT" w:bidi="lt-LT"/>
        </w:rPr>
        <w:t xml:space="preserve">metų ir vyresniems, kurių kūno svoris ne mažesnis kaip 40 kg), kuriems </w:t>
      </w:r>
      <w:r w:rsidR="00CC31C0" w:rsidRPr="002E7B89">
        <w:rPr>
          <w:lang w:val="lt-LT" w:bidi="lt-LT"/>
        </w:rPr>
        <w:t>būtina deguonies terapija.</w:t>
      </w:r>
    </w:p>
    <w:p w14:paraId="5AE59A78" w14:textId="77777777" w:rsidR="00A16F40" w:rsidRPr="002E7B89" w:rsidRDefault="00A16F40" w:rsidP="002D4A26">
      <w:pPr>
        <w:pStyle w:val="Betarp"/>
        <w:rPr>
          <w:lang w:val="lt-LT"/>
        </w:rPr>
      </w:pPr>
    </w:p>
    <w:p w14:paraId="3563E388" w14:textId="77777777" w:rsidR="00A16F40" w:rsidRPr="002E7B89" w:rsidRDefault="00CC6D8F" w:rsidP="002D4A26">
      <w:pPr>
        <w:pStyle w:val="Betarp"/>
        <w:rPr>
          <w:i/>
          <w:lang w:val="lt-LT"/>
        </w:rPr>
      </w:pPr>
      <w:r w:rsidRPr="002E7B89">
        <w:rPr>
          <w:i/>
          <w:lang w:val="lt-LT" w:bidi="lt-LT"/>
        </w:rPr>
        <w:t xml:space="preserve">2. </w:t>
      </w:r>
      <w:r w:rsidR="00E83973" w:rsidRPr="002E7B89">
        <w:rPr>
          <w:i/>
          <w:lang w:val="lt-LT" w:bidi="lt-LT"/>
        </w:rPr>
        <w:t>Lokalus</w:t>
      </w:r>
      <w:r w:rsidRPr="002E7B89">
        <w:rPr>
          <w:i/>
          <w:lang w:val="lt-LT" w:bidi="lt-LT"/>
        </w:rPr>
        <w:t xml:space="preserve"> </w:t>
      </w:r>
      <w:r w:rsidR="00E83973" w:rsidRPr="002E7B89">
        <w:rPr>
          <w:i/>
          <w:lang w:val="lt-LT" w:bidi="lt-LT"/>
        </w:rPr>
        <w:t>gydymas</w:t>
      </w:r>
    </w:p>
    <w:p w14:paraId="541CAE7F" w14:textId="77777777" w:rsidR="00A16F40" w:rsidRPr="002E7B89" w:rsidRDefault="00A16F40" w:rsidP="002D4A26">
      <w:pPr>
        <w:pStyle w:val="Betarp"/>
        <w:rPr>
          <w:i/>
          <w:lang w:val="lt-LT"/>
        </w:rPr>
      </w:pPr>
    </w:p>
    <w:p w14:paraId="6B5F3306" w14:textId="77777777" w:rsidR="00A16F40" w:rsidRPr="002E7B89" w:rsidRDefault="00716299" w:rsidP="007D187D">
      <w:pPr>
        <w:pStyle w:val="Betarp"/>
        <w:numPr>
          <w:ilvl w:val="0"/>
          <w:numId w:val="19"/>
        </w:numPr>
        <w:ind w:left="567" w:hanging="567"/>
        <w:rPr>
          <w:lang w:val="lt-LT"/>
        </w:rPr>
      </w:pPr>
      <w:r w:rsidRPr="002E7B89">
        <w:rPr>
          <w:lang w:val="lt-LT" w:bidi="lt-LT"/>
        </w:rPr>
        <w:t>Periartikul</w:t>
      </w:r>
      <w:r w:rsidR="00664BEB" w:rsidRPr="002E7B89">
        <w:rPr>
          <w:lang w:val="lt-LT" w:bidi="lt-LT"/>
        </w:rPr>
        <w:t>inis</w:t>
      </w:r>
      <w:r w:rsidRPr="002E7B89">
        <w:rPr>
          <w:lang w:val="lt-LT" w:bidi="lt-LT"/>
        </w:rPr>
        <w:t xml:space="preserve"> ir infiltracinis gydymas, pvz.,</w:t>
      </w:r>
      <w:r w:rsidR="00CC31C0" w:rsidRPr="002E7B89">
        <w:rPr>
          <w:lang w:val="lt-LT" w:bidi="lt-LT"/>
        </w:rPr>
        <w:t xml:space="preserve"> </w:t>
      </w:r>
      <w:r w:rsidR="0059638A">
        <w:rPr>
          <w:lang w:val="lt-LT" w:bidi="lt-LT"/>
        </w:rPr>
        <w:t xml:space="preserve">žąstikaulio – mentės sąnario </w:t>
      </w:r>
      <w:r w:rsidR="00CC31C0" w:rsidRPr="002E7B89">
        <w:rPr>
          <w:lang w:val="lt-LT" w:bidi="lt-LT"/>
        </w:rPr>
        <w:t>periartrito</w:t>
      </w:r>
      <w:r w:rsidRPr="002E7B89">
        <w:rPr>
          <w:lang w:val="lt-LT" w:bidi="lt-LT"/>
        </w:rPr>
        <w:t>, epikondilito, bursito, tendovaginito, stiloidito atvejais</w:t>
      </w:r>
      <w:r w:rsidR="00CC31C0" w:rsidRPr="002E7B89">
        <w:rPr>
          <w:lang w:val="lt-LT" w:bidi="lt-LT"/>
        </w:rPr>
        <w:t>.</w:t>
      </w:r>
    </w:p>
    <w:p w14:paraId="3E3554CE" w14:textId="77777777" w:rsidR="00CC31C0" w:rsidRPr="002E7B89" w:rsidRDefault="00284210" w:rsidP="00BB772F">
      <w:pPr>
        <w:numPr>
          <w:ilvl w:val="0"/>
          <w:numId w:val="19"/>
        </w:numPr>
        <w:ind w:left="567" w:hanging="567"/>
        <w:rPr>
          <w:lang w:val="lt-LT"/>
        </w:rPr>
      </w:pPr>
      <w:r w:rsidRPr="002E7B89">
        <w:rPr>
          <w:lang w:val="lt-LT" w:bidi="lt-LT"/>
        </w:rPr>
        <w:t>I</w:t>
      </w:r>
      <w:r w:rsidR="00B46993" w:rsidRPr="002E7B89">
        <w:rPr>
          <w:lang w:val="lt-LT" w:bidi="lt-LT"/>
        </w:rPr>
        <w:t>njekcija</w:t>
      </w:r>
      <w:r w:rsidRPr="002E7B89">
        <w:rPr>
          <w:lang w:val="lt-LT" w:bidi="lt-LT"/>
        </w:rPr>
        <w:t xml:space="preserve"> į sąnarį</w:t>
      </w:r>
      <w:r w:rsidR="00B46993" w:rsidRPr="002E7B89">
        <w:rPr>
          <w:lang w:val="lt-LT" w:bidi="lt-LT"/>
        </w:rPr>
        <w:t xml:space="preserve">, pvz., sergant reumatoidiniu artritu, </w:t>
      </w:r>
      <w:r w:rsidR="00CC31C0" w:rsidRPr="002E7B89">
        <w:rPr>
          <w:lang w:val="lt-LT"/>
        </w:rPr>
        <w:t xml:space="preserve">jei pažeidžiami </w:t>
      </w:r>
      <w:r w:rsidR="0059638A">
        <w:rPr>
          <w:lang w:val="lt-LT"/>
        </w:rPr>
        <w:t>pavieniai</w:t>
      </w:r>
      <w:r w:rsidR="00CC31C0" w:rsidRPr="002E7B89">
        <w:rPr>
          <w:lang w:val="lt-LT"/>
        </w:rPr>
        <w:t xml:space="preserve"> sąnariai arba jie nepakankamai reaguoja į sisteminį gydymą, </w:t>
      </w:r>
      <w:r w:rsidR="0059638A">
        <w:rPr>
          <w:lang w:val="lt-LT"/>
        </w:rPr>
        <w:t>kartu esant</w:t>
      </w:r>
      <w:r w:rsidR="0059638A" w:rsidRPr="002E7B89">
        <w:rPr>
          <w:lang w:val="lt-LT"/>
        </w:rPr>
        <w:t xml:space="preserve"> </w:t>
      </w:r>
      <w:r w:rsidR="00CC31C0" w:rsidRPr="002E7B89">
        <w:rPr>
          <w:lang w:val="lt-LT"/>
        </w:rPr>
        <w:t>reumatoidinio artrito uždegimin</w:t>
      </w:r>
      <w:r w:rsidR="0059638A">
        <w:rPr>
          <w:lang w:val="lt-LT"/>
        </w:rPr>
        <w:t>ėms</w:t>
      </w:r>
      <w:r w:rsidR="00CC31C0" w:rsidRPr="002E7B89">
        <w:rPr>
          <w:lang w:val="lt-LT"/>
        </w:rPr>
        <w:t xml:space="preserve"> reakcij</w:t>
      </w:r>
      <w:r w:rsidR="0059638A">
        <w:rPr>
          <w:lang w:val="lt-LT"/>
        </w:rPr>
        <w:t>oms</w:t>
      </w:r>
      <w:r w:rsidR="00CC31C0" w:rsidRPr="002E7B89">
        <w:rPr>
          <w:lang w:val="lt-LT"/>
        </w:rPr>
        <w:t>.</w:t>
      </w:r>
    </w:p>
    <w:p w14:paraId="1F0344C5" w14:textId="77777777" w:rsidR="00A16F40" w:rsidRPr="002E7B89" w:rsidRDefault="00A16F40" w:rsidP="002D4A26">
      <w:pPr>
        <w:pStyle w:val="Betarp"/>
        <w:rPr>
          <w:lang w:val="lt-LT"/>
        </w:rPr>
      </w:pPr>
    </w:p>
    <w:p w14:paraId="5B71FC8D" w14:textId="77777777" w:rsidR="00A16F40" w:rsidRPr="002E7B89" w:rsidRDefault="0097368D" w:rsidP="002D4A26">
      <w:pPr>
        <w:pStyle w:val="Betarp"/>
        <w:rPr>
          <w:b/>
          <w:lang w:val="lt-LT"/>
        </w:rPr>
      </w:pPr>
      <w:bookmarkStart w:id="3" w:name="4.2_Dosierung_und_Art_der_Anwendung"/>
      <w:bookmarkEnd w:id="3"/>
      <w:r w:rsidRPr="002E7B89">
        <w:rPr>
          <w:b/>
          <w:lang w:val="lt-LT" w:bidi="lt-LT"/>
        </w:rPr>
        <w:t>4.2</w:t>
      </w:r>
      <w:r w:rsidRPr="002E7B89">
        <w:rPr>
          <w:b/>
          <w:lang w:val="lt-LT" w:bidi="lt-LT"/>
        </w:rPr>
        <w:tab/>
        <w:t>Dozavimas ir vartojimo metodas</w:t>
      </w:r>
    </w:p>
    <w:p w14:paraId="3EF295E6" w14:textId="77777777" w:rsidR="00A16F40" w:rsidRPr="002E7B89" w:rsidRDefault="00A16F40" w:rsidP="002D4A26">
      <w:pPr>
        <w:pStyle w:val="Betarp"/>
        <w:rPr>
          <w:lang w:val="lt-LT"/>
        </w:rPr>
      </w:pPr>
    </w:p>
    <w:p w14:paraId="7B6D68E0" w14:textId="77777777" w:rsidR="009949B0" w:rsidRPr="002E7B89" w:rsidRDefault="009949B0" w:rsidP="009949B0">
      <w:pPr>
        <w:pStyle w:val="Betarp"/>
        <w:rPr>
          <w:u w:val="single"/>
          <w:lang w:val="lt-LT"/>
        </w:rPr>
      </w:pPr>
      <w:r w:rsidRPr="002E7B89">
        <w:rPr>
          <w:u w:val="single"/>
          <w:lang w:val="lt-LT" w:bidi="lt-LT"/>
        </w:rPr>
        <w:t>Dozavimas</w:t>
      </w:r>
    </w:p>
    <w:p w14:paraId="2F5D4ECA" w14:textId="77777777" w:rsidR="002807C5" w:rsidRPr="002E7B89" w:rsidRDefault="002807C5" w:rsidP="002D4A26">
      <w:pPr>
        <w:pStyle w:val="Betarp"/>
        <w:rPr>
          <w:lang w:val="lt-LT"/>
        </w:rPr>
      </w:pPr>
    </w:p>
    <w:p w14:paraId="29A46723" w14:textId="77777777" w:rsidR="00A16F40" w:rsidRPr="002E7B89" w:rsidRDefault="00716299" w:rsidP="002D4A26">
      <w:pPr>
        <w:pStyle w:val="Betarp"/>
        <w:rPr>
          <w:lang w:val="lt-LT"/>
        </w:rPr>
      </w:pPr>
      <w:r w:rsidRPr="002E7B89">
        <w:rPr>
          <w:lang w:val="lt-LT" w:bidi="lt-LT"/>
        </w:rPr>
        <w:t>Dozavimas priklauso nuo patologinių simptomų sunkumo, individualios paciento</w:t>
      </w:r>
      <w:r w:rsidR="0059638A">
        <w:rPr>
          <w:lang w:val="lt-LT" w:bidi="lt-LT"/>
        </w:rPr>
        <w:t xml:space="preserve"> organizmo</w:t>
      </w:r>
      <w:r w:rsidRPr="002E7B89">
        <w:rPr>
          <w:lang w:val="lt-LT" w:bidi="lt-LT"/>
        </w:rPr>
        <w:t xml:space="preserve"> reakcijos ir, </w:t>
      </w:r>
      <w:r w:rsidR="00284210" w:rsidRPr="002E7B89">
        <w:rPr>
          <w:lang w:val="lt-LT" w:bidi="lt-LT"/>
        </w:rPr>
        <w:t>leidžiant į sąnarį</w:t>
      </w:r>
      <w:r w:rsidRPr="002E7B89">
        <w:rPr>
          <w:lang w:val="lt-LT" w:bidi="lt-LT"/>
        </w:rPr>
        <w:t>, nuo sąnario dydžio.</w:t>
      </w:r>
    </w:p>
    <w:p w14:paraId="231575B2" w14:textId="77777777" w:rsidR="00DB09E6" w:rsidRPr="002E7B89" w:rsidRDefault="00DB09E6" w:rsidP="007217DB">
      <w:pPr>
        <w:pStyle w:val="Betarp"/>
        <w:rPr>
          <w:lang w:val="lt-LT"/>
        </w:rPr>
      </w:pPr>
    </w:p>
    <w:p w14:paraId="0950E830" w14:textId="77777777" w:rsidR="007217DB" w:rsidRPr="002E7B89" w:rsidRDefault="007217DB" w:rsidP="007217DB">
      <w:pPr>
        <w:pStyle w:val="Betarp"/>
        <w:rPr>
          <w:lang w:val="lt-LT"/>
        </w:rPr>
      </w:pPr>
      <w:r w:rsidRPr="002E7B89">
        <w:rPr>
          <w:lang w:val="lt-LT" w:bidi="lt-LT"/>
        </w:rPr>
        <w:t>Gliukokortikoidai turi būti vartojami tik tiek laiko ir tik minimaliomis dozėmis, kurios yra būtinos norimam terapiniam poveikiui pasiekti ir palaikyti.</w:t>
      </w:r>
    </w:p>
    <w:p w14:paraId="7FE82797" w14:textId="77777777" w:rsidR="007217DB" w:rsidRPr="002E7B89" w:rsidRDefault="007217DB" w:rsidP="002D4A26">
      <w:pPr>
        <w:pStyle w:val="Betarp"/>
        <w:rPr>
          <w:lang w:val="lt-LT"/>
        </w:rPr>
      </w:pPr>
    </w:p>
    <w:p w14:paraId="0843C7DE" w14:textId="77777777" w:rsidR="00CA0C4E" w:rsidRPr="002E7B89" w:rsidRDefault="00CA0C4E" w:rsidP="002D4A26">
      <w:pPr>
        <w:pStyle w:val="Betarp"/>
        <w:rPr>
          <w:lang w:val="lt-LT"/>
        </w:rPr>
      </w:pPr>
      <w:r w:rsidRPr="002E7B89">
        <w:rPr>
          <w:lang w:val="lt-LT" w:bidi="lt-LT"/>
        </w:rPr>
        <w:t>Jei vienkartiniam gydymui reikia didelių dozių, reikėtų apsvarstyti galimybę vartoti vaistinius preparatus, kurių sudėtyje yra didesnio stiprumo ir (arba) tūrio deksametazono.</w:t>
      </w:r>
    </w:p>
    <w:p w14:paraId="2B573471" w14:textId="77777777" w:rsidR="00CA0C4E" w:rsidRPr="002E7B89" w:rsidRDefault="00CA0C4E" w:rsidP="002D4A26">
      <w:pPr>
        <w:pStyle w:val="Betarp"/>
        <w:rPr>
          <w:lang w:val="lt-LT"/>
        </w:rPr>
      </w:pPr>
    </w:p>
    <w:p w14:paraId="4B838DA5" w14:textId="77777777" w:rsidR="00A16F40" w:rsidRPr="002E7B89" w:rsidRDefault="00DC5105" w:rsidP="002D4A26">
      <w:pPr>
        <w:pStyle w:val="Betarp"/>
        <w:rPr>
          <w:i/>
          <w:lang w:val="lt-LT"/>
        </w:rPr>
      </w:pPr>
      <w:r w:rsidRPr="002E7B89">
        <w:rPr>
          <w:i/>
          <w:lang w:val="lt-LT" w:bidi="lt-LT"/>
        </w:rPr>
        <w:t xml:space="preserve">1. Sisteminis </w:t>
      </w:r>
      <w:r w:rsidR="00E83973" w:rsidRPr="002E7B89">
        <w:rPr>
          <w:i/>
          <w:lang w:val="lt-LT" w:bidi="lt-LT"/>
        </w:rPr>
        <w:t>gydymas</w:t>
      </w:r>
    </w:p>
    <w:p w14:paraId="10DDCE6F" w14:textId="77777777" w:rsidR="009E4FEE" w:rsidRPr="002E7B89" w:rsidRDefault="009E4FEE" w:rsidP="002D4A26">
      <w:pPr>
        <w:pStyle w:val="Betarp"/>
        <w:rPr>
          <w:lang w:val="lt-LT"/>
        </w:rPr>
      </w:pPr>
    </w:p>
    <w:p w14:paraId="2845237C" w14:textId="77777777" w:rsidR="00EE0D9A" w:rsidRPr="002E7B89" w:rsidRDefault="00EE0D9A" w:rsidP="00EE0D9A">
      <w:pPr>
        <w:pStyle w:val="Betarp"/>
        <w:rPr>
          <w:b/>
          <w:bCs/>
          <w:u w:val="single"/>
          <w:lang w:val="lt-LT"/>
        </w:rPr>
      </w:pPr>
      <w:r w:rsidRPr="002E7B89">
        <w:rPr>
          <w:b/>
          <w:u w:val="single"/>
          <w:lang w:val="lt-LT" w:bidi="lt-LT"/>
        </w:rPr>
        <w:t>Galvos smegenų edemos gydymas ir profilaktika esant galvos smegenų navikų (po operacijos ir po rentgeno spinduliuotės) ir po nugaros smegenų traumos</w:t>
      </w:r>
    </w:p>
    <w:p w14:paraId="7F6F177F" w14:textId="77777777" w:rsidR="00EE0D9A" w:rsidRPr="002E7B89" w:rsidRDefault="00EE0D9A" w:rsidP="00EE0D9A">
      <w:pPr>
        <w:pStyle w:val="Betarp"/>
        <w:rPr>
          <w:lang w:val="lt-LT"/>
        </w:rPr>
      </w:pPr>
      <w:r w:rsidRPr="002E7B89">
        <w:rPr>
          <w:lang w:val="lt-LT" w:bidi="lt-LT"/>
        </w:rPr>
        <w:t xml:space="preserve">Priklausomai nuo priežasties ir sunkumo, pradinė dozė yra 8–10 mg (iki 80 mg) į veną, po to 16–24 mg (iki 48 mg) į veną per parą, padalyti į 3–4 (6) vienkartines dozes, 4–8 </w:t>
      </w:r>
      <w:r w:rsidR="008454F2" w:rsidRPr="002E7B89">
        <w:rPr>
          <w:lang w:val="lt-LT" w:bidi="lt-LT"/>
        </w:rPr>
        <w:t>paras</w:t>
      </w:r>
      <w:r w:rsidRPr="002E7B89">
        <w:rPr>
          <w:lang w:val="lt-LT" w:bidi="lt-LT"/>
        </w:rPr>
        <w:t>. Spindulinės terapijos metu ir konservatyviai gydant neoperuojamus smegenų navikus gali būti reikalingas ilgalaikis mažesnių deksametazono fosfato dozių vartojimas.</w:t>
      </w:r>
    </w:p>
    <w:p w14:paraId="63E55FF7" w14:textId="77777777" w:rsidR="00A16F40" w:rsidRPr="002E7B89" w:rsidRDefault="00A16F40" w:rsidP="002D4A26">
      <w:pPr>
        <w:pStyle w:val="Betarp"/>
        <w:rPr>
          <w:lang w:val="lt-LT"/>
        </w:rPr>
      </w:pPr>
    </w:p>
    <w:p w14:paraId="719F783E" w14:textId="77777777" w:rsidR="003D0A97" w:rsidRPr="002E7B89" w:rsidRDefault="00BB772F" w:rsidP="002D4A26">
      <w:pPr>
        <w:pStyle w:val="Betarp"/>
        <w:rPr>
          <w:lang w:val="lt-LT"/>
        </w:rPr>
      </w:pPr>
      <w:r w:rsidRPr="002E7B89">
        <w:rPr>
          <w:lang w:val="lt-LT" w:bidi="lt-LT"/>
        </w:rPr>
        <w:t>Pasireiškus</w:t>
      </w:r>
      <w:r w:rsidR="003D0A97" w:rsidRPr="002E7B89">
        <w:rPr>
          <w:lang w:val="lt-LT" w:bidi="lt-LT"/>
        </w:rPr>
        <w:t xml:space="preserve"> </w:t>
      </w:r>
      <w:r w:rsidR="003D0A97" w:rsidRPr="002E7B89">
        <w:rPr>
          <w:b/>
          <w:u w:val="single"/>
          <w:lang w:val="lt-LT" w:bidi="lt-LT"/>
        </w:rPr>
        <w:t>anafilaksiniam šokui</w:t>
      </w:r>
      <w:r w:rsidR="003D0A97" w:rsidRPr="002E7B89">
        <w:rPr>
          <w:b/>
          <w:i/>
          <w:u w:val="single"/>
          <w:lang w:val="lt-LT" w:bidi="lt-LT"/>
        </w:rPr>
        <w:t>,</w:t>
      </w:r>
      <w:r w:rsidR="003D0A97" w:rsidRPr="002E7B89">
        <w:rPr>
          <w:lang w:val="lt-LT" w:bidi="lt-LT"/>
        </w:rPr>
        <w:t xml:space="preserve"> pirmiausia suleidžiama adrenalino injekcija į veną, po to 40–100 mg deksametazono (vaikams – 40 mg) injekcija į veną, kartojama pagal poreikį.</w:t>
      </w:r>
    </w:p>
    <w:p w14:paraId="0DD4E9D9" w14:textId="77777777" w:rsidR="00A16F40" w:rsidRPr="002E7B89" w:rsidRDefault="00A16F40" w:rsidP="002D4A26">
      <w:pPr>
        <w:pStyle w:val="Betarp"/>
        <w:rPr>
          <w:lang w:val="lt-LT"/>
        </w:rPr>
      </w:pPr>
    </w:p>
    <w:p w14:paraId="3C1BDF1B" w14:textId="77777777" w:rsidR="006B522E" w:rsidRPr="002E7B89" w:rsidRDefault="006B522E" w:rsidP="006B522E">
      <w:pPr>
        <w:pStyle w:val="Betarp"/>
        <w:rPr>
          <w:b/>
          <w:u w:val="single"/>
          <w:lang w:val="lt-LT"/>
        </w:rPr>
      </w:pPr>
      <w:r w:rsidRPr="002E7B89">
        <w:rPr>
          <w:b/>
          <w:u w:val="single"/>
          <w:lang w:val="lt-LT" w:bidi="lt-LT"/>
        </w:rPr>
        <w:t>Politrauminis šokas ar potrauminio plaučių šoko profilaktika</w:t>
      </w:r>
    </w:p>
    <w:p w14:paraId="144AEE45" w14:textId="65DBA066" w:rsidR="00696763" w:rsidRPr="002E7B89" w:rsidRDefault="00696763" w:rsidP="00696763">
      <w:pPr>
        <w:pStyle w:val="Betarp"/>
        <w:rPr>
          <w:lang w:val="lt-LT"/>
        </w:rPr>
      </w:pPr>
      <w:r w:rsidRPr="002E7B89">
        <w:rPr>
          <w:lang w:val="lt-LT" w:bidi="lt-LT"/>
        </w:rPr>
        <w:t>Iš pradžių 40–100 mg (vaikams – 40 mg) į veną, dozė kartojama po 12 valandų arba kas 6 valandas po 16</w:t>
      </w:r>
      <w:r w:rsidR="00FB29EF">
        <w:rPr>
          <w:lang w:val="lt-LT" w:bidi="lt-LT"/>
        </w:rPr>
        <w:t>‒</w:t>
      </w:r>
      <w:r w:rsidRPr="002E7B89">
        <w:rPr>
          <w:lang w:val="lt-LT" w:bidi="lt-LT"/>
        </w:rPr>
        <w:t xml:space="preserve">40 mg 2–3 </w:t>
      </w:r>
      <w:r w:rsidR="008454F2" w:rsidRPr="002E7B89">
        <w:rPr>
          <w:lang w:val="lt-LT" w:bidi="lt-LT"/>
        </w:rPr>
        <w:t>paras</w:t>
      </w:r>
      <w:r w:rsidRPr="002E7B89">
        <w:rPr>
          <w:lang w:val="lt-LT" w:bidi="lt-LT"/>
        </w:rPr>
        <w:t>.</w:t>
      </w:r>
    </w:p>
    <w:p w14:paraId="19A39048" w14:textId="77777777" w:rsidR="00A16F40" w:rsidRPr="002E7B89" w:rsidRDefault="00A16F40" w:rsidP="002D4A26">
      <w:pPr>
        <w:pStyle w:val="Betarp"/>
        <w:rPr>
          <w:lang w:val="lt-LT"/>
        </w:rPr>
      </w:pPr>
    </w:p>
    <w:p w14:paraId="32E2CB03" w14:textId="77777777" w:rsidR="00A16F40" w:rsidRPr="002E7B89" w:rsidRDefault="00716299" w:rsidP="002D4A26">
      <w:pPr>
        <w:pStyle w:val="Betarp"/>
        <w:rPr>
          <w:lang w:val="lt-LT"/>
        </w:rPr>
      </w:pPr>
      <w:r w:rsidRPr="002E7B89">
        <w:rPr>
          <w:lang w:val="lt-LT" w:bidi="lt-LT"/>
        </w:rPr>
        <w:t xml:space="preserve">Esant </w:t>
      </w:r>
      <w:r w:rsidRPr="002E7B89">
        <w:rPr>
          <w:b/>
          <w:u w:val="single"/>
          <w:lang w:val="lt-LT" w:bidi="lt-LT"/>
        </w:rPr>
        <w:t>sunkiam astmos paūmėjimui,</w:t>
      </w:r>
      <w:r w:rsidRPr="002E7B89">
        <w:rPr>
          <w:lang w:val="lt-LT" w:bidi="lt-LT"/>
        </w:rPr>
        <w:t xml:space="preserve"> kuo skubiau suleidžiama 8–40 mg į veną; jei reikia, atliekamos pakartotinės 8 mg injekcijos kas 4 valandas.</w:t>
      </w:r>
    </w:p>
    <w:p w14:paraId="4192F60D" w14:textId="77777777" w:rsidR="00A16F40" w:rsidRPr="002E7B89" w:rsidRDefault="00A16F40" w:rsidP="002D4A26">
      <w:pPr>
        <w:pStyle w:val="Betarp"/>
        <w:rPr>
          <w:lang w:val="lt-LT"/>
        </w:rPr>
      </w:pPr>
    </w:p>
    <w:p w14:paraId="3DF620E5" w14:textId="77777777" w:rsidR="00A16F40" w:rsidRPr="002E7B89" w:rsidRDefault="008454F2" w:rsidP="002D4A26">
      <w:pPr>
        <w:pStyle w:val="Betarp"/>
        <w:rPr>
          <w:lang w:val="lt-LT"/>
        </w:rPr>
      </w:pPr>
      <w:r w:rsidRPr="002E7B89">
        <w:rPr>
          <w:b/>
          <w:u w:val="single"/>
          <w:lang w:val="lt-LT" w:bidi="lt-LT"/>
        </w:rPr>
        <w:t>Sunki ū</w:t>
      </w:r>
      <w:r w:rsidR="00716299" w:rsidRPr="002E7B89">
        <w:rPr>
          <w:b/>
          <w:u w:val="single"/>
          <w:lang w:val="lt-LT" w:bidi="lt-LT"/>
        </w:rPr>
        <w:t xml:space="preserve">minė dermatozė </w:t>
      </w:r>
      <w:r w:rsidR="00716299" w:rsidRPr="002E7B89">
        <w:rPr>
          <w:lang w:val="lt-LT" w:bidi="lt-LT"/>
        </w:rPr>
        <w:t xml:space="preserve">ir </w:t>
      </w:r>
      <w:r w:rsidR="00716299" w:rsidRPr="002E7B89">
        <w:rPr>
          <w:b/>
          <w:u w:val="single"/>
          <w:lang w:val="lt-LT" w:bidi="lt-LT"/>
        </w:rPr>
        <w:t>sunkios kraujo ligos:</w:t>
      </w:r>
      <w:r w:rsidR="00716299" w:rsidRPr="002E7B89">
        <w:rPr>
          <w:lang w:val="lt-LT" w:bidi="lt-LT"/>
        </w:rPr>
        <w:t xml:space="preserve"> pradinis gydymas</w:t>
      </w:r>
      <w:r w:rsidR="0059638A">
        <w:rPr>
          <w:lang w:val="lt-LT" w:bidi="lt-LT"/>
        </w:rPr>
        <w:t xml:space="preserve"> – </w:t>
      </w:r>
      <w:r w:rsidR="00716299" w:rsidRPr="002E7B89">
        <w:rPr>
          <w:lang w:val="lt-LT" w:bidi="lt-LT"/>
        </w:rPr>
        <w:t xml:space="preserve">20–40 mg deksametazono fosfato į veną, tolesnis gydymas, priklausomai nuo atvejo sunkumo – tomis pačiomis paros dozėmis arba mažesnėmis dozėmis pirmąsias kelias </w:t>
      </w:r>
      <w:r w:rsidRPr="002E7B89">
        <w:rPr>
          <w:lang w:val="lt-LT" w:bidi="lt-LT"/>
        </w:rPr>
        <w:t>paras</w:t>
      </w:r>
      <w:r w:rsidR="00716299" w:rsidRPr="002E7B89">
        <w:rPr>
          <w:lang w:val="lt-LT" w:bidi="lt-LT"/>
        </w:rPr>
        <w:t xml:space="preserve"> ir perėjimas prie gydymo geriamąja forma.</w:t>
      </w:r>
    </w:p>
    <w:p w14:paraId="2658D8AB" w14:textId="77777777" w:rsidR="00A16F40" w:rsidRPr="002E7B89" w:rsidRDefault="00A16F40" w:rsidP="002D4A26">
      <w:pPr>
        <w:pStyle w:val="Betarp"/>
        <w:rPr>
          <w:lang w:val="lt-LT"/>
        </w:rPr>
      </w:pPr>
    </w:p>
    <w:p w14:paraId="397CEC0B" w14:textId="77777777" w:rsidR="00A16F40" w:rsidRPr="002E7B89" w:rsidRDefault="00716299" w:rsidP="002D4A26">
      <w:pPr>
        <w:pStyle w:val="Betarp"/>
        <w:rPr>
          <w:lang w:val="lt-LT"/>
        </w:rPr>
      </w:pPr>
      <w:r w:rsidRPr="002E7B89">
        <w:rPr>
          <w:b/>
          <w:u w:val="single"/>
          <w:lang w:val="lt-LT" w:bidi="lt-LT"/>
        </w:rPr>
        <w:t>Ūminis antinksčių nepakankamumas</w:t>
      </w:r>
      <w:r w:rsidRPr="002E7B89">
        <w:rPr>
          <w:lang w:val="lt-LT" w:bidi="lt-LT"/>
        </w:rPr>
        <w:t xml:space="preserve"> (Adisono krizė): gydymas pradedamas 4–8 mg deksametazono fosfato į veną.</w:t>
      </w:r>
    </w:p>
    <w:p w14:paraId="08782642" w14:textId="77777777" w:rsidR="00A16F40" w:rsidRPr="002E7B89" w:rsidRDefault="00A16F40" w:rsidP="002D4A26">
      <w:pPr>
        <w:pStyle w:val="Betarp"/>
        <w:rPr>
          <w:lang w:val="lt-LT"/>
        </w:rPr>
      </w:pPr>
    </w:p>
    <w:p w14:paraId="046077AA" w14:textId="77777777" w:rsidR="00A16F40" w:rsidRPr="002E7B89" w:rsidRDefault="00716299" w:rsidP="002D4A26">
      <w:pPr>
        <w:pStyle w:val="Betarp"/>
        <w:rPr>
          <w:b/>
          <w:u w:val="single"/>
          <w:lang w:val="lt-LT"/>
        </w:rPr>
      </w:pPr>
      <w:r w:rsidRPr="002E7B89">
        <w:rPr>
          <w:b/>
          <w:u w:val="single"/>
          <w:lang w:val="lt-LT" w:bidi="lt-LT"/>
        </w:rPr>
        <w:t>COVID-19 gydymas</w:t>
      </w:r>
    </w:p>
    <w:p w14:paraId="03DB6564" w14:textId="61DDC4C2" w:rsidR="00A16F40" w:rsidRPr="002E7B89" w:rsidRDefault="00716299" w:rsidP="002D4A26">
      <w:pPr>
        <w:pStyle w:val="Betarp"/>
        <w:rPr>
          <w:lang w:val="lt-LT"/>
        </w:rPr>
      </w:pPr>
      <w:r w:rsidRPr="002E7B89">
        <w:rPr>
          <w:i/>
          <w:lang w:val="lt-LT" w:bidi="lt-LT"/>
        </w:rPr>
        <w:t>Suaug</w:t>
      </w:r>
      <w:r w:rsidR="00BB772F" w:rsidRPr="002E7B89">
        <w:rPr>
          <w:i/>
          <w:lang w:val="lt-LT" w:bidi="lt-LT"/>
        </w:rPr>
        <w:t>usieji</w:t>
      </w:r>
      <w:r w:rsidRPr="002E7B89">
        <w:rPr>
          <w:i/>
          <w:lang w:val="lt-LT" w:bidi="lt-LT"/>
        </w:rPr>
        <w:t xml:space="preserve">: </w:t>
      </w:r>
      <w:r w:rsidRPr="002E7B89">
        <w:rPr>
          <w:lang w:val="lt-LT" w:bidi="lt-LT"/>
        </w:rPr>
        <w:t>6 mg į veną vieną kartą per parą iki 10</w:t>
      </w:r>
      <w:r w:rsidR="008F6711">
        <w:rPr>
          <w:lang w:val="lt-LT" w:bidi="lt-LT"/>
        </w:rPr>
        <w:t> </w:t>
      </w:r>
      <w:r w:rsidR="008454F2" w:rsidRPr="002E7B89">
        <w:rPr>
          <w:lang w:val="lt-LT" w:bidi="lt-LT"/>
        </w:rPr>
        <w:t>parų.</w:t>
      </w:r>
    </w:p>
    <w:p w14:paraId="12CD5C63" w14:textId="77777777" w:rsidR="004A1D89" w:rsidRPr="002E7B89" w:rsidRDefault="004A1D89" w:rsidP="002D4A26">
      <w:pPr>
        <w:pStyle w:val="Betarp"/>
        <w:rPr>
          <w:lang w:val="lt-LT"/>
        </w:rPr>
      </w:pPr>
    </w:p>
    <w:p w14:paraId="6B5DF823" w14:textId="77777777" w:rsidR="00A933EE" w:rsidRPr="002E7B89" w:rsidRDefault="008454F2" w:rsidP="00A933EE">
      <w:pPr>
        <w:pStyle w:val="Betarp"/>
        <w:rPr>
          <w:lang w:val="lt-LT"/>
        </w:rPr>
      </w:pPr>
      <w:r w:rsidRPr="002E7B89">
        <w:rPr>
          <w:i/>
          <w:lang w:val="lt-LT" w:bidi="lt-LT"/>
        </w:rPr>
        <w:t>Senyviems pacientams</w:t>
      </w:r>
      <w:r w:rsidR="00A933EE" w:rsidRPr="002E7B89">
        <w:rPr>
          <w:i/>
          <w:lang w:val="lt-LT" w:bidi="lt-LT"/>
        </w:rPr>
        <w:t xml:space="preserve"> ir pacienta</w:t>
      </w:r>
      <w:r w:rsidRPr="002E7B89">
        <w:rPr>
          <w:i/>
          <w:lang w:val="lt-LT" w:bidi="lt-LT"/>
        </w:rPr>
        <w:t>ms</w:t>
      </w:r>
      <w:r w:rsidR="00A933EE" w:rsidRPr="002E7B89">
        <w:rPr>
          <w:i/>
          <w:lang w:val="lt-LT" w:bidi="lt-LT"/>
        </w:rPr>
        <w:t>, kuri</w:t>
      </w:r>
      <w:r w:rsidRPr="002E7B89">
        <w:rPr>
          <w:i/>
          <w:lang w:val="lt-LT" w:bidi="lt-LT"/>
        </w:rPr>
        <w:t>ų inkstų ar</w:t>
      </w:r>
      <w:r w:rsidR="00A933EE" w:rsidRPr="002E7B89">
        <w:rPr>
          <w:i/>
          <w:lang w:val="lt-LT" w:bidi="lt-LT"/>
        </w:rPr>
        <w:t xml:space="preserve"> kepenų funkcij</w:t>
      </w:r>
      <w:r w:rsidRPr="002E7B89">
        <w:rPr>
          <w:i/>
          <w:lang w:val="lt-LT" w:bidi="lt-LT"/>
        </w:rPr>
        <w:t>a sutrikusi</w:t>
      </w:r>
      <w:r w:rsidR="00A933EE" w:rsidRPr="002E7B89">
        <w:rPr>
          <w:i/>
          <w:lang w:val="lt-LT" w:bidi="lt-LT"/>
        </w:rPr>
        <w:t xml:space="preserve"> (vartojantys mažą dozę (6 mg per parą) ir trumpą laiką): </w:t>
      </w:r>
      <w:r w:rsidR="00A933EE" w:rsidRPr="002E7B89">
        <w:rPr>
          <w:lang w:val="lt-LT" w:bidi="lt-LT"/>
        </w:rPr>
        <w:t>dozės koreguoti nereikia.</w:t>
      </w:r>
    </w:p>
    <w:p w14:paraId="0F053D12" w14:textId="77777777" w:rsidR="00A933EE" w:rsidRPr="002E7B89" w:rsidRDefault="00A933EE" w:rsidP="00A933EE">
      <w:pPr>
        <w:pStyle w:val="Betarp"/>
        <w:rPr>
          <w:lang w:val="lt-LT"/>
        </w:rPr>
      </w:pPr>
    </w:p>
    <w:p w14:paraId="570493CF" w14:textId="7FD26DB9" w:rsidR="00A16F40" w:rsidRPr="002E7B89" w:rsidRDefault="00716299" w:rsidP="002D4A26">
      <w:pPr>
        <w:pStyle w:val="Betarp"/>
        <w:rPr>
          <w:lang w:val="lt-LT"/>
        </w:rPr>
      </w:pPr>
      <w:r w:rsidRPr="002E7B89">
        <w:rPr>
          <w:i/>
          <w:lang w:val="lt-LT" w:bidi="lt-LT"/>
        </w:rPr>
        <w:t xml:space="preserve">Vaikų populiacija: </w:t>
      </w:r>
      <w:r w:rsidRPr="002E7B89">
        <w:rPr>
          <w:lang w:val="lt-LT" w:bidi="lt-LT"/>
        </w:rPr>
        <w:t>vaikams (12</w:t>
      </w:r>
      <w:r w:rsidR="008F6711">
        <w:rPr>
          <w:lang w:val="lt-LT" w:bidi="lt-LT"/>
        </w:rPr>
        <w:t> </w:t>
      </w:r>
      <w:r w:rsidRPr="002E7B89">
        <w:rPr>
          <w:lang w:val="lt-LT" w:bidi="lt-LT"/>
        </w:rPr>
        <w:t>metų ir vyresniems paaugliams, kurių kūno masė ne mažesnė kaip 40 kg) rekomenduojama vartoti 6 mg į veną vieną kartą per parą iki 10</w:t>
      </w:r>
      <w:r w:rsidR="008F6711">
        <w:rPr>
          <w:lang w:val="lt-LT" w:bidi="lt-LT"/>
        </w:rPr>
        <w:t> </w:t>
      </w:r>
      <w:r w:rsidR="008454F2" w:rsidRPr="002E7B89">
        <w:rPr>
          <w:lang w:val="lt-LT" w:bidi="lt-LT"/>
        </w:rPr>
        <w:t>par</w:t>
      </w:r>
      <w:r w:rsidR="00284210" w:rsidRPr="002E7B89">
        <w:rPr>
          <w:lang w:val="lt-LT" w:bidi="lt-LT"/>
        </w:rPr>
        <w:t>ų</w:t>
      </w:r>
      <w:r w:rsidRPr="002E7B89">
        <w:rPr>
          <w:lang w:val="lt-LT" w:bidi="lt-LT"/>
        </w:rPr>
        <w:t>.</w:t>
      </w:r>
    </w:p>
    <w:p w14:paraId="65A755D9" w14:textId="77777777" w:rsidR="002336C5" w:rsidRPr="002E7B89" w:rsidRDefault="0052629E" w:rsidP="002D4A26">
      <w:pPr>
        <w:pStyle w:val="Betarp"/>
        <w:rPr>
          <w:lang w:val="lt-LT"/>
        </w:rPr>
      </w:pPr>
      <w:r w:rsidRPr="002E7B89">
        <w:rPr>
          <w:lang w:val="lt-LT" w:bidi="lt-LT"/>
        </w:rPr>
        <w:t>Gydymo trukmė turi būti nustatoma atsižvelgiant į klinikinį atsaką ir individualius paciento poreikius.</w:t>
      </w:r>
    </w:p>
    <w:p w14:paraId="5F954404" w14:textId="77777777" w:rsidR="00A16F40" w:rsidRPr="002E7B89" w:rsidRDefault="00A16F40" w:rsidP="002D4A26">
      <w:pPr>
        <w:pStyle w:val="Betarp"/>
        <w:rPr>
          <w:lang w:val="lt-LT"/>
        </w:rPr>
      </w:pPr>
    </w:p>
    <w:p w14:paraId="7C5F33A7" w14:textId="77777777" w:rsidR="00A16F40" w:rsidRPr="002E7B89" w:rsidRDefault="0080575B" w:rsidP="002D4A26">
      <w:pPr>
        <w:pStyle w:val="Betarp"/>
        <w:rPr>
          <w:i/>
          <w:lang w:val="lt-LT"/>
        </w:rPr>
      </w:pPr>
      <w:r w:rsidRPr="002E7B89">
        <w:rPr>
          <w:i/>
          <w:lang w:val="lt-LT" w:bidi="lt-LT"/>
        </w:rPr>
        <w:t xml:space="preserve">2. </w:t>
      </w:r>
      <w:r w:rsidR="00E83973" w:rsidRPr="002E7B89">
        <w:rPr>
          <w:i/>
          <w:lang w:val="lt-LT" w:bidi="lt-LT"/>
        </w:rPr>
        <w:t>Lokalus</w:t>
      </w:r>
      <w:r w:rsidRPr="002E7B89">
        <w:rPr>
          <w:i/>
          <w:lang w:val="lt-LT" w:bidi="lt-LT"/>
        </w:rPr>
        <w:t xml:space="preserve"> </w:t>
      </w:r>
      <w:r w:rsidR="00E83973" w:rsidRPr="002E7B89">
        <w:rPr>
          <w:i/>
          <w:lang w:val="lt-LT" w:bidi="lt-LT"/>
        </w:rPr>
        <w:t>gydymas</w:t>
      </w:r>
    </w:p>
    <w:p w14:paraId="6B4D8494" w14:textId="77777777" w:rsidR="00A16F40" w:rsidRPr="002E7B89" w:rsidRDefault="00A16F40" w:rsidP="002D4A26">
      <w:pPr>
        <w:pStyle w:val="Betarp"/>
        <w:rPr>
          <w:i/>
          <w:lang w:val="lt-LT"/>
        </w:rPr>
      </w:pPr>
    </w:p>
    <w:p w14:paraId="17E405CC" w14:textId="0D4800E5" w:rsidR="00A16F40" w:rsidRPr="002E7B89" w:rsidRDefault="00E83973" w:rsidP="002D4A26">
      <w:pPr>
        <w:pStyle w:val="Betarp"/>
        <w:rPr>
          <w:lang w:val="lt-LT"/>
        </w:rPr>
      </w:pPr>
      <w:r w:rsidRPr="002E7B89">
        <w:rPr>
          <w:lang w:val="lt-LT" w:bidi="lt-LT"/>
        </w:rPr>
        <w:t>Lokaliam</w:t>
      </w:r>
      <w:r w:rsidR="00716299" w:rsidRPr="002E7B89">
        <w:rPr>
          <w:lang w:val="lt-LT" w:bidi="lt-LT"/>
        </w:rPr>
        <w:t xml:space="preserve"> infiltraciniam, periartikul</w:t>
      </w:r>
      <w:r w:rsidRPr="002E7B89">
        <w:rPr>
          <w:lang w:val="lt-LT" w:bidi="lt-LT"/>
        </w:rPr>
        <w:t>iniam</w:t>
      </w:r>
      <w:r w:rsidR="00716299" w:rsidRPr="002E7B89">
        <w:rPr>
          <w:lang w:val="lt-LT" w:bidi="lt-LT"/>
        </w:rPr>
        <w:t xml:space="preserve"> ir intraartikul</w:t>
      </w:r>
      <w:r w:rsidRPr="002E7B89">
        <w:rPr>
          <w:lang w:val="lt-LT" w:bidi="lt-LT"/>
        </w:rPr>
        <w:t>iniam</w:t>
      </w:r>
      <w:r w:rsidR="00716299" w:rsidRPr="002E7B89">
        <w:rPr>
          <w:lang w:val="lt-LT" w:bidi="lt-LT"/>
        </w:rPr>
        <w:t xml:space="preserve"> gydymui griežtai aseptinėmis sąlygomis </w:t>
      </w:r>
      <w:r w:rsidR="008454F2" w:rsidRPr="002E7B89">
        <w:rPr>
          <w:lang w:val="lt-LT" w:bidi="lt-LT"/>
        </w:rPr>
        <w:t>leidžiama</w:t>
      </w:r>
      <w:r w:rsidR="00716299" w:rsidRPr="002E7B89">
        <w:rPr>
          <w:lang w:val="lt-LT" w:bidi="lt-LT"/>
        </w:rPr>
        <w:t xml:space="preserve"> 4 mg arba 8 mg deksametazono fosfato. Injekcijai į mažą sąnarį pakanka 2 mg deksametazono fosfato. Atsižvelgiant į ligos sunkumą, reikėtų atlikti ne daugiau kaip 3–4</w:t>
      </w:r>
      <w:r w:rsidR="008F6711">
        <w:rPr>
          <w:lang w:val="lt-LT" w:bidi="lt-LT"/>
        </w:rPr>
        <w:t> </w:t>
      </w:r>
      <w:r w:rsidR="00716299" w:rsidRPr="002E7B89">
        <w:rPr>
          <w:lang w:val="lt-LT" w:bidi="lt-LT"/>
        </w:rPr>
        <w:t>infiltracijas arba 3–4</w:t>
      </w:r>
      <w:r w:rsidR="008F6711">
        <w:rPr>
          <w:lang w:val="lt-LT" w:bidi="lt-LT"/>
        </w:rPr>
        <w:t> </w:t>
      </w:r>
      <w:r w:rsidR="00716299" w:rsidRPr="002E7B89">
        <w:rPr>
          <w:lang w:val="lt-LT" w:bidi="lt-LT"/>
        </w:rPr>
        <w:t>injekcijas į vieną sąnarį. Intervalas tarp injekcijų turi būti ne trumpesnis kaip 3–4 savaitės.</w:t>
      </w:r>
    </w:p>
    <w:p w14:paraId="21BF2978" w14:textId="77777777" w:rsidR="000D7443" w:rsidRPr="002E7B89" w:rsidRDefault="000D7443" w:rsidP="002D4A26">
      <w:pPr>
        <w:pStyle w:val="Betarp"/>
        <w:rPr>
          <w:lang w:val="lt-LT"/>
        </w:rPr>
      </w:pPr>
    </w:p>
    <w:p w14:paraId="3CB1D96C" w14:textId="337F2B21" w:rsidR="0090773F" w:rsidRPr="00C063C5" w:rsidRDefault="0090773F" w:rsidP="008774BE">
      <w:pPr>
        <w:pStyle w:val="Betarp"/>
        <w:rPr>
          <w:i/>
          <w:lang w:val="lt-LT"/>
        </w:rPr>
      </w:pPr>
      <w:r w:rsidRPr="00337CEC">
        <w:rPr>
          <w:i/>
          <w:iCs/>
          <w:color w:val="000000"/>
          <w:lang w:val="lt-LT"/>
        </w:rPr>
        <w:lastRenderedPageBreak/>
        <w:t>Pacientams, kurių</w:t>
      </w:r>
      <w:r w:rsidRPr="002472CD">
        <w:rPr>
          <w:i/>
          <w:color w:val="000000"/>
          <w:lang w:val="lt-LT"/>
        </w:rPr>
        <w:t xml:space="preserve"> inkstų funkcija</w:t>
      </w:r>
      <w:r w:rsidRPr="00337CEC">
        <w:rPr>
          <w:i/>
          <w:iCs/>
          <w:color w:val="000000"/>
          <w:lang w:val="lt-LT"/>
        </w:rPr>
        <w:t xml:space="preserve"> sutrikusi</w:t>
      </w:r>
    </w:p>
    <w:p w14:paraId="3DC44318" w14:textId="77777777" w:rsidR="008774BE" w:rsidRPr="002E7B89" w:rsidRDefault="008774BE" w:rsidP="008774BE">
      <w:pPr>
        <w:pStyle w:val="Betarp"/>
        <w:rPr>
          <w:lang w:val="lt-LT"/>
        </w:rPr>
      </w:pPr>
    </w:p>
    <w:p w14:paraId="2D4ECFA1" w14:textId="30A65A7F" w:rsidR="008774BE" w:rsidRPr="002E7B89" w:rsidRDefault="008774BE" w:rsidP="008774BE">
      <w:pPr>
        <w:pStyle w:val="Betarp"/>
        <w:rPr>
          <w:lang w:val="lt-LT"/>
        </w:rPr>
      </w:pPr>
      <w:r w:rsidRPr="002E7B89">
        <w:rPr>
          <w:lang w:val="lt-LT" w:bidi="lt-LT"/>
        </w:rPr>
        <w:t>Pacientams, kuri</w:t>
      </w:r>
      <w:r w:rsidR="008454F2" w:rsidRPr="002E7B89">
        <w:rPr>
          <w:lang w:val="lt-LT" w:bidi="lt-LT"/>
        </w:rPr>
        <w:t>ų</w:t>
      </w:r>
      <w:r w:rsidRPr="002E7B89">
        <w:rPr>
          <w:lang w:val="lt-LT" w:bidi="lt-LT"/>
        </w:rPr>
        <w:t xml:space="preserve"> inkstų funkcija</w:t>
      </w:r>
      <w:r w:rsidR="008454F2" w:rsidRPr="002E7B89">
        <w:rPr>
          <w:lang w:val="lt-LT" w:bidi="lt-LT"/>
        </w:rPr>
        <w:t xml:space="preserve"> sutrikusi</w:t>
      </w:r>
      <w:r w:rsidRPr="002E7B89">
        <w:rPr>
          <w:lang w:val="lt-LT" w:bidi="lt-LT"/>
        </w:rPr>
        <w:t>, dozės koreguoti nereikia (taip pat žr. 5.2</w:t>
      </w:r>
      <w:r w:rsidR="008F6711">
        <w:rPr>
          <w:lang w:val="lt-LT" w:bidi="lt-LT"/>
        </w:rPr>
        <w:t> </w:t>
      </w:r>
      <w:r w:rsidRPr="002E7B89">
        <w:rPr>
          <w:lang w:val="lt-LT" w:bidi="lt-LT"/>
        </w:rPr>
        <w:t>skyrių).</w:t>
      </w:r>
    </w:p>
    <w:p w14:paraId="43801A25" w14:textId="77777777" w:rsidR="00A16F40" w:rsidRPr="002E7B89" w:rsidRDefault="00A16F40" w:rsidP="002D4A26">
      <w:pPr>
        <w:pStyle w:val="Betarp"/>
        <w:rPr>
          <w:lang w:val="lt-LT"/>
        </w:rPr>
      </w:pPr>
    </w:p>
    <w:p w14:paraId="2477E24C" w14:textId="78EA74E1" w:rsidR="008774BE" w:rsidRPr="0090773F" w:rsidRDefault="0090773F" w:rsidP="008774BE">
      <w:pPr>
        <w:pStyle w:val="Betarp"/>
        <w:rPr>
          <w:i/>
          <w:lang w:val="lt-LT"/>
        </w:rPr>
      </w:pPr>
      <w:r w:rsidRPr="009749E3">
        <w:rPr>
          <w:i/>
          <w:color w:val="000000"/>
          <w:lang w:val="lt-LT"/>
        </w:rPr>
        <w:t>Pacientams, kurių</w:t>
      </w:r>
      <w:r w:rsidRPr="002472CD">
        <w:rPr>
          <w:i/>
          <w:color w:val="000000"/>
          <w:lang w:val="lt-LT"/>
        </w:rPr>
        <w:t xml:space="preserve"> kepenų funkcija</w:t>
      </w:r>
      <w:r w:rsidRPr="009749E3">
        <w:rPr>
          <w:i/>
          <w:color w:val="000000"/>
          <w:lang w:val="lt-LT"/>
        </w:rPr>
        <w:t xml:space="preserve"> sutrikusi</w:t>
      </w:r>
    </w:p>
    <w:p w14:paraId="263143D2" w14:textId="77777777" w:rsidR="008774BE" w:rsidRPr="002E7B89" w:rsidRDefault="008774BE" w:rsidP="008774BE">
      <w:pPr>
        <w:pStyle w:val="Betarp"/>
        <w:rPr>
          <w:lang w:val="lt-LT"/>
        </w:rPr>
      </w:pPr>
    </w:p>
    <w:p w14:paraId="4B038A55" w14:textId="1E56FB9A" w:rsidR="008774BE" w:rsidRPr="002E7B89" w:rsidRDefault="008774BE" w:rsidP="008774BE">
      <w:pPr>
        <w:pStyle w:val="Betarp"/>
        <w:rPr>
          <w:lang w:val="lt-LT"/>
        </w:rPr>
      </w:pPr>
      <w:r w:rsidRPr="002E7B89">
        <w:rPr>
          <w:lang w:val="lt-LT" w:bidi="lt-LT"/>
        </w:rPr>
        <w:t>Pacientams, sergantiems sunkia kepenų liga, gali prireikti koreguoti dozę (taip pat žr. 5.2</w:t>
      </w:r>
      <w:r w:rsidR="008F6711">
        <w:rPr>
          <w:lang w:val="lt-LT" w:bidi="lt-LT"/>
        </w:rPr>
        <w:t> </w:t>
      </w:r>
      <w:r w:rsidRPr="002E7B89">
        <w:rPr>
          <w:lang w:val="lt-LT" w:bidi="lt-LT"/>
        </w:rPr>
        <w:t>skyrių).</w:t>
      </w:r>
    </w:p>
    <w:p w14:paraId="61DEBDD0" w14:textId="77777777" w:rsidR="008774BE" w:rsidRPr="002E7B89" w:rsidRDefault="008774BE" w:rsidP="002D4A26">
      <w:pPr>
        <w:pStyle w:val="Betarp"/>
        <w:rPr>
          <w:lang w:val="lt-LT"/>
        </w:rPr>
      </w:pPr>
    </w:p>
    <w:p w14:paraId="3924B3B9" w14:textId="77777777" w:rsidR="00A16F40" w:rsidRPr="00C063C5" w:rsidRDefault="00716299" w:rsidP="002D4A26">
      <w:pPr>
        <w:pStyle w:val="Betarp"/>
        <w:rPr>
          <w:i/>
          <w:lang w:val="lt-LT"/>
        </w:rPr>
      </w:pPr>
      <w:r w:rsidRPr="00C063C5">
        <w:rPr>
          <w:i/>
          <w:lang w:val="lt-LT" w:bidi="lt-LT"/>
        </w:rPr>
        <w:t>Vaikų populiacija</w:t>
      </w:r>
    </w:p>
    <w:p w14:paraId="500F8DE8" w14:textId="77777777" w:rsidR="00615B47" w:rsidRPr="002E7B89" w:rsidRDefault="00615B47" w:rsidP="002D4A26">
      <w:pPr>
        <w:pStyle w:val="Betarp"/>
        <w:rPr>
          <w:lang w:val="lt-LT"/>
        </w:rPr>
      </w:pPr>
    </w:p>
    <w:p w14:paraId="7FC3E4FA" w14:textId="37650268" w:rsidR="00A16F40" w:rsidRPr="002E7B89" w:rsidRDefault="00716299" w:rsidP="002D4A26">
      <w:pPr>
        <w:pStyle w:val="Betarp"/>
        <w:rPr>
          <w:lang w:val="lt-LT"/>
        </w:rPr>
      </w:pPr>
      <w:r w:rsidRPr="002E7B89">
        <w:rPr>
          <w:lang w:val="lt-LT" w:bidi="lt-LT"/>
        </w:rPr>
        <w:t>Ilgalaikio gydymo metu vaikams iki 14</w:t>
      </w:r>
      <w:r w:rsidR="008F6711">
        <w:rPr>
          <w:lang w:val="lt-LT" w:bidi="lt-LT"/>
        </w:rPr>
        <w:t> </w:t>
      </w:r>
      <w:r w:rsidRPr="002E7B89">
        <w:rPr>
          <w:lang w:val="lt-LT" w:bidi="lt-LT"/>
        </w:rPr>
        <w:t>metų dėl augimo sutrikimų rizikos po kiekvieno 3</w:t>
      </w:r>
      <w:r w:rsidR="008F6711">
        <w:rPr>
          <w:lang w:val="lt-LT" w:bidi="lt-LT"/>
        </w:rPr>
        <w:t> </w:t>
      </w:r>
      <w:r w:rsidR="00284210" w:rsidRPr="002E7B89">
        <w:rPr>
          <w:lang w:val="lt-LT" w:bidi="lt-LT"/>
        </w:rPr>
        <w:t>parų</w:t>
      </w:r>
      <w:r w:rsidRPr="002E7B89">
        <w:rPr>
          <w:lang w:val="lt-LT" w:bidi="lt-LT"/>
        </w:rPr>
        <w:t xml:space="preserve"> gydymo kurso reikia daryti 4</w:t>
      </w:r>
      <w:r w:rsidR="008F6711">
        <w:rPr>
          <w:lang w:val="lt-LT" w:bidi="lt-LT"/>
        </w:rPr>
        <w:t> </w:t>
      </w:r>
      <w:r w:rsidR="00284210" w:rsidRPr="002E7B89">
        <w:rPr>
          <w:lang w:val="lt-LT" w:bidi="lt-LT"/>
        </w:rPr>
        <w:t>parų</w:t>
      </w:r>
      <w:r w:rsidRPr="002E7B89">
        <w:rPr>
          <w:lang w:val="lt-LT" w:bidi="lt-LT"/>
        </w:rPr>
        <w:t xml:space="preserve"> pertrauką.</w:t>
      </w:r>
    </w:p>
    <w:p w14:paraId="19345A03" w14:textId="77777777" w:rsidR="00A16F40" w:rsidRPr="002E7B89" w:rsidRDefault="00A16F40" w:rsidP="002D4A26">
      <w:pPr>
        <w:pStyle w:val="Betarp"/>
        <w:rPr>
          <w:lang w:val="lt-LT"/>
        </w:rPr>
      </w:pPr>
    </w:p>
    <w:p w14:paraId="086DDD11" w14:textId="77777777" w:rsidR="00A16F40" w:rsidRPr="002E7B89" w:rsidRDefault="00716299" w:rsidP="002D4A26">
      <w:pPr>
        <w:pStyle w:val="Betarp"/>
        <w:rPr>
          <w:lang w:val="lt-LT"/>
        </w:rPr>
      </w:pPr>
      <w:r w:rsidRPr="002E7B89">
        <w:rPr>
          <w:u w:val="single"/>
          <w:lang w:val="lt-LT" w:bidi="lt-LT"/>
        </w:rPr>
        <w:t>Vartojimo metodas</w:t>
      </w:r>
    </w:p>
    <w:p w14:paraId="79C67C96" w14:textId="77777777" w:rsidR="009949B0" w:rsidRPr="002E7B89" w:rsidRDefault="009949B0" w:rsidP="002D4A26">
      <w:pPr>
        <w:pStyle w:val="Betarp"/>
        <w:rPr>
          <w:lang w:val="lt-LT"/>
        </w:rPr>
      </w:pPr>
    </w:p>
    <w:p w14:paraId="4EA67529" w14:textId="77777777" w:rsidR="00A16F40" w:rsidRPr="002E7B89" w:rsidRDefault="00284210" w:rsidP="002D4A26">
      <w:pPr>
        <w:pStyle w:val="Betarp"/>
        <w:rPr>
          <w:lang w:val="lt-LT"/>
        </w:rPr>
      </w:pPr>
      <w:r w:rsidRPr="002E7B89">
        <w:rPr>
          <w:lang w:val="lt-LT" w:bidi="lt-LT"/>
        </w:rPr>
        <w:t>Leisti</w:t>
      </w:r>
      <w:r w:rsidR="00716299" w:rsidRPr="002E7B89">
        <w:rPr>
          <w:lang w:val="lt-LT" w:bidi="lt-LT"/>
        </w:rPr>
        <w:t xml:space="preserve"> į veną, raumenis, sąnarį arba </w:t>
      </w:r>
      <w:r w:rsidR="001963D6" w:rsidRPr="002E7B89">
        <w:rPr>
          <w:lang w:val="lt-LT" w:bidi="lt-LT"/>
        </w:rPr>
        <w:t>vartoti lokaliai</w:t>
      </w:r>
      <w:r w:rsidR="00716299" w:rsidRPr="002E7B89">
        <w:rPr>
          <w:lang w:val="lt-LT" w:bidi="lt-LT"/>
        </w:rPr>
        <w:t xml:space="preserve"> (infiltracija).</w:t>
      </w:r>
    </w:p>
    <w:p w14:paraId="62E98AAC" w14:textId="391A1FA8" w:rsidR="00A16F40" w:rsidRPr="002E7B89" w:rsidRDefault="00F80D11" w:rsidP="002D4A26">
      <w:pPr>
        <w:pStyle w:val="Betarp"/>
        <w:rPr>
          <w:lang w:val="lt-LT"/>
        </w:rPr>
      </w:pPr>
      <w:r w:rsidRPr="002E7B89">
        <w:rPr>
          <w:lang w:val="lt-LT" w:bidi="lt-LT"/>
        </w:rPr>
        <w:t xml:space="preserve">Esant ūmiai ligai </w:t>
      </w:r>
      <w:proofErr w:type="spellStart"/>
      <w:r w:rsidR="008765BB">
        <w:rPr>
          <w:lang w:val="lt-LT" w:bidi="lt-LT"/>
        </w:rPr>
        <w:t>Dexamethasone</w:t>
      </w:r>
      <w:proofErr w:type="spellEnd"/>
      <w:r w:rsidR="008765BB">
        <w:rPr>
          <w:lang w:val="lt-LT" w:bidi="lt-LT"/>
        </w:rPr>
        <w:t xml:space="preserve"> </w:t>
      </w:r>
      <w:proofErr w:type="spellStart"/>
      <w:r w:rsidR="008765BB">
        <w:rPr>
          <w:lang w:val="lt-LT" w:bidi="lt-LT"/>
        </w:rPr>
        <w:t>Kalceks</w:t>
      </w:r>
      <w:proofErr w:type="spellEnd"/>
      <w:r w:rsidR="003F0448" w:rsidRPr="002E7B89">
        <w:rPr>
          <w:lang w:val="lt-LT" w:bidi="lt-LT"/>
        </w:rPr>
        <w:t xml:space="preserve"> 4</w:t>
      </w:r>
      <w:r w:rsidR="008F6711">
        <w:rPr>
          <w:lang w:val="lt-LT" w:bidi="lt-LT"/>
        </w:rPr>
        <w:t> </w:t>
      </w:r>
      <w:r w:rsidR="003F0448" w:rsidRPr="002E7B89">
        <w:rPr>
          <w:lang w:val="lt-LT" w:bidi="lt-LT"/>
        </w:rPr>
        <w:t xml:space="preserve">mg/ml </w:t>
      </w:r>
      <w:r w:rsidRPr="002E7B89">
        <w:rPr>
          <w:lang w:val="lt-LT" w:bidi="lt-LT"/>
        </w:rPr>
        <w:t xml:space="preserve">injekcinis ar infuzinis tirpalas paprastai lėtai (per 2–3 min.) suleidžiamas į veną injekcija arba infuzija. Vis dėlto jis gali būti skiriamas ir į raumenis (tik išimtiniais atvejais), kaip </w:t>
      </w:r>
      <w:r w:rsidR="001963D6" w:rsidRPr="002E7B89">
        <w:rPr>
          <w:lang w:val="lt-LT" w:bidi="lt-LT"/>
        </w:rPr>
        <w:t xml:space="preserve">lokali </w:t>
      </w:r>
      <w:r w:rsidRPr="002E7B89">
        <w:rPr>
          <w:lang w:val="lt-LT" w:bidi="lt-LT"/>
        </w:rPr>
        <w:t>infiltracija arba į sąnarį.</w:t>
      </w:r>
    </w:p>
    <w:p w14:paraId="3479CE17" w14:textId="77777777" w:rsidR="00462849" w:rsidRPr="002E7B89" w:rsidRDefault="00462849" w:rsidP="002D4A26">
      <w:pPr>
        <w:pStyle w:val="Betarp"/>
        <w:rPr>
          <w:lang w:val="lt-LT"/>
        </w:rPr>
      </w:pPr>
    </w:p>
    <w:p w14:paraId="3FE40785" w14:textId="77777777" w:rsidR="00A16F40" w:rsidRPr="002E7B89" w:rsidRDefault="0069312C" w:rsidP="002D4A26">
      <w:pPr>
        <w:pStyle w:val="Betarp"/>
        <w:rPr>
          <w:b/>
          <w:lang w:val="lt-LT"/>
        </w:rPr>
      </w:pPr>
      <w:bookmarkStart w:id="4" w:name="4.3_Gegenanzeigen"/>
      <w:bookmarkEnd w:id="4"/>
      <w:r w:rsidRPr="002E7B89">
        <w:rPr>
          <w:b/>
          <w:lang w:val="lt-LT" w:bidi="lt-LT"/>
        </w:rPr>
        <w:t>4.3</w:t>
      </w:r>
      <w:r w:rsidRPr="002E7B89">
        <w:rPr>
          <w:b/>
          <w:lang w:val="lt-LT" w:bidi="lt-LT"/>
        </w:rPr>
        <w:tab/>
        <w:t>Kontraindikacijos</w:t>
      </w:r>
    </w:p>
    <w:p w14:paraId="2A0157E1" w14:textId="77777777" w:rsidR="0003666A" w:rsidRPr="002E7B89" w:rsidRDefault="0003666A" w:rsidP="002D4A26">
      <w:pPr>
        <w:pStyle w:val="Betarp"/>
        <w:rPr>
          <w:lang w:val="lt-LT"/>
        </w:rPr>
      </w:pPr>
    </w:p>
    <w:p w14:paraId="10950F0F" w14:textId="77777777" w:rsidR="00A16F40" w:rsidRPr="002E7B89" w:rsidRDefault="00716299" w:rsidP="007D187D">
      <w:pPr>
        <w:pStyle w:val="Betarp"/>
        <w:numPr>
          <w:ilvl w:val="0"/>
          <w:numId w:val="19"/>
        </w:numPr>
        <w:ind w:left="567" w:hanging="567"/>
        <w:rPr>
          <w:lang w:val="lt-LT"/>
        </w:rPr>
      </w:pPr>
      <w:r w:rsidRPr="002E7B89">
        <w:rPr>
          <w:lang w:val="lt-LT" w:bidi="lt-LT"/>
        </w:rPr>
        <w:t>Padidėjęs jautrumas veikliajai arba bet kuriai 6.1 skyriuje nurodytai pagalbinei medžiagai.</w:t>
      </w:r>
    </w:p>
    <w:p w14:paraId="416F6E64" w14:textId="77777777" w:rsidR="00FB29EF" w:rsidRPr="002E7B89" w:rsidRDefault="00FB29EF" w:rsidP="00FB29EF">
      <w:pPr>
        <w:pStyle w:val="Betarp"/>
        <w:numPr>
          <w:ilvl w:val="0"/>
          <w:numId w:val="19"/>
        </w:numPr>
        <w:ind w:left="567" w:hanging="567"/>
        <w:rPr>
          <w:lang w:val="lt-LT"/>
        </w:rPr>
      </w:pPr>
      <w:r>
        <w:rPr>
          <w:lang w:val="lt-LT" w:bidi="lt-LT"/>
        </w:rPr>
        <w:t>S</w:t>
      </w:r>
      <w:r w:rsidRPr="002E7B89">
        <w:rPr>
          <w:lang w:val="lt-LT" w:bidi="lt-LT"/>
        </w:rPr>
        <w:t>isteminė grybelinė infekcija ar kita sisteminė infekcija, išskyrus atvejus, kai taikomas specifinis gydymas nuo infekcijos.</w:t>
      </w:r>
    </w:p>
    <w:p w14:paraId="6AEAD827" w14:textId="77777777" w:rsidR="00A16F40" w:rsidRPr="002E7B89" w:rsidRDefault="00A16F40" w:rsidP="002D4A26">
      <w:pPr>
        <w:pStyle w:val="Betarp"/>
        <w:rPr>
          <w:lang w:val="lt-LT"/>
        </w:rPr>
      </w:pPr>
    </w:p>
    <w:p w14:paraId="4E734A9A" w14:textId="77777777" w:rsidR="00A16F40" w:rsidRPr="002E7B89" w:rsidRDefault="00E83973" w:rsidP="002D4A26">
      <w:pPr>
        <w:pStyle w:val="Betarp"/>
        <w:rPr>
          <w:lang w:val="lt-LT"/>
        </w:rPr>
      </w:pPr>
      <w:r w:rsidRPr="002E7B89">
        <w:rPr>
          <w:lang w:val="lt-LT" w:bidi="lt-LT"/>
        </w:rPr>
        <w:t>I</w:t>
      </w:r>
      <w:r w:rsidR="00716299" w:rsidRPr="002E7B89">
        <w:rPr>
          <w:lang w:val="lt-LT" w:bidi="lt-LT"/>
        </w:rPr>
        <w:t xml:space="preserve">njekcija </w:t>
      </w:r>
      <w:r w:rsidRPr="002E7B89">
        <w:rPr>
          <w:lang w:val="lt-LT" w:bidi="lt-LT"/>
        </w:rPr>
        <w:t xml:space="preserve">į sąnarį </w:t>
      </w:r>
      <w:r w:rsidR="00716299" w:rsidRPr="002E7B89">
        <w:rPr>
          <w:lang w:val="lt-LT" w:bidi="lt-LT"/>
        </w:rPr>
        <w:t>kontraindikuotina, jei yra:</w:t>
      </w:r>
    </w:p>
    <w:p w14:paraId="3801C84B" w14:textId="77777777" w:rsidR="00A16F40" w:rsidRPr="002E7B89" w:rsidRDefault="00716299" w:rsidP="007D187D">
      <w:pPr>
        <w:pStyle w:val="Betarp"/>
        <w:numPr>
          <w:ilvl w:val="0"/>
          <w:numId w:val="19"/>
        </w:numPr>
        <w:ind w:left="567" w:hanging="567"/>
        <w:rPr>
          <w:lang w:val="lt-LT"/>
        </w:rPr>
      </w:pPr>
      <w:r w:rsidRPr="002E7B89">
        <w:rPr>
          <w:lang w:val="lt-LT" w:bidi="lt-LT"/>
        </w:rPr>
        <w:t>infekcijų gydomo sąnario viduje arba šalia jo;</w:t>
      </w:r>
    </w:p>
    <w:p w14:paraId="376DB0A0" w14:textId="77777777" w:rsidR="00A16F40" w:rsidRPr="002E7B89" w:rsidRDefault="00716299" w:rsidP="007D187D">
      <w:pPr>
        <w:pStyle w:val="Betarp"/>
        <w:numPr>
          <w:ilvl w:val="0"/>
          <w:numId w:val="19"/>
        </w:numPr>
        <w:ind w:left="567" w:hanging="567"/>
        <w:rPr>
          <w:lang w:val="lt-LT"/>
        </w:rPr>
      </w:pPr>
      <w:r w:rsidRPr="002E7B89">
        <w:rPr>
          <w:lang w:val="lt-LT" w:bidi="lt-LT"/>
        </w:rPr>
        <w:t>bakterinis artritas;</w:t>
      </w:r>
    </w:p>
    <w:p w14:paraId="061DB9A1" w14:textId="77777777" w:rsidR="00A16F40" w:rsidRPr="002E7B89" w:rsidRDefault="00716299" w:rsidP="007D187D">
      <w:pPr>
        <w:pStyle w:val="Betarp"/>
        <w:numPr>
          <w:ilvl w:val="0"/>
          <w:numId w:val="19"/>
        </w:numPr>
        <w:ind w:left="567" w:hanging="567"/>
        <w:rPr>
          <w:lang w:val="lt-LT"/>
        </w:rPr>
      </w:pPr>
      <w:r w:rsidRPr="002E7B89">
        <w:rPr>
          <w:lang w:val="lt-LT" w:bidi="lt-LT"/>
        </w:rPr>
        <w:t>gydomo sąnario nestabilumas;</w:t>
      </w:r>
    </w:p>
    <w:p w14:paraId="3D66FE40" w14:textId="77777777" w:rsidR="00A16F40" w:rsidRPr="002E7B89" w:rsidRDefault="00716299" w:rsidP="007D187D">
      <w:pPr>
        <w:pStyle w:val="Betarp"/>
        <w:numPr>
          <w:ilvl w:val="0"/>
          <w:numId w:val="19"/>
        </w:numPr>
        <w:ind w:left="567" w:hanging="567"/>
        <w:rPr>
          <w:lang w:val="lt-LT"/>
        </w:rPr>
      </w:pPr>
      <w:r w:rsidRPr="002E7B89">
        <w:rPr>
          <w:lang w:val="lt-LT" w:bidi="lt-LT"/>
        </w:rPr>
        <w:t>hemoraginė diatezė (savaiminė arba sukelta antikoaguliantų);</w:t>
      </w:r>
    </w:p>
    <w:p w14:paraId="3334AFE6" w14:textId="77777777" w:rsidR="00A16F40" w:rsidRPr="002E7B89" w:rsidRDefault="00716299" w:rsidP="007D187D">
      <w:pPr>
        <w:pStyle w:val="Betarp"/>
        <w:numPr>
          <w:ilvl w:val="0"/>
          <w:numId w:val="19"/>
        </w:numPr>
        <w:ind w:left="567" w:hanging="567"/>
        <w:rPr>
          <w:lang w:val="lt-LT"/>
        </w:rPr>
      </w:pPr>
      <w:r w:rsidRPr="002E7B89">
        <w:rPr>
          <w:lang w:val="lt-LT" w:bidi="lt-LT"/>
        </w:rPr>
        <w:t>periartikul</w:t>
      </w:r>
      <w:r w:rsidR="00E83973" w:rsidRPr="002E7B89">
        <w:rPr>
          <w:lang w:val="lt-LT" w:bidi="lt-LT"/>
        </w:rPr>
        <w:t>inė</w:t>
      </w:r>
      <w:r w:rsidRPr="002E7B89">
        <w:rPr>
          <w:lang w:val="lt-LT" w:bidi="lt-LT"/>
        </w:rPr>
        <w:t xml:space="preserve"> kalcifikacija;</w:t>
      </w:r>
    </w:p>
    <w:p w14:paraId="074CCB72" w14:textId="77777777" w:rsidR="00A16F40" w:rsidRPr="002E7B89" w:rsidRDefault="00716299" w:rsidP="007D187D">
      <w:pPr>
        <w:pStyle w:val="Betarp"/>
        <w:numPr>
          <w:ilvl w:val="0"/>
          <w:numId w:val="19"/>
        </w:numPr>
        <w:ind w:left="567" w:hanging="567"/>
        <w:rPr>
          <w:lang w:val="lt-LT"/>
        </w:rPr>
      </w:pPr>
      <w:r w:rsidRPr="002E7B89">
        <w:rPr>
          <w:lang w:val="lt-LT" w:bidi="lt-LT"/>
        </w:rPr>
        <w:t>avaskulinė osteonekrozė;</w:t>
      </w:r>
    </w:p>
    <w:p w14:paraId="2825936E" w14:textId="77777777" w:rsidR="00A16F40" w:rsidRPr="002E7B89" w:rsidRDefault="00716299" w:rsidP="007D187D">
      <w:pPr>
        <w:pStyle w:val="Betarp"/>
        <w:numPr>
          <w:ilvl w:val="0"/>
          <w:numId w:val="19"/>
        </w:numPr>
        <w:ind w:left="567" w:hanging="567"/>
        <w:rPr>
          <w:lang w:val="lt-LT"/>
        </w:rPr>
      </w:pPr>
      <w:r w:rsidRPr="002E7B89">
        <w:rPr>
          <w:lang w:val="lt-LT" w:bidi="lt-LT"/>
        </w:rPr>
        <w:t>sausgyslės plyšimas;</w:t>
      </w:r>
    </w:p>
    <w:p w14:paraId="4495B395" w14:textId="77777777" w:rsidR="002F0C8F" w:rsidRPr="002E7B89" w:rsidRDefault="00716299" w:rsidP="007D187D">
      <w:pPr>
        <w:pStyle w:val="Betarp"/>
        <w:numPr>
          <w:ilvl w:val="0"/>
          <w:numId w:val="19"/>
        </w:numPr>
        <w:ind w:left="567" w:hanging="567"/>
        <w:rPr>
          <w:lang w:val="lt-LT"/>
        </w:rPr>
      </w:pPr>
      <w:r w:rsidRPr="002E7B89">
        <w:rPr>
          <w:lang w:val="lt-LT" w:bidi="lt-LT"/>
        </w:rPr>
        <w:t>Šarko</w:t>
      </w:r>
      <w:r w:rsidR="00B65CDE">
        <w:rPr>
          <w:lang w:val="lt-LT" w:bidi="lt-LT"/>
        </w:rPr>
        <w:t xml:space="preserve"> </w:t>
      </w:r>
      <w:r w:rsidR="00B65CDE" w:rsidRPr="00C063C5">
        <w:rPr>
          <w:i/>
          <w:lang w:val="lt-LT" w:bidi="lt-LT"/>
        </w:rPr>
        <w:t>(Charcot)</w:t>
      </w:r>
      <w:r w:rsidRPr="002E7B89">
        <w:rPr>
          <w:lang w:val="lt-LT" w:bidi="lt-LT"/>
        </w:rPr>
        <w:t xml:space="preserve"> sąnarys</w:t>
      </w:r>
      <w:r w:rsidR="00FB29EF">
        <w:rPr>
          <w:lang w:val="lt-LT" w:bidi="lt-LT"/>
        </w:rPr>
        <w:t>.</w:t>
      </w:r>
    </w:p>
    <w:p w14:paraId="3E17460D" w14:textId="77777777" w:rsidR="00A16F40" w:rsidRPr="002E7B89" w:rsidRDefault="00A16F40" w:rsidP="007D187D">
      <w:pPr>
        <w:pStyle w:val="Betarp"/>
        <w:ind w:left="567" w:hanging="567"/>
        <w:rPr>
          <w:lang w:val="lt-LT"/>
        </w:rPr>
      </w:pPr>
    </w:p>
    <w:p w14:paraId="1DE74248" w14:textId="77777777" w:rsidR="00A16F40" w:rsidRPr="002E7B89" w:rsidRDefault="00716299" w:rsidP="002D4A26">
      <w:pPr>
        <w:pStyle w:val="Betarp"/>
        <w:rPr>
          <w:lang w:val="lt-LT"/>
        </w:rPr>
      </w:pPr>
      <w:r w:rsidRPr="002E7B89">
        <w:rPr>
          <w:lang w:val="lt-LT" w:bidi="lt-LT"/>
        </w:rPr>
        <w:t>Infiltracija be papildomo priežasties gydymo yra kontraindikuotina, jei vartojimo srityje yra infekcijų.</w:t>
      </w:r>
    </w:p>
    <w:p w14:paraId="4BE68AAA" w14:textId="77777777" w:rsidR="00A16F40" w:rsidRPr="002E7B89" w:rsidRDefault="00A16F40" w:rsidP="002D4A26">
      <w:pPr>
        <w:pStyle w:val="Betarp"/>
        <w:rPr>
          <w:lang w:val="lt-LT"/>
        </w:rPr>
      </w:pPr>
    </w:p>
    <w:p w14:paraId="666272AC" w14:textId="77777777" w:rsidR="00A16F40" w:rsidRPr="002E7B89" w:rsidRDefault="0069312C" w:rsidP="002D4A26">
      <w:pPr>
        <w:pStyle w:val="Betarp"/>
        <w:rPr>
          <w:b/>
          <w:lang w:val="lt-LT"/>
        </w:rPr>
      </w:pPr>
      <w:bookmarkStart w:id="5" w:name="4.4_Besondere_Warnhinweise_und_Vorsichts"/>
      <w:bookmarkEnd w:id="5"/>
      <w:r w:rsidRPr="002E7B89">
        <w:rPr>
          <w:b/>
          <w:lang w:val="lt-LT" w:bidi="lt-LT"/>
        </w:rPr>
        <w:t>4.4</w:t>
      </w:r>
      <w:r w:rsidRPr="002E7B89">
        <w:rPr>
          <w:b/>
          <w:lang w:val="lt-LT" w:bidi="lt-LT"/>
        </w:rPr>
        <w:tab/>
        <w:t>Specialūs įspėjimai ir atsargumo priemonės</w:t>
      </w:r>
    </w:p>
    <w:p w14:paraId="69D6254C" w14:textId="77777777" w:rsidR="00A16F40" w:rsidRPr="002E7B89" w:rsidRDefault="00A16F40" w:rsidP="002D4A26">
      <w:pPr>
        <w:pStyle w:val="Betarp"/>
        <w:rPr>
          <w:lang w:val="lt-LT"/>
        </w:rPr>
      </w:pPr>
    </w:p>
    <w:p w14:paraId="5761B544" w14:textId="77777777" w:rsidR="009570AA" w:rsidRPr="002E7B89" w:rsidRDefault="009570AA" w:rsidP="009570AA">
      <w:pPr>
        <w:pStyle w:val="Betarp"/>
        <w:rPr>
          <w:i/>
          <w:iCs/>
          <w:lang w:val="lt-LT"/>
        </w:rPr>
      </w:pPr>
      <w:r w:rsidRPr="002E7B89">
        <w:rPr>
          <w:i/>
          <w:lang w:val="lt-LT" w:bidi="lt-LT"/>
        </w:rPr>
        <w:t xml:space="preserve">Ūminis antinksčių </w:t>
      </w:r>
      <w:r w:rsidR="001A6C5D" w:rsidRPr="002E7B89">
        <w:rPr>
          <w:i/>
          <w:lang w:val="lt-LT" w:bidi="lt-LT"/>
        </w:rPr>
        <w:t xml:space="preserve">žievės </w:t>
      </w:r>
      <w:r w:rsidRPr="002E7B89">
        <w:rPr>
          <w:i/>
          <w:lang w:val="lt-LT" w:bidi="lt-LT"/>
        </w:rPr>
        <w:t>nepakankamumas</w:t>
      </w:r>
    </w:p>
    <w:p w14:paraId="5A73D7AE" w14:textId="3A3D3BA2" w:rsidR="00A16F40" w:rsidRPr="002E7B89" w:rsidRDefault="00716299" w:rsidP="002D4A26">
      <w:pPr>
        <w:pStyle w:val="Betarp"/>
        <w:rPr>
          <w:lang w:val="lt-LT"/>
        </w:rPr>
      </w:pPr>
      <w:r w:rsidRPr="002E7B89">
        <w:rPr>
          <w:lang w:val="lt-LT" w:bidi="lt-LT"/>
        </w:rPr>
        <w:t>Staigus ilgiau nei 10</w:t>
      </w:r>
      <w:r w:rsidR="008F6711">
        <w:rPr>
          <w:lang w:val="lt-LT" w:bidi="lt-LT"/>
        </w:rPr>
        <w:t> </w:t>
      </w:r>
      <w:r w:rsidR="00E83973" w:rsidRPr="002E7B89">
        <w:rPr>
          <w:lang w:val="lt-LT" w:bidi="lt-LT"/>
        </w:rPr>
        <w:t>parų</w:t>
      </w:r>
      <w:r w:rsidRPr="002E7B89">
        <w:rPr>
          <w:lang w:val="lt-LT" w:bidi="lt-LT"/>
        </w:rPr>
        <w:t xml:space="preserve"> trukusio gydymo nutraukimas gali sukelti ūmin</w:t>
      </w:r>
      <w:r w:rsidR="00B65CDE">
        <w:rPr>
          <w:lang w:val="lt-LT" w:bidi="lt-LT"/>
        </w:rPr>
        <w:t>į</w:t>
      </w:r>
      <w:r w:rsidRPr="002E7B89">
        <w:rPr>
          <w:lang w:val="lt-LT" w:bidi="lt-LT"/>
        </w:rPr>
        <w:t xml:space="preserve"> antinksčių </w:t>
      </w:r>
      <w:r w:rsidR="001A6C5D" w:rsidRPr="002E7B89">
        <w:rPr>
          <w:lang w:val="lt-LT" w:bidi="lt-LT"/>
        </w:rPr>
        <w:t xml:space="preserve">žievės </w:t>
      </w:r>
      <w:r w:rsidRPr="002E7B89">
        <w:rPr>
          <w:lang w:val="lt-LT" w:bidi="lt-LT"/>
        </w:rPr>
        <w:t>nepakankamum</w:t>
      </w:r>
      <w:r w:rsidR="00B65CDE">
        <w:rPr>
          <w:lang w:val="lt-LT" w:bidi="lt-LT"/>
        </w:rPr>
        <w:t>ą</w:t>
      </w:r>
      <w:r w:rsidRPr="002E7B89">
        <w:rPr>
          <w:lang w:val="lt-LT" w:bidi="lt-LT"/>
        </w:rPr>
        <w:t>. Todėl, jei numatoma nutraukti vaist</w:t>
      </w:r>
      <w:r w:rsidR="00E83973" w:rsidRPr="002E7B89">
        <w:rPr>
          <w:lang w:val="lt-LT" w:bidi="lt-LT"/>
        </w:rPr>
        <w:t>inio preparat</w:t>
      </w:r>
      <w:r w:rsidRPr="002E7B89">
        <w:rPr>
          <w:lang w:val="lt-LT" w:bidi="lt-LT"/>
        </w:rPr>
        <w:t xml:space="preserve">o vartojimą, dozę reikia mažinti lėtai. Gydymo gliukokortikoidais sukeltas antinksčių </w:t>
      </w:r>
      <w:r w:rsidR="004A2F8F" w:rsidRPr="002E7B89">
        <w:rPr>
          <w:lang w:val="lt-LT" w:bidi="lt-LT"/>
        </w:rPr>
        <w:t xml:space="preserve">žievės </w:t>
      </w:r>
      <w:r w:rsidRPr="002E7B89">
        <w:rPr>
          <w:lang w:val="lt-LT" w:bidi="lt-LT"/>
        </w:rPr>
        <w:t>nepakankamumas, priklausomai nuo gydymo dozės ir trukmės, gali išlikti kelis mėnesius, o kai kuriais atvejais ir ilgiau nei vienus metus po gydymo nutraukimo.</w:t>
      </w:r>
    </w:p>
    <w:p w14:paraId="29261038" w14:textId="77777777" w:rsidR="00A16F40" w:rsidRPr="002E7B89" w:rsidRDefault="00A16F40" w:rsidP="002D4A26">
      <w:pPr>
        <w:pStyle w:val="Betarp"/>
        <w:rPr>
          <w:lang w:val="lt-LT"/>
        </w:rPr>
      </w:pPr>
    </w:p>
    <w:p w14:paraId="3448FE4D" w14:textId="77777777" w:rsidR="00A16F40" w:rsidRPr="002E7B89" w:rsidRDefault="00716299" w:rsidP="002D4A26">
      <w:pPr>
        <w:pStyle w:val="Betarp"/>
        <w:rPr>
          <w:lang w:val="lt-LT"/>
        </w:rPr>
      </w:pPr>
      <w:r w:rsidRPr="002E7B89">
        <w:rPr>
          <w:lang w:val="lt-LT" w:bidi="lt-LT"/>
        </w:rPr>
        <w:t xml:space="preserve">Jei gydant deksametazono fosfatu patiriama didelė fizinė įtampa (pvz., nelaimingas atsitikimas, operacija, gimdymas), gali prireikti laikinai padidinti dozę. Gliukokortikoidų gali prireikti ir fizinės įtampos atvejais, kai antinksčių </w:t>
      </w:r>
      <w:r w:rsidR="004A2F8F" w:rsidRPr="002E7B89">
        <w:rPr>
          <w:lang w:val="lt-LT" w:bidi="lt-LT"/>
        </w:rPr>
        <w:t xml:space="preserve">žievės </w:t>
      </w:r>
      <w:r w:rsidRPr="002E7B89">
        <w:rPr>
          <w:lang w:val="lt-LT" w:bidi="lt-LT"/>
        </w:rPr>
        <w:t>nepakankamumas išlieka baigus gydymą.</w:t>
      </w:r>
    </w:p>
    <w:p w14:paraId="6F508E29" w14:textId="77777777" w:rsidR="00A16F40" w:rsidRPr="002E7B89" w:rsidRDefault="00A16F40" w:rsidP="002D4A26">
      <w:pPr>
        <w:pStyle w:val="Betarp"/>
        <w:rPr>
          <w:lang w:val="lt-LT"/>
        </w:rPr>
      </w:pPr>
    </w:p>
    <w:p w14:paraId="006AB1F6" w14:textId="77777777" w:rsidR="0070342C" w:rsidRPr="002E7B89" w:rsidRDefault="0070342C" w:rsidP="0070342C">
      <w:pPr>
        <w:pStyle w:val="Betarp"/>
        <w:rPr>
          <w:i/>
          <w:iCs/>
          <w:lang w:val="lt-LT"/>
        </w:rPr>
      </w:pPr>
      <w:r w:rsidRPr="002E7B89">
        <w:rPr>
          <w:i/>
          <w:lang w:val="lt-LT" w:bidi="lt-LT"/>
        </w:rPr>
        <w:t>Bakterinių, virusinių, grybelinių, parazitinių ir oportunistinių infekcijų rizika</w:t>
      </w:r>
    </w:p>
    <w:p w14:paraId="1839CF9C" w14:textId="77777777" w:rsidR="00A16F40" w:rsidRPr="002E7B89" w:rsidRDefault="00716299" w:rsidP="002D4A26">
      <w:pPr>
        <w:pStyle w:val="Betarp"/>
        <w:rPr>
          <w:lang w:val="lt-LT"/>
        </w:rPr>
      </w:pPr>
      <w:r w:rsidRPr="002E7B89">
        <w:rPr>
          <w:lang w:val="lt-LT" w:bidi="lt-LT"/>
        </w:rPr>
        <w:t>Gydymas deksametazono fosfatu dėl imunosupresinio poveikio gali padidinti bakterinių, virusinių, grybelinių, parazitinių ir oportunistinių infekcijų riziką.</w:t>
      </w:r>
    </w:p>
    <w:p w14:paraId="7CDE51B6" w14:textId="77777777" w:rsidR="005E33E3" w:rsidRPr="002E7B89" w:rsidRDefault="00716299" w:rsidP="005E33E3">
      <w:pPr>
        <w:pStyle w:val="Betarp"/>
        <w:rPr>
          <w:lang w:val="lt-LT"/>
        </w:rPr>
      </w:pPr>
      <w:r w:rsidRPr="002E7B89">
        <w:rPr>
          <w:lang w:val="lt-LT" w:bidi="lt-LT"/>
        </w:rPr>
        <w:t xml:space="preserve">Akivaizdžios ar besivystančios infekcijos simptomai gali būti užmaskuoti, todėl gali būti sunkiau nustatyti diagnozę. Ypatingo atsargumo reikia sergant ūminėmis virusinėmis infekcijomis (hepatitu B, juostine pūsleline, paprastąja pūsleline, vėjaraupiais, herpetiniu keratitu). Esant ūminėms ir lėtinėms </w:t>
      </w:r>
      <w:r w:rsidRPr="002E7B89">
        <w:rPr>
          <w:lang w:val="lt-LT" w:bidi="lt-LT"/>
        </w:rPr>
        <w:lastRenderedPageBreak/>
        <w:t>bakterinėms infekcijoms reikia taikyti tikslinį gydymą antibiotikais.</w:t>
      </w:r>
    </w:p>
    <w:p w14:paraId="77F1A7BD" w14:textId="77777777" w:rsidR="00BF5724" w:rsidRPr="002E7B89" w:rsidRDefault="00716299" w:rsidP="00BF5724">
      <w:pPr>
        <w:pStyle w:val="Betarp"/>
        <w:rPr>
          <w:lang w:val="lt-LT"/>
        </w:rPr>
      </w:pPr>
      <w:r w:rsidRPr="002E7B89">
        <w:rPr>
          <w:lang w:val="lt-LT" w:bidi="lt-LT"/>
        </w:rPr>
        <w:t xml:space="preserve">Gali atsinaujinti latentinės infekcijos, pavyzdžiui, tuberkuliozė ar hepatitas B. Pacientams, kuriems anksčiau buvo nustatyta tuberkuliozė, deksametazonas turi būti skiriamas </w:t>
      </w:r>
      <w:r w:rsidR="00B65CDE">
        <w:rPr>
          <w:lang w:val="lt-LT" w:bidi="lt-LT"/>
        </w:rPr>
        <w:t xml:space="preserve">tik kartu su </w:t>
      </w:r>
      <w:r w:rsidRPr="002E7B89">
        <w:rPr>
          <w:lang w:val="lt-LT" w:bidi="lt-LT"/>
        </w:rPr>
        <w:t>tuberkuliozės profilaktini</w:t>
      </w:r>
      <w:r w:rsidR="00B65CDE">
        <w:rPr>
          <w:lang w:val="lt-LT" w:bidi="lt-LT"/>
        </w:rPr>
        <w:t>u</w:t>
      </w:r>
      <w:r w:rsidRPr="002E7B89">
        <w:rPr>
          <w:lang w:val="lt-LT" w:bidi="lt-LT"/>
        </w:rPr>
        <w:t xml:space="preserve"> gydymu.</w:t>
      </w:r>
    </w:p>
    <w:p w14:paraId="0CBD068F" w14:textId="77777777" w:rsidR="00281822" w:rsidRPr="002E7B89" w:rsidRDefault="00281822" w:rsidP="00BF5724">
      <w:pPr>
        <w:pStyle w:val="Betarp"/>
        <w:rPr>
          <w:lang w:val="lt-LT"/>
        </w:rPr>
      </w:pPr>
      <w:r w:rsidRPr="002E7B89">
        <w:rPr>
          <w:lang w:val="lt-LT" w:bidi="lt-LT"/>
        </w:rPr>
        <w:t>Jei sergama sisteminėmis mikozėmis, kartu turi būti taikomas gydymas nuo grybelio.</w:t>
      </w:r>
    </w:p>
    <w:p w14:paraId="4AB14A08" w14:textId="77777777" w:rsidR="00A16F40" w:rsidRPr="002E7B89" w:rsidRDefault="00542A2A" w:rsidP="002D4A26">
      <w:pPr>
        <w:pStyle w:val="Betarp"/>
        <w:rPr>
          <w:lang w:val="lt-LT"/>
        </w:rPr>
      </w:pPr>
      <w:r w:rsidRPr="002E7B89">
        <w:rPr>
          <w:lang w:val="lt-LT" w:bidi="lt-LT"/>
        </w:rPr>
        <w:t>Sergant tam tikromis parazitinėmis ligomis (amebinė infekcija, nematodai), kartu turi būti taikomas gydymas nuo parazitų. Pacientams, kuriems žinoma arba įtariama siūlinių kirmėlių infekcija, gliukokortikoidai gali sukelti jų aktyv</w:t>
      </w:r>
      <w:r w:rsidR="00B65CDE">
        <w:rPr>
          <w:lang w:val="lt-LT" w:bidi="lt-LT"/>
        </w:rPr>
        <w:t>aciją</w:t>
      </w:r>
      <w:r w:rsidRPr="002E7B89">
        <w:rPr>
          <w:lang w:val="lt-LT" w:bidi="lt-LT"/>
        </w:rPr>
        <w:t xml:space="preserve"> ir proliferaciją.</w:t>
      </w:r>
    </w:p>
    <w:p w14:paraId="0E71E396" w14:textId="77777777" w:rsidR="00A16F40" w:rsidRPr="002E7B89" w:rsidRDefault="00A16F40" w:rsidP="002D4A26">
      <w:pPr>
        <w:pStyle w:val="Betarp"/>
        <w:rPr>
          <w:lang w:val="lt-LT"/>
        </w:rPr>
      </w:pPr>
    </w:p>
    <w:p w14:paraId="42349A54" w14:textId="77777777" w:rsidR="0070342C" w:rsidRPr="002E7B89" w:rsidRDefault="0070342C" w:rsidP="00100408">
      <w:pPr>
        <w:pStyle w:val="Betarp"/>
        <w:rPr>
          <w:lang w:val="lt-LT"/>
        </w:rPr>
      </w:pPr>
      <w:r w:rsidRPr="002E7B89">
        <w:rPr>
          <w:i/>
          <w:lang w:val="lt-LT" w:bidi="lt-LT"/>
        </w:rPr>
        <w:t>Vienu metu vartojami kortikosteroidai</w:t>
      </w:r>
    </w:p>
    <w:p w14:paraId="77116220" w14:textId="77777777" w:rsidR="00A16F40" w:rsidRPr="002E7B89" w:rsidRDefault="00100408" w:rsidP="00100408">
      <w:pPr>
        <w:pStyle w:val="Betarp"/>
        <w:rPr>
          <w:lang w:val="lt-LT"/>
        </w:rPr>
      </w:pPr>
      <w:r w:rsidRPr="002E7B89">
        <w:rPr>
          <w:lang w:val="lt-LT" w:bidi="lt-LT"/>
        </w:rPr>
        <w:t>Sisteminių kortikosteroidų vartojimo nereikėtų nutraukti pacientams, kurie jau gydomi sisteminiais (geriamaisiais) kortikosteroidais dėl kitų priežasčių (pvz., pacientams, sergantiems lėtine obstrukcine plaučių liga)</w:t>
      </w:r>
      <w:r w:rsidR="00B65CDE">
        <w:rPr>
          <w:lang w:val="lt-LT" w:bidi="lt-LT"/>
        </w:rPr>
        <w:t xml:space="preserve"> ir kuriems</w:t>
      </w:r>
      <w:r w:rsidRPr="002E7B89">
        <w:rPr>
          <w:lang w:val="lt-LT" w:bidi="lt-LT"/>
        </w:rPr>
        <w:t xml:space="preserve"> nereikia papildomo deguonies.</w:t>
      </w:r>
    </w:p>
    <w:p w14:paraId="70EE6F1E" w14:textId="77777777" w:rsidR="00A16F40" w:rsidRPr="002E7B89" w:rsidRDefault="00A16F40" w:rsidP="002D4A26">
      <w:pPr>
        <w:pStyle w:val="Betarp"/>
        <w:rPr>
          <w:lang w:val="lt-LT"/>
        </w:rPr>
      </w:pPr>
    </w:p>
    <w:p w14:paraId="0629B7BB" w14:textId="77777777" w:rsidR="000210FF" w:rsidRPr="002E7B89" w:rsidRDefault="000210FF" w:rsidP="000210FF">
      <w:pPr>
        <w:pStyle w:val="Betarp"/>
        <w:rPr>
          <w:i/>
          <w:iCs/>
          <w:lang w:val="lt-LT"/>
        </w:rPr>
      </w:pPr>
      <w:r w:rsidRPr="002E7B89">
        <w:rPr>
          <w:i/>
          <w:lang w:val="lt-LT" w:bidi="lt-LT"/>
        </w:rPr>
        <w:t>Feochromocitomos krizė</w:t>
      </w:r>
    </w:p>
    <w:p w14:paraId="097A2EB8" w14:textId="77777777" w:rsidR="000210FF" w:rsidRPr="002E7B89" w:rsidRDefault="00B65CDE" w:rsidP="000210FF">
      <w:pPr>
        <w:pStyle w:val="Betarp"/>
        <w:rPr>
          <w:lang w:val="lt-LT"/>
        </w:rPr>
      </w:pPr>
      <w:r>
        <w:rPr>
          <w:lang w:val="lt-LT" w:bidi="lt-LT"/>
        </w:rPr>
        <w:t>B</w:t>
      </w:r>
      <w:r w:rsidR="000210FF" w:rsidRPr="002E7B89">
        <w:rPr>
          <w:lang w:val="lt-LT" w:bidi="lt-LT"/>
        </w:rPr>
        <w:t>uvo pranešta apie feochromocitomos krizę, kuri gali būti mirtina</w:t>
      </w:r>
      <w:r>
        <w:rPr>
          <w:lang w:val="lt-LT" w:bidi="lt-LT"/>
        </w:rPr>
        <w:t>, po sisteminių kortikosteroidų skyrimo</w:t>
      </w:r>
      <w:r w:rsidR="000210FF" w:rsidRPr="002E7B89">
        <w:rPr>
          <w:lang w:val="lt-LT" w:bidi="lt-LT"/>
        </w:rPr>
        <w:t>. Pacientams, kuriems įtariama arba nustatyta feochromocitoma, kortikosteroidai turėtų būti skiriami tik tinkamai įvertinus jų riziką ir naudą.</w:t>
      </w:r>
      <w:bookmarkStart w:id="6" w:name="_Hlk72448519"/>
    </w:p>
    <w:bookmarkEnd w:id="6"/>
    <w:p w14:paraId="2F5EFBA5" w14:textId="77777777" w:rsidR="000210FF" w:rsidRPr="002E7B89" w:rsidRDefault="000210FF" w:rsidP="002D4A26">
      <w:pPr>
        <w:pStyle w:val="Betarp"/>
        <w:rPr>
          <w:lang w:val="lt-LT"/>
        </w:rPr>
      </w:pPr>
    </w:p>
    <w:p w14:paraId="69E8C89F" w14:textId="77777777" w:rsidR="00A16F40" w:rsidRPr="002E7B89" w:rsidRDefault="00716299" w:rsidP="002D4A26">
      <w:pPr>
        <w:pStyle w:val="Betarp"/>
        <w:rPr>
          <w:lang w:val="lt-LT"/>
        </w:rPr>
      </w:pPr>
      <w:r w:rsidRPr="002E7B89">
        <w:rPr>
          <w:lang w:val="lt-LT" w:bidi="lt-LT"/>
        </w:rPr>
        <w:t>Reikalingas ypatingas atsargumas šiais atvejais:</w:t>
      </w:r>
    </w:p>
    <w:p w14:paraId="22657A3E" w14:textId="6F9B98BC" w:rsidR="00A16F40" w:rsidRPr="002E7B89" w:rsidRDefault="00716299" w:rsidP="00CA1D05">
      <w:pPr>
        <w:pStyle w:val="Betarp"/>
        <w:numPr>
          <w:ilvl w:val="0"/>
          <w:numId w:val="13"/>
        </w:numPr>
        <w:ind w:left="567" w:hanging="567"/>
        <w:rPr>
          <w:lang w:val="lt-LT"/>
        </w:rPr>
      </w:pPr>
      <w:r w:rsidRPr="002E7B89">
        <w:rPr>
          <w:lang w:val="lt-LT" w:bidi="lt-LT"/>
        </w:rPr>
        <w:t>Maždaug 8</w:t>
      </w:r>
      <w:r w:rsidR="008F6711">
        <w:rPr>
          <w:lang w:val="lt-LT" w:bidi="lt-LT"/>
        </w:rPr>
        <w:t> </w:t>
      </w:r>
      <w:r w:rsidRPr="002E7B89">
        <w:rPr>
          <w:lang w:val="lt-LT" w:bidi="lt-LT"/>
        </w:rPr>
        <w:t>savaitės prieš profilaktinį skiepijimą gyvomis vakcinomis ir iki 2</w:t>
      </w:r>
      <w:r w:rsidR="008F6711">
        <w:rPr>
          <w:lang w:val="lt-LT" w:bidi="lt-LT"/>
        </w:rPr>
        <w:t> </w:t>
      </w:r>
      <w:r w:rsidRPr="002E7B89">
        <w:rPr>
          <w:lang w:val="lt-LT" w:bidi="lt-LT"/>
        </w:rPr>
        <w:t>savaičių po jo. Deksametazonu gydomiems pacientams virusinių ligų eiga gali būti ypač sunki. Ypač didelė rizika kyla vaikams, kuriems susilpnėjęs imunitetas, taip pat asmenims, kurie dar nėra sirgę tymais ar vėjaraupiais. Jei gydymo deksametazonu metu tokie asmenys susiduria su asmenimis, sergančiais tymais ar vėjaraupiais, jie turi nedelsdami kreiptis į gydytoją, kad prireikus skirtų profilaktinį gydymą. Taip pat žr. „</w:t>
      </w:r>
      <w:r w:rsidR="004427A4" w:rsidRPr="002E7B89">
        <w:rPr>
          <w:lang w:val="lt-LT" w:bidi="lt-LT"/>
        </w:rPr>
        <w:t>Vakcinacija</w:t>
      </w:r>
      <w:r w:rsidRPr="002E7B89">
        <w:rPr>
          <w:lang w:val="lt-LT" w:bidi="lt-LT"/>
        </w:rPr>
        <w:t>“.</w:t>
      </w:r>
    </w:p>
    <w:p w14:paraId="2A0F6761" w14:textId="3F3F5E6E" w:rsidR="00A16F40" w:rsidRPr="002E7B89" w:rsidRDefault="00716299" w:rsidP="00CA1D05">
      <w:pPr>
        <w:pStyle w:val="Betarp"/>
        <w:numPr>
          <w:ilvl w:val="0"/>
          <w:numId w:val="13"/>
        </w:numPr>
        <w:ind w:left="567" w:hanging="567"/>
        <w:rPr>
          <w:lang w:val="lt-LT"/>
        </w:rPr>
      </w:pPr>
      <w:r w:rsidRPr="002E7B89">
        <w:rPr>
          <w:lang w:val="lt-LT" w:bidi="lt-LT"/>
        </w:rPr>
        <w:t>Osteoporozė: priklausomai nuo dozės ir gydymo trukmės, reikia numatyti neigiamą poveikį kalcio apykaitai, todėl būtina papildomai vartoti kalcio ir rekomenduojama vartoti vitamino</w:t>
      </w:r>
      <w:r w:rsidR="008F6711">
        <w:rPr>
          <w:lang w:val="lt-LT" w:bidi="lt-LT"/>
        </w:rPr>
        <w:t> </w:t>
      </w:r>
      <w:r w:rsidRPr="002E7B89">
        <w:rPr>
          <w:lang w:val="lt-LT" w:bidi="lt-LT"/>
        </w:rPr>
        <w:t>D. Pacientams, sergantiems osteoporoze, reikėtų apsvarstyti papildomą gydymą. Pacientams, sergantiems sunkia osteoporozės forma, deksametazoną galima vartoti tik esant pavojui gyvybei arba trumpą laiką. Vyresnio amžiaus pacientams reikia atlikti specialią naudos ir rizikos analizę ir atidžiai stebėti, ar nėra nepageidaujamo poveikio, pavyzdžiui, osteoporozės.</w:t>
      </w:r>
    </w:p>
    <w:p w14:paraId="2BFDB953" w14:textId="77777777" w:rsidR="00A16F40" w:rsidRPr="002E7B89" w:rsidRDefault="00716299" w:rsidP="00CA1D05">
      <w:pPr>
        <w:pStyle w:val="Betarp"/>
        <w:numPr>
          <w:ilvl w:val="0"/>
          <w:numId w:val="13"/>
        </w:numPr>
        <w:ind w:left="567" w:hanging="567"/>
        <w:rPr>
          <w:lang w:val="lt-LT"/>
        </w:rPr>
      </w:pPr>
      <w:r w:rsidRPr="002E7B89">
        <w:rPr>
          <w:lang w:val="lt-LT" w:bidi="lt-LT"/>
        </w:rPr>
        <w:t>Cukrinis diabetas: būtina klinikinė priežiūra ir gydymo nuo diabeto koregavimas.</w:t>
      </w:r>
    </w:p>
    <w:p w14:paraId="3FBB6AC3" w14:textId="77777777" w:rsidR="00A16F40" w:rsidRPr="002E7B89" w:rsidRDefault="00716299" w:rsidP="00CA1D05">
      <w:pPr>
        <w:pStyle w:val="Betarp"/>
        <w:numPr>
          <w:ilvl w:val="0"/>
          <w:numId w:val="13"/>
        </w:numPr>
        <w:ind w:left="567" w:hanging="567"/>
        <w:rPr>
          <w:lang w:val="lt-LT"/>
        </w:rPr>
      </w:pPr>
      <w:r w:rsidRPr="002E7B89">
        <w:rPr>
          <w:lang w:val="lt-LT" w:bidi="lt-LT"/>
        </w:rPr>
        <w:t>Psichiatrinė anamnezė, įskaitant savižudybės riziką (praeityje arba dabar): siūloma neurologinė arba psichiatrinė priežiūra.</w:t>
      </w:r>
    </w:p>
    <w:p w14:paraId="13FB8ADE" w14:textId="77777777" w:rsidR="00A16F40" w:rsidRPr="002E7B89" w:rsidRDefault="002A0B2C" w:rsidP="00CA1D05">
      <w:pPr>
        <w:pStyle w:val="Betarp"/>
        <w:numPr>
          <w:ilvl w:val="0"/>
          <w:numId w:val="13"/>
        </w:numPr>
        <w:ind w:left="567" w:hanging="567"/>
        <w:rPr>
          <w:lang w:val="lt-LT"/>
        </w:rPr>
      </w:pPr>
      <w:r w:rsidRPr="002E7B89">
        <w:rPr>
          <w:lang w:val="lt-LT" w:bidi="lt-LT"/>
        </w:rPr>
        <w:t>Inkstų funkcijos sutrikimai: kartu turi būti taikomas veiksmingas pagrindinės ligos gydymas ir nuolatinis stebėjimas.</w:t>
      </w:r>
    </w:p>
    <w:p w14:paraId="340B19D3" w14:textId="77777777" w:rsidR="00A16F40" w:rsidRPr="002E7B89" w:rsidRDefault="00B65CDE" w:rsidP="00CA1D05">
      <w:pPr>
        <w:pStyle w:val="Betarp"/>
        <w:numPr>
          <w:ilvl w:val="0"/>
          <w:numId w:val="13"/>
        </w:numPr>
        <w:ind w:left="567" w:hanging="567"/>
        <w:rPr>
          <w:lang w:val="lt-LT"/>
        </w:rPr>
      </w:pPr>
      <w:r>
        <w:rPr>
          <w:lang w:val="lt-LT" w:bidi="lt-LT"/>
        </w:rPr>
        <w:t>Generalizuota</w:t>
      </w:r>
      <w:r w:rsidR="00716299" w:rsidRPr="002E7B89">
        <w:rPr>
          <w:lang w:val="lt-LT" w:bidi="lt-LT"/>
        </w:rPr>
        <w:t xml:space="preserve"> miastenija: po kortikosteroidų skyrimo galimas pradinis simptomų pasunkėjimas, todėl pradinę dozę reikia parinkti rūpestingai ir atsargiai.</w:t>
      </w:r>
    </w:p>
    <w:p w14:paraId="28EA8FD1" w14:textId="77777777" w:rsidR="00041A11" w:rsidRPr="002E7B89" w:rsidRDefault="00041A11" w:rsidP="002D4A26">
      <w:pPr>
        <w:pStyle w:val="Betarp"/>
        <w:rPr>
          <w:lang w:val="lt-LT"/>
        </w:rPr>
      </w:pPr>
    </w:p>
    <w:p w14:paraId="499C0870" w14:textId="77777777" w:rsidR="002A0D6B" w:rsidRPr="002E7B89" w:rsidRDefault="00AE501D" w:rsidP="002A0D6B">
      <w:pPr>
        <w:pStyle w:val="Betarp"/>
        <w:rPr>
          <w:i/>
          <w:iCs/>
          <w:lang w:val="lt-LT"/>
        </w:rPr>
      </w:pPr>
      <w:r w:rsidRPr="002E7B89">
        <w:rPr>
          <w:i/>
          <w:lang w:val="lt-LT" w:bidi="lt-LT"/>
        </w:rPr>
        <w:t>Virškinimo trakto sutrikimai</w:t>
      </w:r>
    </w:p>
    <w:p w14:paraId="01FC7D6B" w14:textId="77777777" w:rsidR="00AE501D" w:rsidRPr="002E7B89" w:rsidRDefault="00AE501D" w:rsidP="00AE501D">
      <w:pPr>
        <w:pStyle w:val="Betarp"/>
        <w:rPr>
          <w:lang w:val="lt-LT"/>
        </w:rPr>
      </w:pPr>
      <w:r w:rsidRPr="002E7B89">
        <w:rPr>
          <w:lang w:val="lt-LT" w:bidi="lt-LT"/>
        </w:rPr>
        <w:t>Pacientus, sergančius virškinimo trakto opomis, rekomenduojama kartu gydyti vaistais nuo opų, taip pat atidžiai stebėti (įskaitant rentgenologinį stebėjimą arba gastroskopiją).</w:t>
      </w:r>
    </w:p>
    <w:p w14:paraId="4E642559" w14:textId="77777777" w:rsidR="00263A28" w:rsidRPr="002E7B89" w:rsidRDefault="00263A28" w:rsidP="002D4A26">
      <w:pPr>
        <w:pStyle w:val="Betarp"/>
        <w:rPr>
          <w:lang w:val="lt-LT"/>
        </w:rPr>
      </w:pPr>
    </w:p>
    <w:p w14:paraId="72F99901" w14:textId="77777777" w:rsidR="00A16F40" w:rsidRPr="002E7B89" w:rsidRDefault="00716299" w:rsidP="002D4A26">
      <w:pPr>
        <w:pStyle w:val="Betarp"/>
        <w:rPr>
          <w:lang w:val="lt-LT"/>
        </w:rPr>
      </w:pPr>
      <w:r w:rsidRPr="002E7B89">
        <w:rPr>
          <w:lang w:val="lt-LT" w:bidi="lt-LT"/>
        </w:rPr>
        <w:t>Dėl žarnyno perforacijos pavojaus deksametazono fosfatas gali būti vartojamas tik esant aiškioms indikacijoms ir tinkamai stebint pacientus, kuriems nustatytas:</w:t>
      </w:r>
    </w:p>
    <w:p w14:paraId="6C6FABC1" w14:textId="77777777" w:rsidR="00A16F40" w:rsidRPr="002E7B89" w:rsidRDefault="00716299" w:rsidP="003B4069">
      <w:pPr>
        <w:pStyle w:val="Betarp"/>
        <w:numPr>
          <w:ilvl w:val="0"/>
          <w:numId w:val="14"/>
        </w:numPr>
        <w:ind w:left="567" w:right="567" w:hanging="567"/>
        <w:rPr>
          <w:lang w:val="lt-LT"/>
        </w:rPr>
      </w:pPr>
      <w:r w:rsidRPr="002E7B89">
        <w:rPr>
          <w:lang w:val="lt-LT" w:bidi="lt-LT"/>
        </w:rPr>
        <w:t>sunkus storosios žarnos uždegimas (opinis kolitas), dėl kurio gresia perforacija;</w:t>
      </w:r>
    </w:p>
    <w:p w14:paraId="131CF6A3" w14:textId="77777777" w:rsidR="00A16F40" w:rsidRPr="002E7B89" w:rsidRDefault="00716299" w:rsidP="003B4069">
      <w:pPr>
        <w:pStyle w:val="Betarp"/>
        <w:numPr>
          <w:ilvl w:val="0"/>
          <w:numId w:val="14"/>
        </w:numPr>
        <w:ind w:left="567" w:right="567" w:hanging="567"/>
        <w:rPr>
          <w:lang w:val="lt-LT"/>
        </w:rPr>
      </w:pPr>
      <w:r w:rsidRPr="002E7B89">
        <w:rPr>
          <w:lang w:val="lt-LT" w:bidi="lt-LT"/>
        </w:rPr>
        <w:t>abscesų formavimasis arba pūlingos infekcijos;</w:t>
      </w:r>
    </w:p>
    <w:p w14:paraId="592E97DE" w14:textId="77777777" w:rsidR="00A16F40" w:rsidRPr="002E7B89" w:rsidRDefault="008F0905" w:rsidP="003B4069">
      <w:pPr>
        <w:pStyle w:val="Betarp"/>
        <w:numPr>
          <w:ilvl w:val="0"/>
          <w:numId w:val="14"/>
        </w:numPr>
        <w:ind w:left="567" w:right="567" w:hanging="567"/>
        <w:rPr>
          <w:lang w:val="lt-LT"/>
        </w:rPr>
      </w:pPr>
      <w:r w:rsidRPr="002E7B89">
        <w:rPr>
          <w:lang w:val="lt-LT" w:bidi="lt-LT"/>
        </w:rPr>
        <w:t>divertikulitas;</w:t>
      </w:r>
    </w:p>
    <w:p w14:paraId="6B84F284" w14:textId="77777777" w:rsidR="00A16F40" w:rsidRPr="002E7B89" w:rsidRDefault="00716299" w:rsidP="003B4069">
      <w:pPr>
        <w:pStyle w:val="Betarp"/>
        <w:numPr>
          <w:ilvl w:val="0"/>
          <w:numId w:val="14"/>
        </w:numPr>
        <w:ind w:left="567" w:right="567" w:hanging="567"/>
        <w:rPr>
          <w:lang w:val="lt-LT"/>
        </w:rPr>
      </w:pPr>
      <w:r w:rsidRPr="002E7B89">
        <w:rPr>
          <w:lang w:val="lt-LT" w:bidi="lt-LT"/>
        </w:rPr>
        <w:t>žarnyno anastomozė (iš karto po operacijos).</w:t>
      </w:r>
    </w:p>
    <w:p w14:paraId="6658AE1B" w14:textId="77777777" w:rsidR="00A16F40" w:rsidRPr="002E7B89" w:rsidRDefault="00716299" w:rsidP="002D4A26">
      <w:pPr>
        <w:pStyle w:val="Betarp"/>
        <w:rPr>
          <w:lang w:val="lt-LT"/>
        </w:rPr>
      </w:pPr>
      <w:r w:rsidRPr="002E7B89">
        <w:rPr>
          <w:lang w:val="lt-LT" w:bidi="lt-LT"/>
        </w:rPr>
        <w:t>Pacientams, vartojantiems dideles gliukokortikoidų dozes, gali nebūti virškinimo trakto perforacijos sukelto pilvaplėvės dirginimo požymių.</w:t>
      </w:r>
    </w:p>
    <w:p w14:paraId="731C4142" w14:textId="77777777" w:rsidR="00A16F40" w:rsidRPr="002E7B89" w:rsidRDefault="00A16F40" w:rsidP="002D4A26">
      <w:pPr>
        <w:pStyle w:val="Betarp"/>
        <w:rPr>
          <w:lang w:val="lt-LT"/>
        </w:rPr>
      </w:pPr>
    </w:p>
    <w:p w14:paraId="1E00800F" w14:textId="77777777" w:rsidR="00DC4A3F" w:rsidRPr="002E7B89" w:rsidRDefault="00DC4A3F" w:rsidP="00DC4A3F">
      <w:pPr>
        <w:pStyle w:val="Betarp"/>
        <w:rPr>
          <w:i/>
          <w:iCs/>
          <w:lang w:val="lt-LT"/>
        </w:rPr>
      </w:pPr>
      <w:r w:rsidRPr="002E7B89">
        <w:rPr>
          <w:i/>
          <w:lang w:val="lt-LT" w:bidi="lt-LT"/>
        </w:rPr>
        <w:t>Sausgyslių ligų rizika</w:t>
      </w:r>
    </w:p>
    <w:p w14:paraId="143D7553" w14:textId="77777777" w:rsidR="00A16F40" w:rsidRPr="002E7B89" w:rsidRDefault="00D7012F" w:rsidP="002D4A26">
      <w:pPr>
        <w:pStyle w:val="Betarp"/>
        <w:rPr>
          <w:lang w:val="lt-LT"/>
        </w:rPr>
      </w:pPr>
      <w:r w:rsidRPr="002E7B89">
        <w:rPr>
          <w:lang w:val="lt-LT" w:bidi="lt-LT"/>
        </w:rPr>
        <w:t xml:space="preserve">Kartu </w:t>
      </w:r>
      <w:r w:rsidR="00B65CDE">
        <w:rPr>
          <w:lang w:val="lt-LT" w:bidi="lt-LT"/>
        </w:rPr>
        <w:t>vartojant</w:t>
      </w:r>
      <w:r w:rsidRPr="002E7B89">
        <w:rPr>
          <w:lang w:val="lt-LT" w:bidi="lt-LT"/>
        </w:rPr>
        <w:t xml:space="preserve"> fluor</w:t>
      </w:r>
      <w:r w:rsidR="00B65CDE">
        <w:rPr>
          <w:lang w:val="lt-LT" w:bidi="lt-LT"/>
        </w:rPr>
        <w:t>och</w:t>
      </w:r>
      <w:r w:rsidRPr="002E7B89">
        <w:rPr>
          <w:lang w:val="lt-LT" w:bidi="lt-LT"/>
        </w:rPr>
        <w:t>inolonus ir kortikosteroidus didėja sausgyslių ligų, tendinito ir sausgyslių plyšimo rizika.</w:t>
      </w:r>
    </w:p>
    <w:p w14:paraId="14CABBA2" w14:textId="77777777" w:rsidR="00A16F40" w:rsidRPr="002E7B89" w:rsidRDefault="00A16F40" w:rsidP="002D4A26">
      <w:pPr>
        <w:pStyle w:val="Betarp"/>
        <w:rPr>
          <w:lang w:val="lt-LT"/>
        </w:rPr>
      </w:pPr>
    </w:p>
    <w:p w14:paraId="408CFE75" w14:textId="77777777" w:rsidR="008124FD" w:rsidRPr="002E7B89" w:rsidRDefault="001A6C5D" w:rsidP="008124FD">
      <w:pPr>
        <w:pStyle w:val="Betarp"/>
        <w:rPr>
          <w:i/>
          <w:iCs/>
          <w:lang w:val="lt-LT"/>
        </w:rPr>
      </w:pPr>
      <w:r w:rsidRPr="002E7B89">
        <w:rPr>
          <w:i/>
          <w:lang w:val="lt-LT" w:bidi="lt-LT"/>
        </w:rPr>
        <w:lastRenderedPageBreak/>
        <w:t>Vakcinacija</w:t>
      </w:r>
    </w:p>
    <w:p w14:paraId="7C0AA8B7" w14:textId="77777777" w:rsidR="00A16F40" w:rsidRPr="002E7B89" w:rsidRDefault="00B65CDE" w:rsidP="002D4A26">
      <w:pPr>
        <w:pStyle w:val="Betarp"/>
        <w:rPr>
          <w:lang w:val="lt-LT"/>
        </w:rPr>
      </w:pPr>
      <w:r>
        <w:rPr>
          <w:lang w:val="lt-LT" w:bidi="lt-LT"/>
        </w:rPr>
        <w:t>S</w:t>
      </w:r>
      <w:r w:rsidR="00716299" w:rsidRPr="002E7B89">
        <w:rPr>
          <w:lang w:val="lt-LT" w:bidi="lt-LT"/>
        </w:rPr>
        <w:t>kiepyti inaktyvuotomis vakcinomis</w:t>
      </w:r>
      <w:r>
        <w:rPr>
          <w:lang w:val="lt-LT" w:bidi="lt-LT"/>
        </w:rPr>
        <w:t xml:space="preserve"> galima</w:t>
      </w:r>
      <w:r w:rsidR="00716299" w:rsidRPr="002E7B89">
        <w:rPr>
          <w:lang w:val="lt-LT" w:bidi="lt-LT"/>
        </w:rPr>
        <w:t>. Vis dėlto reikėtų nepamiršti, kad imuninis atsakas, taigi ir skiepijimo sėkmė, vartojant didesnes kortikosteroidų dozes gali susilpnėti.</w:t>
      </w:r>
    </w:p>
    <w:p w14:paraId="3FF768FF" w14:textId="77777777" w:rsidR="00A16F40" w:rsidRPr="002E7B89" w:rsidRDefault="00A16F40" w:rsidP="002D4A26">
      <w:pPr>
        <w:pStyle w:val="Betarp"/>
        <w:rPr>
          <w:lang w:val="lt-LT"/>
        </w:rPr>
      </w:pPr>
    </w:p>
    <w:p w14:paraId="1183C380" w14:textId="77777777" w:rsidR="009255D9" w:rsidRPr="002E7B89" w:rsidRDefault="009255D9" w:rsidP="009255D9">
      <w:pPr>
        <w:pStyle w:val="Betarp"/>
        <w:rPr>
          <w:i/>
          <w:iCs/>
          <w:lang w:val="lt-LT"/>
        </w:rPr>
      </w:pPr>
      <w:r w:rsidRPr="002E7B89">
        <w:rPr>
          <w:i/>
          <w:lang w:val="lt-LT" w:bidi="lt-LT"/>
        </w:rPr>
        <w:t>Anafilaksinių reakcijų rizika</w:t>
      </w:r>
    </w:p>
    <w:p w14:paraId="06EFB635" w14:textId="77777777" w:rsidR="00A16F40" w:rsidRPr="002E7B89" w:rsidRDefault="00716299" w:rsidP="002D4A26">
      <w:pPr>
        <w:pStyle w:val="Betarp"/>
        <w:rPr>
          <w:lang w:val="lt-LT"/>
        </w:rPr>
      </w:pPr>
      <w:r w:rsidRPr="002E7B89">
        <w:rPr>
          <w:lang w:val="lt-LT" w:bidi="lt-LT"/>
        </w:rPr>
        <w:t>Gali pasireikšti sunkios anafilaksinės reakcijos.</w:t>
      </w:r>
    </w:p>
    <w:p w14:paraId="352DC547" w14:textId="77777777" w:rsidR="00327815" w:rsidRPr="002E7B89" w:rsidRDefault="00327815" w:rsidP="002D4A26">
      <w:pPr>
        <w:pStyle w:val="Betarp"/>
        <w:rPr>
          <w:lang w:val="lt-LT"/>
        </w:rPr>
      </w:pPr>
    </w:p>
    <w:p w14:paraId="37F60D36" w14:textId="77777777" w:rsidR="00847CE4" w:rsidRPr="002E7B89" w:rsidRDefault="00847CE4" w:rsidP="00847CE4">
      <w:pPr>
        <w:pStyle w:val="Betarp"/>
        <w:rPr>
          <w:i/>
          <w:iCs/>
          <w:lang w:val="lt-LT"/>
        </w:rPr>
      </w:pPr>
      <w:r w:rsidRPr="002E7B89">
        <w:rPr>
          <w:i/>
          <w:lang w:val="lt-LT" w:bidi="lt-LT"/>
        </w:rPr>
        <w:t>Ilgalaikis gydymas</w:t>
      </w:r>
    </w:p>
    <w:p w14:paraId="756590FA" w14:textId="77777777" w:rsidR="00A16F40" w:rsidRPr="002E7B89" w:rsidRDefault="00716299" w:rsidP="002D4A26">
      <w:pPr>
        <w:pStyle w:val="Betarp"/>
        <w:rPr>
          <w:lang w:val="lt-LT"/>
        </w:rPr>
      </w:pPr>
      <w:r w:rsidRPr="002E7B89">
        <w:rPr>
          <w:lang w:val="lt-LT" w:bidi="lt-LT"/>
        </w:rPr>
        <w:t>Ilgalaikio gydymo metu būtina reguliariai tikrintis sveikatą (įskaitant oftalmologinę patikrą kas tris mėnesius). Vartojant palyginti dideles dozes, reikia užtikrinti pakankamą kalio suvartojimą, riboti natrio vartojimą ir stebėti kalio kiekį serume.</w:t>
      </w:r>
    </w:p>
    <w:p w14:paraId="5477C825" w14:textId="77777777" w:rsidR="00F30255" w:rsidRPr="002E7B89" w:rsidRDefault="00F30255" w:rsidP="00C45EF4">
      <w:pPr>
        <w:pStyle w:val="Betarp"/>
        <w:rPr>
          <w:i/>
          <w:iCs/>
          <w:lang w:val="lt-LT"/>
        </w:rPr>
      </w:pPr>
    </w:p>
    <w:p w14:paraId="12462111" w14:textId="77777777" w:rsidR="00C45EF4" w:rsidRPr="002E7B89" w:rsidRDefault="00C45EF4" w:rsidP="00C45EF4">
      <w:pPr>
        <w:pStyle w:val="Betarp"/>
        <w:rPr>
          <w:i/>
          <w:iCs/>
          <w:lang w:val="lt-LT"/>
        </w:rPr>
      </w:pPr>
      <w:r w:rsidRPr="002E7B89">
        <w:rPr>
          <w:i/>
          <w:lang w:val="lt-LT" w:bidi="lt-LT"/>
        </w:rPr>
        <w:t>Nėštumas</w:t>
      </w:r>
    </w:p>
    <w:p w14:paraId="276F32B0" w14:textId="77777777" w:rsidR="002B0028" w:rsidRPr="002E7B89" w:rsidRDefault="00716299" w:rsidP="002D4A26">
      <w:pPr>
        <w:pStyle w:val="Betarp"/>
        <w:rPr>
          <w:lang w:val="lt-LT"/>
        </w:rPr>
      </w:pPr>
      <w:r w:rsidRPr="002E7B89">
        <w:rPr>
          <w:lang w:val="lt-LT" w:bidi="lt-LT"/>
        </w:rPr>
        <w:t xml:space="preserve">Moterys turėtų informuoti gydytoją, jei yra nėščios arba </w:t>
      </w:r>
      <w:r w:rsidR="00CA75B4" w:rsidRPr="00CA75B4">
        <w:rPr>
          <w:lang w:val="lt-LT" w:bidi="lt-LT"/>
        </w:rPr>
        <w:t>jei gydymo metu jos pastoja</w:t>
      </w:r>
      <w:r w:rsidRPr="002E7B89">
        <w:rPr>
          <w:lang w:val="lt-LT" w:bidi="lt-LT"/>
        </w:rPr>
        <w:t>.</w:t>
      </w:r>
    </w:p>
    <w:p w14:paraId="6FF8558A" w14:textId="77777777" w:rsidR="002B0028" w:rsidRPr="002E7B89" w:rsidRDefault="002B0028" w:rsidP="002D4A26">
      <w:pPr>
        <w:pStyle w:val="Betarp"/>
        <w:rPr>
          <w:lang w:val="lt-LT"/>
        </w:rPr>
      </w:pPr>
    </w:p>
    <w:p w14:paraId="24F6738A" w14:textId="77777777" w:rsidR="00C45EF4" w:rsidRPr="002E7B89" w:rsidRDefault="007D3F1F" w:rsidP="00C45EF4">
      <w:pPr>
        <w:pStyle w:val="Betarp"/>
        <w:rPr>
          <w:i/>
          <w:iCs/>
          <w:lang w:val="lt-LT"/>
        </w:rPr>
      </w:pPr>
      <w:r w:rsidRPr="002E7B89">
        <w:rPr>
          <w:i/>
          <w:lang w:val="lt-LT" w:bidi="lt-LT"/>
        </w:rPr>
        <w:t xml:space="preserve">Širdies ir kraujagyslių </w:t>
      </w:r>
      <w:r w:rsidR="001A6C5D" w:rsidRPr="002E7B89">
        <w:rPr>
          <w:i/>
          <w:lang w:val="lt-LT" w:bidi="lt-LT"/>
        </w:rPr>
        <w:t>sistemos sutrikimai</w:t>
      </w:r>
    </w:p>
    <w:p w14:paraId="1DBB37E5" w14:textId="77777777" w:rsidR="00524519" w:rsidRPr="002E7B89" w:rsidRDefault="00E210C9" w:rsidP="00BA70BC">
      <w:pPr>
        <w:pStyle w:val="Betarp"/>
        <w:rPr>
          <w:lang w:val="lt-LT"/>
        </w:rPr>
      </w:pPr>
      <w:r w:rsidRPr="002E7B89">
        <w:rPr>
          <w:lang w:val="lt-LT" w:bidi="lt-LT"/>
        </w:rPr>
        <w:t>Pacient</w:t>
      </w:r>
      <w:r w:rsidR="001A6C5D" w:rsidRPr="002E7B89">
        <w:rPr>
          <w:lang w:val="lt-LT" w:bidi="lt-LT"/>
        </w:rPr>
        <w:t>us</w:t>
      </w:r>
      <w:r w:rsidRPr="002E7B89">
        <w:rPr>
          <w:lang w:val="lt-LT" w:bidi="lt-LT"/>
        </w:rPr>
        <w:t>, sergan</w:t>
      </w:r>
      <w:r w:rsidR="001A6C5D" w:rsidRPr="002E7B89">
        <w:rPr>
          <w:lang w:val="lt-LT" w:bidi="lt-LT"/>
        </w:rPr>
        <w:t>čius</w:t>
      </w:r>
      <w:r w:rsidRPr="002E7B89">
        <w:rPr>
          <w:lang w:val="lt-LT" w:bidi="lt-LT"/>
        </w:rPr>
        <w:t xml:space="preserve"> sunkiu širdies nepakankamumu, reikia atidži</w:t>
      </w:r>
      <w:r w:rsidR="001A6C5D" w:rsidRPr="002E7B89">
        <w:rPr>
          <w:lang w:val="lt-LT" w:bidi="lt-LT"/>
        </w:rPr>
        <w:t>ai stebėti.</w:t>
      </w:r>
    </w:p>
    <w:p w14:paraId="325C1FF6" w14:textId="77777777" w:rsidR="00A16F40" w:rsidRPr="002E7B89" w:rsidRDefault="00BA70BC" w:rsidP="002D4A26">
      <w:pPr>
        <w:pStyle w:val="Betarp"/>
        <w:rPr>
          <w:lang w:val="lt-LT"/>
        </w:rPr>
      </w:pPr>
      <w:r w:rsidRPr="002E7B89">
        <w:rPr>
          <w:lang w:val="lt-LT" w:bidi="lt-LT"/>
        </w:rPr>
        <w:t>Sunkiai kontroliuojamos hipertenzijos atveju reikalingas kombinuotas antihipertenzinis gydymas ir reguliari kontrolė. Vartojant dideles deksametazono dozes, gali pasireikšti bradikardija.</w:t>
      </w:r>
    </w:p>
    <w:p w14:paraId="1342FD0E" w14:textId="77777777" w:rsidR="00524519" w:rsidRPr="002E7B89" w:rsidRDefault="00524519" w:rsidP="00524519">
      <w:pPr>
        <w:pStyle w:val="Betarp"/>
        <w:rPr>
          <w:lang w:val="lt-LT"/>
        </w:rPr>
      </w:pPr>
      <w:r w:rsidRPr="002E7B89">
        <w:rPr>
          <w:lang w:val="lt-LT" w:bidi="lt-LT"/>
        </w:rPr>
        <w:t>Širdies nepakankamumu sergantiems pacientams kartu turi būti taikomas veiksmingas pagrindinės ligos gydymas ir nuolatinis stebėjimas.</w:t>
      </w:r>
    </w:p>
    <w:p w14:paraId="0BF2D004" w14:textId="1979BFC3" w:rsidR="00CE123B" w:rsidRDefault="00CE123B" w:rsidP="00524519">
      <w:pPr>
        <w:pStyle w:val="Betarp"/>
        <w:rPr>
          <w:lang w:val="lt-LT"/>
        </w:rPr>
      </w:pPr>
    </w:p>
    <w:p w14:paraId="22F81E72" w14:textId="77777777" w:rsidR="00990B84" w:rsidRPr="00990B84" w:rsidRDefault="00990B84" w:rsidP="00524519">
      <w:pPr>
        <w:pStyle w:val="Betarp"/>
        <w:rPr>
          <w:i/>
          <w:lang w:val="lt-LT" w:bidi="lt-LT"/>
        </w:rPr>
      </w:pPr>
      <w:r w:rsidRPr="00990B84">
        <w:rPr>
          <w:i/>
          <w:lang w:val="lt-LT" w:bidi="lt-LT"/>
        </w:rPr>
        <w:t>Hipertrofinė kardiomiopatija</w:t>
      </w:r>
    </w:p>
    <w:p w14:paraId="6EBE553B" w14:textId="7D167ECB" w:rsidR="00990B84" w:rsidRDefault="00990B84" w:rsidP="00524519">
      <w:pPr>
        <w:pStyle w:val="Betarp"/>
        <w:rPr>
          <w:lang w:val="lt-LT"/>
        </w:rPr>
      </w:pPr>
      <w:r w:rsidRPr="00990B84">
        <w:rPr>
          <w:lang w:val="lt-LT"/>
        </w:rPr>
        <w:t>Gauta pranešimų apie hipertrofinę kardiomiopatiją, pasireiškusią po neišnešiotų kūdikių sisteminio gydymo kortikosteroidais, įskaitant deksametazoną. Daugeliu atvejų, apie kuriuos pranešta, nutraukus gydymą, šis poveikis išnyko. Neišnešiotiems kūdikiams, kurie buvo gydomi sisteminio poveikio deksametazonu, reikia atlikti diagnostinį vertinimą ir stebėti širdies funkciją bei struktūrą (4.8</w:t>
      </w:r>
      <w:r w:rsidR="008F6711">
        <w:rPr>
          <w:lang w:val="lt-LT"/>
        </w:rPr>
        <w:t> </w:t>
      </w:r>
      <w:r w:rsidRPr="00990B84">
        <w:rPr>
          <w:lang w:val="lt-LT"/>
        </w:rPr>
        <w:t>skyrius).</w:t>
      </w:r>
    </w:p>
    <w:p w14:paraId="02709A57" w14:textId="77777777" w:rsidR="00990B84" w:rsidRPr="002E7B89" w:rsidRDefault="00990B84" w:rsidP="00524519">
      <w:pPr>
        <w:pStyle w:val="Betarp"/>
        <w:rPr>
          <w:lang w:val="lt-LT"/>
        </w:rPr>
      </w:pPr>
    </w:p>
    <w:p w14:paraId="7D22D954" w14:textId="77777777" w:rsidR="00CE123B" w:rsidRPr="002E7B89" w:rsidRDefault="00CE123B" w:rsidP="00CE123B">
      <w:pPr>
        <w:ind w:left="567" w:hanging="567"/>
        <w:rPr>
          <w:i/>
          <w:lang w:val="lt-LT"/>
        </w:rPr>
      </w:pPr>
      <w:r w:rsidRPr="002E7B89">
        <w:rPr>
          <w:i/>
          <w:lang w:val="lt-LT" w:bidi="lt-LT"/>
        </w:rPr>
        <w:t>Smegenų edema arba padidėjęs intrakranijinis spaudimas</w:t>
      </w:r>
    </w:p>
    <w:p w14:paraId="3CF86E57" w14:textId="77777777" w:rsidR="00CE123B" w:rsidRPr="002E7B89" w:rsidRDefault="00CE123B" w:rsidP="00CE123B">
      <w:pPr>
        <w:rPr>
          <w:lang w:val="lt-LT"/>
        </w:rPr>
      </w:pPr>
      <w:r w:rsidRPr="002E7B89">
        <w:rPr>
          <w:lang w:val="lt-LT" w:bidi="lt-LT"/>
        </w:rPr>
        <w:t>Kortikosteroidai neturėtų būti vartojami patyrus galvos traumą ar insultą, nes jie greičiausiai nebus naudingi arba net gali pakenkti.</w:t>
      </w:r>
    </w:p>
    <w:p w14:paraId="21ADDF24" w14:textId="77777777" w:rsidR="002B0028" w:rsidRPr="002E7B89" w:rsidRDefault="002B0028" w:rsidP="002D4A26">
      <w:pPr>
        <w:pStyle w:val="Betarp"/>
        <w:rPr>
          <w:lang w:val="lt-LT"/>
        </w:rPr>
      </w:pPr>
    </w:p>
    <w:p w14:paraId="26563242" w14:textId="77777777" w:rsidR="007B775B" w:rsidRPr="002E7B89" w:rsidRDefault="007B775B" w:rsidP="007B775B">
      <w:pPr>
        <w:pStyle w:val="Betarp"/>
        <w:rPr>
          <w:i/>
          <w:iCs/>
          <w:lang w:val="lt-LT"/>
        </w:rPr>
      </w:pPr>
      <w:r w:rsidRPr="002E7B89">
        <w:rPr>
          <w:i/>
          <w:lang w:val="lt-LT" w:bidi="lt-LT"/>
        </w:rPr>
        <w:t>Navik</w:t>
      </w:r>
      <w:r w:rsidR="001A6C5D" w:rsidRPr="002E7B89">
        <w:rPr>
          <w:i/>
          <w:lang w:val="lt-LT" w:bidi="lt-LT"/>
        </w:rPr>
        <w:t>ų</w:t>
      </w:r>
      <w:r w:rsidRPr="002E7B89">
        <w:rPr>
          <w:i/>
          <w:lang w:val="lt-LT" w:bidi="lt-LT"/>
        </w:rPr>
        <w:t xml:space="preserve"> lizės sindromas (NLS)</w:t>
      </w:r>
    </w:p>
    <w:p w14:paraId="53D2E112" w14:textId="77777777" w:rsidR="00A16F40" w:rsidRPr="002E7B89" w:rsidRDefault="00716299" w:rsidP="002D4A26">
      <w:pPr>
        <w:pStyle w:val="Betarp"/>
        <w:rPr>
          <w:lang w:val="lt-LT"/>
        </w:rPr>
      </w:pPr>
      <w:r w:rsidRPr="002E7B89">
        <w:rPr>
          <w:lang w:val="lt-LT" w:bidi="lt-LT"/>
        </w:rPr>
        <w:t xml:space="preserve">Iš karto po vaistinio preparato registracijos gautais duomenimis, pacientams, sergantiems piktybinėmis kraujo ligomis, pavartojus vien deksametazono arba jo derinio su kitais chemoterapiniais </w:t>
      </w:r>
      <w:r w:rsidR="00D6504A" w:rsidRPr="002E7B89">
        <w:rPr>
          <w:lang w:val="lt-LT" w:bidi="lt-LT"/>
        </w:rPr>
        <w:t xml:space="preserve">vaistiniais </w:t>
      </w:r>
      <w:r w:rsidRPr="002E7B89">
        <w:rPr>
          <w:lang w:val="lt-LT" w:bidi="lt-LT"/>
        </w:rPr>
        <w:t>preparatais pastebėtas navik</w:t>
      </w:r>
      <w:r w:rsidR="00D6504A" w:rsidRPr="002E7B89">
        <w:rPr>
          <w:lang w:val="lt-LT" w:bidi="lt-LT"/>
        </w:rPr>
        <w:t>ų</w:t>
      </w:r>
      <w:r w:rsidRPr="002E7B89">
        <w:rPr>
          <w:lang w:val="lt-LT" w:bidi="lt-LT"/>
        </w:rPr>
        <w:t xml:space="preserve"> lizės sindromas (NLS). Pacientai, kuriems yra didelė NLS rizika, p</w:t>
      </w:r>
      <w:r w:rsidR="00D6504A" w:rsidRPr="002E7B89">
        <w:rPr>
          <w:lang w:val="lt-LT" w:bidi="lt-LT"/>
        </w:rPr>
        <w:t>vz.,</w:t>
      </w:r>
      <w:r w:rsidRPr="002E7B89">
        <w:rPr>
          <w:lang w:val="lt-LT" w:bidi="lt-LT"/>
        </w:rPr>
        <w:t xml:space="preserve"> kuriems būdinga</w:t>
      </w:r>
      <w:r w:rsidR="00D6504A" w:rsidRPr="002E7B89">
        <w:rPr>
          <w:lang w:val="lt-LT" w:bidi="lt-LT"/>
        </w:rPr>
        <w:t xml:space="preserve"> greita</w:t>
      </w:r>
      <w:r w:rsidRPr="002E7B89">
        <w:rPr>
          <w:lang w:val="lt-LT" w:bidi="lt-LT"/>
        </w:rPr>
        <w:t xml:space="preserve"> proliferacij</w:t>
      </w:r>
      <w:r w:rsidR="00D6504A" w:rsidRPr="002E7B89">
        <w:rPr>
          <w:lang w:val="lt-LT" w:bidi="lt-LT"/>
        </w:rPr>
        <w:t>a</w:t>
      </w:r>
      <w:r w:rsidRPr="002E7B89">
        <w:rPr>
          <w:lang w:val="lt-LT" w:bidi="lt-LT"/>
        </w:rPr>
        <w:t>, didel</w:t>
      </w:r>
      <w:r w:rsidR="00D6504A" w:rsidRPr="002E7B89">
        <w:rPr>
          <w:lang w:val="lt-LT" w:bidi="lt-LT"/>
        </w:rPr>
        <w:t>is</w:t>
      </w:r>
      <w:r w:rsidRPr="002E7B89">
        <w:rPr>
          <w:lang w:val="lt-LT" w:bidi="lt-LT"/>
        </w:rPr>
        <w:t xml:space="preserve"> naviko </w:t>
      </w:r>
      <w:r w:rsidR="00D6504A" w:rsidRPr="002E7B89">
        <w:rPr>
          <w:lang w:val="lt-LT" w:bidi="lt-LT"/>
        </w:rPr>
        <w:t>pažeidimas</w:t>
      </w:r>
      <w:r w:rsidRPr="002E7B89">
        <w:rPr>
          <w:lang w:val="lt-LT" w:bidi="lt-LT"/>
        </w:rPr>
        <w:t xml:space="preserve"> </w:t>
      </w:r>
      <w:r w:rsidR="00D6504A" w:rsidRPr="002E7B89">
        <w:rPr>
          <w:lang w:val="lt-LT" w:bidi="lt-LT"/>
        </w:rPr>
        <w:t>ar</w:t>
      </w:r>
      <w:r w:rsidRPr="002E7B89">
        <w:rPr>
          <w:lang w:val="lt-LT" w:bidi="lt-LT"/>
        </w:rPr>
        <w:t xml:space="preserve"> didelis jautrumas cito</w:t>
      </w:r>
      <w:r w:rsidR="00CB1768">
        <w:rPr>
          <w:lang w:val="lt-LT" w:bidi="lt-LT"/>
        </w:rPr>
        <w:t>s</w:t>
      </w:r>
      <w:r w:rsidR="00B65CDE">
        <w:rPr>
          <w:lang w:val="lt-LT" w:bidi="lt-LT"/>
        </w:rPr>
        <w:t>tat</w:t>
      </w:r>
      <w:r w:rsidR="00D6504A" w:rsidRPr="002E7B89">
        <w:rPr>
          <w:lang w:val="lt-LT" w:bidi="lt-LT"/>
        </w:rPr>
        <w:t>iniams vaistiniams preparatams</w:t>
      </w:r>
      <w:r w:rsidRPr="002E7B89">
        <w:rPr>
          <w:lang w:val="lt-LT" w:bidi="lt-LT"/>
        </w:rPr>
        <w:t>, turėtų būti atidžiai stebimi ir gydomi taikant atitinkamas atsargumo priemones.</w:t>
      </w:r>
    </w:p>
    <w:p w14:paraId="5C115A3C" w14:textId="77777777" w:rsidR="00A16F40" w:rsidRPr="002E7B89" w:rsidRDefault="00A16F40" w:rsidP="002D4A26">
      <w:pPr>
        <w:pStyle w:val="Betarp"/>
        <w:rPr>
          <w:lang w:val="lt-LT"/>
        </w:rPr>
      </w:pPr>
    </w:p>
    <w:p w14:paraId="20BFA2D0" w14:textId="77777777" w:rsidR="00A16F40" w:rsidRPr="002E7B89" w:rsidRDefault="00E75634" w:rsidP="002D4A26">
      <w:pPr>
        <w:pStyle w:val="Betarp"/>
        <w:rPr>
          <w:i/>
          <w:lang w:val="lt-LT"/>
        </w:rPr>
      </w:pPr>
      <w:r w:rsidRPr="002E7B89">
        <w:rPr>
          <w:i/>
          <w:lang w:val="lt-LT" w:bidi="lt-LT"/>
        </w:rPr>
        <w:t>Regos sutrikimai</w:t>
      </w:r>
    </w:p>
    <w:p w14:paraId="72D5D86E" w14:textId="77777777" w:rsidR="00A16F40" w:rsidRPr="002E7B89" w:rsidRDefault="00D6504A" w:rsidP="002D4A26">
      <w:pPr>
        <w:pStyle w:val="Betarp"/>
        <w:rPr>
          <w:lang w:val="lt-LT"/>
        </w:rPr>
      </w:pPr>
      <w:r w:rsidRPr="002E7B89">
        <w:rPr>
          <w:lang w:val="lt-LT" w:bidi="lt-LT"/>
        </w:rPr>
        <w:t xml:space="preserve">Vartojant </w:t>
      </w:r>
      <w:r w:rsidR="00BB44FF" w:rsidRPr="002E7B89">
        <w:rPr>
          <w:lang w:val="lt-LT" w:bidi="lt-LT"/>
        </w:rPr>
        <w:t>s</w:t>
      </w:r>
      <w:r w:rsidRPr="002E7B89">
        <w:rPr>
          <w:lang w:val="lt-LT" w:bidi="lt-LT"/>
        </w:rPr>
        <w:t>isteminio ir lokalaus poveikio</w:t>
      </w:r>
      <w:r w:rsidR="00716299" w:rsidRPr="002E7B89">
        <w:rPr>
          <w:lang w:val="lt-LT" w:bidi="lt-LT"/>
        </w:rPr>
        <w:t xml:space="preserve"> kortikosteroid</w:t>
      </w:r>
      <w:r w:rsidRPr="002E7B89">
        <w:rPr>
          <w:lang w:val="lt-LT" w:bidi="lt-LT"/>
        </w:rPr>
        <w:t>ų</w:t>
      </w:r>
      <w:r w:rsidR="00716299" w:rsidRPr="002E7B89">
        <w:rPr>
          <w:lang w:val="lt-LT" w:bidi="lt-LT"/>
        </w:rPr>
        <w:t xml:space="preserve">, gali </w:t>
      </w:r>
      <w:r w:rsidRPr="002E7B89">
        <w:rPr>
          <w:lang w:val="lt-LT" w:bidi="lt-LT"/>
        </w:rPr>
        <w:t>pasireikšti</w:t>
      </w:r>
      <w:r w:rsidR="00716299" w:rsidRPr="002E7B89">
        <w:rPr>
          <w:lang w:val="lt-LT" w:bidi="lt-LT"/>
        </w:rPr>
        <w:t xml:space="preserve"> regos sutrikimų. Jei pacientui pasireiškia tokie simptomai kaip neaiškus regėjimas ar kiti regėjimo sutrikimai, reikėtų apsvarstyti galimybę nu</w:t>
      </w:r>
      <w:r w:rsidR="00B65CDE">
        <w:rPr>
          <w:lang w:val="lt-LT" w:bidi="lt-LT"/>
        </w:rPr>
        <w:t>kreipti</w:t>
      </w:r>
      <w:r w:rsidR="00716299" w:rsidRPr="002E7B89">
        <w:rPr>
          <w:lang w:val="lt-LT" w:bidi="lt-LT"/>
        </w:rPr>
        <w:t xml:space="preserve"> oftalmolog</w:t>
      </w:r>
      <w:r w:rsidR="00B65CDE">
        <w:rPr>
          <w:lang w:val="lt-LT" w:bidi="lt-LT"/>
        </w:rPr>
        <w:t>o konsultacijai</w:t>
      </w:r>
      <w:r w:rsidR="00716299" w:rsidRPr="002E7B89">
        <w:rPr>
          <w:lang w:val="lt-LT" w:bidi="lt-LT"/>
        </w:rPr>
        <w:t>, kad būtų įvertintos galimos priežastys</w:t>
      </w:r>
      <w:r w:rsidRPr="002E7B89">
        <w:rPr>
          <w:lang w:val="lt-LT" w:bidi="lt-LT"/>
        </w:rPr>
        <w:t>, tokios kaip</w:t>
      </w:r>
      <w:r w:rsidR="00716299" w:rsidRPr="002E7B89">
        <w:rPr>
          <w:lang w:val="lt-LT" w:bidi="lt-LT"/>
        </w:rPr>
        <w:t xml:space="preserve"> katarakta, glaukoma ar retos ligos, pvz., centrinė serozinė chorioretinopatija (CSC</w:t>
      </w:r>
      <w:r w:rsidRPr="002E7B89">
        <w:rPr>
          <w:lang w:val="lt-LT" w:bidi="lt-LT"/>
        </w:rPr>
        <w:t>R</w:t>
      </w:r>
      <w:r w:rsidR="00716299" w:rsidRPr="002E7B89">
        <w:rPr>
          <w:lang w:val="lt-LT" w:bidi="lt-LT"/>
        </w:rPr>
        <w:t>), apie kurias buvo pranešta po sistemini</w:t>
      </w:r>
      <w:r w:rsidRPr="002E7B89">
        <w:rPr>
          <w:lang w:val="lt-LT" w:bidi="lt-LT"/>
        </w:rPr>
        <w:t>o</w:t>
      </w:r>
      <w:r w:rsidR="00716299" w:rsidRPr="002E7B89">
        <w:rPr>
          <w:lang w:val="lt-LT" w:bidi="lt-LT"/>
        </w:rPr>
        <w:t xml:space="preserve"> ar </w:t>
      </w:r>
      <w:r w:rsidRPr="002E7B89">
        <w:rPr>
          <w:lang w:val="lt-LT" w:bidi="lt-LT"/>
        </w:rPr>
        <w:t>lokalaus poveikio kortikosteroidų pavartojimo</w:t>
      </w:r>
      <w:r w:rsidR="00716299" w:rsidRPr="002E7B89">
        <w:rPr>
          <w:lang w:val="lt-LT" w:bidi="lt-LT"/>
        </w:rPr>
        <w:t>.</w:t>
      </w:r>
    </w:p>
    <w:p w14:paraId="10DCF01F" w14:textId="77777777" w:rsidR="00F7050D" w:rsidRPr="002E7B89" w:rsidRDefault="00F7050D" w:rsidP="00F7050D">
      <w:pPr>
        <w:pStyle w:val="Betarp"/>
        <w:rPr>
          <w:lang w:val="lt-LT"/>
        </w:rPr>
      </w:pPr>
      <w:r w:rsidRPr="002E7B89">
        <w:rPr>
          <w:lang w:val="lt-LT" w:bidi="lt-LT"/>
        </w:rPr>
        <w:t>Ypatingas atsargumas būtinas</w:t>
      </w:r>
      <w:r w:rsidR="00D6504A" w:rsidRPr="002E7B89">
        <w:rPr>
          <w:lang w:val="lt-LT" w:bidi="lt-LT"/>
        </w:rPr>
        <w:t xml:space="preserve"> pacientams</w:t>
      </w:r>
      <w:r w:rsidRPr="002E7B89">
        <w:rPr>
          <w:lang w:val="lt-LT" w:bidi="lt-LT"/>
        </w:rPr>
        <w:t xml:space="preserve">, </w:t>
      </w:r>
      <w:r w:rsidR="003342AA" w:rsidRPr="002E7B89">
        <w:rPr>
          <w:lang w:val="lt-LT" w:bidi="lt-LT"/>
        </w:rPr>
        <w:t>sergantiems</w:t>
      </w:r>
      <w:r w:rsidRPr="002E7B89">
        <w:rPr>
          <w:lang w:val="lt-LT" w:bidi="lt-LT"/>
        </w:rPr>
        <w:t xml:space="preserve"> uždaro ir atviro kampo glaukoma. Ragenos išopėjimo ir sužalojimo atveju reikia atidžios oftalmologinės priežiūros ir gydymo.</w:t>
      </w:r>
    </w:p>
    <w:p w14:paraId="06F487FE" w14:textId="77777777" w:rsidR="000210FF" w:rsidRPr="002E7B89" w:rsidRDefault="000210FF" w:rsidP="002D4A26">
      <w:pPr>
        <w:pStyle w:val="Betarp"/>
        <w:rPr>
          <w:lang w:val="lt-LT"/>
        </w:rPr>
      </w:pPr>
    </w:p>
    <w:p w14:paraId="6E11CD9F" w14:textId="77777777" w:rsidR="00A16F40" w:rsidRPr="002E7B89" w:rsidRDefault="001963D6" w:rsidP="002D4A26">
      <w:pPr>
        <w:pStyle w:val="Betarp"/>
        <w:rPr>
          <w:i/>
          <w:lang w:val="lt-LT"/>
        </w:rPr>
      </w:pPr>
      <w:r w:rsidRPr="002E7B89">
        <w:rPr>
          <w:i/>
          <w:lang w:val="lt-LT" w:bidi="lt-LT"/>
        </w:rPr>
        <w:t>Senyvi</w:t>
      </w:r>
      <w:r w:rsidR="00716299" w:rsidRPr="002E7B89">
        <w:rPr>
          <w:i/>
          <w:lang w:val="lt-LT" w:bidi="lt-LT"/>
        </w:rPr>
        <w:t xml:space="preserve"> pacientai</w:t>
      </w:r>
    </w:p>
    <w:p w14:paraId="3C0A4F5D" w14:textId="77777777" w:rsidR="00A16F40" w:rsidRPr="002E7B89" w:rsidRDefault="001963D6" w:rsidP="002D4A26">
      <w:pPr>
        <w:pStyle w:val="Betarp"/>
        <w:rPr>
          <w:lang w:val="lt-LT"/>
        </w:rPr>
      </w:pPr>
      <w:r w:rsidRPr="002E7B89">
        <w:rPr>
          <w:lang w:val="lt-LT" w:bidi="lt-LT"/>
        </w:rPr>
        <w:t>Senyviems</w:t>
      </w:r>
      <w:r w:rsidR="00716299" w:rsidRPr="002E7B89">
        <w:rPr>
          <w:lang w:val="lt-LT" w:bidi="lt-LT"/>
        </w:rPr>
        <w:t xml:space="preserve"> pacientams reikia atlikti specialią naudos ir rizikos analizę ir atidžiai stebėti, ar nėra nepageidaujamo poveikio, pavyzdžiui, osteoporozės.</w:t>
      </w:r>
    </w:p>
    <w:p w14:paraId="72936D56" w14:textId="77777777" w:rsidR="00A16F40" w:rsidRPr="002E7B89" w:rsidRDefault="00A16F40" w:rsidP="002D4A26">
      <w:pPr>
        <w:pStyle w:val="Betarp"/>
        <w:rPr>
          <w:lang w:val="lt-LT"/>
        </w:rPr>
      </w:pPr>
    </w:p>
    <w:p w14:paraId="1CD6722F" w14:textId="77777777" w:rsidR="00A16F40" w:rsidRPr="002E7B89" w:rsidRDefault="00716299" w:rsidP="002D4A26">
      <w:pPr>
        <w:pStyle w:val="Betarp"/>
        <w:rPr>
          <w:i/>
          <w:lang w:val="lt-LT"/>
        </w:rPr>
      </w:pPr>
      <w:r w:rsidRPr="002E7B89">
        <w:rPr>
          <w:i/>
          <w:lang w:val="lt-LT" w:bidi="lt-LT"/>
        </w:rPr>
        <w:t>Vaikų populiacija</w:t>
      </w:r>
    </w:p>
    <w:p w14:paraId="69E724F3" w14:textId="5F4F596A" w:rsidR="00A16F40" w:rsidRPr="002E7B89" w:rsidRDefault="00716299" w:rsidP="002D4A26">
      <w:pPr>
        <w:pStyle w:val="Betarp"/>
        <w:rPr>
          <w:lang w:val="lt-LT"/>
        </w:rPr>
      </w:pPr>
      <w:r w:rsidRPr="002E7B89">
        <w:rPr>
          <w:lang w:val="lt-LT" w:bidi="lt-LT"/>
        </w:rPr>
        <w:t>Neišnešioti kūdikiai: turimi duomenys rodo ilgalaikį nepageidaujamą poveikį neuronų vystymuisi po ankstyvojo neišnešiotų kūdikių, sergančių lėtine plaučių liga, gydymo (&lt;</w:t>
      </w:r>
      <w:r w:rsidR="00713CEC">
        <w:rPr>
          <w:lang w:val="lt-LT" w:bidi="lt-LT"/>
        </w:rPr>
        <w:t> </w:t>
      </w:r>
      <w:r w:rsidRPr="002E7B89">
        <w:rPr>
          <w:lang w:val="lt-LT" w:bidi="lt-LT"/>
        </w:rPr>
        <w:t xml:space="preserve">96 val.), kai gydymo </w:t>
      </w:r>
      <w:r w:rsidRPr="002E7B89">
        <w:rPr>
          <w:lang w:val="lt-LT" w:bidi="lt-LT"/>
        </w:rPr>
        <w:lastRenderedPageBreak/>
        <w:t>pradžioje vartojama 0,25 mg/kg dozė du kartus per parą.</w:t>
      </w:r>
    </w:p>
    <w:p w14:paraId="6381811A" w14:textId="77777777" w:rsidR="00A16F40" w:rsidRPr="002E7B89" w:rsidRDefault="00716299" w:rsidP="002D4A26">
      <w:pPr>
        <w:pStyle w:val="Betarp"/>
        <w:rPr>
          <w:lang w:val="lt-LT"/>
        </w:rPr>
      </w:pPr>
      <w:r w:rsidRPr="002E7B89">
        <w:rPr>
          <w:lang w:val="lt-LT" w:bidi="lt-LT"/>
        </w:rPr>
        <w:t>Augantys vaikai ir paaugliai neturėtų būti gydomi šiuo vaistiniu preparatu, išskyrus griežtai nurodytus atvejus.</w:t>
      </w:r>
    </w:p>
    <w:p w14:paraId="7A42A1D3" w14:textId="77777777" w:rsidR="00A16F40" w:rsidRPr="002E7B89" w:rsidRDefault="00A16F40" w:rsidP="002D4A26">
      <w:pPr>
        <w:pStyle w:val="Betarp"/>
        <w:rPr>
          <w:lang w:val="lt-LT"/>
        </w:rPr>
      </w:pPr>
    </w:p>
    <w:p w14:paraId="6947249E" w14:textId="77777777" w:rsidR="00CE4743" w:rsidRPr="002E7B89" w:rsidRDefault="0051016D" w:rsidP="00CE4743">
      <w:pPr>
        <w:pStyle w:val="Betarp"/>
        <w:rPr>
          <w:i/>
          <w:iCs/>
          <w:lang w:val="lt-LT"/>
        </w:rPr>
      </w:pPr>
      <w:r w:rsidRPr="002E7B89">
        <w:rPr>
          <w:i/>
          <w:lang w:val="lt-LT" w:bidi="lt-LT"/>
        </w:rPr>
        <w:t>Atsargumo priemonės</w:t>
      </w:r>
      <w:r w:rsidR="00CE4743" w:rsidRPr="002E7B89">
        <w:rPr>
          <w:i/>
          <w:lang w:val="lt-LT" w:bidi="lt-LT"/>
        </w:rPr>
        <w:t>, susijusi</w:t>
      </w:r>
      <w:r w:rsidRPr="002E7B89">
        <w:rPr>
          <w:i/>
          <w:lang w:val="lt-LT" w:bidi="lt-LT"/>
        </w:rPr>
        <w:t>os</w:t>
      </w:r>
      <w:r w:rsidR="00CE4743" w:rsidRPr="002E7B89">
        <w:rPr>
          <w:i/>
          <w:lang w:val="lt-LT" w:bidi="lt-LT"/>
        </w:rPr>
        <w:t xml:space="preserve"> su vartojimo būdais</w:t>
      </w:r>
    </w:p>
    <w:p w14:paraId="6954C319" w14:textId="77777777" w:rsidR="00CE4743" w:rsidRPr="002E7B89" w:rsidRDefault="00CE4743" w:rsidP="00CE4743">
      <w:pPr>
        <w:pStyle w:val="Betarp"/>
        <w:rPr>
          <w:i/>
          <w:iCs/>
          <w:lang w:val="lt-LT"/>
        </w:rPr>
      </w:pPr>
      <w:r w:rsidRPr="002E7B89">
        <w:rPr>
          <w:i/>
          <w:lang w:val="lt-LT" w:bidi="lt-LT"/>
        </w:rPr>
        <w:t>Vartojimas į raumenis</w:t>
      </w:r>
    </w:p>
    <w:p w14:paraId="73CD8007" w14:textId="77777777" w:rsidR="00A16F40" w:rsidRPr="002E7B89" w:rsidRDefault="008765BB" w:rsidP="002D4A26">
      <w:pPr>
        <w:pStyle w:val="Betarp"/>
        <w:rPr>
          <w:lang w:val="lt-LT"/>
        </w:rPr>
      </w:pPr>
      <w:r>
        <w:rPr>
          <w:lang w:val="lt-LT" w:bidi="lt-LT"/>
        </w:rPr>
        <w:t>Dexamethasone Kalceks</w:t>
      </w:r>
      <w:r w:rsidR="00F80D11" w:rsidRPr="002E7B89">
        <w:rPr>
          <w:lang w:val="lt-LT" w:bidi="lt-LT"/>
        </w:rPr>
        <w:t xml:space="preserve"> į raumenis turėtų būti leidžiamas tik išimtiniais atvejais dėl šių priežasčių:</w:t>
      </w:r>
    </w:p>
    <w:p w14:paraId="2DB5869A" w14:textId="77777777" w:rsidR="00A16F40" w:rsidRPr="002E7B89" w:rsidRDefault="00716299" w:rsidP="00327815">
      <w:pPr>
        <w:pStyle w:val="Betarp"/>
        <w:numPr>
          <w:ilvl w:val="0"/>
          <w:numId w:val="15"/>
        </w:numPr>
        <w:ind w:left="567" w:hanging="567"/>
        <w:rPr>
          <w:lang w:val="lt-LT"/>
        </w:rPr>
      </w:pPr>
      <w:r w:rsidRPr="002E7B89">
        <w:rPr>
          <w:lang w:val="lt-LT" w:bidi="lt-LT"/>
        </w:rPr>
        <w:t>galimas vietinis netoleravimas ir audinių nykimas (riebalinis audinys ir raumenų atrofija);</w:t>
      </w:r>
    </w:p>
    <w:p w14:paraId="27F997BD" w14:textId="77777777" w:rsidR="00A16F40" w:rsidRPr="002E7B89" w:rsidRDefault="00B64DC0" w:rsidP="00327815">
      <w:pPr>
        <w:pStyle w:val="Betarp"/>
        <w:numPr>
          <w:ilvl w:val="0"/>
          <w:numId w:val="15"/>
        </w:numPr>
        <w:ind w:left="567" w:hanging="567"/>
        <w:rPr>
          <w:lang w:val="lt-LT"/>
        </w:rPr>
      </w:pPr>
      <w:r w:rsidRPr="002E7B89">
        <w:rPr>
          <w:lang w:val="lt-LT" w:bidi="lt-LT"/>
        </w:rPr>
        <w:t xml:space="preserve">dozavimo nepastovumas: iš pradžių </w:t>
      </w:r>
      <w:r w:rsidR="00B65CDE">
        <w:rPr>
          <w:lang w:val="lt-LT" w:bidi="lt-LT"/>
        </w:rPr>
        <w:t>per</w:t>
      </w:r>
      <w:r w:rsidRPr="002E7B89">
        <w:rPr>
          <w:lang w:val="lt-LT" w:bidi="lt-LT"/>
        </w:rPr>
        <w:t xml:space="preserve"> didelė dozė, vėliau – nepakankamas poveikis.</w:t>
      </w:r>
    </w:p>
    <w:p w14:paraId="2D3F06AD" w14:textId="77777777" w:rsidR="00CE4743" w:rsidRPr="002E7B89" w:rsidRDefault="00CE4743" w:rsidP="00CE4743">
      <w:pPr>
        <w:pStyle w:val="Betarp"/>
        <w:rPr>
          <w:i/>
          <w:iCs/>
          <w:u w:val="single"/>
          <w:lang w:val="lt-LT"/>
        </w:rPr>
      </w:pPr>
    </w:p>
    <w:p w14:paraId="65EFEC98" w14:textId="77777777" w:rsidR="00CE4743" w:rsidRPr="002E7B89" w:rsidRDefault="00CE4743" w:rsidP="00CE4743">
      <w:pPr>
        <w:pStyle w:val="Betarp"/>
        <w:rPr>
          <w:i/>
          <w:iCs/>
          <w:lang w:val="lt-LT"/>
        </w:rPr>
      </w:pPr>
      <w:r w:rsidRPr="002E7B89">
        <w:rPr>
          <w:i/>
          <w:lang w:val="lt-LT" w:bidi="lt-LT"/>
        </w:rPr>
        <w:t>Vartojimas į veną</w:t>
      </w:r>
    </w:p>
    <w:p w14:paraId="40546394" w14:textId="3FD5A59C" w:rsidR="00CE4743" w:rsidRPr="002E7B89" w:rsidRDefault="00CE4743" w:rsidP="00CE4743">
      <w:pPr>
        <w:pStyle w:val="Betarp"/>
        <w:rPr>
          <w:lang w:val="lt-LT"/>
        </w:rPr>
      </w:pPr>
      <w:r w:rsidRPr="002E7B89">
        <w:rPr>
          <w:lang w:val="lt-LT" w:bidi="lt-LT"/>
        </w:rPr>
        <w:t>Kai deksametazono fosfatas</w:t>
      </w:r>
      <w:r w:rsidRPr="002E7B89">
        <w:rPr>
          <w:i/>
          <w:lang w:val="lt-LT" w:bidi="lt-LT"/>
        </w:rPr>
        <w:t xml:space="preserve"> </w:t>
      </w:r>
      <w:r w:rsidRPr="002E7B89">
        <w:rPr>
          <w:lang w:val="lt-LT" w:bidi="lt-LT"/>
        </w:rPr>
        <w:t>skiriamas į veną, jį reikia su</w:t>
      </w:r>
      <w:r w:rsidR="001963D6" w:rsidRPr="002E7B89">
        <w:rPr>
          <w:lang w:val="lt-LT" w:bidi="lt-LT"/>
        </w:rPr>
        <w:t>leisti</w:t>
      </w:r>
      <w:r w:rsidRPr="002E7B89">
        <w:rPr>
          <w:lang w:val="lt-LT" w:bidi="lt-LT"/>
        </w:rPr>
        <w:t xml:space="preserve"> lėtai (per 2–3</w:t>
      </w:r>
      <w:r w:rsidR="00713CEC">
        <w:rPr>
          <w:lang w:val="lt-LT" w:bidi="lt-LT"/>
        </w:rPr>
        <w:t> </w:t>
      </w:r>
      <w:r w:rsidRPr="002E7B89">
        <w:rPr>
          <w:lang w:val="lt-LT" w:bidi="lt-LT"/>
        </w:rPr>
        <w:t>minutes), nes per greita</w:t>
      </w:r>
      <w:r w:rsidR="001963D6" w:rsidRPr="002E7B89">
        <w:rPr>
          <w:lang w:val="lt-LT" w:bidi="lt-LT"/>
        </w:rPr>
        <w:t>i leidžiant galima sukelti</w:t>
      </w:r>
      <w:r w:rsidRPr="002E7B89">
        <w:rPr>
          <w:lang w:val="lt-LT" w:bidi="lt-LT"/>
        </w:rPr>
        <w:t xml:space="preserve"> trumpalaikį antrinį poveikį – nemalonų dilgčiojimą ar paresteziją, kurie patys savaime yra nekenksmingi ir trunka iki 3</w:t>
      </w:r>
      <w:r w:rsidR="00713CEC">
        <w:rPr>
          <w:lang w:val="lt-LT" w:bidi="lt-LT"/>
        </w:rPr>
        <w:t> </w:t>
      </w:r>
      <w:r w:rsidRPr="002E7B89">
        <w:rPr>
          <w:lang w:val="lt-LT" w:bidi="lt-LT"/>
        </w:rPr>
        <w:t>minučių.</w:t>
      </w:r>
    </w:p>
    <w:p w14:paraId="007CEEE0" w14:textId="77777777" w:rsidR="00CE4743" w:rsidRPr="002E7B89" w:rsidRDefault="00CE4743" w:rsidP="00CE4743">
      <w:pPr>
        <w:pStyle w:val="Betarp"/>
        <w:rPr>
          <w:lang w:val="lt-LT"/>
        </w:rPr>
      </w:pPr>
    </w:p>
    <w:p w14:paraId="53E4AD23" w14:textId="77777777" w:rsidR="00CE4743" w:rsidRPr="002E7B89" w:rsidRDefault="00B65CDE" w:rsidP="00CE4743">
      <w:pPr>
        <w:pStyle w:val="Betarp"/>
        <w:rPr>
          <w:i/>
          <w:iCs/>
          <w:lang w:val="lt-LT"/>
        </w:rPr>
      </w:pPr>
      <w:r>
        <w:rPr>
          <w:i/>
          <w:lang w:val="lt-LT" w:bidi="lt-LT"/>
        </w:rPr>
        <w:t>Leidimas</w:t>
      </w:r>
      <w:r w:rsidR="0051016D" w:rsidRPr="002E7B89">
        <w:rPr>
          <w:i/>
          <w:lang w:val="lt-LT" w:bidi="lt-LT"/>
        </w:rPr>
        <w:t xml:space="preserve"> į sąnarį</w:t>
      </w:r>
    </w:p>
    <w:p w14:paraId="06D3068A" w14:textId="77777777" w:rsidR="00CE4743" w:rsidRPr="002E7B89" w:rsidRDefault="00CE4743" w:rsidP="00CE4743">
      <w:pPr>
        <w:pStyle w:val="Betarp"/>
        <w:rPr>
          <w:lang w:val="lt-LT"/>
        </w:rPr>
      </w:pPr>
      <w:r w:rsidRPr="002E7B89">
        <w:rPr>
          <w:lang w:val="lt-LT" w:bidi="lt-LT"/>
        </w:rPr>
        <w:t xml:space="preserve">Gliukokortikoidų </w:t>
      </w:r>
      <w:r w:rsidR="00B65CDE">
        <w:rPr>
          <w:lang w:val="lt-LT" w:bidi="lt-LT"/>
        </w:rPr>
        <w:t>leidimas</w:t>
      </w:r>
      <w:r w:rsidRPr="002E7B89">
        <w:rPr>
          <w:lang w:val="lt-LT" w:bidi="lt-LT"/>
        </w:rPr>
        <w:t xml:space="preserve"> į sąnarį didina sąnarių infekcijų riziką. Ilgai ir pakartotinai vartojant gliukokortikoidus, sąnariuose, kuriems tenka laikyti svorį, gali paūmėti sąnario degeneraciniai pokyčiai. Viena iš galimų priežasčių yra pažeisto sąnario perkrova po to, kai skausmas ar kiti simptomai išnyksta.</w:t>
      </w:r>
    </w:p>
    <w:p w14:paraId="68AE8D82" w14:textId="77777777" w:rsidR="00CE4743" w:rsidRPr="002E7B89" w:rsidRDefault="00CE4743" w:rsidP="00CE4743">
      <w:pPr>
        <w:pStyle w:val="Betarp"/>
        <w:rPr>
          <w:lang w:val="lt-LT"/>
        </w:rPr>
      </w:pPr>
    </w:p>
    <w:p w14:paraId="0B77A8F8" w14:textId="77777777" w:rsidR="00CE4743" w:rsidRPr="002E7B89" w:rsidRDefault="008F7B18" w:rsidP="00CE4743">
      <w:pPr>
        <w:pStyle w:val="Betarp"/>
        <w:rPr>
          <w:i/>
          <w:iCs/>
          <w:lang w:val="lt-LT"/>
        </w:rPr>
      </w:pPr>
      <w:r w:rsidRPr="002E7B89">
        <w:rPr>
          <w:i/>
          <w:lang w:val="lt-LT" w:bidi="lt-LT"/>
        </w:rPr>
        <w:t>Lokalus</w:t>
      </w:r>
      <w:r w:rsidR="00CE4743" w:rsidRPr="002E7B89">
        <w:rPr>
          <w:i/>
          <w:lang w:val="lt-LT" w:bidi="lt-LT"/>
        </w:rPr>
        <w:t xml:space="preserve"> vartojimas</w:t>
      </w:r>
    </w:p>
    <w:p w14:paraId="0899E56C" w14:textId="77777777" w:rsidR="00CE4743" w:rsidRPr="002E7B89" w:rsidRDefault="00CE4743" w:rsidP="00CE4743">
      <w:pPr>
        <w:pStyle w:val="Betarp"/>
        <w:rPr>
          <w:lang w:val="lt-LT"/>
        </w:rPr>
      </w:pPr>
      <w:r w:rsidRPr="002E7B89">
        <w:rPr>
          <w:lang w:val="lt-LT" w:bidi="lt-LT"/>
        </w:rPr>
        <w:t xml:space="preserve">Vartojant </w:t>
      </w:r>
      <w:r w:rsidR="008F7B18" w:rsidRPr="002E7B89">
        <w:rPr>
          <w:lang w:val="lt-LT" w:bidi="lt-LT"/>
        </w:rPr>
        <w:t>lokaliai</w:t>
      </w:r>
      <w:r w:rsidRPr="002E7B89">
        <w:rPr>
          <w:lang w:val="lt-LT" w:bidi="lt-LT"/>
        </w:rPr>
        <w:t xml:space="preserve"> būtina stebėti galimas sistemines nepageidaujamas reakcijas ir sąveiką.</w:t>
      </w:r>
    </w:p>
    <w:p w14:paraId="130323F9" w14:textId="77777777" w:rsidR="00252B47" w:rsidRPr="002E7B89" w:rsidRDefault="00252B47" w:rsidP="002D4A26">
      <w:pPr>
        <w:pStyle w:val="Betarp"/>
        <w:rPr>
          <w:lang w:val="lt-LT"/>
        </w:rPr>
      </w:pPr>
    </w:p>
    <w:p w14:paraId="7A87C2B9" w14:textId="77777777" w:rsidR="00FF1FCE" w:rsidRPr="002E7B89" w:rsidRDefault="00FF1FCE" w:rsidP="002D4A26">
      <w:pPr>
        <w:pStyle w:val="Betarp"/>
        <w:rPr>
          <w:i/>
          <w:lang w:val="lt-LT"/>
        </w:rPr>
      </w:pPr>
      <w:r w:rsidRPr="002E7B89">
        <w:rPr>
          <w:i/>
          <w:lang w:val="lt-LT" w:bidi="lt-LT"/>
        </w:rPr>
        <w:t>Pagalbin</w:t>
      </w:r>
      <w:r w:rsidR="001963D6" w:rsidRPr="002E7B89">
        <w:rPr>
          <w:i/>
          <w:lang w:val="lt-LT" w:bidi="lt-LT"/>
        </w:rPr>
        <w:t>ės medžiagos</w:t>
      </w:r>
    </w:p>
    <w:p w14:paraId="4546270C" w14:textId="023F1676" w:rsidR="00A16F40" w:rsidRPr="002E7B89" w:rsidRDefault="00D044C3" w:rsidP="002D4A26">
      <w:pPr>
        <w:pStyle w:val="Betarp"/>
        <w:rPr>
          <w:lang w:val="lt-LT"/>
        </w:rPr>
      </w:pPr>
      <w:r w:rsidRPr="002E7B89">
        <w:rPr>
          <w:lang w:val="lt-LT"/>
        </w:rPr>
        <w:t xml:space="preserve">Šio vaistinio preparato viename </w:t>
      </w:r>
      <w:r w:rsidR="003B3E71">
        <w:rPr>
          <w:lang w:val="lt-LT"/>
        </w:rPr>
        <w:t>m</w:t>
      </w:r>
      <w:r w:rsidRPr="002E7B89">
        <w:rPr>
          <w:lang w:val="lt-LT"/>
        </w:rPr>
        <w:t xml:space="preserve">l tirpalo yra </w:t>
      </w:r>
      <w:r w:rsidR="003B3E71">
        <w:rPr>
          <w:lang w:val="lt-LT"/>
        </w:rPr>
        <w:t>apie 3</w:t>
      </w:r>
      <w:r w:rsidR="00713CEC">
        <w:rPr>
          <w:lang w:val="lt-LT"/>
        </w:rPr>
        <w:t> </w:t>
      </w:r>
      <w:r w:rsidRPr="002E7B89">
        <w:rPr>
          <w:lang w:val="lt-LT"/>
        </w:rPr>
        <w:t>mg natrio, tai atitinka 0,</w:t>
      </w:r>
      <w:r w:rsidR="003B3E71">
        <w:rPr>
          <w:lang w:val="lt-LT"/>
        </w:rPr>
        <w:t>15</w:t>
      </w:r>
      <w:r w:rsidR="00B65CDE">
        <w:rPr>
          <w:lang w:val="lt-LT"/>
        </w:rPr>
        <w:t> </w:t>
      </w:r>
      <w:r w:rsidRPr="002E7B89">
        <w:rPr>
          <w:lang w:val="lt-LT"/>
        </w:rPr>
        <w:t>% didžiausios PSO rekomenduojamos paros normos suaugusiesiems, kuri yra 2</w:t>
      </w:r>
      <w:r w:rsidR="00B65CDE">
        <w:rPr>
          <w:lang w:val="lt-LT"/>
        </w:rPr>
        <w:t> </w:t>
      </w:r>
      <w:r w:rsidRPr="002E7B89">
        <w:rPr>
          <w:lang w:val="lt-LT"/>
        </w:rPr>
        <w:t>g natrio.</w:t>
      </w:r>
    </w:p>
    <w:p w14:paraId="2F54CA4E" w14:textId="77777777" w:rsidR="00D044C3" w:rsidRPr="007C697C" w:rsidRDefault="00D044C3" w:rsidP="002D4A26">
      <w:pPr>
        <w:pStyle w:val="Betarp"/>
        <w:rPr>
          <w:lang w:val="lt-LT" w:bidi="lt-LT"/>
        </w:rPr>
      </w:pPr>
      <w:bookmarkStart w:id="7" w:name="4.5_Wechselwirkungen_mit_anderen_Arzneim"/>
      <w:bookmarkEnd w:id="7"/>
    </w:p>
    <w:p w14:paraId="62E1EF18" w14:textId="494D569A" w:rsidR="007C697C" w:rsidRPr="007C697C" w:rsidRDefault="007C697C" w:rsidP="002D4A26">
      <w:pPr>
        <w:pStyle w:val="Betarp"/>
        <w:rPr>
          <w:lang w:val="lt-LT" w:bidi="lt-LT"/>
        </w:rPr>
      </w:pPr>
      <w:r w:rsidRPr="007C697C">
        <w:rPr>
          <w:lang w:val="lt-LT" w:bidi="lt-LT"/>
        </w:rPr>
        <w:t>Kadangi šį vaistinį preparatą galima praskiesti natrio turinčiais tirpalais (žr. 6.6</w:t>
      </w:r>
      <w:r w:rsidR="00713CEC">
        <w:rPr>
          <w:lang w:val="lt-LT" w:bidi="lt-LT"/>
        </w:rPr>
        <w:t> </w:t>
      </w:r>
      <w:r w:rsidRPr="007C697C">
        <w:rPr>
          <w:lang w:val="lt-LT" w:bidi="lt-LT"/>
        </w:rPr>
        <w:t>skyrių), į tai reikia atsižvelgti, atsižvelgiant į bendrą pacientui suleidžiamo natrio kiekį iš visų šaltinių.</w:t>
      </w:r>
    </w:p>
    <w:p w14:paraId="109E66FB" w14:textId="77777777" w:rsidR="007C697C" w:rsidRPr="007C697C" w:rsidRDefault="007C697C" w:rsidP="002D4A26">
      <w:pPr>
        <w:pStyle w:val="Betarp"/>
        <w:rPr>
          <w:lang w:val="lt-LT" w:bidi="lt-LT"/>
        </w:rPr>
      </w:pPr>
    </w:p>
    <w:p w14:paraId="27E156F2" w14:textId="77777777" w:rsidR="00A16F40" w:rsidRPr="002E7B89" w:rsidRDefault="0069312C" w:rsidP="002D4A26">
      <w:pPr>
        <w:pStyle w:val="Betarp"/>
        <w:rPr>
          <w:b/>
          <w:lang w:val="lt-LT"/>
        </w:rPr>
      </w:pPr>
      <w:r w:rsidRPr="002E7B89">
        <w:rPr>
          <w:b/>
          <w:lang w:val="lt-LT" w:bidi="lt-LT"/>
        </w:rPr>
        <w:t>4.5</w:t>
      </w:r>
      <w:r w:rsidRPr="002E7B89">
        <w:rPr>
          <w:b/>
          <w:lang w:val="lt-LT" w:bidi="lt-LT"/>
        </w:rPr>
        <w:tab/>
        <w:t>Sąveika su kitais vaistiniais preparatais ir kitokia sąveika</w:t>
      </w:r>
    </w:p>
    <w:p w14:paraId="0AD13864" w14:textId="77777777" w:rsidR="00A16F40" w:rsidRPr="002E7B89" w:rsidRDefault="00A16F40" w:rsidP="002D4A26">
      <w:pPr>
        <w:pStyle w:val="Betarp"/>
        <w:rPr>
          <w:lang w:val="lt-LT"/>
        </w:rPr>
      </w:pPr>
    </w:p>
    <w:tbl>
      <w:tblPr>
        <w:tblW w:w="94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53"/>
        <w:gridCol w:w="5186"/>
      </w:tblGrid>
      <w:tr w:rsidR="004D5B80" w:rsidRPr="001B60F2" w14:paraId="3351EEAA" w14:textId="77777777" w:rsidTr="00965ADA">
        <w:trPr>
          <w:trHeight w:val="283"/>
        </w:trPr>
        <w:tc>
          <w:tcPr>
            <w:tcW w:w="4253" w:type="dxa"/>
          </w:tcPr>
          <w:p w14:paraId="176D09D4" w14:textId="77777777" w:rsidR="00A16F40" w:rsidRPr="002E7B89" w:rsidRDefault="00BD57AE" w:rsidP="00CA75B4">
            <w:pPr>
              <w:pStyle w:val="Betarp"/>
              <w:ind w:left="142"/>
              <w:rPr>
                <w:lang w:val="lt-LT"/>
              </w:rPr>
            </w:pPr>
            <w:r w:rsidRPr="002E7B89">
              <w:rPr>
                <w:lang w:val="lt-LT" w:bidi="lt-LT"/>
              </w:rPr>
              <w:t>Širdį veikiantys</w:t>
            </w:r>
            <w:r w:rsidR="00716299" w:rsidRPr="002E7B89">
              <w:rPr>
                <w:lang w:val="lt-LT" w:bidi="lt-LT"/>
              </w:rPr>
              <w:t xml:space="preserve"> glikozidai</w:t>
            </w:r>
          </w:p>
        </w:tc>
        <w:tc>
          <w:tcPr>
            <w:tcW w:w="5186" w:type="dxa"/>
          </w:tcPr>
          <w:p w14:paraId="4D1ED804" w14:textId="77777777" w:rsidR="00A16F40" w:rsidRPr="002E7B89" w:rsidRDefault="00716299" w:rsidP="00CA75B4">
            <w:pPr>
              <w:pStyle w:val="Betarp"/>
              <w:ind w:left="142"/>
              <w:rPr>
                <w:lang w:val="lt-LT"/>
              </w:rPr>
            </w:pPr>
            <w:r w:rsidRPr="002E7B89">
              <w:rPr>
                <w:lang w:val="lt-LT" w:bidi="lt-LT"/>
              </w:rPr>
              <w:t>Dėl kalio trūkumo sustiprėj</w:t>
            </w:r>
            <w:r w:rsidR="00BD57AE" w:rsidRPr="002E7B89">
              <w:rPr>
                <w:lang w:val="lt-LT" w:bidi="lt-LT"/>
              </w:rPr>
              <w:t>a</w:t>
            </w:r>
            <w:r w:rsidRPr="002E7B89">
              <w:rPr>
                <w:lang w:val="lt-LT" w:bidi="lt-LT"/>
              </w:rPr>
              <w:t xml:space="preserve"> glikozido poveikis</w:t>
            </w:r>
          </w:p>
        </w:tc>
      </w:tr>
      <w:tr w:rsidR="004D5B80" w:rsidRPr="002E7B89" w14:paraId="5DD48530" w14:textId="77777777" w:rsidTr="00965ADA">
        <w:trPr>
          <w:trHeight w:val="283"/>
        </w:trPr>
        <w:tc>
          <w:tcPr>
            <w:tcW w:w="4253" w:type="dxa"/>
          </w:tcPr>
          <w:p w14:paraId="693DC819" w14:textId="77777777" w:rsidR="00A16F40" w:rsidRPr="002E7B89" w:rsidRDefault="00716299" w:rsidP="00CA75B4">
            <w:pPr>
              <w:pStyle w:val="Betarp"/>
              <w:ind w:left="142"/>
              <w:rPr>
                <w:lang w:val="lt-LT"/>
              </w:rPr>
            </w:pPr>
            <w:proofErr w:type="spellStart"/>
            <w:r w:rsidRPr="002E7B89">
              <w:rPr>
                <w:lang w:val="lt-LT" w:bidi="lt-LT"/>
              </w:rPr>
              <w:t>Saluretikai</w:t>
            </w:r>
            <w:proofErr w:type="spellEnd"/>
          </w:p>
        </w:tc>
        <w:tc>
          <w:tcPr>
            <w:tcW w:w="5186" w:type="dxa"/>
          </w:tcPr>
          <w:p w14:paraId="023246D8" w14:textId="77777777" w:rsidR="00A16F40" w:rsidRPr="002E7B89" w:rsidRDefault="00716299" w:rsidP="00CA75B4">
            <w:pPr>
              <w:pStyle w:val="Betarp"/>
              <w:ind w:left="142"/>
              <w:rPr>
                <w:lang w:val="lt-LT"/>
              </w:rPr>
            </w:pPr>
            <w:r w:rsidRPr="002E7B89">
              <w:rPr>
                <w:lang w:val="lt-LT" w:bidi="lt-LT"/>
              </w:rPr>
              <w:t>Papildomas kalio išsiskyrimas</w:t>
            </w:r>
          </w:p>
        </w:tc>
      </w:tr>
      <w:tr w:rsidR="004D5B80" w:rsidRPr="001B60F2" w14:paraId="660F31D1" w14:textId="77777777" w:rsidTr="00965ADA">
        <w:trPr>
          <w:trHeight w:val="283"/>
        </w:trPr>
        <w:tc>
          <w:tcPr>
            <w:tcW w:w="4253" w:type="dxa"/>
          </w:tcPr>
          <w:p w14:paraId="3D066F89" w14:textId="77777777" w:rsidR="00A16F40" w:rsidRPr="002E7B89" w:rsidRDefault="00BD57AE" w:rsidP="00CA75B4">
            <w:pPr>
              <w:pStyle w:val="Betarp"/>
              <w:ind w:left="142"/>
              <w:rPr>
                <w:lang w:val="lt-LT"/>
              </w:rPr>
            </w:pPr>
            <w:r w:rsidRPr="002E7B89">
              <w:rPr>
                <w:lang w:val="lt-LT" w:bidi="lt-LT"/>
              </w:rPr>
              <w:t>Antidiabeti</w:t>
            </w:r>
            <w:r w:rsidR="008F7B18" w:rsidRPr="002E7B89">
              <w:rPr>
                <w:lang w:val="lt-LT" w:bidi="lt-LT"/>
              </w:rPr>
              <w:t>niai vaistiniai preparatai</w:t>
            </w:r>
          </w:p>
        </w:tc>
        <w:tc>
          <w:tcPr>
            <w:tcW w:w="5186" w:type="dxa"/>
          </w:tcPr>
          <w:p w14:paraId="3AF1B73B" w14:textId="77777777" w:rsidR="00A16F40" w:rsidRPr="002E7B89" w:rsidRDefault="00716299" w:rsidP="00CA75B4">
            <w:pPr>
              <w:pStyle w:val="Betarp"/>
              <w:ind w:left="142"/>
              <w:rPr>
                <w:lang w:val="lt-LT"/>
              </w:rPr>
            </w:pPr>
            <w:r w:rsidRPr="002E7B89">
              <w:rPr>
                <w:lang w:val="lt-LT" w:bidi="lt-LT"/>
              </w:rPr>
              <w:t>Sumažėj</w:t>
            </w:r>
            <w:r w:rsidR="00B65CDE">
              <w:rPr>
                <w:lang w:val="lt-LT" w:bidi="lt-LT"/>
              </w:rPr>
              <w:t>ęs</w:t>
            </w:r>
            <w:r w:rsidRPr="002E7B89">
              <w:rPr>
                <w:lang w:val="lt-LT" w:bidi="lt-LT"/>
              </w:rPr>
              <w:t xml:space="preserve"> cukraus kieki</w:t>
            </w:r>
            <w:r w:rsidR="00B65CDE">
              <w:rPr>
                <w:lang w:val="lt-LT" w:bidi="lt-LT"/>
              </w:rPr>
              <w:t>o</w:t>
            </w:r>
            <w:r w:rsidRPr="002E7B89">
              <w:rPr>
                <w:lang w:val="lt-LT" w:bidi="lt-LT"/>
              </w:rPr>
              <w:t xml:space="preserve"> kraujyje</w:t>
            </w:r>
            <w:r w:rsidR="00B65CDE">
              <w:rPr>
                <w:lang w:val="lt-LT" w:bidi="lt-LT"/>
              </w:rPr>
              <w:t xml:space="preserve"> mažinimas</w:t>
            </w:r>
          </w:p>
        </w:tc>
      </w:tr>
      <w:tr w:rsidR="004D5B80" w:rsidRPr="001B60F2" w14:paraId="68D0F80B" w14:textId="77777777" w:rsidTr="00965ADA">
        <w:trPr>
          <w:trHeight w:val="283"/>
        </w:trPr>
        <w:tc>
          <w:tcPr>
            <w:tcW w:w="4253" w:type="dxa"/>
          </w:tcPr>
          <w:p w14:paraId="6FF70187" w14:textId="77777777" w:rsidR="00A16F40" w:rsidRPr="002E7B89" w:rsidRDefault="00716299" w:rsidP="00CA75B4">
            <w:pPr>
              <w:pStyle w:val="Betarp"/>
              <w:ind w:left="142"/>
              <w:rPr>
                <w:lang w:val="lt-LT"/>
              </w:rPr>
            </w:pPr>
            <w:r w:rsidRPr="002E7B89">
              <w:rPr>
                <w:lang w:val="lt-LT" w:bidi="lt-LT"/>
              </w:rPr>
              <w:t>Kumarino dariniai</w:t>
            </w:r>
          </w:p>
        </w:tc>
        <w:tc>
          <w:tcPr>
            <w:tcW w:w="5186" w:type="dxa"/>
          </w:tcPr>
          <w:p w14:paraId="720299BE" w14:textId="77777777" w:rsidR="00A16F40" w:rsidRPr="002E7B89" w:rsidRDefault="00BD57AE" w:rsidP="00CA75B4">
            <w:pPr>
              <w:pStyle w:val="Betarp"/>
              <w:ind w:left="142"/>
              <w:rPr>
                <w:lang w:val="lt-LT"/>
              </w:rPr>
            </w:pPr>
            <w:r w:rsidRPr="002E7B89">
              <w:rPr>
                <w:lang w:val="lt-LT" w:bidi="lt-LT"/>
              </w:rPr>
              <w:t>Susilpnėja arba sustiprėja a</w:t>
            </w:r>
            <w:r w:rsidR="00716299" w:rsidRPr="002E7B89">
              <w:rPr>
                <w:lang w:val="lt-LT" w:bidi="lt-LT"/>
              </w:rPr>
              <w:t>ntikoaguliacini</w:t>
            </w:r>
            <w:r w:rsidRPr="002E7B89">
              <w:rPr>
                <w:lang w:val="lt-LT" w:bidi="lt-LT"/>
              </w:rPr>
              <w:t>s</w:t>
            </w:r>
            <w:r w:rsidR="00716299" w:rsidRPr="002E7B89">
              <w:rPr>
                <w:lang w:val="lt-LT" w:bidi="lt-LT"/>
              </w:rPr>
              <w:t xml:space="preserve"> poveiki</w:t>
            </w:r>
            <w:r w:rsidRPr="002E7B89">
              <w:rPr>
                <w:lang w:val="lt-LT" w:bidi="lt-LT"/>
              </w:rPr>
              <w:t>s</w:t>
            </w:r>
            <w:r w:rsidR="00716299" w:rsidRPr="002E7B89">
              <w:rPr>
                <w:lang w:val="lt-LT" w:bidi="lt-LT"/>
              </w:rPr>
              <w:t>. Dozę būtina koreguoti, kai vartojam</w:t>
            </w:r>
            <w:r w:rsidRPr="002E7B89">
              <w:rPr>
                <w:lang w:val="lt-LT" w:bidi="lt-LT"/>
              </w:rPr>
              <w:t>a</w:t>
            </w:r>
            <w:r w:rsidR="00716299" w:rsidRPr="002E7B89">
              <w:rPr>
                <w:lang w:val="lt-LT" w:bidi="lt-LT"/>
              </w:rPr>
              <w:t xml:space="preserve"> kartu</w:t>
            </w:r>
          </w:p>
        </w:tc>
      </w:tr>
      <w:tr w:rsidR="004D5B80" w:rsidRPr="002E7B89" w14:paraId="4537809B" w14:textId="77777777" w:rsidTr="00965ADA">
        <w:trPr>
          <w:trHeight w:val="283"/>
        </w:trPr>
        <w:tc>
          <w:tcPr>
            <w:tcW w:w="4253" w:type="dxa"/>
          </w:tcPr>
          <w:p w14:paraId="33C8BF19" w14:textId="77777777" w:rsidR="00A16F40" w:rsidRPr="002E7B89" w:rsidRDefault="00716299" w:rsidP="00CA75B4">
            <w:pPr>
              <w:pStyle w:val="Betarp"/>
              <w:ind w:left="142"/>
              <w:rPr>
                <w:lang w:val="lt-LT"/>
              </w:rPr>
            </w:pPr>
            <w:r w:rsidRPr="002E7B89">
              <w:rPr>
                <w:lang w:val="lt-LT" w:bidi="lt-LT"/>
              </w:rPr>
              <w:t>Efedrinas</w:t>
            </w:r>
          </w:p>
        </w:tc>
        <w:tc>
          <w:tcPr>
            <w:tcW w:w="5186" w:type="dxa"/>
          </w:tcPr>
          <w:p w14:paraId="3757FAA6" w14:textId="77777777" w:rsidR="00A16F40" w:rsidRPr="002E7B89" w:rsidRDefault="00E75634" w:rsidP="00CA75B4">
            <w:pPr>
              <w:pStyle w:val="Betarp"/>
              <w:ind w:left="142"/>
              <w:rPr>
                <w:lang w:val="lt-LT"/>
              </w:rPr>
            </w:pPr>
            <w:r w:rsidRPr="002E7B89">
              <w:rPr>
                <w:lang w:val="lt-LT" w:bidi="lt-LT"/>
              </w:rPr>
              <w:t>Sumažėj</w:t>
            </w:r>
            <w:r w:rsidR="00BD57AE" w:rsidRPr="002E7B89">
              <w:rPr>
                <w:lang w:val="lt-LT" w:bidi="lt-LT"/>
              </w:rPr>
              <w:t>a</w:t>
            </w:r>
            <w:r w:rsidRPr="002E7B89">
              <w:rPr>
                <w:lang w:val="lt-LT" w:bidi="lt-LT"/>
              </w:rPr>
              <w:t xml:space="preserve"> kortikosteroidų poveikis</w:t>
            </w:r>
          </w:p>
        </w:tc>
      </w:tr>
      <w:tr w:rsidR="004D5B80" w:rsidRPr="002E7B89" w14:paraId="5856A12C" w14:textId="77777777" w:rsidTr="00BB7956">
        <w:trPr>
          <w:trHeight w:val="794"/>
        </w:trPr>
        <w:tc>
          <w:tcPr>
            <w:tcW w:w="4253" w:type="dxa"/>
          </w:tcPr>
          <w:p w14:paraId="7D4D8D07" w14:textId="77777777" w:rsidR="00A16F40" w:rsidRPr="002E7B89" w:rsidRDefault="00716299" w:rsidP="00CA75B4">
            <w:pPr>
              <w:pStyle w:val="Betarp"/>
              <w:ind w:left="142"/>
              <w:rPr>
                <w:lang w:val="lt-LT"/>
              </w:rPr>
            </w:pPr>
            <w:r w:rsidRPr="002E7B89">
              <w:rPr>
                <w:lang w:val="lt-LT" w:bidi="lt-LT"/>
              </w:rPr>
              <w:t>Rifampicinas, fenitoinas, karbamazepinas, barbitūratai, primidonas ir kiti vaistai, stimuliuojantys CYP3A4</w:t>
            </w:r>
          </w:p>
        </w:tc>
        <w:tc>
          <w:tcPr>
            <w:tcW w:w="5186" w:type="dxa"/>
          </w:tcPr>
          <w:p w14:paraId="232833C4" w14:textId="77777777" w:rsidR="00A16F40" w:rsidRPr="002E7B89" w:rsidRDefault="00E75634" w:rsidP="00CA75B4">
            <w:pPr>
              <w:pStyle w:val="Betarp"/>
              <w:ind w:left="142"/>
              <w:rPr>
                <w:lang w:val="lt-LT"/>
              </w:rPr>
            </w:pPr>
            <w:r w:rsidRPr="002E7B89">
              <w:rPr>
                <w:lang w:val="lt-LT" w:bidi="lt-LT"/>
              </w:rPr>
              <w:t>Sumažėj</w:t>
            </w:r>
            <w:r w:rsidR="00BD57AE" w:rsidRPr="002E7B89">
              <w:rPr>
                <w:lang w:val="lt-LT" w:bidi="lt-LT"/>
              </w:rPr>
              <w:t>a</w:t>
            </w:r>
            <w:r w:rsidRPr="002E7B89">
              <w:rPr>
                <w:lang w:val="lt-LT" w:bidi="lt-LT"/>
              </w:rPr>
              <w:t xml:space="preserve"> kortikosteroidų poveikis</w:t>
            </w:r>
          </w:p>
        </w:tc>
      </w:tr>
      <w:tr w:rsidR="004D5B80" w:rsidRPr="001B60F2" w14:paraId="54278046" w14:textId="77777777" w:rsidTr="00965ADA">
        <w:trPr>
          <w:trHeight w:val="283"/>
        </w:trPr>
        <w:tc>
          <w:tcPr>
            <w:tcW w:w="4253" w:type="dxa"/>
          </w:tcPr>
          <w:p w14:paraId="0E71ECF4" w14:textId="77777777" w:rsidR="00A16F40" w:rsidRPr="002E7B89" w:rsidRDefault="00716299" w:rsidP="00CA75B4">
            <w:pPr>
              <w:pStyle w:val="Betarp"/>
              <w:ind w:left="142"/>
              <w:rPr>
                <w:lang w:val="lt-LT"/>
              </w:rPr>
            </w:pPr>
            <w:r w:rsidRPr="002E7B89">
              <w:rPr>
                <w:lang w:val="lt-LT" w:bidi="lt-LT"/>
              </w:rPr>
              <w:t>Ketokonazolas, itrakonazolas, ritonaviras, kobicistatas, makrolidiniai antibiotikai ir kiti vaist</w:t>
            </w:r>
            <w:r w:rsidR="00BD57AE" w:rsidRPr="002E7B89">
              <w:rPr>
                <w:lang w:val="lt-LT" w:bidi="lt-LT"/>
              </w:rPr>
              <w:t>iniai preparat</w:t>
            </w:r>
            <w:r w:rsidRPr="002E7B89">
              <w:rPr>
                <w:lang w:val="lt-LT" w:bidi="lt-LT"/>
              </w:rPr>
              <w:t>ai, slopinantys CYP3A4</w:t>
            </w:r>
          </w:p>
        </w:tc>
        <w:tc>
          <w:tcPr>
            <w:tcW w:w="5186" w:type="dxa"/>
          </w:tcPr>
          <w:p w14:paraId="439C098F" w14:textId="77777777" w:rsidR="00A16F40" w:rsidRPr="002E7B89" w:rsidRDefault="00716299" w:rsidP="00CA75B4">
            <w:pPr>
              <w:pStyle w:val="Betarp"/>
              <w:ind w:left="142"/>
              <w:rPr>
                <w:lang w:val="lt-LT"/>
              </w:rPr>
            </w:pPr>
            <w:r w:rsidRPr="002E7B89">
              <w:rPr>
                <w:lang w:val="lt-LT" w:bidi="lt-LT"/>
              </w:rPr>
              <w:t>Kartu gydant CYP3A inhibitoriais, įskaitant preparatus, kurių sudėtyje yra kobicistato, gali padidėti sisteminių nepageidaujamų reakcijų rizika. Tokių derinių reikėtų vengti, nebent nauda atsveria padidėjusią sisteminių kortikosteroidų nepageidaujamų reakcijų riziką. Tokiu atveju pacientai turėtų būti stebimi dėl sisteminio kortikosteroidų poveikio.</w:t>
            </w:r>
          </w:p>
        </w:tc>
      </w:tr>
      <w:tr w:rsidR="004D5B80" w:rsidRPr="001B60F2" w14:paraId="3CA679AF" w14:textId="77777777" w:rsidTr="00BB7956">
        <w:trPr>
          <w:trHeight w:val="850"/>
        </w:trPr>
        <w:tc>
          <w:tcPr>
            <w:tcW w:w="4253" w:type="dxa"/>
            <w:tcBorders>
              <w:right w:val="nil"/>
            </w:tcBorders>
          </w:tcPr>
          <w:p w14:paraId="0A70E8A8" w14:textId="77777777" w:rsidR="00F167BF" w:rsidRPr="002E7B89" w:rsidRDefault="00BD57AE" w:rsidP="00CA75B4">
            <w:pPr>
              <w:pStyle w:val="Betarp"/>
              <w:ind w:left="142"/>
              <w:rPr>
                <w:lang w:val="lt-LT"/>
              </w:rPr>
            </w:pPr>
            <w:r w:rsidRPr="002E7B89">
              <w:rPr>
                <w:lang w:val="lt-LT" w:bidi="lt-LT"/>
              </w:rPr>
              <w:t>Nesteroidiniai vaistai nuo uždegimo ir</w:t>
            </w:r>
            <w:r w:rsidR="008F7B18" w:rsidRPr="002E7B89">
              <w:rPr>
                <w:lang w:val="lt-LT" w:bidi="lt-LT"/>
              </w:rPr>
              <w:t xml:space="preserve"> (arba)</w:t>
            </w:r>
            <w:r w:rsidRPr="002E7B89">
              <w:rPr>
                <w:lang w:val="lt-LT" w:bidi="lt-LT"/>
              </w:rPr>
              <w:t xml:space="preserve"> antireumatiniai</w:t>
            </w:r>
            <w:r w:rsidR="00F167BF" w:rsidRPr="002E7B89">
              <w:rPr>
                <w:lang w:val="lt-LT" w:bidi="lt-LT"/>
              </w:rPr>
              <w:t xml:space="preserve"> vaist</w:t>
            </w:r>
            <w:r w:rsidRPr="002E7B89">
              <w:rPr>
                <w:lang w:val="lt-LT" w:bidi="lt-LT"/>
              </w:rPr>
              <w:t>iniai preparatai</w:t>
            </w:r>
            <w:r w:rsidR="00F167BF" w:rsidRPr="002E7B89">
              <w:rPr>
                <w:lang w:val="lt-LT" w:bidi="lt-LT"/>
              </w:rPr>
              <w:t xml:space="preserve"> (pvz., salicilatai ir indometacinas)</w:t>
            </w:r>
          </w:p>
        </w:tc>
        <w:tc>
          <w:tcPr>
            <w:tcW w:w="5186" w:type="dxa"/>
            <w:tcBorders>
              <w:right w:val="single" w:sz="4" w:space="0" w:color="auto"/>
            </w:tcBorders>
          </w:tcPr>
          <w:p w14:paraId="289A25BD" w14:textId="77777777" w:rsidR="00F167BF" w:rsidRPr="002E7B89" w:rsidRDefault="00F167BF" w:rsidP="00CA75B4">
            <w:pPr>
              <w:pStyle w:val="Betarp"/>
              <w:ind w:left="142"/>
              <w:rPr>
                <w:lang w:val="lt-LT"/>
              </w:rPr>
            </w:pPr>
            <w:r w:rsidRPr="002E7B89">
              <w:rPr>
                <w:lang w:val="lt-LT" w:bidi="lt-LT"/>
              </w:rPr>
              <w:t>Padidėj</w:t>
            </w:r>
            <w:r w:rsidR="00BD57AE" w:rsidRPr="002E7B89">
              <w:rPr>
                <w:lang w:val="lt-LT" w:bidi="lt-LT"/>
              </w:rPr>
              <w:t>a</w:t>
            </w:r>
            <w:r w:rsidRPr="002E7B89">
              <w:rPr>
                <w:lang w:val="lt-LT" w:bidi="lt-LT"/>
              </w:rPr>
              <w:t xml:space="preserve"> virškinimo trakto išopėjimo ir kraujavimo rizika</w:t>
            </w:r>
          </w:p>
        </w:tc>
      </w:tr>
      <w:tr w:rsidR="004D5B80" w:rsidRPr="002E7B89" w14:paraId="587C8E2D" w14:textId="77777777" w:rsidTr="00965ADA">
        <w:trPr>
          <w:trHeight w:val="283"/>
        </w:trPr>
        <w:tc>
          <w:tcPr>
            <w:tcW w:w="4253" w:type="dxa"/>
          </w:tcPr>
          <w:p w14:paraId="599706FD" w14:textId="77777777" w:rsidR="00A16F40" w:rsidRPr="002E7B89" w:rsidRDefault="00F167BF" w:rsidP="00CA75B4">
            <w:pPr>
              <w:pStyle w:val="Betarp"/>
              <w:ind w:left="142"/>
              <w:rPr>
                <w:lang w:val="lt-LT"/>
              </w:rPr>
            </w:pPr>
            <w:r w:rsidRPr="002E7B89">
              <w:rPr>
                <w:lang w:val="lt-LT" w:bidi="lt-LT"/>
              </w:rPr>
              <w:t>Kontraceptikai, kurių sudėtyje yra estrogeno</w:t>
            </w:r>
          </w:p>
        </w:tc>
        <w:tc>
          <w:tcPr>
            <w:tcW w:w="5186" w:type="dxa"/>
            <w:tcBorders>
              <w:right w:val="single" w:sz="4" w:space="0" w:color="auto"/>
            </w:tcBorders>
          </w:tcPr>
          <w:p w14:paraId="11F3FEA4" w14:textId="77777777" w:rsidR="00A16F40" w:rsidRPr="002E7B89" w:rsidRDefault="00716299" w:rsidP="00CA75B4">
            <w:pPr>
              <w:pStyle w:val="Betarp"/>
              <w:ind w:left="142"/>
              <w:rPr>
                <w:lang w:val="lt-LT"/>
              </w:rPr>
            </w:pPr>
            <w:r w:rsidRPr="002E7B89">
              <w:rPr>
                <w:lang w:val="lt-LT" w:bidi="lt-LT"/>
              </w:rPr>
              <w:t>Padidėj</w:t>
            </w:r>
            <w:r w:rsidR="00BD57AE" w:rsidRPr="002E7B89">
              <w:rPr>
                <w:lang w:val="lt-LT" w:bidi="lt-LT"/>
              </w:rPr>
              <w:t>a</w:t>
            </w:r>
            <w:r w:rsidRPr="002E7B89">
              <w:rPr>
                <w:lang w:val="lt-LT" w:bidi="lt-LT"/>
              </w:rPr>
              <w:t xml:space="preserve"> kortikosteroidų poveikis</w:t>
            </w:r>
          </w:p>
        </w:tc>
      </w:tr>
      <w:tr w:rsidR="004D5B80" w:rsidRPr="001B60F2" w14:paraId="7AD19FE9" w14:textId="77777777" w:rsidTr="00965ADA">
        <w:trPr>
          <w:trHeight w:val="283"/>
        </w:trPr>
        <w:tc>
          <w:tcPr>
            <w:tcW w:w="4253" w:type="dxa"/>
          </w:tcPr>
          <w:p w14:paraId="3D6741D2" w14:textId="77777777" w:rsidR="00A16F40" w:rsidRPr="002E7B89" w:rsidRDefault="00716299" w:rsidP="00CA75B4">
            <w:pPr>
              <w:pStyle w:val="Betarp"/>
              <w:ind w:left="142"/>
              <w:rPr>
                <w:lang w:val="lt-LT"/>
              </w:rPr>
            </w:pPr>
            <w:r w:rsidRPr="002E7B89">
              <w:rPr>
                <w:lang w:val="lt-LT" w:bidi="lt-LT"/>
              </w:rPr>
              <w:t>Prazikvantelis</w:t>
            </w:r>
          </w:p>
        </w:tc>
        <w:tc>
          <w:tcPr>
            <w:tcW w:w="5186" w:type="dxa"/>
            <w:tcBorders>
              <w:right w:val="single" w:sz="4" w:space="0" w:color="auto"/>
            </w:tcBorders>
          </w:tcPr>
          <w:p w14:paraId="3D54D73A" w14:textId="77777777" w:rsidR="00A16F40" w:rsidRPr="002E7B89" w:rsidRDefault="00716299" w:rsidP="00CA75B4">
            <w:pPr>
              <w:pStyle w:val="Betarp"/>
              <w:ind w:left="142"/>
              <w:rPr>
                <w:lang w:val="lt-LT"/>
              </w:rPr>
            </w:pPr>
            <w:r w:rsidRPr="002E7B89">
              <w:rPr>
                <w:lang w:val="lt-LT" w:bidi="lt-LT"/>
              </w:rPr>
              <w:t>Gali</w:t>
            </w:r>
            <w:r w:rsidR="00BD57AE" w:rsidRPr="002E7B89">
              <w:rPr>
                <w:lang w:val="lt-LT" w:bidi="lt-LT"/>
              </w:rPr>
              <w:t xml:space="preserve"> sumažėti</w:t>
            </w:r>
            <w:r w:rsidRPr="002E7B89">
              <w:rPr>
                <w:lang w:val="lt-LT" w:bidi="lt-LT"/>
              </w:rPr>
              <w:t xml:space="preserve"> prazikvantelio koncentracij</w:t>
            </w:r>
            <w:r w:rsidR="00BD57AE" w:rsidRPr="002E7B89">
              <w:rPr>
                <w:lang w:val="lt-LT" w:bidi="lt-LT"/>
              </w:rPr>
              <w:t>a</w:t>
            </w:r>
            <w:r w:rsidRPr="002E7B89">
              <w:rPr>
                <w:lang w:val="lt-LT" w:bidi="lt-LT"/>
              </w:rPr>
              <w:t xml:space="preserve"> kraujyje </w:t>
            </w:r>
          </w:p>
        </w:tc>
      </w:tr>
      <w:tr w:rsidR="004D5B80" w:rsidRPr="001B60F2" w14:paraId="291B30AC" w14:textId="77777777" w:rsidTr="00965ADA">
        <w:trPr>
          <w:trHeight w:val="283"/>
        </w:trPr>
        <w:tc>
          <w:tcPr>
            <w:tcW w:w="4253" w:type="dxa"/>
          </w:tcPr>
          <w:p w14:paraId="56F0B7A9" w14:textId="77777777" w:rsidR="00F167BF" w:rsidRPr="002E7B89" w:rsidRDefault="00F167BF" w:rsidP="00CA75B4">
            <w:pPr>
              <w:pStyle w:val="Betarp"/>
              <w:ind w:left="142"/>
              <w:rPr>
                <w:lang w:val="lt-LT"/>
              </w:rPr>
            </w:pPr>
            <w:r w:rsidRPr="002E7B89">
              <w:rPr>
                <w:lang w:val="lt-LT" w:bidi="lt-LT"/>
              </w:rPr>
              <w:t>AK</w:t>
            </w:r>
            <w:r w:rsidR="00F521DC" w:rsidRPr="002E7B89">
              <w:rPr>
                <w:lang w:val="lt-LT" w:bidi="lt-LT"/>
              </w:rPr>
              <w:t>F</w:t>
            </w:r>
            <w:r w:rsidRPr="002E7B89">
              <w:rPr>
                <w:lang w:val="lt-LT" w:bidi="lt-LT"/>
              </w:rPr>
              <w:t xml:space="preserve"> inhibitoriai</w:t>
            </w:r>
          </w:p>
        </w:tc>
        <w:tc>
          <w:tcPr>
            <w:tcW w:w="5186" w:type="dxa"/>
            <w:tcBorders>
              <w:right w:val="single" w:sz="4" w:space="0" w:color="auto"/>
            </w:tcBorders>
          </w:tcPr>
          <w:p w14:paraId="6BC2BEB6" w14:textId="77777777" w:rsidR="00F167BF" w:rsidRPr="002E7B89" w:rsidRDefault="00F167BF" w:rsidP="00CA75B4">
            <w:pPr>
              <w:pStyle w:val="Betarp"/>
              <w:ind w:left="142"/>
              <w:rPr>
                <w:lang w:val="lt-LT"/>
              </w:rPr>
            </w:pPr>
            <w:r w:rsidRPr="002E7B89">
              <w:rPr>
                <w:lang w:val="lt-LT" w:bidi="lt-LT"/>
              </w:rPr>
              <w:t>Padidėj</w:t>
            </w:r>
            <w:r w:rsidR="00F521DC" w:rsidRPr="002E7B89">
              <w:rPr>
                <w:lang w:val="lt-LT" w:bidi="lt-LT"/>
              </w:rPr>
              <w:t>a</w:t>
            </w:r>
            <w:r w:rsidRPr="002E7B89">
              <w:rPr>
                <w:lang w:val="lt-LT" w:bidi="lt-LT"/>
              </w:rPr>
              <w:t xml:space="preserve"> kraujo diskrazijos atsiradimo rizika</w:t>
            </w:r>
          </w:p>
        </w:tc>
      </w:tr>
      <w:tr w:rsidR="004D5B80" w:rsidRPr="001B60F2" w14:paraId="52790229" w14:textId="77777777" w:rsidTr="00965ADA">
        <w:trPr>
          <w:trHeight w:val="283"/>
        </w:trPr>
        <w:tc>
          <w:tcPr>
            <w:tcW w:w="4253" w:type="dxa"/>
          </w:tcPr>
          <w:p w14:paraId="13270756" w14:textId="77777777" w:rsidR="00A16F40" w:rsidRPr="002E7B89" w:rsidRDefault="00F167BF" w:rsidP="00CA75B4">
            <w:pPr>
              <w:pStyle w:val="Betarp"/>
              <w:ind w:left="142"/>
              <w:rPr>
                <w:lang w:val="lt-LT"/>
              </w:rPr>
            </w:pPr>
            <w:r w:rsidRPr="002E7B89">
              <w:rPr>
                <w:lang w:val="lt-LT" w:bidi="lt-LT"/>
              </w:rPr>
              <w:lastRenderedPageBreak/>
              <w:t xml:space="preserve">Chlorokvinas, hidroksichlorokvinas, </w:t>
            </w:r>
            <w:proofErr w:type="spellStart"/>
            <w:r w:rsidRPr="002E7B89">
              <w:rPr>
                <w:lang w:val="lt-LT" w:bidi="lt-LT"/>
              </w:rPr>
              <w:t>meflok</w:t>
            </w:r>
            <w:r w:rsidR="00CB1768">
              <w:rPr>
                <w:lang w:val="lt-LT" w:bidi="lt-LT"/>
              </w:rPr>
              <w:t>v</w:t>
            </w:r>
            <w:r w:rsidRPr="002E7B89">
              <w:rPr>
                <w:lang w:val="lt-LT" w:bidi="lt-LT"/>
              </w:rPr>
              <w:t>inas</w:t>
            </w:r>
            <w:proofErr w:type="spellEnd"/>
          </w:p>
        </w:tc>
        <w:tc>
          <w:tcPr>
            <w:tcW w:w="5186" w:type="dxa"/>
            <w:tcBorders>
              <w:right w:val="single" w:sz="4" w:space="0" w:color="auto"/>
            </w:tcBorders>
          </w:tcPr>
          <w:p w14:paraId="5B512158" w14:textId="77777777" w:rsidR="00A16F40" w:rsidRPr="002E7B89" w:rsidRDefault="00716299" w:rsidP="00CA75B4">
            <w:pPr>
              <w:pStyle w:val="Betarp"/>
              <w:ind w:left="142"/>
              <w:rPr>
                <w:lang w:val="lt-LT"/>
              </w:rPr>
            </w:pPr>
            <w:r w:rsidRPr="002E7B89">
              <w:rPr>
                <w:lang w:val="lt-LT" w:bidi="lt-LT"/>
              </w:rPr>
              <w:t xml:space="preserve">Didesnė miopatijos, kardiomiopatijos </w:t>
            </w:r>
            <w:r w:rsidR="003342AA" w:rsidRPr="002E7B89">
              <w:rPr>
                <w:lang w:val="lt-LT" w:bidi="lt-LT"/>
              </w:rPr>
              <w:t xml:space="preserve">pasireiškimo </w:t>
            </w:r>
            <w:r w:rsidRPr="002E7B89">
              <w:rPr>
                <w:lang w:val="lt-LT" w:bidi="lt-LT"/>
              </w:rPr>
              <w:t>rizika</w:t>
            </w:r>
          </w:p>
        </w:tc>
      </w:tr>
      <w:tr w:rsidR="004D5B80" w:rsidRPr="001B60F2" w14:paraId="03FDA913" w14:textId="77777777" w:rsidTr="00965ADA">
        <w:trPr>
          <w:trHeight w:val="283"/>
        </w:trPr>
        <w:tc>
          <w:tcPr>
            <w:tcW w:w="4253" w:type="dxa"/>
          </w:tcPr>
          <w:p w14:paraId="0754CCE5" w14:textId="77777777" w:rsidR="00A16F40" w:rsidRPr="002E7B89" w:rsidRDefault="00716299" w:rsidP="00CA75B4">
            <w:pPr>
              <w:pStyle w:val="Betarp"/>
              <w:ind w:left="142"/>
              <w:rPr>
                <w:lang w:val="lt-LT"/>
              </w:rPr>
            </w:pPr>
            <w:proofErr w:type="spellStart"/>
            <w:r w:rsidRPr="002E7B89">
              <w:rPr>
                <w:lang w:val="lt-LT" w:bidi="lt-LT"/>
              </w:rPr>
              <w:t>Somatropinas</w:t>
            </w:r>
            <w:proofErr w:type="spellEnd"/>
          </w:p>
        </w:tc>
        <w:tc>
          <w:tcPr>
            <w:tcW w:w="5186" w:type="dxa"/>
            <w:tcBorders>
              <w:right w:val="single" w:sz="4" w:space="0" w:color="auto"/>
            </w:tcBorders>
          </w:tcPr>
          <w:p w14:paraId="5B45132E" w14:textId="77777777" w:rsidR="00A16F40" w:rsidRPr="002E7B89" w:rsidRDefault="00716299" w:rsidP="00CA75B4">
            <w:pPr>
              <w:pStyle w:val="Betarp"/>
              <w:ind w:left="142"/>
              <w:rPr>
                <w:lang w:val="lt-LT"/>
              </w:rPr>
            </w:pPr>
            <w:r w:rsidRPr="002E7B89">
              <w:rPr>
                <w:lang w:val="lt-LT" w:bidi="lt-LT"/>
              </w:rPr>
              <w:t>Ilgalaikio vartojimo metu somatropino poveikis sumažėja</w:t>
            </w:r>
          </w:p>
        </w:tc>
      </w:tr>
      <w:tr w:rsidR="004D5B80" w:rsidRPr="002E7B89" w14:paraId="3DB158E2" w14:textId="77777777" w:rsidTr="00965ADA">
        <w:trPr>
          <w:trHeight w:val="283"/>
        </w:trPr>
        <w:tc>
          <w:tcPr>
            <w:tcW w:w="4253" w:type="dxa"/>
          </w:tcPr>
          <w:p w14:paraId="354BFDD1" w14:textId="77777777" w:rsidR="00A16F40" w:rsidRPr="002E7B89" w:rsidRDefault="00716299" w:rsidP="00CA75B4">
            <w:pPr>
              <w:pStyle w:val="Betarp"/>
              <w:ind w:left="142"/>
              <w:rPr>
                <w:lang w:val="lt-LT"/>
              </w:rPr>
            </w:pPr>
            <w:r w:rsidRPr="002E7B89">
              <w:rPr>
                <w:lang w:val="lt-LT" w:bidi="lt-LT"/>
              </w:rPr>
              <w:t>Vidurius laisvinantys vaist</w:t>
            </w:r>
            <w:r w:rsidR="00F521DC" w:rsidRPr="002E7B89">
              <w:rPr>
                <w:lang w:val="lt-LT" w:bidi="lt-LT"/>
              </w:rPr>
              <w:t>iniai preparat</w:t>
            </w:r>
            <w:r w:rsidRPr="002E7B89">
              <w:rPr>
                <w:lang w:val="lt-LT" w:bidi="lt-LT"/>
              </w:rPr>
              <w:t>ai</w:t>
            </w:r>
          </w:p>
        </w:tc>
        <w:tc>
          <w:tcPr>
            <w:tcW w:w="5186" w:type="dxa"/>
            <w:tcBorders>
              <w:right w:val="single" w:sz="4" w:space="0" w:color="auto"/>
            </w:tcBorders>
          </w:tcPr>
          <w:p w14:paraId="3F551271" w14:textId="77777777" w:rsidR="00A16F40" w:rsidRPr="002E7B89" w:rsidRDefault="00716299" w:rsidP="00CA75B4">
            <w:pPr>
              <w:pStyle w:val="Betarp"/>
              <w:ind w:left="142"/>
              <w:rPr>
                <w:lang w:val="lt-LT"/>
              </w:rPr>
            </w:pPr>
            <w:r w:rsidRPr="002E7B89">
              <w:rPr>
                <w:lang w:val="lt-LT" w:bidi="lt-LT"/>
              </w:rPr>
              <w:t>Padidėj</w:t>
            </w:r>
            <w:r w:rsidR="00F521DC" w:rsidRPr="002E7B89">
              <w:rPr>
                <w:lang w:val="lt-LT" w:bidi="lt-LT"/>
              </w:rPr>
              <w:t>a</w:t>
            </w:r>
            <w:r w:rsidRPr="002E7B89">
              <w:rPr>
                <w:lang w:val="lt-LT" w:bidi="lt-LT"/>
              </w:rPr>
              <w:t xml:space="preserve"> kalio netekimas</w:t>
            </w:r>
          </w:p>
        </w:tc>
      </w:tr>
      <w:tr w:rsidR="004D5B80" w:rsidRPr="002E7B89" w14:paraId="1D2B0A47" w14:textId="77777777" w:rsidTr="00965ADA">
        <w:trPr>
          <w:trHeight w:val="283"/>
        </w:trPr>
        <w:tc>
          <w:tcPr>
            <w:tcW w:w="4253" w:type="dxa"/>
          </w:tcPr>
          <w:p w14:paraId="57ABBC27" w14:textId="77777777" w:rsidR="00A16F40" w:rsidRPr="002E7B89" w:rsidRDefault="00716299" w:rsidP="00CA75B4">
            <w:pPr>
              <w:pStyle w:val="Betarp"/>
              <w:ind w:left="142"/>
              <w:rPr>
                <w:lang w:val="lt-LT"/>
              </w:rPr>
            </w:pPr>
            <w:r w:rsidRPr="002E7B89">
              <w:rPr>
                <w:lang w:val="lt-LT" w:bidi="lt-LT"/>
              </w:rPr>
              <w:t>Atropinas</w:t>
            </w:r>
            <w:r w:rsidR="003342AA" w:rsidRPr="002E7B89">
              <w:rPr>
                <w:lang w:val="lt-LT" w:bidi="lt-LT"/>
              </w:rPr>
              <w:t xml:space="preserve"> ir</w:t>
            </w:r>
            <w:r w:rsidRPr="002E7B89">
              <w:rPr>
                <w:lang w:val="lt-LT" w:bidi="lt-LT"/>
              </w:rPr>
              <w:t xml:space="preserve"> kiti anticholinerginiai vaist</w:t>
            </w:r>
            <w:r w:rsidR="00F521DC" w:rsidRPr="002E7B89">
              <w:rPr>
                <w:lang w:val="lt-LT" w:bidi="lt-LT"/>
              </w:rPr>
              <w:t>iniai preparatai</w:t>
            </w:r>
          </w:p>
        </w:tc>
        <w:tc>
          <w:tcPr>
            <w:tcW w:w="5186" w:type="dxa"/>
            <w:tcBorders>
              <w:right w:val="single" w:sz="4" w:space="0" w:color="auto"/>
            </w:tcBorders>
          </w:tcPr>
          <w:p w14:paraId="725E0D24" w14:textId="77777777" w:rsidR="00A16F40" w:rsidRPr="002E7B89" w:rsidRDefault="00B65CDE" w:rsidP="00CA75B4">
            <w:pPr>
              <w:pStyle w:val="Betarp"/>
              <w:ind w:left="142"/>
              <w:rPr>
                <w:lang w:val="lt-LT"/>
              </w:rPr>
            </w:pPr>
            <w:r>
              <w:rPr>
                <w:lang w:val="lt-LT" w:bidi="lt-LT"/>
              </w:rPr>
              <w:t>Gali</w:t>
            </w:r>
            <w:r w:rsidR="00F167BF" w:rsidRPr="002E7B89">
              <w:rPr>
                <w:lang w:val="lt-LT" w:bidi="lt-LT"/>
              </w:rPr>
              <w:t xml:space="preserve"> papildomai padidė</w:t>
            </w:r>
            <w:r>
              <w:rPr>
                <w:lang w:val="lt-LT" w:bidi="lt-LT"/>
              </w:rPr>
              <w:t>ti</w:t>
            </w:r>
            <w:r w:rsidR="00F167BF" w:rsidRPr="002E7B89">
              <w:rPr>
                <w:lang w:val="lt-LT" w:bidi="lt-LT"/>
              </w:rPr>
              <w:t xml:space="preserve"> akispūdis</w:t>
            </w:r>
          </w:p>
        </w:tc>
      </w:tr>
      <w:tr w:rsidR="004D5B80" w:rsidRPr="001B60F2" w14:paraId="7C6D6CDD" w14:textId="77777777" w:rsidTr="00965ADA">
        <w:trPr>
          <w:trHeight w:val="283"/>
        </w:trPr>
        <w:tc>
          <w:tcPr>
            <w:tcW w:w="4253" w:type="dxa"/>
          </w:tcPr>
          <w:p w14:paraId="1736045C" w14:textId="77777777" w:rsidR="00A16F40" w:rsidRPr="002E7B89" w:rsidRDefault="00716299" w:rsidP="00CA75B4">
            <w:pPr>
              <w:pStyle w:val="Betarp"/>
              <w:ind w:left="142"/>
              <w:rPr>
                <w:lang w:val="lt-LT"/>
              </w:rPr>
            </w:pPr>
            <w:r w:rsidRPr="002E7B89">
              <w:rPr>
                <w:lang w:val="lt-LT" w:bidi="lt-LT"/>
              </w:rPr>
              <w:t>Nedepoliarizuojantieji raumenų relaksantai</w:t>
            </w:r>
          </w:p>
        </w:tc>
        <w:tc>
          <w:tcPr>
            <w:tcW w:w="5186" w:type="dxa"/>
            <w:tcBorders>
              <w:right w:val="single" w:sz="4" w:space="0" w:color="auto"/>
            </w:tcBorders>
          </w:tcPr>
          <w:p w14:paraId="0E520A9A" w14:textId="77777777" w:rsidR="00A16F40" w:rsidRPr="002E7B89" w:rsidRDefault="00716299" w:rsidP="00CA75B4">
            <w:pPr>
              <w:pStyle w:val="Betarp"/>
              <w:ind w:left="142"/>
              <w:rPr>
                <w:lang w:val="lt-LT"/>
              </w:rPr>
            </w:pPr>
            <w:r w:rsidRPr="002E7B89">
              <w:rPr>
                <w:lang w:val="lt-LT" w:bidi="lt-LT"/>
              </w:rPr>
              <w:t>Gali pailgėti raumenų atpalaidavimo laikas</w:t>
            </w:r>
          </w:p>
        </w:tc>
      </w:tr>
      <w:tr w:rsidR="004D5B80" w:rsidRPr="002E7B89" w14:paraId="4A671409" w14:textId="77777777" w:rsidTr="00965ADA">
        <w:trPr>
          <w:trHeight w:val="283"/>
        </w:trPr>
        <w:tc>
          <w:tcPr>
            <w:tcW w:w="4253" w:type="dxa"/>
          </w:tcPr>
          <w:p w14:paraId="0CF65FF6" w14:textId="77777777" w:rsidR="00A16F40" w:rsidRPr="002E7B89" w:rsidRDefault="00716299" w:rsidP="00CA75B4">
            <w:pPr>
              <w:pStyle w:val="Betarp"/>
              <w:ind w:left="142"/>
              <w:rPr>
                <w:lang w:val="lt-LT"/>
              </w:rPr>
            </w:pPr>
            <w:r w:rsidRPr="002E7B89">
              <w:rPr>
                <w:lang w:val="lt-LT" w:bidi="lt-LT"/>
              </w:rPr>
              <w:t>Imunosupresiniai vaist</w:t>
            </w:r>
            <w:r w:rsidR="00F521DC" w:rsidRPr="002E7B89">
              <w:rPr>
                <w:lang w:val="lt-LT" w:bidi="lt-LT"/>
              </w:rPr>
              <w:t>iniai preparat</w:t>
            </w:r>
            <w:r w:rsidRPr="002E7B89">
              <w:rPr>
                <w:lang w:val="lt-LT" w:bidi="lt-LT"/>
              </w:rPr>
              <w:t>ai (</w:t>
            </w:r>
            <w:proofErr w:type="spellStart"/>
            <w:r w:rsidRPr="002E7B89">
              <w:rPr>
                <w:lang w:val="lt-LT" w:bidi="lt-LT"/>
              </w:rPr>
              <w:t>ciklosporinas</w:t>
            </w:r>
            <w:proofErr w:type="spellEnd"/>
            <w:r w:rsidRPr="002E7B89">
              <w:rPr>
                <w:lang w:val="lt-LT" w:bidi="lt-LT"/>
              </w:rPr>
              <w:t>)</w:t>
            </w:r>
          </w:p>
        </w:tc>
        <w:tc>
          <w:tcPr>
            <w:tcW w:w="5186" w:type="dxa"/>
          </w:tcPr>
          <w:p w14:paraId="62CC15A4" w14:textId="77777777" w:rsidR="00885A55" w:rsidRPr="002E7B89" w:rsidRDefault="00F167BF" w:rsidP="00CA75B4">
            <w:pPr>
              <w:pStyle w:val="Betarp"/>
              <w:ind w:left="142"/>
              <w:rPr>
                <w:lang w:val="lt-LT"/>
              </w:rPr>
            </w:pPr>
            <w:r w:rsidRPr="002E7B89">
              <w:rPr>
                <w:lang w:val="lt-LT" w:bidi="lt-LT"/>
              </w:rPr>
              <w:t>Padidėj</w:t>
            </w:r>
            <w:r w:rsidR="008F7B18" w:rsidRPr="002E7B89">
              <w:rPr>
                <w:lang w:val="lt-LT" w:bidi="lt-LT"/>
              </w:rPr>
              <w:t>a</w:t>
            </w:r>
            <w:r w:rsidRPr="002E7B89">
              <w:rPr>
                <w:lang w:val="lt-LT" w:bidi="lt-LT"/>
              </w:rPr>
              <w:t xml:space="preserve"> </w:t>
            </w:r>
            <w:r w:rsidR="004A7E46">
              <w:rPr>
                <w:lang w:val="lt-LT" w:bidi="lt-LT"/>
              </w:rPr>
              <w:t>imlumas</w:t>
            </w:r>
            <w:r w:rsidRPr="002E7B89">
              <w:rPr>
                <w:lang w:val="lt-LT" w:bidi="lt-LT"/>
              </w:rPr>
              <w:t xml:space="preserve"> infekcijoms ir latentinių infekcijų paūmėjimas arba pasireiškimas. Vartojant ciklosporiną, papildomai padidėja traukulių rizika</w:t>
            </w:r>
          </w:p>
        </w:tc>
      </w:tr>
      <w:tr w:rsidR="004D5B80" w:rsidRPr="001B60F2" w14:paraId="2B009AE6" w14:textId="77777777" w:rsidTr="00965ADA">
        <w:trPr>
          <w:trHeight w:val="283"/>
        </w:trPr>
        <w:tc>
          <w:tcPr>
            <w:tcW w:w="4253" w:type="dxa"/>
          </w:tcPr>
          <w:p w14:paraId="6F7886D7" w14:textId="77777777" w:rsidR="00885A55" w:rsidRPr="002E7B89" w:rsidRDefault="00885A55" w:rsidP="00CA75B4">
            <w:pPr>
              <w:pStyle w:val="Betarp"/>
              <w:ind w:left="142"/>
              <w:rPr>
                <w:lang w:val="lt-LT"/>
              </w:rPr>
            </w:pPr>
            <w:r w:rsidRPr="002E7B89">
              <w:rPr>
                <w:lang w:val="lt-LT" w:bidi="lt-LT"/>
              </w:rPr>
              <w:t>Bupropionas</w:t>
            </w:r>
          </w:p>
        </w:tc>
        <w:tc>
          <w:tcPr>
            <w:tcW w:w="5186" w:type="dxa"/>
          </w:tcPr>
          <w:p w14:paraId="7DD9E3AF" w14:textId="77777777" w:rsidR="00885A55" w:rsidRPr="002E7B89" w:rsidRDefault="004A7E46" w:rsidP="00CA75B4">
            <w:pPr>
              <w:pStyle w:val="Betarp"/>
              <w:ind w:left="142"/>
              <w:rPr>
                <w:lang w:val="lt-LT"/>
              </w:rPr>
            </w:pPr>
            <w:r>
              <w:rPr>
                <w:lang w:val="lt-LT" w:bidi="lt-LT"/>
              </w:rPr>
              <w:t>Vartojant k</w:t>
            </w:r>
            <w:r w:rsidR="00885A55" w:rsidRPr="002E7B89">
              <w:rPr>
                <w:lang w:val="lt-LT" w:bidi="lt-LT"/>
              </w:rPr>
              <w:t>artu su sisteminiais gliukokortikoidais gali padidinti traukulių riziką</w:t>
            </w:r>
          </w:p>
        </w:tc>
      </w:tr>
      <w:tr w:rsidR="004D5B80" w:rsidRPr="001B60F2" w14:paraId="6A8C162B" w14:textId="77777777" w:rsidTr="00965ADA">
        <w:trPr>
          <w:trHeight w:val="283"/>
        </w:trPr>
        <w:tc>
          <w:tcPr>
            <w:tcW w:w="4253" w:type="dxa"/>
          </w:tcPr>
          <w:p w14:paraId="514339CD" w14:textId="77777777" w:rsidR="00885A55" w:rsidRPr="002E7B89" w:rsidRDefault="00885A55" w:rsidP="00CA75B4">
            <w:pPr>
              <w:pStyle w:val="Betarp"/>
              <w:ind w:left="142"/>
              <w:rPr>
                <w:lang w:val="lt-LT"/>
              </w:rPr>
            </w:pPr>
            <w:proofErr w:type="spellStart"/>
            <w:r w:rsidRPr="002E7B89">
              <w:rPr>
                <w:lang w:val="lt-LT" w:bidi="lt-LT"/>
              </w:rPr>
              <w:t>Fluor</w:t>
            </w:r>
            <w:r w:rsidR="008F7B18" w:rsidRPr="002E7B89">
              <w:rPr>
                <w:lang w:val="lt-LT" w:bidi="lt-LT"/>
              </w:rPr>
              <w:t>o</w:t>
            </w:r>
            <w:r w:rsidR="004A7E46">
              <w:rPr>
                <w:lang w:val="lt-LT" w:bidi="lt-LT"/>
              </w:rPr>
              <w:t>ch</w:t>
            </w:r>
            <w:r w:rsidRPr="002E7B89">
              <w:rPr>
                <w:lang w:val="lt-LT" w:bidi="lt-LT"/>
              </w:rPr>
              <w:t>inolonai</w:t>
            </w:r>
            <w:proofErr w:type="spellEnd"/>
          </w:p>
        </w:tc>
        <w:tc>
          <w:tcPr>
            <w:tcW w:w="5186" w:type="dxa"/>
          </w:tcPr>
          <w:p w14:paraId="1B0D5BEB" w14:textId="77777777" w:rsidR="00885A55" w:rsidRPr="002E7B89" w:rsidRDefault="00885A55" w:rsidP="00CA75B4">
            <w:pPr>
              <w:pStyle w:val="Betarp"/>
              <w:ind w:left="142"/>
              <w:rPr>
                <w:lang w:val="lt-LT"/>
              </w:rPr>
            </w:pPr>
            <w:r w:rsidRPr="002E7B89">
              <w:rPr>
                <w:lang w:val="lt-LT" w:bidi="lt-LT"/>
              </w:rPr>
              <w:t>Padidėja sausgyslių ligų, tend</w:t>
            </w:r>
            <w:r w:rsidR="004A7E46">
              <w:rPr>
                <w:lang w:val="lt-LT" w:bidi="lt-LT"/>
              </w:rPr>
              <w:t>i</w:t>
            </w:r>
            <w:r w:rsidRPr="002E7B89">
              <w:rPr>
                <w:lang w:val="lt-LT" w:bidi="lt-LT"/>
              </w:rPr>
              <w:t>nito ir sausgyslių plyšimų rizika</w:t>
            </w:r>
          </w:p>
        </w:tc>
      </w:tr>
    </w:tbl>
    <w:p w14:paraId="1B3B5A9F" w14:textId="77777777" w:rsidR="00A16F40" w:rsidRPr="002E7B89" w:rsidRDefault="00A16F40" w:rsidP="002D4A26">
      <w:pPr>
        <w:pStyle w:val="Betarp"/>
        <w:rPr>
          <w:lang w:val="lt-LT"/>
        </w:rPr>
      </w:pPr>
    </w:p>
    <w:p w14:paraId="4F1047EC" w14:textId="77777777" w:rsidR="00A16F40" w:rsidRPr="002E7B89" w:rsidRDefault="00716299" w:rsidP="002D4A26">
      <w:pPr>
        <w:pStyle w:val="Betarp"/>
        <w:rPr>
          <w:lang w:val="lt-LT"/>
        </w:rPr>
      </w:pPr>
      <w:r w:rsidRPr="002E7B89">
        <w:rPr>
          <w:lang w:val="lt-LT" w:bidi="lt-LT"/>
        </w:rPr>
        <w:t>Poveikis tyrimų metodams:</w:t>
      </w:r>
    </w:p>
    <w:p w14:paraId="3EA4117C" w14:textId="77777777" w:rsidR="00885A55" w:rsidRPr="002E7B89" w:rsidRDefault="00716299" w:rsidP="002D4A26">
      <w:pPr>
        <w:pStyle w:val="Betarp"/>
        <w:rPr>
          <w:lang w:val="lt-LT"/>
        </w:rPr>
      </w:pPr>
      <w:r w:rsidRPr="002E7B89">
        <w:rPr>
          <w:lang w:val="lt-LT" w:bidi="lt-LT"/>
        </w:rPr>
        <w:t>gali būti slopinamos odos reakcijos į alerginius tyrimus.</w:t>
      </w:r>
    </w:p>
    <w:p w14:paraId="373F9957" w14:textId="77777777" w:rsidR="001A6C5D" w:rsidRPr="002E7B89" w:rsidRDefault="00716299" w:rsidP="001A6C5D">
      <w:pPr>
        <w:adjustRightInd w:val="0"/>
        <w:rPr>
          <w:rFonts w:eastAsia="TimesNewRoman"/>
          <w:lang w:val="lt-LT"/>
        </w:rPr>
      </w:pPr>
      <w:r w:rsidRPr="002E7B89">
        <w:rPr>
          <w:lang w:val="lt-LT" w:bidi="lt-LT"/>
        </w:rPr>
        <w:t>Protirelinas:</w:t>
      </w:r>
      <w:r w:rsidR="001A6C5D" w:rsidRPr="002E7B89">
        <w:rPr>
          <w:rFonts w:eastAsia="TimesNewRoman"/>
          <w:lang w:val="lt-LT"/>
        </w:rPr>
        <w:t xml:space="preserve"> gali sumažėti</w:t>
      </w:r>
      <w:r w:rsidR="004A7E46">
        <w:rPr>
          <w:rFonts w:eastAsia="TimesNewRoman"/>
          <w:lang w:val="lt-LT"/>
        </w:rPr>
        <w:t xml:space="preserve"> protirelino išprovokuojamas</w:t>
      </w:r>
      <w:r w:rsidR="001A6C5D" w:rsidRPr="002E7B89">
        <w:rPr>
          <w:rFonts w:eastAsia="TimesNewRoman"/>
          <w:lang w:val="lt-LT"/>
        </w:rPr>
        <w:t xml:space="preserve"> TSH padidėjimas.</w:t>
      </w:r>
    </w:p>
    <w:p w14:paraId="1DEA6989" w14:textId="77777777" w:rsidR="00CA75B4" w:rsidRDefault="00CA75B4" w:rsidP="002D4A26">
      <w:pPr>
        <w:pStyle w:val="Betarp"/>
        <w:rPr>
          <w:lang w:val="lt-LT" w:bidi="lt-LT"/>
        </w:rPr>
      </w:pPr>
    </w:p>
    <w:p w14:paraId="44DF78D2" w14:textId="1D9C7B30" w:rsidR="00A16F40" w:rsidRPr="002E7B89" w:rsidRDefault="00885A55" w:rsidP="002D4A26">
      <w:pPr>
        <w:pStyle w:val="Betarp"/>
        <w:rPr>
          <w:lang w:val="lt-LT"/>
        </w:rPr>
      </w:pPr>
      <w:r w:rsidRPr="002E7B89">
        <w:rPr>
          <w:lang w:val="lt-LT" w:bidi="lt-LT"/>
        </w:rPr>
        <w:t xml:space="preserve">Jei gydymas </w:t>
      </w:r>
      <w:proofErr w:type="spellStart"/>
      <w:r w:rsidRPr="002E7B89">
        <w:rPr>
          <w:lang w:val="lt-LT" w:bidi="lt-LT"/>
        </w:rPr>
        <w:t>gliukokortikoidais</w:t>
      </w:r>
      <w:proofErr w:type="spellEnd"/>
      <w:r w:rsidRPr="002E7B89">
        <w:rPr>
          <w:lang w:val="lt-LT" w:bidi="lt-LT"/>
        </w:rPr>
        <w:t xml:space="preserve"> skiriamas likus 8</w:t>
      </w:r>
      <w:r w:rsidR="00713CEC">
        <w:rPr>
          <w:lang w:val="lt-LT" w:bidi="lt-LT"/>
        </w:rPr>
        <w:t> </w:t>
      </w:r>
      <w:r w:rsidRPr="002E7B89">
        <w:rPr>
          <w:lang w:val="lt-LT" w:bidi="lt-LT"/>
        </w:rPr>
        <w:t>savaitėms iki aktyvios imunizacijos arba iki 2</w:t>
      </w:r>
      <w:r w:rsidR="00713CEC">
        <w:rPr>
          <w:lang w:val="lt-LT" w:bidi="lt-LT"/>
        </w:rPr>
        <w:t> </w:t>
      </w:r>
      <w:r w:rsidRPr="002E7B89">
        <w:rPr>
          <w:lang w:val="lt-LT" w:bidi="lt-LT"/>
        </w:rPr>
        <w:t>savaičių po jos, galima tikėtis imunizacijos poveikio susilpnėjimo arba jo nebuvimo.</w:t>
      </w:r>
    </w:p>
    <w:p w14:paraId="4C2AF824" w14:textId="77777777" w:rsidR="00A16F40" w:rsidRPr="002E7B89" w:rsidRDefault="00A16F40" w:rsidP="002D4A26">
      <w:pPr>
        <w:pStyle w:val="Betarp"/>
        <w:rPr>
          <w:lang w:val="lt-LT"/>
        </w:rPr>
      </w:pPr>
    </w:p>
    <w:p w14:paraId="277E4D7A" w14:textId="77777777" w:rsidR="00A16F40" w:rsidRPr="002E7B89" w:rsidRDefault="00955027" w:rsidP="002D4A26">
      <w:pPr>
        <w:pStyle w:val="Betarp"/>
        <w:rPr>
          <w:b/>
          <w:lang w:val="lt-LT"/>
        </w:rPr>
      </w:pPr>
      <w:bookmarkStart w:id="8" w:name="4.6_Fertilität,_Schwangerschaft_und_Stil"/>
      <w:bookmarkEnd w:id="8"/>
      <w:r w:rsidRPr="002E7B89">
        <w:rPr>
          <w:b/>
          <w:lang w:val="lt-LT" w:bidi="lt-LT"/>
        </w:rPr>
        <w:t>4.6</w:t>
      </w:r>
      <w:r w:rsidRPr="002E7B89">
        <w:rPr>
          <w:b/>
          <w:lang w:val="lt-LT" w:bidi="lt-LT"/>
        </w:rPr>
        <w:tab/>
        <w:t>Vaisingumas, nėštumo ir žindymo laikotarpis</w:t>
      </w:r>
    </w:p>
    <w:p w14:paraId="336F1757" w14:textId="77777777" w:rsidR="00A16F40" w:rsidRPr="002E7B89" w:rsidRDefault="00A16F40" w:rsidP="002D4A26">
      <w:pPr>
        <w:pStyle w:val="Betarp"/>
        <w:rPr>
          <w:lang w:val="lt-LT"/>
        </w:rPr>
      </w:pPr>
    </w:p>
    <w:p w14:paraId="47DF2C29" w14:textId="77777777" w:rsidR="002330EE" w:rsidRPr="002E7B89" w:rsidRDefault="002330EE" w:rsidP="002D4A26">
      <w:pPr>
        <w:pStyle w:val="Betarp"/>
        <w:rPr>
          <w:u w:val="single"/>
          <w:lang w:val="lt-LT"/>
        </w:rPr>
      </w:pPr>
      <w:r w:rsidRPr="002E7B89">
        <w:rPr>
          <w:u w:val="single"/>
          <w:lang w:val="lt-LT" w:bidi="lt-LT"/>
        </w:rPr>
        <w:t>Nėštumas</w:t>
      </w:r>
    </w:p>
    <w:p w14:paraId="57AE0CA4" w14:textId="172E9B42" w:rsidR="00A16F40" w:rsidRPr="0049378E" w:rsidRDefault="00716299" w:rsidP="00BB772F">
      <w:pPr>
        <w:adjustRightInd w:val="0"/>
        <w:rPr>
          <w:lang w:val="lt-LT"/>
        </w:rPr>
      </w:pPr>
      <w:r w:rsidRPr="002E7B89">
        <w:rPr>
          <w:lang w:val="lt-LT" w:bidi="lt-LT"/>
        </w:rPr>
        <w:t xml:space="preserve">Deksametazonas prasiskverbia per placentą. </w:t>
      </w:r>
      <w:r w:rsidR="005E0C02" w:rsidRPr="002E7B89">
        <w:rPr>
          <w:rFonts w:eastAsia="TimesNewRoman"/>
          <w:lang w:val="lt-LT"/>
        </w:rPr>
        <w:t>Deksametazono nėštumo laikotarpiu, ypač pirmąjį trimestrą, galima skirti tik tuo atveju, jei nauda yra didesnė už riziką moteriai ir vai</w:t>
      </w:r>
      <w:r w:rsidR="004A7E46">
        <w:rPr>
          <w:rFonts w:eastAsia="TimesNewRoman"/>
          <w:lang w:val="lt-LT"/>
        </w:rPr>
        <w:t>si</w:t>
      </w:r>
      <w:r w:rsidR="005E0C02" w:rsidRPr="002E7B89">
        <w:rPr>
          <w:rFonts w:eastAsia="TimesNewRoman"/>
          <w:lang w:val="lt-LT"/>
        </w:rPr>
        <w:t>ui.</w:t>
      </w:r>
      <w:r w:rsidRPr="002E7B89">
        <w:rPr>
          <w:lang w:val="lt-LT" w:bidi="lt-LT"/>
        </w:rPr>
        <w:t xml:space="preserve"> </w:t>
      </w:r>
      <w:r w:rsidR="008765BB">
        <w:rPr>
          <w:lang w:val="lt-LT" w:bidi="lt-LT"/>
        </w:rPr>
        <w:t>Dexamethasone Kalceks</w:t>
      </w:r>
      <w:r w:rsidRPr="002E7B89">
        <w:rPr>
          <w:lang w:val="lt-LT" w:bidi="lt-LT"/>
        </w:rPr>
        <w:t xml:space="preserve"> nėštumo metu </w:t>
      </w:r>
      <w:r w:rsidR="004A7E46">
        <w:rPr>
          <w:lang w:val="lt-LT" w:bidi="lt-LT"/>
        </w:rPr>
        <w:t>galima vartoti</w:t>
      </w:r>
      <w:r w:rsidRPr="002E7B89">
        <w:rPr>
          <w:lang w:val="lt-LT" w:bidi="lt-LT"/>
        </w:rPr>
        <w:t xml:space="preserve"> tik grėsm</w:t>
      </w:r>
      <w:r w:rsidR="004A7E46">
        <w:rPr>
          <w:lang w:val="lt-LT" w:bidi="lt-LT"/>
        </w:rPr>
        <w:t>ę</w:t>
      </w:r>
      <w:r w:rsidRPr="002E7B89">
        <w:rPr>
          <w:lang w:val="lt-LT" w:bidi="lt-LT"/>
        </w:rPr>
        <w:t xml:space="preserve"> gyvybei</w:t>
      </w:r>
      <w:r w:rsidR="004A7E46">
        <w:rPr>
          <w:lang w:val="lt-LT" w:bidi="lt-LT"/>
        </w:rPr>
        <w:t xml:space="preserve"> keliančiose situacijose</w:t>
      </w:r>
      <w:r w:rsidRPr="002E7B89">
        <w:rPr>
          <w:lang w:val="lt-LT" w:bidi="lt-LT"/>
        </w:rPr>
        <w:t>. Jei nėštumo metu taikomas ilgalaikis gydymas gliukokortikoidais, negalima atmesti vaisiaus augimo sutrikimų. Kortikosteroidų vartojimas vaiking</w:t>
      </w:r>
      <w:r w:rsidR="003342AA" w:rsidRPr="002E7B89">
        <w:rPr>
          <w:lang w:val="lt-LT" w:bidi="lt-LT"/>
        </w:rPr>
        <w:t>oms gyvūnų patelėms</w:t>
      </w:r>
      <w:r w:rsidRPr="002E7B89">
        <w:rPr>
          <w:lang w:val="lt-LT" w:bidi="lt-LT"/>
        </w:rPr>
        <w:t xml:space="preserve"> gali sukelti vaisiaus vystymosi sutrikimų, įskaitant </w:t>
      </w:r>
      <w:r w:rsidR="003342AA" w:rsidRPr="002E7B89">
        <w:rPr>
          <w:lang w:val="lt-LT" w:bidi="lt-LT"/>
        </w:rPr>
        <w:t>gomurio nesuaugimą</w:t>
      </w:r>
      <w:r w:rsidRPr="002E7B89">
        <w:rPr>
          <w:lang w:val="lt-LT" w:bidi="lt-LT"/>
        </w:rPr>
        <w:t xml:space="preserve">, intrauterinį vaisiaus augimo sulėtėjimą ir poveikį </w:t>
      </w:r>
      <w:r w:rsidR="003342AA" w:rsidRPr="002E7B89">
        <w:rPr>
          <w:lang w:val="lt-LT" w:bidi="lt-LT"/>
        </w:rPr>
        <w:t xml:space="preserve">smegenų </w:t>
      </w:r>
      <w:r w:rsidRPr="002E7B89">
        <w:rPr>
          <w:lang w:val="lt-LT" w:bidi="lt-LT"/>
        </w:rPr>
        <w:t xml:space="preserve">augimui bei vystymuisi. </w:t>
      </w:r>
      <w:r w:rsidR="005E0C02" w:rsidRPr="002E7B89">
        <w:rPr>
          <w:rFonts w:eastAsia="TimesNewRoman"/>
          <w:lang w:val="lt-LT"/>
        </w:rPr>
        <w:t>Duomenų, kad kortikosteroidai padažnintų apsigimimų, tokių kaip nesuaugęs gomurys/nesuaugusi lūpa, pasireiškimą žmonėms, nėra (žr. 5.3</w:t>
      </w:r>
      <w:r w:rsidR="00713CEC">
        <w:rPr>
          <w:rFonts w:eastAsia="TimesNewRoman"/>
          <w:lang w:val="lt-LT"/>
        </w:rPr>
        <w:t> </w:t>
      </w:r>
      <w:r w:rsidR="005E0C02" w:rsidRPr="002E7B89">
        <w:rPr>
          <w:rFonts w:eastAsia="TimesNewRoman"/>
          <w:lang w:val="lt-LT"/>
        </w:rPr>
        <w:t xml:space="preserve">skyrių). </w:t>
      </w:r>
      <w:r w:rsidRPr="002E7B89">
        <w:rPr>
          <w:lang w:val="lt-LT" w:bidi="lt-LT"/>
        </w:rPr>
        <w:t>Jei gliukokortikoidų skiriama nėštumo pabaigoje, vaisiui gresia antinksčių žievės atrofija, todėl gali prireikti skirti naujagimiui palaipsniui mažinamą pakaitinį gydymą.</w:t>
      </w:r>
      <w:r w:rsidR="0049378E">
        <w:rPr>
          <w:lang w:val="lt-LT" w:bidi="lt-LT"/>
        </w:rPr>
        <w:t xml:space="preserve"> </w:t>
      </w:r>
      <w:r w:rsidR="0049378E" w:rsidRPr="0049378E">
        <w:rPr>
          <w:lang w:val="lt-LT"/>
        </w:rPr>
        <w:t>Tyrimai parodė, kad, prenataliniu laikotarpiu paskyrus trumpą kortikosteroidų, įskaitant deksametazoną, kursą moterims, kurioms gresia priešlaikinis gimdymas, padidėja naujagimių hipoglikemijos rizika.</w:t>
      </w:r>
    </w:p>
    <w:p w14:paraId="4B27D10F" w14:textId="77777777" w:rsidR="00A16F40" w:rsidRPr="002E7B89" w:rsidRDefault="00A16F40" w:rsidP="002D4A26">
      <w:pPr>
        <w:pStyle w:val="Betarp"/>
        <w:rPr>
          <w:lang w:val="lt-LT"/>
        </w:rPr>
      </w:pPr>
    </w:p>
    <w:p w14:paraId="518C125A" w14:textId="77777777" w:rsidR="002330EE" w:rsidRPr="002E7B89" w:rsidRDefault="002330EE" w:rsidP="002D4A26">
      <w:pPr>
        <w:pStyle w:val="Betarp"/>
        <w:rPr>
          <w:u w:val="single"/>
          <w:lang w:val="lt-LT"/>
        </w:rPr>
      </w:pPr>
      <w:r w:rsidRPr="002E7B89">
        <w:rPr>
          <w:u w:val="single"/>
          <w:lang w:val="lt-LT" w:bidi="lt-LT"/>
        </w:rPr>
        <w:t>Žindym</w:t>
      </w:r>
      <w:r w:rsidR="004A7E46">
        <w:rPr>
          <w:u w:val="single"/>
          <w:lang w:val="lt-LT" w:bidi="lt-LT"/>
        </w:rPr>
        <w:t>as</w:t>
      </w:r>
    </w:p>
    <w:p w14:paraId="05A8E1BD" w14:textId="77777777" w:rsidR="00A16F40" w:rsidRPr="002E7B89" w:rsidRDefault="00716299" w:rsidP="002D4A26">
      <w:pPr>
        <w:pStyle w:val="Betarp"/>
        <w:rPr>
          <w:lang w:val="lt-LT"/>
        </w:rPr>
      </w:pPr>
      <w:r w:rsidRPr="002E7B89">
        <w:rPr>
          <w:lang w:val="lt-LT" w:bidi="lt-LT"/>
        </w:rPr>
        <w:t xml:space="preserve">Gliukokortikoidų išsiskiria į motinos pieną. Iki šiol </w:t>
      </w:r>
      <w:r w:rsidR="00E25694" w:rsidRPr="002E7B89">
        <w:rPr>
          <w:lang w:val="lt-LT" w:bidi="lt-LT"/>
        </w:rPr>
        <w:t xml:space="preserve">nebuvo pranešta apie </w:t>
      </w:r>
      <w:r w:rsidRPr="002E7B89">
        <w:rPr>
          <w:lang w:val="lt-LT" w:bidi="lt-LT"/>
        </w:rPr>
        <w:t>žal</w:t>
      </w:r>
      <w:r w:rsidR="00E25694" w:rsidRPr="002E7B89">
        <w:rPr>
          <w:lang w:val="lt-LT" w:bidi="lt-LT"/>
        </w:rPr>
        <w:t>ą</w:t>
      </w:r>
      <w:r w:rsidRPr="002E7B89">
        <w:rPr>
          <w:lang w:val="lt-LT" w:bidi="lt-LT"/>
        </w:rPr>
        <w:t xml:space="preserve"> kūdikiui. Vis dėlto žindymo laikotarpiu gliukokortikoidai turėtų būti vartojami tik griežtai indikuotinais atvejais. Jei dėl ligos reikia vartoti didesnes dozes, žindymą reikia nutraukti.</w:t>
      </w:r>
    </w:p>
    <w:p w14:paraId="3AE8B75F" w14:textId="77777777" w:rsidR="00A16F40" w:rsidRPr="002E7B89" w:rsidRDefault="00A16F40" w:rsidP="002D4A26">
      <w:pPr>
        <w:pStyle w:val="Betarp"/>
        <w:rPr>
          <w:lang w:val="lt-LT"/>
        </w:rPr>
      </w:pPr>
    </w:p>
    <w:p w14:paraId="0CCF9BB2" w14:textId="77777777" w:rsidR="00627FD4" w:rsidRPr="002E7B89" w:rsidRDefault="00627FD4" w:rsidP="00627FD4">
      <w:pPr>
        <w:pStyle w:val="Betarp"/>
        <w:rPr>
          <w:u w:val="single"/>
          <w:lang w:val="lt-LT"/>
        </w:rPr>
      </w:pPr>
      <w:r w:rsidRPr="002E7B89">
        <w:rPr>
          <w:u w:val="single"/>
          <w:lang w:val="lt-LT" w:bidi="lt-LT"/>
        </w:rPr>
        <w:t>Vaisingumas</w:t>
      </w:r>
    </w:p>
    <w:p w14:paraId="1394A986" w14:textId="77777777" w:rsidR="00627FD4" w:rsidRPr="002E7B89" w:rsidRDefault="00627FD4" w:rsidP="00627FD4">
      <w:pPr>
        <w:pStyle w:val="Betarp"/>
        <w:rPr>
          <w:lang w:val="lt-LT"/>
        </w:rPr>
      </w:pPr>
      <w:r w:rsidRPr="002E7B89">
        <w:rPr>
          <w:lang w:val="lt-LT" w:bidi="lt-LT"/>
        </w:rPr>
        <w:t>Vaisingumo tyrimų neatlikta.</w:t>
      </w:r>
    </w:p>
    <w:p w14:paraId="49383373" w14:textId="77777777" w:rsidR="00627FD4" w:rsidRPr="002E7B89" w:rsidRDefault="00627FD4" w:rsidP="002D4A26">
      <w:pPr>
        <w:pStyle w:val="Betarp"/>
        <w:rPr>
          <w:lang w:val="lt-LT"/>
        </w:rPr>
      </w:pPr>
    </w:p>
    <w:p w14:paraId="0C1A9E58" w14:textId="77777777" w:rsidR="00A16F40" w:rsidRPr="002E7B89" w:rsidRDefault="00955027" w:rsidP="002D4A26">
      <w:pPr>
        <w:pStyle w:val="Betarp"/>
        <w:rPr>
          <w:b/>
          <w:lang w:val="lt-LT"/>
        </w:rPr>
      </w:pPr>
      <w:bookmarkStart w:id="9" w:name="4.7_Auswirkungen_auf_die_Verkehrstüchtig"/>
      <w:bookmarkEnd w:id="9"/>
      <w:r w:rsidRPr="002E7B89">
        <w:rPr>
          <w:b/>
          <w:lang w:val="lt-LT" w:bidi="lt-LT"/>
        </w:rPr>
        <w:t>4.7</w:t>
      </w:r>
      <w:r w:rsidRPr="002E7B89">
        <w:rPr>
          <w:b/>
          <w:lang w:val="lt-LT" w:bidi="lt-LT"/>
        </w:rPr>
        <w:tab/>
        <w:t>Poveikis gebėjimui vairuoti ir valdyti mechanizmus</w:t>
      </w:r>
    </w:p>
    <w:p w14:paraId="74394818" w14:textId="77777777" w:rsidR="00A16F40" w:rsidRPr="002E7B89" w:rsidRDefault="00A16F40" w:rsidP="002D4A26">
      <w:pPr>
        <w:pStyle w:val="Betarp"/>
        <w:rPr>
          <w:lang w:val="lt-LT"/>
        </w:rPr>
      </w:pPr>
    </w:p>
    <w:p w14:paraId="548FAE6A" w14:textId="77777777" w:rsidR="00A16F40" w:rsidRPr="002E7B89" w:rsidRDefault="00716299" w:rsidP="002D4A26">
      <w:pPr>
        <w:pStyle w:val="Betarp"/>
        <w:rPr>
          <w:lang w:val="lt-LT"/>
        </w:rPr>
      </w:pPr>
      <w:r w:rsidRPr="002E7B89">
        <w:rPr>
          <w:lang w:val="lt-LT" w:bidi="lt-LT"/>
        </w:rPr>
        <w:t>Poveikio gebėjimui vairuoti ir valdyti mechanizmus tyrimų neatlikta.</w:t>
      </w:r>
    </w:p>
    <w:p w14:paraId="2722EF5A" w14:textId="77777777" w:rsidR="00A16F40" w:rsidRPr="002E7B89" w:rsidRDefault="00A16F40" w:rsidP="002D4A26">
      <w:pPr>
        <w:pStyle w:val="Betarp"/>
        <w:rPr>
          <w:lang w:val="lt-LT"/>
        </w:rPr>
      </w:pPr>
    </w:p>
    <w:p w14:paraId="0245172E" w14:textId="77777777" w:rsidR="00A16F40" w:rsidRPr="002E7B89" w:rsidRDefault="00955027" w:rsidP="002D4A26">
      <w:pPr>
        <w:pStyle w:val="Betarp"/>
        <w:rPr>
          <w:b/>
          <w:lang w:val="lt-LT"/>
        </w:rPr>
      </w:pPr>
      <w:bookmarkStart w:id="10" w:name="4.8_Nebenwirkungen"/>
      <w:bookmarkEnd w:id="10"/>
      <w:r w:rsidRPr="002E7B89">
        <w:rPr>
          <w:b/>
          <w:lang w:val="lt-LT" w:bidi="lt-LT"/>
        </w:rPr>
        <w:t>4.8</w:t>
      </w:r>
      <w:r w:rsidRPr="002E7B89">
        <w:rPr>
          <w:b/>
          <w:lang w:val="lt-LT" w:bidi="lt-LT"/>
        </w:rPr>
        <w:tab/>
        <w:t>Nepageidaujamas poveikis</w:t>
      </w:r>
    </w:p>
    <w:p w14:paraId="2F96FE21" w14:textId="77777777" w:rsidR="00A16F40" w:rsidRPr="002E7B89" w:rsidRDefault="00A16F40" w:rsidP="002D4A26">
      <w:pPr>
        <w:pStyle w:val="Betarp"/>
        <w:rPr>
          <w:lang w:val="lt-LT"/>
        </w:rPr>
      </w:pPr>
    </w:p>
    <w:p w14:paraId="4E9FF73B" w14:textId="77777777" w:rsidR="00A16F40" w:rsidRPr="002E7B89" w:rsidRDefault="00716299" w:rsidP="002D4A26">
      <w:pPr>
        <w:pStyle w:val="Betarp"/>
        <w:rPr>
          <w:lang w:val="lt-LT"/>
        </w:rPr>
      </w:pPr>
      <w:r w:rsidRPr="002E7B89">
        <w:rPr>
          <w:lang w:val="lt-LT" w:bidi="lt-LT"/>
        </w:rPr>
        <w:t xml:space="preserve">Trumpalaikio gydymo deksametazonu metu nepageidaujamo poveikio rizika yra maža. Vis dėlto reikia būti budriems dėl virškinimo trakto opų (dažnai susijusių su stresu), nes jos dėl gydymo kortikosteroidais gali sukelti </w:t>
      </w:r>
      <w:r w:rsidR="004A7E46">
        <w:rPr>
          <w:lang w:val="lt-LT" w:bidi="lt-LT"/>
        </w:rPr>
        <w:t>mažai</w:t>
      </w:r>
      <w:r w:rsidRPr="002E7B89">
        <w:rPr>
          <w:lang w:val="lt-LT" w:bidi="lt-LT"/>
        </w:rPr>
        <w:t xml:space="preserve"> simptomų, taip pat dėl sumažėjusio gliukozės toleravimo ir </w:t>
      </w:r>
      <w:r w:rsidRPr="002E7B89">
        <w:rPr>
          <w:lang w:val="lt-LT" w:bidi="lt-LT"/>
        </w:rPr>
        <w:lastRenderedPageBreak/>
        <w:t>atsparumo infekcijoms požymių.</w:t>
      </w:r>
    </w:p>
    <w:p w14:paraId="69DC6899" w14:textId="77777777" w:rsidR="00A16F40" w:rsidRPr="002E7B89" w:rsidRDefault="00A16F40" w:rsidP="002D4A26">
      <w:pPr>
        <w:pStyle w:val="Betarp"/>
        <w:rPr>
          <w:lang w:val="lt-LT"/>
        </w:rPr>
      </w:pPr>
    </w:p>
    <w:p w14:paraId="47A5B170" w14:textId="7206FD01" w:rsidR="00A16F40" w:rsidRPr="002E7B89" w:rsidRDefault="00716299" w:rsidP="002D4A26">
      <w:pPr>
        <w:pStyle w:val="Betarp"/>
        <w:rPr>
          <w:lang w:val="lt-LT"/>
        </w:rPr>
      </w:pPr>
      <w:r w:rsidRPr="002E7B89">
        <w:rPr>
          <w:lang w:val="lt-LT" w:bidi="lt-LT"/>
        </w:rPr>
        <w:t>Gydant ypač ilgai (ilgiau nei 2</w:t>
      </w:r>
      <w:r w:rsidR="00713CEC">
        <w:rPr>
          <w:lang w:val="lt-LT" w:bidi="lt-LT"/>
        </w:rPr>
        <w:t> </w:t>
      </w:r>
      <w:r w:rsidRPr="002E7B89">
        <w:rPr>
          <w:lang w:val="lt-LT" w:bidi="lt-LT"/>
        </w:rPr>
        <w:t xml:space="preserve">savaites), gali pasireikšti </w:t>
      </w:r>
      <w:proofErr w:type="spellStart"/>
      <w:r w:rsidRPr="002E7B89">
        <w:rPr>
          <w:lang w:val="lt-LT" w:bidi="lt-LT"/>
        </w:rPr>
        <w:t>gliukokortikoidų</w:t>
      </w:r>
      <w:proofErr w:type="spellEnd"/>
      <w:r w:rsidRPr="002E7B89">
        <w:rPr>
          <w:lang w:val="lt-LT" w:bidi="lt-LT"/>
        </w:rPr>
        <w:t xml:space="preserve"> nepageidaujamos reakcijos, kurios, kaip </w:t>
      </w:r>
      <w:r w:rsidR="004A7E46">
        <w:rPr>
          <w:lang w:val="lt-LT" w:bidi="lt-LT"/>
        </w:rPr>
        <w:t>sustiprėjęs</w:t>
      </w:r>
      <w:r w:rsidRPr="002E7B89">
        <w:rPr>
          <w:lang w:val="lt-LT" w:bidi="lt-LT"/>
        </w:rPr>
        <w:t xml:space="preserve"> hormonų poveikis, yra panašios į Kušingo sindromą.</w:t>
      </w:r>
    </w:p>
    <w:p w14:paraId="3A94F931" w14:textId="77777777" w:rsidR="00A16F40" w:rsidRPr="002E7B89" w:rsidRDefault="00A16F40" w:rsidP="002D4A26">
      <w:pPr>
        <w:pStyle w:val="Betarp"/>
        <w:rPr>
          <w:lang w:val="lt-LT"/>
        </w:rPr>
      </w:pPr>
    </w:p>
    <w:p w14:paraId="0028AF09" w14:textId="77777777" w:rsidR="00A16F40" w:rsidRPr="002E7B89" w:rsidRDefault="00716299" w:rsidP="002D4A26">
      <w:pPr>
        <w:pStyle w:val="Betarp"/>
        <w:rPr>
          <w:lang w:val="lt-LT"/>
        </w:rPr>
      </w:pPr>
      <w:r w:rsidRPr="002E7B89">
        <w:rPr>
          <w:lang w:val="lt-LT" w:bidi="lt-LT"/>
        </w:rPr>
        <w:t>Gali pasireikšti toliau nurodytos nepageidaujamos reakcijos, kurios labai priklauso nuo vaist</w:t>
      </w:r>
      <w:r w:rsidR="003121D5" w:rsidRPr="002E7B89">
        <w:rPr>
          <w:lang w:val="lt-LT" w:bidi="lt-LT"/>
        </w:rPr>
        <w:t>ini</w:t>
      </w:r>
      <w:r w:rsidRPr="002E7B89">
        <w:rPr>
          <w:lang w:val="lt-LT" w:bidi="lt-LT"/>
        </w:rPr>
        <w:t xml:space="preserve">o </w:t>
      </w:r>
      <w:r w:rsidR="003121D5" w:rsidRPr="002E7B89">
        <w:rPr>
          <w:lang w:val="lt-LT" w:bidi="lt-LT"/>
        </w:rPr>
        <w:t xml:space="preserve">preparato </w:t>
      </w:r>
      <w:r w:rsidRPr="002E7B89">
        <w:rPr>
          <w:lang w:val="lt-LT" w:bidi="lt-LT"/>
        </w:rPr>
        <w:t>dozės ir gydymo trukmės ir kurių dažnis dėl to nežinomas (negali būti apskaičiuotas pagal turimus duomenis):</w:t>
      </w:r>
    </w:p>
    <w:p w14:paraId="33CFA4C4" w14:textId="77777777" w:rsidR="00A16F40" w:rsidRPr="002E7B89" w:rsidRDefault="00A16F40" w:rsidP="002D4A26">
      <w:pPr>
        <w:pStyle w:val="Betarp"/>
        <w:rPr>
          <w:lang w:val="lt-LT"/>
        </w:rPr>
      </w:pPr>
    </w:p>
    <w:p w14:paraId="3FF0CB65" w14:textId="77777777" w:rsidR="00A16F40" w:rsidRPr="002E7B89" w:rsidRDefault="00716299" w:rsidP="002D4A26">
      <w:pPr>
        <w:pStyle w:val="Betarp"/>
        <w:rPr>
          <w:lang w:val="lt-LT"/>
        </w:rPr>
      </w:pPr>
      <w:r w:rsidRPr="002E7B89">
        <w:rPr>
          <w:u w:val="single"/>
          <w:lang w:val="lt-LT" w:bidi="lt-LT"/>
        </w:rPr>
        <w:t>Infekcijos ir infestacijos</w:t>
      </w:r>
    </w:p>
    <w:p w14:paraId="13B7C1E7" w14:textId="1124FAE3" w:rsidR="00A16F40" w:rsidRPr="002E7B89" w:rsidRDefault="00716299" w:rsidP="002D4A26">
      <w:pPr>
        <w:pStyle w:val="Betarp"/>
        <w:rPr>
          <w:lang w:val="lt-LT"/>
        </w:rPr>
      </w:pPr>
      <w:r w:rsidRPr="002E7B89">
        <w:rPr>
          <w:lang w:val="lt-LT" w:bidi="lt-LT"/>
        </w:rPr>
        <w:t>Infekcijų maskavimas, infekcijų (bakterinių, virusinių, grybelinių, parazitinių ir oportunistinių) pasireiškimas, išplitimas ar atsinaujinimas, siūlinių kirmėlių suaktyvėjimas (žr. 4.4</w:t>
      </w:r>
      <w:r w:rsidR="00713CEC">
        <w:rPr>
          <w:lang w:val="lt-LT" w:bidi="lt-LT"/>
        </w:rPr>
        <w:t> </w:t>
      </w:r>
      <w:r w:rsidRPr="002E7B89">
        <w:rPr>
          <w:lang w:val="lt-LT" w:bidi="lt-LT"/>
        </w:rPr>
        <w:t>skyrių).</w:t>
      </w:r>
    </w:p>
    <w:p w14:paraId="0B967717" w14:textId="77777777" w:rsidR="00A16F40" w:rsidRPr="002E7B89" w:rsidRDefault="00A16F40" w:rsidP="002D4A26">
      <w:pPr>
        <w:pStyle w:val="Betarp"/>
        <w:rPr>
          <w:lang w:val="lt-LT"/>
        </w:rPr>
      </w:pPr>
    </w:p>
    <w:p w14:paraId="26635B5D" w14:textId="77777777" w:rsidR="00A16F40" w:rsidRPr="002E7B89" w:rsidRDefault="00716299" w:rsidP="002D4A26">
      <w:pPr>
        <w:pStyle w:val="Betarp"/>
        <w:rPr>
          <w:lang w:val="lt-LT"/>
        </w:rPr>
      </w:pPr>
      <w:r w:rsidRPr="002E7B89">
        <w:rPr>
          <w:u w:val="single"/>
          <w:lang w:val="lt-LT" w:bidi="lt-LT"/>
        </w:rPr>
        <w:t>Kraujo ir limfinės sistemos sutrikimai</w:t>
      </w:r>
    </w:p>
    <w:p w14:paraId="4CB4C67E" w14:textId="77777777" w:rsidR="00A16F40" w:rsidRPr="002E7B89" w:rsidRDefault="00716299" w:rsidP="002D4A26">
      <w:pPr>
        <w:pStyle w:val="Betarp"/>
        <w:rPr>
          <w:lang w:val="lt-LT"/>
        </w:rPr>
      </w:pPr>
      <w:r w:rsidRPr="002E7B89">
        <w:rPr>
          <w:lang w:val="lt-LT" w:bidi="lt-LT"/>
        </w:rPr>
        <w:t xml:space="preserve">Kraujo </w:t>
      </w:r>
      <w:r w:rsidR="00BB44FF" w:rsidRPr="002E7B89">
        <w:rPr>
          <w:lang w:val="lt-LT" w:bidi="lt-LT"/>
        </w:rPr>
        <w:t>sutrikimai</w:t>
      </w:r>
      <w:r w:rsidRPr="002E7B89">
        <w:rPr>
          <w:lang w:val="lt-LT" w:bidi="lt-LT"/>
        </w:rPr>
        <w:t xml:space="preserve"> (vidutinio sunkumo leukocitozė, limfopenija, eozinopenija, policitemija).</w:t>
      </w:r>
    </w:p>
    <w:p w14:paraId="4E2FA318" w14:textId="77777777" w:rsidR="00A16F40" w:rsidRPr="002E7B89" w:rsidRDefault="00A16F40" w:rsidP="002D4A26">
      <w:pPr>
        <w:pStyle w:val="Betarp"/>
        <w:rPr>
          <w:lang w:val="lt-LT"/>
        </w:rPr>
      </w:pPr>
    </w:p>
    <w:p w14:paraId="1490A8F6" w14:textId="77777777" w:rsidR="00A16F40" w:rsidRPr="002E7B89" w:rsidRDefault="00716299" w:rsidP="002D4A26">
      <w:pPr>
        <w:pStyle w:val="Betarp"/>
        <w:rPr>
          <w:lang w:val="lt-LT"/>
        </w:rPr>
      </w:pPr>
      <w:r w:rsidRPr="002E7B89">
        <w:rPr>
          <w:u w:val="single"/>
          <w:lang w:val="lt-LT" w:bidi="lt-LT"/>
        </w:rPr>
        <w:t>Imuninės sistemos sutrikimai</w:t>
      </w:r>
    </w:p>
    <w:p w14:paraId="0CAEA5A9" w14:textId="77777777" w:rsidR="00A16F40" w:rsidRPr="002E7B89" w:rsidRDefault="00716299" w:rsidP="002D4A26">
      <w:pPr>
        <w:pStyle w:val="Betarp"/>
        <w:rPr>
          <w:lang w:val="lt-LT"/>
        </w:rPr>
      </w:pPr>
      <w:r w:rsidRPr="002E7B89">
        <w:rPr>
          <w:lang w:val="lt-LT" w:bidi="lt-LT"/>
        </w:rPr>
        <w:t>Padidėjusio jautrumo reakcijos (pvz., egzantema), sunkios anafilaksinės reakcijos, tokios kaip aritmija, bronchų spazmas, hipotenzija ar hipertenzija, kraujotakos kolapsas, širdies sustojimas, imuninės sistemos susilpnėjimas.</w:t>
      </w:r>
    </w:p>
    <w:p w14:paraId="2315F207" w14:textId="77777777" w:rsidR="00A16F40" w:rsidRPr="002E7B89" w:rsidRDefault="00A16F40" w:rsidP="002D4A26">
      <w:pPr>
        <w:pStyle w:val="Betarp"/>
        <w:rPr>
          <w:lang w:val="lt-LT"/>
        </w:rPr>
      </w:pPr>
    </w:p>
    <w:p w14:paraId="1BF2C1C6" w14:textId="77777777" w:rsidR="00A16F40" w:rsidRPr="002E7B89" w:rsidRDefault="00716299" w:rsidP="002D4A26">
      <w:pPr>
        <w:pStyle w:val="Betarp"/>
        <w:rPr>
          <w:lang w:val="lt-LT"/>
        </w:rPr>
      </w:pPr>
      <w:r w:rsidRPr="002E7B89">
        <w:rPr>
          <w:u w:val="single"/>
          <w:lang w:val="lt-LT" w:bidi="lt-LT"/>
        </w:rPr>
        <w:t>Endokrininiai sutrikimai</w:t>
      </w:r>
    </w:p>
    <w:p w14:paraId="4B008A7E" w14:textId="77777777" w:rsidR="00A16F40" w:rsidRPr="002E7B89" w:rsidRDefault="00716299" w:rsidP="002D4A26">
      <w:pPr>
        <w:pStyle w:val="Betarp"/>
        <w:rPr>
          <w:lang w:val="lt-LT"/>
        </w:rPr>
      </w:pPr>
      <w:r w:rsidRPr="002E7B89">
        <w:rPr>
          <w:lang w:val="lt-LT" w:bidi="lt-LT"/>
        </w:rPr>
        <w:t xml:space="preserve">Kušingo sindromas (pvz., </w:t>
      </w:r>
      <w:r w:rsidR="00BB44FF" w:rsidRPr="002E7B89">
        <w:rPr>
          <w:lang w:val="lt-LT" w:bidi="lt-LT"/>
        </w:rPr>
        <w:t>mėnulio veidas</w:t>
      </w:r>
      <w:r w:rsidRPr="002E7B89">
        <w:rPr>
          <w:lang w:val="lt-LT" w:bidi="lt-LT"/>
        </w:rPr>
        <w:t xml:space="preserve">, </w:t>
      </w:r>
      <w:r w:rsidR="00BB44FF" w:rsidRPr="002E7B89">
        <w:rPr>
          <w:lang w:val="lt-LT" w:bidi="lt-LT"/>
        </w:rPr>
        <w:t>liemens tipo nutukimas</w:t>
      </w:r>
      <w:r w:rsidRPr="002E7B89">
        <w:rPr>
          <w:lang w:val="lt-LT" w:bidi="lt-LT"/>
        </w:rPr>
        <w:t xml:space="preserve">), antinksčių žievės </w:t>
      </w:r>
      <w:r w:rsidR="00285B49" w:rsidRPr="002E7B89">
        <w:rPr>
          <w:lang w:val="lt-LT" w:bidi="lt-LT"/>
        </w:rPr>
        <w:t>slopinimas</w:t>
      </w:r>
      <w:r w:rsidRPr="002E7B89">
        <w:rPr>
          <w:lang w:val="lt-LT" w:bidi="lt-LT"/>
        </w:rPr>
        <w:t xml:space="preserve"> arba atrofija.</w:t>
      </w:r>
    </w:p>
    <w:p w14:paraId="6ECDDB23" w14:textId="77777777" w:rsidR="00A16F40" w:rsidRPr="002E7B89" w:rsidRDefault="00A16F40" w:rsidP="002D4A26">
      <w:pPr>
        <w:pStyle w:val="Betarp"/>
        <w:rPr>
          <w:lang w:val="lt-LT"/>
        </w:rPr>
      </w:pPr>
    </w:p>
    <w:p w14:paraId="6A5CC5F9" w14:textId="77777777" w:rsidR="00A16F40" w:rsidRPr="002E7B89" w:rsidRDefault="00716299" w:rsidP="002D4A26">
      <w:pPr>
        <w:pStyle w:val="Betarp"/>
        <w:rPr>
          <w:lang w:val="lt-LT"/>
        </w:rPr>
      </w:pPr>
      <w:r w:rsidRPr="002E7B89">
        <w:rPr>
          <w:u w:val="single"/>
          <w:lang w:val="lt-LT" w:bidi="lt-LT"/>
        </w:rPr>
        <w:t>Metabolizmo ir mitybos sutrikimai</w:t>
      </w:r>
    </w:p>
    <w:p w14:paraId="0423CFD5" w14:textId="77777777" w:rsidR="00A16F40" w:rsidRPr="002E7B89" w:rsidRDefault="00716299" w:rsidP="002D4A26">
      <w:pPr>
        <w:pStyle w:val="Betarp"/>
        <w:rPr>
          <w:lang w:val="lt-LT"/>
        </w:rPr>
      </w:pPr>
      <w:r w:rsidRPr="002E7B89">
        <w:rPr>
          <w:lang w:val="lt-LT" w:bidi="lt-LT"/>
        </w:rPr>
        <w:t xml:space="preserve">Natrio susilaikymas </w:t>
      </w:r>
      <w:r w:rsidR="00285B49" w:rsidRPr="002E7B89">
        <w:rPr>
          <w:lang w:val="lt-LT" w:bidi="lt-LT"/>
        </w:rPr>
        <w:t>su edemos susidarymu</w:t>
      </w:r>
      <w:r w:rsidRPr="002E7B89">
        <w:rPr>
          <w:lang w:val="lt-LT" w:bidi="lt-LT"/>
        </w:rPr>
        <w:t>, padidėjęs kalio išsiskyrimas (</w:t>
      </w:r>
      <w:r w:rsidR="00285B49" w:rsidRPr="002E7B89">
        <w:rPr>
          <w:lang w:val="lt-LT" w:bidi="lt-LT"/>
        </w:rPr>
        <w:t>atkreipti dėmesį dėl aritmijos</w:t>
      </w:r>
      <w:r w:rsidRPr="002E7B89">
        <w:rPr>
          <w:lang w:val="lt-LT" w:bidi="lt-LT"/>
        </w:rPr>
        <w:t xml:space="preserve">), </w:t>
      </w:r>
      <w:r w:rsidR="00285B49" w:rsidRPr="002E7B89">
        <w:rPr>
          <w:lang w:val="lt-LT" w:bidi="lt-LT"/>
        </w:rPr>
        <w:t xml:space="preserve">kūno </w:t>
      </w:r>
      <w:r w:rsidRPr="002E7B89">
        <w:rPr>
          <w:lang w:val="lt-LT" w:bidi="lt-LT"/>
        </w:rPr>
        <w:t>svorio padidėjimas, sumažėjęs gliukozės toleravimas, cukrinis diabetas, padidėjęs apetitas, hipercholesterolemija ir hipertrigliceridemija.</w:t>
      </w:r>
    </w:p>
    <w:p w14:paraId="6CE8C0D8" w14:textId="77777777" w:rsidR="00A16F40" w:rsidRPr="002E7B89" w:rsidRDefault="00A16F40" w:rsidP="002D4A26">
      <w:pPr>
        <w:pStyle w:val="Betarp"/>
        <w:rPr>
          <w:lang w:val="lt-LT"/>
        </w:rPr>
      </w:pPr>
    </w:p>
    <w:p w14:paraId="383B0D97" w14:textId="77777777" w:rsidR="00A16F40" w:rsidRPr="002E7B89" w:rsidRDefault="00716299" w:rsidP="002D4A26">
      <w:pPr>
        <w:pStyle w:val="Betarp"/>
        <w:rPr>
          <w:lang w:val="lt-LT"/>
        </w:rPr>
      </w:pPr>
      <w:r w:rsidRPr="002E7B89">
        <w:rPr>
          <w:u w:val="single"/>
          <w:lang w:val="lt-LT" w:bidi="lt-LT"/>
        </w:rPr>
        <w:t>Psichikos sutrikimai</w:t>
      </w:r>
    </w:p>
    <w:p w14:paraId="4C851BB8" w14:textId="77777777" w:rsidR="00A16F40" w:rsidRPr="002E7B89" w:rsidRDefault="00716299" w:rsidP="002D4A26">
      <w:pPr>
        <w:pStyle w:val="Betarp"/>
        <w:rPr>
          <w:lang w:val="lt-LT"/>
        </w:rPr>
      </w:pPr>
      <w:r w:rsidRPr="002E7B89">
        <w:rPr>
          <w:lang w:val="lt-LT" w:bidi="lt-LT"/>
        </w:rPr>
        <w:t>Psichozė, depresija, dirglumas, euforija, miego sutrikimai, labilumas, nerimas, manija, haliucinacijos, mintys apie savižudybę.</w:t>
      </w:r>
    </w:p>
    <w:p w14:paraId="29852EB9" w14:textId="77777777" w:rsidR="00A16F40" w:rsidRPr="002E7B89" w:rsidRDefault="00A16F40" w:rsidP="002D4A26">
      <w:pPr>
        <w:pStyle w:val="Betarp"/>
        <w:rPr>
          <w:lang w:val="lt-LT"/>
        </w:rPr>
      </w:pPr>
    </w:p>
    <w:p w14:paraId="755E309E" w14:textId="77777777" w:rsidR="00A16F40" w:rsidRPr="002E7B89" w:rsidRDefault="00716299" w:rsidP="002D4A26">
      <w:pPr>
        <w:pStyle w:val="Betarp"/>
        <w:rPr>
          <w:lang w:val="lt-LT"/>
        </w:rPr>
      </w:pPr>
      <w:r w:rsidRPr="002E7B89">
        <w:rPr>
          <w:u w:val="single"/>
          <w:lang w:val="lt-LT" w:bidi="lt-LT"/>
        </w:rPr>
        <w:t>Nervų sistemos sutrikimai</w:t>
      </w:r>
    </w:p>
    <w:p w14:paraId="397C0D31" w14:textId="77777777" w:rsidR="00A16F40" w:rsidRPr="002E7B89" w:rsidRDefault="009C24BC" w:rsidP="002D4A26">
      <w:pPr>
        <w:pStyle w:val="Betarp"/>
        <w:rPr>
          <w:lang w:val="lt-LT"/>
        </w:rPr>
      </w:pPr>
      <w:r w:rsidRPr="002E7B89">
        <w:rPr>
          <w:lang w:val="lt-LT" w:eastAsia="lt-LT"/>
        </w:rPr>
        <w:t>Intrakranialinio spaudimo padidėjimas</w:t>
      </w:r>
      <w:r w:rsidR="00716299" w:rsidRPr="002E7B89">
        <w:rPr>
          <w:lang w:val="lt-LT" w:bidi="lt-LT"/>
        </w:rPr>
        <w:t>, pirmą kartą pasireiškianti latentinė epilepsija, padidėjęs polinkis į traukulių priepuolius sergant manifestine epilepsija.</w:t>
      </w:r>
    </w:p>
    <w:p w14:paraId="6712EAF0" w14:textId="77777777" w:rsidR="00A16F40" w:rsidRPr="002E7B89" w:rsidRDefault="00A16F40" w:rsidP="002D4A26">
      <w:pPr>
        <w:pStyle w:val="Betarp"/>
        <w:rPr>
          <w:lang w:val="lt-LT"/>
        </w:rPr>
      </w:pPr>
    </w:p>
    <w:p w14:paraId="5BCBE6BB" w14:textId="77777777" w:rsidR="00A16F40" w:rsidRPr="002E7B89" w:rsidRDefault="00716299" w:rsidP="002D4A26">
      <w:pPr>
        <w:pStyle w:val="Betarp"/>
        <w:rPr>
          <w:lang w:val="lt-LT"/>
        </w:rPr>
      </w:pPr>
      <w:r w:rsidRPr="002E7B89">
        <w:rPr>
          <w:u w:val="single"/>
          <w:lang w:val="lt-LT" w:bidi="lt-LT"/>
        </w:rPr>
        <w:t>Akių sutrikimai</w:t>
      </w:r>
    </w:p>
    <w:p w14:paraId="385F8334" w14:textId="52B9A31E" w:rsidR="00A16F40" w:rsidRPr="002E7B89" w:rsidRDefault="00716299" w:rsidP="002D4A26">
      <w:pPr>
        <w:pStyle w:val="Betarp"/>
        <w:rPr>
          <w:lang w:val="lt-LT"/>
        </w:rPr>
      </w:pPr>
      <w:r w:rsidRPr="002E7B89">
        <w:rPr>
          <w:lang w:val="lt-LT" w:bidi="lt-LT"/>
        </w:rPr>
        <w:t xml:space="preserve">Padidėjęs akispūdis (glaukoma), lęšiuko drumstumas (katarakta). Ragenos opos simptomų pasunkėjimas, virusinio, grybelinio ir bakterinio akių uždegimo paūmėjimas, bakterinio ragenos uždegimo paūmėjimas, ptozė, midriazė, chemozė, jatrogeninė skleros perforacija, chorioretinopatija. Labai retais atvejais gali </w:t>
      </w:r>
      <w:r w:rsidR="009C24BC" w:rsidRPr="002E7B89">
        <w:rPr>
          <w:lang w:val="lt-LT" w:bidi="lt-LT"/>
        </w:rPr>
        <w:t>pasireikšti</w:t>
      </w:r>
      <w:r w:rsidRPr="002E7B89">
        <w:rPr>
          <w:lang w:val="lt-LT" w:bidi="lt-LT"/>
        </w:rPr>
        <w:t xml:space="preserve"> grįžtamasis egzoftalmas (taip pat žr. 4.4</w:t>
      </w:r>
      <w:r w:rsidR="00713CEC">
        <w:rPr>
          <w:lang w:val="lt-LT" w:bidi="lt-LT"/>
        </w:rPr>
        <w:t> </w:t>
      </w:r>
      <w:r w:rsidRPr="002E7B89">
        <w:rPr>
          <w:lang w:val="lt-LT" w:bidi="lt-LT"/>
        </w:rPr>
        <w:t>skyrių).</w:t>
      </w:r>
    </w:p>
    <w:p w14:paraId="4339319D" w14:textId="66AFCEC2" w:rsidR="00A16F40" w:rsidRDefault="00A16F40" w:rsidP="002D4A26">
      <w:pPr>
        <w:pStyle w:val="Betarp"/>
        <w:rPr>
          <w:lang w:val="lt-LT"/>
        </w:rPr>
      </w:pPr>
    </w:p>
    <w:p w14:paraId="6A5B9DF8" w14:textId="77777777" w:rsidR="00965D4B" w:rsidRPr="00965D4B" w:rsidRDefault="00965D4B" w:rsidP="002D4A26">
      <w:pPr>
        <w:pStyle w:val="Betarp"/>
        <w:rPr>
          <w:u w:val="single"/>
          <w:lang w:val="lt-LT" w:bidi="lt-LT"/>
        </w:rPr>
      </w:pPr>
      <w:r w:rsidRPr="00965D4B">
        <w:rPr>
          <w:u w:val="single"/>
          <w:lang w:val="lt-LT" w:bidi="lt-LT"/>
        </w:rPr>
        <w:t>Širdies sutrikimai</w:t>
      </w:r>
    </w:p>
    <w:p w14:paraId="019BCC36" w14:textId="36B388C5" w:rsidR="00965D4B" w:rsidRDefault="00366392" w:rsidP="002D4A26">
      <w:pPr>
        <w:pStyle w:val="Betarp"/>
        <w:rPr>
          <w:lang w:val="lt-LT"/>
        </w:rPr>
      </w:pPr>
      <w:r>
        <w:rPr>
          <w:lang w:val="lt-LT"/>
        </w:rPr>
        <w:t>N</w:t>
      </w:r>
      <w:r w:rsidR="00965D4B" w:rsidRPr="00965D4B">
        <w:rPr>
          <w:lang w:val="lt-LT"/>
        </w:rPr>
        <w:t>eišnešiotų kūdikių hipertrofinė kardiomiopatija (žr. 4.4</w:t>
      </w:r>
      <w:r w:rsidR="00713CEC">
        <w:rPr>
          <w:lang w:val="lt-LT"/>
        </w:rPr>
        <w:t> </w:t>
      </w:r>
      <w:r w:rsidR="00965D4B" w:rsidRPr="00965D4B">
        <w:rPr>
          <w:lang w:val="lt-LT"/>
        </w:rPr>
        <w:t>skyrių).</w:t>
      </w:r>
    </w:p>
    <w:p w14:paraId="327063FA" w14:textId="77777777" w:rsidR="00965D4B" w:rsidRPr="00965D4B" w:rsidRDefault="00965D4B" w:rsidP="002D4A26">
      <w:pPr>
        <w:pStyle w:val="Betarp"/>
        <w:rPr>
          <w:lang w:val="lt-LT"/>
        </w:rPr>
      </w:pPr>
    </w:p>
    <w:p w14:paraId="04313812" w14:textId="77777777" w:rsidR="00A16F40" w:rsidRPr="002E7B89" w:rsidRDefault="00716299" w:rsidP="002D4A26">
      <w:pPr>
        <w:pStyle w:val="Betarp"/>
        <w:rPr>
          <w:lang w:val="lt-LT"/>
        </w:rPr>
      </w:pPr>
      <w:r w:rsidRPr="002E7B89">
        <w:rPr>
          <w:u w:val="single"/>
          <w:lang w:val="lt-LT" w:bidi="lt-LT"/>
        </w:rPr>
        <w:t>Kraujagyslių sutrikimai</w:t>
      </w:r>
    </w:p>
    <w:p w14:paraId="6F40AA75" w14:textId="77777777" w:rsidR="00A16F40" w:rsidRPr="002E7B89" w:rsidRDefault="00716299" w:rsidP="002D4A26">
      <w:pPr>
        <w:pStyle w:val="Betarp"/>
        <w:rPr>
          <w:lang w:val="lt-LT"/>
        </w:rPr>
      </w:pPr>
      <w:r w:rsidRPr="002E7B89">
        <w:rPr>
          <w:lang w:val="lt-LT" w:bidi="lt-LT"/>
        </w:rPr>
        <w:t>Hipertenzija, padidėjusi aterosklerozės ir trombozės rizika, kraujagyslių uždegimas (vaskulitas, taip pat kaip nutraukimo simptomas po ilgalaikio gydymo), kapiliarų trapumas.</w:t>
      </w:r>
    </w:p>
    <w:p w14:paraId="1ED832E2" w14:textId="77777777" w:rsidR="00A16F40" w:rsidRPr="002E7B89" w:rsidRDefault="00A16F40" w:rsidP="002D4A26">
      <w:pPr>
        <w:pStyle w:val="Betarp"/>
        <w:rPr>
          <w:lang w:val="lt-LT"/>
        </w:rPr>
      </w:pPr>
    </w:p>
    <w:p w14:paraId="6724BCA0" w14:textId="77777777" w:rsidR="00A16F40" w:rsidRPr="002E7B89" w:rsidRDefault="00716299" w:rsidP="002D4A26">
      <w:pPr>
        <w:pStyle w:val="Betarp"/>
        <w:rPr>
          <w:lang w:val="lt-LT"/>
        </w:rPr>
      </w:pPr>
      <w:r w:rsidRPr="002E7B89">
        <w:rPr>
          <w:u w:val="single"/>
          <w:lang w:val="lt-LT" w:bidi="lt-LT"/>
        </w:rPr>
        <w:t>Virškinimo trakto sutrikimai</w:t>
      </w:r>
    </w:p>
    <w:p w14:paraId="07652CA1" w14:textId="77777777" w:rsidR="00A16F40" w:rsidRPr="002E7B89" w:rsidRDefault="003121D5" w:rsidP="002D4A26">
      <w:pPr>
        <w:pStyle w:val="Betarp"/>
        <w:rPr>
          <w:lang w:val="lt-LT"/>
        </w:rPr>
      </w:pPr>
      <w:r w:rsidRPr="002E7B89">
        <w:rPr>
          <w:lang w:val="lt-LT" w:bidi="lt-LT"/>
        </w:rPr>
        <w:t>Dispepsija</w:t>
      </w:r>
      <w:r w:rsidR="00716299" w:rsidRPr="002E7B89">
        <w:rPr>
          <w:lang w:val="lt-LT" w:bidi="lt-LT"/>
        </w:rPr>
        <w:t>, skrandžio ar dvylikapirštės žarnos opos suaktyvėjimas ir išsivystymas, pankreatitas (polinkį turintiems pacientams, pvz., dėl alkoholizmo), kraujavimas iš virškinimo trakto, perforacijos rizika sergant opiniu kolitu.</w:t>
      </w:r>
    </w:p>
    <w:p w14:paraId="4F6DE28C" w14:textId="77777777" w:rsidR="00A16F40" w:rsidRPr="002E7B89" w:rsidRDefault="00A16F40" w:rsidP="002D4A26">
      <w:pPr>
        <w:pStyle w:val="Betarp"/>
        <w:rPr>
          <w:lang w:val="lt-LT"/>
        </w:rPr>
      </w:pPr>
    </w:p>
    <w:p w14:paraId="4598E854" w14:textId="77777777" w:rsidR="00A16F40" w:rsidRPr="002E7B89" w:rsidRDefault="00716299" w:rsidP="002D4A26">
      <w:pPr>
        <w:pStyle w:val="Betarp"/>
        <w:rPr>
          <w:lang w:val="lt-LT"/>
        </w:rPr>
      </w:pPr>
      <w:r w:rsidRPr="002E7B89">
        <w:rPr>
          <w:u w:val="single"/>
          <w:lang w:val="lt-LT" w:bidi="lt-LT"/>
        </w:rPr>
        <w:t>Odos ir poodinio audinio sutrikimai</w:t>
      </w:r>
    </w:p>
    <w:p w14:paraId="1615C5B2" w14:textId="77777777" w:rsidR="00A16F40" w:rsidRPr="002E7B89" w:rsidRDefault="00716299" w:rsidP="002D4A26">
      <w:pPr>
        <w:pStyle w:val="Betarp"/>
        <w:rPr>
          <w:lang w:val="lt-LT"/>
        </w:rPr>
      </w:pPr>
      <w:r w:rsidRPr="002E7B89">
        <w:rPr>
          <w:lang w:val="lt-LT" w:bidi="lt-LT"/>
        </w:rPr>
        <w:lastRenderedPageBreak/>
        <w:t>Strijos (</w:t>
      </w:r>
      <w:r w:rsidR="004A7E46" w:rsidRPr="00C063C5">
        <w:rPr>
          <w:i/>
          <w:lang w:val="lt-LT" w:bidi="lt-LT"/>
        </w:rPr>
        <w:t>striae rubra</w:t>
      </w:r>
      <w:r w:rsidRPr="002E7B89">
        <w:rPr>
          <w:lang w:val="lt-LT" w:bidi="lt-LT"/>
        </w:rPr>
        <w:t xml:space="preserve">), odos </w:t>
      </w:r>
      <w:r w:rsidR="009C24BC" w:rsidRPr="002E7B89">
        <w:rPr>
          <w:lang w:val="lt-LT" w:bidi="lt-LT"/>
        </w:rPr>
        <w:t>su</w:t>
      </w:r>
      <w:r w:rsidRPr="002E7B89">
        <w:rPr>
          <w:lang w:val="lt-LT" w:bidi="lt-LT"/>
        </w:rPr>
        <w:t>plonėjimas (atrofija), taškinis kraujavimas po oda (petechijos), mėlynės (ekchimozė</w:t>
      </w:r>
      <w:r w:rsidR="009C24BC" w:rsidRPr="002E7B89">
        <w:rPr>
          <w:lang w:val="lt-LT" w:bidi="lt-LT"/>
        </w:rPr>
        <w:t>s</w:t>
      </w:r>
      <w:r w:rsidRPr="002E7B89">
        <w:rPr>
          <w:lang w:val="lt-LT" w:bidi="lt-LT"/>
        </w:rPr>
        <w:t>), steroidin</w:t>
      </w:r>
      <w:r w:rsidR="009C24BC" w:rsidRPr="002E7B89">
        <w:rPr>
          <w:lang w:val="lt-LT" w:bidi="lt-LT"/>
        </w:rPr>
        <w:t>iai spuogai</w:t>
      </w:r>
      <w:r w:rsidRPr="002E7B89">
        <w:rPr>
          <w:lang w:val="lt-LT" w:bidi="lt-LT"/>
        </w:rPr>
        <w:t xml:space="preserve">, </w:t>
      </w:r>
      <w:r w:rsidR="004A7E46">
        <w:rPr>
          <w:lang w:val="lt-LT" w:bidi="lt-LT"/>
        </w:rPr>
        <w:t>perioralinis</w:t>
      </w:r>
      <w:r w:rsidRPr="002E7B89">
        <w:rPr>
          <w:lang w:val="lt-LT" w:bidi="lt-LT"/>
        </w:rPr>
        <w:t xml:space="preserve"> dermatitas, tel</w:t>
      </w:r>
      <w:r w:rsidR="009C24BC" w:rsidRPr="002E7B89">
        <w:rPr>
          <w:lang w:val="lt-LT" w:bidi="lt-LT"/>
        </w:rPr>
        <w:t>a</w:t>
      </w:r>
      <w:r w:rsidRPr="002E7B89">
        <w:rPr>
          <w:lang w:val="lt-LT" w:bidi="lt-LT"/>
        </w:rPr>
        <w:t>angiektazij</w:t>
      </w:r>
      <w:r w:rsidR="009C24BC" w:rsidRPr="002E7B89">
        <w:rPr>
          <w:lang w:val="lt-LT" w:bidi="lt-LT"/>
        </w:rPr>
        <w:t>os</w:t>
      </w:r>
      <w:r w:rsidRPr="002E7B89">
        <w:rPr>
          <w:lang w:val="lt-LT" w:bidi="lt-LT"/>
        </w:rPr>
        <w:t>, hipertrichozė</w:t>
      </w:r>
      <w:r w:rsidR="009C24BC" w:rsidRPr="002E7B89">
        <w:rPr>
          <w:lang w:val="lt-LT" w:bidi="lt-LT"/>
        </w:rPr>
        <w:t>s</w:t>
      </w:r>
      <w:r w:rsidRPr="002E7B89">
        <w:rPr>
          <w:lang w:val="lt-LT" w:bidi="lt-LT"/>
        </w:rPr>
        <w:t xml:space="preserve">, odos pigmentacijos </w:t>
      </w:r>
      <w:r w:rsidR="009C24BC" w:rsidRPr="002E7B89">
        <w:rPr>
          <w:lang w:val="lt-LT" w:bidi="lt-LT"/>
        </w:rPr>
        <w:t>sutrikimai</w:t>
      </w:r>
      <w:r w:rsidRPr="002E7B89">
        <w:rPr>
          <w:lang w:val="lt-LT" w:bidi="lt-LT"/>
        </w:rPr>
        <w:t>.</w:t>
      </w:r>
    </w:p>
    <w:p w14:paraId="5C4DF5B6" w14:textId="77777777" w:rsidR="00A16F40" w:rsidRPr="002E7B89" w:rsidRDefault="00A16F40" w:rsidP="002D4A26">
      <w:pPr>
        <w:pStyle w:val="Betarp"/>
        <w:rPr>
          <w:lang w:val="lt-LT"/>
        </w:rPr>
      </w:pPr>
    </w:p>
    <w:p w14:paraId="35D81BDD" w14:textId="77777777" w:rsidR="00A16F40" w:rsidRPr="002E7B89" w:rsidRDefault="00716299" w:rsidP="002D4A26">
      <w:pPr>
        <w:pStyle w:val="Betarp"/>
        <w:rPr>
          <w:lang w:val="lt-LT"/>
        </w:rPr>
      </w:pPr>
      <w:r w:rsidRPr="002E7B89">
        <w:rPr>
          <w:u w:val="single"/>
          <w:lang w:val="lt-LT" w:bidi="lt-LT"/>
        </w:rPr>
        <w:t>Skeleto, raumenų ir jungiamojo audinio sutrikimai</w:t>
      </w:r>
    </w:p>
    <w:p w14:paraId="3EB1B178" w14:textId="77777777" w:rsidR="00A16F40" w:rsidRPr="002E7B89" w:rsidRDefault="00716299" w:rsidP="002D4A26">
      <w:pPr>
        <w:pStyle w:val="Betarp"/>
        <w:rPr>
          <w:lang w:val="lt-LT"/>
        </w:rPr>
      </w:pPr>
      <w:r w:rsidRPr="002E7B89">
        <w:rPr>
          <w:lang w:val="lt-LT" w:bidi="lt-LT"/>
        </w:rPr>
        <w:t>Raumenų silpnumas, raumenų išsekimas (atrofija), miopatija, sausgyslių sutrikimai, tendinitas, sausgysl</w:t>
      </w:r>
      <w:r w:rsidR="009C24BC" w:rsidRPr="002E7B89">
        <w:rPr>
          <w:lang w:val="lt-LT" w:bidi="lt-LT"/>
        </w:rPr>
        <w:t>ės</w:t>
      </w:r>
      <w:r w:rsidRPr="002E7B89">
        <w:rPr>
          <w:lang w:val="lt-LT" w:bidi="lt-LT"/>
        </w:rPr>
        <w:t xml:space="preserve"> plyšimas, osteoporozė, aseptinė osteonekrozė, vaikų augimo sulėtėjimas, epidurinė lipomatozė.</w:t>
      </w:r>
    </w:p>
    <w:p w14:paraId="41F22DAC" w14:textId="77777777" w:rsidR="00A16F40" w:rsidRPr="002E7B89" w:rsidRDefault="00A16F40" w:rsidP="002D4A26">
      <w:pPr>
        <w:pStyle w:val="Betarp"/>
        <w:rPr>
          <w:lang w:val="lt-LT"/>
        </w:rPr>
      </w:pPr>
    </w:p>
    <w:p w14:paraId="02CEFA9A" w14:textId="77777777" w:rsidR="00A16F40" w:rsidRPr="002E7B89" w:rsidRDefault="00716299" w:rsidP="002D4A26">
      <w:pPr>
        <w:pStyle w:val="Betarp"/>
        <w:rPr>
          <w:lang w:val="lt-LT"/>
        </w:rPr>
      </w:pPr>
      <w:r w:rsidRPr="002E7B89">
        <w:rPr>
          <w:u w:val="single"/>
          <w:lang w:val="lt-LT" w:bidi="lt-LT"/>
        </w:rPr>
        <w:t>Lytinės sistemos ir krūties sutrikimai</w:t>
      </w:r>
    </w:p>
    <w:p w14:paraId="597094A0" w14:textId="77777777" w:rsidR="00A16F40" w:rsidRPr="002E7B89" w:rsidRDefault="00716299" w:rsidP="002D4A26">
      <w:pPr>
        <w:pStyle w:val="Betarp"/>
        <w:rPr>
          <w:lang w:val="lt-LT"/>
        </w:rPr>
      </w:pPr>
      <w:r w:rsidRPr="002E7B89">
        <w:rPr>
          <w:lang w:val="lt-LT" w:bidi="lt-LT"/>
        </w:rPr>
        <w:t>Lytinių hormonų sekrecijos sutrikimai (amenorėja, hirsutizmas, impotencija).</w:t>
      </w:r>
    </w:p>
    <w:p w14:paraId="4F029E2F" w14:textId="77777777" w:rsidR="00A16F40" w:rsidRPr="002E7B89" w:rsidRDefault="00A16F40" w:rsidP="002D4A26">
      <w:pPr>
        <w:pStyle w:val="Betarp"/>
        <w:rPr>
          <w:lang w:val="lt-LT"/>
        </w:rPr>
      </w:pPr>
    </w:p>
    <w:p w14:paraId="327B5CAC" w14:textId="77777777" w:rsidR="00A16F40" w:rsidRPr="002E7B89" w:rsidRDefault="00716299" w:rsidP="002D4A26">
      <w:pPr>
        <w:pStyle w:val="Betarp"/>
        <w:rPr>
          <w:lang w:val="lt-LT"/>
        </w:rPr>
      </w:pPr>
      <w:r w:rsidRPr="002E7B89">
        <w:rPr>
          <w:u w:val="single"/>
          <w:lang w:val="lt-LT" w:bidi="lt-LT"/>
        </w:rPr>
        <w:t>Bendrieji sutrikimai ir vartojimo vietos pažeidimai</w:t>
      </w:r>
    </w:p>
    <w:p w14:paraId="419F0608" w14:textId="77777777" w:rsidR="00A16F40" w:rsidRPr="002E7B89" w:rsidRDefault="00716299" w:rsidP="002D4A26">
      <w:pPr>
        <w:pStyle w:val="Betarp"/>
        <w:rPr>
          <w:lang w:val="lt-LT"/>
        </w:rPr>
      </w:pPr>
      <w:r w:rsidRPr="002E7B89">
        <w:rPr>
          <w:lang w:val="lt-LT" w:bidi="lt-LT"/>
        </w:rPr>
        <w:t>Sulėtėjęs žaizdų gijimas.</w:t>
      </w:r>
    </w:p>
    <w:p w14:paraId="0CB728B1" w14:textId="77777777" w:rsidR="00A16F40" w:rsidRPr="002E7B89" w:rsidRDefault="00A16F40" w:rsidP="002D4A26">
      <w:pPr>
        <w:pStyle w:val="Betarp"/>
        <w:rPr>
          <w:lang w:val="lt-LT"/>
        </w:rPr>
      </w:pPr>
    </w:p>
    <w:p w14:paraId="69A0C239" w14:textId="77777777" w:rsidR="00A16F40" w:rsidRPr="002E7B89" w:rsidRDefault="009C24BC" w:rsidP="002D4A26">
      <w:pPr>
        <w:pStyle w:val="Betarp"/>
        <w:rPr>
          <w:lang w:val="lt-LT"/>
        </w:rPr>
      </w:pPr>
      <w:r w:rsidRPr="002E7B89">
        <w:rPr>
          <w:lang w:val="lt-LT" w:bidi="lt-LT"/>
        </w:rPr>
        <w:t>Lokalus</w:t>
      </w:r>
      <w:r w:rsidR="00716299" w:rsidRPr="002E7B89">
        <w:rPr>
          <w:lang w:val="lt-LT" w:bidi="lt-LT"/>
        </w:rPr>
        <w:t xml:space="preserve"> vartojimas: galimas vietinis dirginimas ir netoleravimo požymiai (karščio pojūtis, ilgai trunkantis skausmas), ypač vartojant į akis. Jei kortikosteroidai į sąnario ertmę </w:t>
      </w:r>
      <w:r w:rsidR="00D22C6D" w:rsidRPr="002E7B89">
        <w:rPr>
          <w:lang w:val="lt-LT" w:bidi="lt-LT"/>
        </w:rPr>
        <w:t>leidžiami</w:t>
      </w:r>
      <w:r w:rsidR="00716299" w:rsidRPr="002E7B89">
        <w:rPr>
          <w:lang w:val="lt-LT" w:bidi="lt-LT"/>
        </w:rPr>
        <w:t xml:space="preserve"> nepakankamai atsargiai, negalima atmesti odos ir poodinio audinio atrofijos išsivystymo injekcijos vietoje.</w:t>
      </w:r>
    </w:p>
    <w:p w14:paraId="57480030" w14:textId="77777777" w:rsidR="00A60FCD" w:rsidRPr="002E7B89" w:rsidRDefault="00A60FCD" w:rsidP="00FA56A6">
      <w:pPr>
        <w:pStyle w:val="Betarp"/>
        <w:ind w:right="-309"/>
        <w:rPr>
          <w:lang w:val="lt-LT"/>
        </w:rPr>
      </w:pPr>
      <w:bookmarkStart w:id="11" w:name="Meldung_des_Verdachts_auf_Nebenwirkungen"/>
      <w:bookmarkEnd w:id="11"/>
    </w:p>
    <w:p w14:paraId="003C1878" w14:textId="77777777" w:rsidR="00E25694" w:rsidRPr="002E7B89" w:rsidRDefault="00E25694" w:rsidP="00FB3722">
      <w:pPr>
        <w:tabs>
          <w:tab w:val="left" w:pos="567"/>
        </w:tabs>
        <w:adjustRightInd w:val="0"/>
        <w:contextualSpacing/>
        <w:jc w:val="both"/>
        <w:rPr>
          <w:rFonts w:eastAsia="Calibri"/>
          <w:u w:val="single"/>
          <w:lang w:val="lt-LT"/>
        </w:rPr>
      </w:pPr>
      <w:r w:rsidRPr="002E7B89">
        <w:rPr>
          <w:u w:val="single"/>
          <w:lang w:val="lt-LT"/>
        </w:rPr>
        <w:t>Pranešimas apie įtariamas nepageidaujamas reakcijas</w:t>
      </w:r>
    </w:p>
    <w:p w14:paraId="1C835DB5" w14:textId="5835272A" w:rsidR="00FB3722" w:rsidRPr="002E7B89" w:rsidRDefault="00FB3722" w:rsidP="00FA56A6">
      <w:pPr>
        <w:tabs>
          <w:tab w:val="left" w:pos="567"/>
          <w:tab w:val="left" w:pos="5954"/>
        </w:tabs>
        <w:adjustRightInd w:val="0"/>
        <w:contextualSpacing/>
        <w:rPr>
          <w:snapToGrid w:val="0"/>
          <w:szCs w:val="24"/>
          <w:lang w:val="lt-LT"/>
        </w:rPr>
      </w:pPr>
      <w:r w:rsidRPr="002E7B89">
        <w:rPr>
          <w:snapToGrid w:val="0"/>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w:t>
      </w:r>
      <w:r w:rsidR="008B5C86" w:rsidRPr="009749E3">
        <w:rPr>
          <w:snapToGrid w:val="0"/>
          <w:szCs w:val="24"/>
          <w:lang w:val="lt-LT"/>
        </w:rPr>
        <w:t xml:space="preserve">ir pateikę </w:t>
      </w:r>
      <w:r w:rsidRPr="002E7B89">
        <w:rPr>
          <w:snapToGrid w:val="0"/>
          <w:szCs w:val="24"/>
          <w:lang w:val="lt-LT"/>
        </w:rPr>
        <w:t xml:space="preserve">pranešimo formą </w:t>
      </w:r>
      <w:r w:rsidR="008B5C86" w:rsidRPr="009749E3">
        <w:rPr>
          <w:snapToGrid w:val="0"/>
          <w:szCs w:val="24"/>
          <w:lang w:val="lt-LT"/>
        </w:rPr>
        <w:t>Valstybinės vaistų kontrolės tarnybos prie Lietuvos Respublikos sveikatos apsaugos ministerijos</w:t>
      </w:r>
      <w:r w:rsidR="009E352A">
        <w:rPr>
          <w:snapToGrid w:val="0"/>
          <w:szCs w:val="24"/>
          <w:lang w:val="lt-LT"/>
        </w:rPr>
        <w:t xml:space="preserve"> </w:t>
      </w:r>
      <w:r w:rsidR="008B5C86" w:rsidRPr="009749E3">
        <w:rPr>
          <w:snapToGrid w:val="0"/>
          <w:szCs w:val="24"/>
          <w:lang w:val="lt-LT"/>
        </w:rPr>
        <w:t>tinklalapyje https://vvkt.lrv.lt/lt/ nurodytais būdais</w:t>
      </w:r>
      <w:r w:rsidR="008B5C86">
        <w:rPr>
          <w:snapToGrid w:val="0"/>
          <w:szCs w:val="24"/>
          <w:lang w:val="lt-LT"/>
        </w:rPr>
        <w:t>.</w:t>
      </w:r>
    </w:p>
    <w:p w14:paraId="76AE9F60" w14:textId="77777777" w:rsidR="00A16F40" w:rsidRPr="002E7B89" w:rsidRDefault="00A16F40" w:rsidP="002D4A26">
      <w:pPr>
        <w:pStyle w:val="Betarp"/>
        <w:rPr>
          <w:lang w:val="lt-LT"/>
        </w:rPr>
      </w:pPr>
    </w:p>
    <w:p w14:paraId="24251E10" w14:textId="77777777" w:rsidR="00A16F40" w:rsidRPr="002E7B89" w:rsidRDefault="00955027" w:rsidP="002D4A26">
      <w:pPr>
        <w:pStyle w:val="Betarp"/>
        <w:rPr>
          <w:b/>
          <w:lang w:val="lt-LT"/>
        </w:rPr>
      </w:pPr>
      <w:bookmarkStart w:id="12" w:name="4.9_Überdosierung"/>
      <w:bookmarkEnd w:id="12"/>
      <w:r w:rsidRPr="002E7B89">
        <w:rPr>
          <w:b/>
          <w:lang w:val="lt-LT" w:bidi="lt-LT"/>
        </w:rPr>
        <w:t>4.9</w:t>
      </w:r>
      <w:r w:rsidRPr="002E7B89">
        <w:rPr>
          <w:b/>
          <w:lang w:val="lt-LT" w:bidi="lt-LT"/>
        </w:rPr>
        <w:tab/>
        <w:t>Perdozavimas</w:t>
      </w:r>
    </w:p>
    <w:p w14:paraId="3EFF0CC7" w14:textId="77777777" w:rsidR="00A16F40" w:rsidRPr="002E7B89" w:rsidRDefault="00A16F40" w:rsidP="002D4A26">
      <w:pPr>
        <w:pStyle w:val="Betarp"/>
        <w:rPr>
          <w:lang w:val="lt-LT"/>
        </w:rPr>
      </w:pPr>
    </w:p>
    <w:p w14:paraId="5999F446" w14:textId="0A2C539F" w:rsidR="00A16F40" w:rsidRPr="002E7B89" w:rsidRDefault="00716299" w:rsidP="002D4A26">
      <w:pPr>
        <w:pStyle w:val="Betarp"/>
        <w:rPr>
          <w:lang w:val="lt-LT"/>
        </w:rPr>
      </w:pPr>
      <w:r w:rsidRPr="002E7B89">
        <w:rPr>
          <w:lang w:val="lt-LT" w:bidi="lt-LT"/>
        </w:rPr>
        <w:t>Ūmi</w:t>
      </w:r>
      <w:r w:rsidR="00D22C6D" w:rsidRPr="002E7B89">
        <w:rPr>
          <w:lang w:val="lt-LT" w:bidi="lt-LT"/>
        </w:rPr>
        <w:t xml:space="preserve">nio </w:t>
      </w:r>
      <w:r w:rsidR="004A7E46">
        <w:rPr>
          <w:lang w:val="lt-LT" w:bidi="lt-LT"/>
        </w:rPr>
        <w:t>apsinuodijimo</w:t>
      </w:r>
      <w:r w:rsidR="00D22C6D" w:rsidRPr="002E7B89">
        <w:rPr>
          <w:lang w:val="lt-LT" w:bidi="lt-LT"/>
        </w:rPr>
        <w:t xml:space="preserve"> deksametazon</w:t>
      </w:r>
      <w:r w:rsidR="004A7E46">
        <w:rPr>
          <w:lang w:val="lt-LT" w:bidi="lt-LT"/>
        </w:rPr>
        <w:t>u</w:t>
      </w:r>
      <w:r w:rsidR="00D22C6D" w:rsidRPr="002E7B89">
        <w:rPr>
          <w:lang w:val="lt-LT" w:bidi="lt-LT"/>
        </w:rPr>
        <w:t xml:space="preserve"> atvejų </w:t>
      </w:r>
      <w:r w:rsidRPr="002E7B89">
        <w:rPr>
          <w:lang w:val="lt-LT" w:bidi="lt-LT"/>
        </w:rPr>
        <w:t xml:space="preserve">nėra žinoma. Perdozavus galima padažnėjusių nepageidaujamų reakcijų </w:t>
      </w:r>
      <w:r w:rsidR="00D22C6D" w:rsidRPr="002E7B89">
        <w:rPr>
          <w:lang w:val="lt-LT" w:bidi="lt-LT"/>
        </w:rPr>
        <w:t xml:space="preserve">tikimybė </w:t>
      </w:r>
      <w:r w:rsidRPr="002E7B89">
        <w:rPr>
          <w:lang w:val="lt-LT" w:bidi="lt-LT"/>
        </w:rPr>
        <w:t>(žr. 4.8</w:t>
      </w:r>
      <w:r w:rsidR="00713CEC">
        <w:rPr>
          <w:lang w:val="lt-LT" w:bidi="lt-LT"/>
        </w:rPr>
        <w:t> </w:t>
      </w:r>
      <w:r w:rsidRPr="002E7B89">
        <w:rPr>
          <w:lang w:val="lt-LT" w:bidi="lt-LT"/>
        </w:rPr>
        <w:t xml:space="preserve">skyrių), </w:t>
      </w:r>
      <w:r w:rsidR="00D22C6D" w:rsidRPr="002E7B89">
        <w:rPr>
          <w:lang w:val="lt-LT" w:bidi="lt-LT"/>
        </w:rPr>
        <w:t>pirmiausia</w:t>
      </w:r>
      <w:r w:rsidRPr="002E7B89">
        <w:rPr>
          <w:lang w:val="lt-LT" w:bidi="lt-LT"/>
        </w:rPr>
        <w:t xml:space="preserve"> susijusių su endokrinine sistema, medžiagų apykaita ir elektrolitų pusiausvyra. </w:t>
      </w:r>
      <w:r w:rsidR="00D22C6D" w:rsidRPr="002E7B89">
        <w:rPr>
          <w:lang w:val="lt-LT" w:bidi="lt-LT"/>
        </w:rPr>
        <w:t>Priešnuodžio nėra žinoma.</w:t>
      </w:r>
    </w:p>
    <w:p w14:paraId="023D144D" w14:textId="77777777" w:rsidR="00A16F40" w:rsidRPr="002E7B89" w:rsidRDefault="00A16F40" w:rsidP="002D4A26">
      <w:pPr>
        <w:pStyle w:val="Betarp"/>
        <w:rPr>
          <w:lang w:val="lt-LT"/>
        </w:rPr>
      </w:pPr>
    </w:p>
    <w:p w14:paraId="7C406C8A" w14:textId="77777777" w:rsidR="00A16F40" w:rsidRPr="002E7B89" w:rsidRDefault="00A16F40" w:rsidP="002D4A26">
      <w:pPr>
        <w:pStyle w:val="Betarp"/>
        <w:rPr>
          <w:lang w:val="lt-LT"/>
        </w:rPr>
      </w:pPr>
    </w:p>
    <w:p w14:paraId="4E90EE88" w14:textId="77777777" w:rsidR="00A16F40" w:rsidRPr="002E7B89" w:rsidRDefault="00955027" w:rsidP="002D4A26">
      <w:pPr>
        <w:pStyle w:val="Betarp"/>
        <w:rPr>
          <w:b/>
          <w:lang w:val="lt-LT"/>
        </w:rPr>
      </w:pPr>
      <w:bookmarkStart w:id="13" w:name="5._PHARMAKOLOGISCHE_EIGENSCHAFTEN"/>
      <w:bookmarkEnd w:id="13"/>
      <w:r w:rsidRPr="002E7B89">
        <w:rPr>
          <w:b/>
          <w:lang w:val="lt-LT" w:bidi="lt-LT"/>
        </w:rPr>
        <w:t>5.</w:t>
      </w:r>
      <w:r w:rsidRPr="002E7B89">
        <w:rPr>
          <w:b/>
          <w:lang w:val="lt-LT" w:bidi="lt-LT"/>
        </w:rPr>
        <w:tab/>
        <w:t>FARMAKOLOGINĖS SAVYBĖS</w:t>
      </w:r>
    </w:p>
    <w:p w14:paraId="291BC6AD" w14:textId="77777777" w:rsidR="00A16F40" w:rsidRPr="002E7B89" w:rsidRDefault="00A16F40" w:rsidP="002D4A26">
      <w:pPr>
        <w:pStyle w:val="Betarp"/>
        <w:rPr>
          <w:lang w:val="lt-LT"/>
        </w:rPr>
      </w:pPr>
    </w:p>
    <w:p w14:paraId="29A1AA93" w14:textId="77777777" w:rsidR="00A16F40" w:rsidRPr="002E7B89" w:rsidRDefault="00955027" w:rsidP="002D4A26">
      <w:pPr>
        <w:pStyle w:val="Betarp"/>
        <w:rPr>
          <w:b/>
          <w:lang w:val="lt-LT"/>
        </w:rPr>
      </w:pPr>
      <w:r w:rsidRPr="002E7B89">
        <w:rPr>
          <w:b/>
          <w:lang w:val="lt-LT" w:bidi="lt-LT"/>
        </w:rPr>
        <w:t>5.1</w:t>
      </w:r>
      <w:r w:rsidRPr="002E7B89">
        <w:rPr>
          <w:b/>
          <w:lang w:val="lt-LT" w:bidi="lt-LT"/>
        </w:rPr>
        <w:tab/>
        <w:t>Farmakodinaminės savybės</w:t>
      </w:r>
    </w:p>
    <w:p w14:paraId="3A198712" w14:textId="77777777" w:rsidR="00A16F40" w:rsidRPr="002E7B89" w:rsidRDefault="00A16F40" w:rsidP="002D4A26">
      <w:pPr>
        <w:pStyle w:val="Betarp"/>
        <w:rPr>
          <w:lang w:val="lt-LT"/>
        </w:rPr>
      </w:pPr>
    </w:p>
    <w:p w14:paraId="005F83D3" w14:textId="77777777" w:rsidR="00D22C6D" w:rsidRPr="002E7B89" w:rsidRDefault="00716299" w:rsidP="00D22C6D">
      <w:pPr>
        <w:adjustRightInd w:val="0"/>
        <w:rPr>
          <w:lang w:val="lt-LT"/>
        </w:rPr>
      </w:pPr>
      <w:r w:rsidRPr="002E7B89">
        <w:rPr>
          <w:lang w:val="lt-LT" w:bidi="lt-LT"/>
        </w:rPr>
        <w:t xml:space="preserve">Farmakoterapinė grupė – </w:t>
      </w:r>
      <w:r w:rsidR="00D22C6D" w:rsidRPr="002E7B89">
        <w:rPr>
          <w:lang w:val="lt-LT"/>
        </w:rPr>
        <w:t>sisteminio poveikio kortikosteroidai, gliukokortikoidai, ATC kodas – H02AB02.</w:t>
      </w:r>
    </w:p>
    <w:p w14:paraId="6B50F7A9" w14:textId="77777777" w:rsidR="00A16F40" w:rsidRPr="002E7B89" w:rsidRDefault="00A16F40" w:rsidP="002D4A26">
      <w:pPr>
        <w:pStyle w:val="Betarp"/>
        <w:rPr>
          <w:lang w:val="lt-LT"/>
        </w:rPr>
      </w:pPr>
    </w:p>
    <w:p w14:paraId="1C3A0F93" w14:textId="77777777" w:rsidR="00A16F40" w:rsidRPr="002E7B89" w:rsidRDefault="00716299" w:rsidP="002D4A26">
      <w:pPr>
        <w:pStyle w:val="Betarp"/>
        <w:rPr>
          <w:lang w:val="lt-LT"/>
        </w:rPr>
      </w:pPr>
      <w:r w:rsidRPr="002E7B89">
        <w:rPr>
          <w:lang w:val="lt-LT" w:bidi="lt-LT"/>
        </w:rPr>
        <w:t>Deksametazonas yra monofluorintas gliukokortikoidas, pasižymintis antialerginėmis, uždegimo slopinamosiomis ir membranas stabilizuojančiomis savybėmis ir poveikiu angliavandenių, baltymų ir lipidų apykaitai.</w:t>
      </w:r>
    </w:p>
    <w:p w14:paraId="7A7441F5" w14:textId="77777777" w:rsidR="004D474D" w:rsidRPr="002E7B89" w:rsidRDefault="004D474D" w:rsidP="002D4A26">
      <w:pPr>
        <w:pStyle w:val="Betarp"/>
        <w:rPr>
          <w:highlight w:val="green"/>
          <w:lang w:val="lt-LT"/>
        </w:rPr>
      </w:pPr>
    </w:p>
    <w:p w14:paraId="59133FC0" w14:textId="6190BAAD" w:rsidR="00A16F40" w:rsidRPr="002E7B89" w:rsidRDefault="004D474D" w:rsidP="002D4A26">
      <w:pPr>
        <w:pStyle w:val="Betarp"/>
        <w:rPr>
          <w:lang w:val="lt-LT"/>
        </w:rPr>
      </w:pPr>
      <w:r w:rsidRPr="002E7B89">
        <w:rPr>
          <w:lang w:val="lt-LT" w:bidi="lt-LT"/>
        </w:rPr>
        <w:t>Deksametazono biologinis pusinės eliminacijos laikas yra daugiau kaip 36</w:t>
      </w:r>
      <w:r w:rsidR="008B5C86">
        <w:rPr>
          <w:lang w:val="lt-LT" w:bidi="lt-LT"/>
        </w:rPr>
        <w:t> </w:t>
      </w:r>
      <w:r w:rsidRPr="002E7B89">
        <w:rPr>
          <w:lang w:val="lt-LT" w:bidi="lt-LT"/>
        </w:rPr>
        <w:t>valandos, taigi jis priklauso labai ilgo veikimo gliukokortikoidų grupei. Dėl ilgos veikimo trukmės deksametazonas gali kauptis ir būti perdozuojamas, jei vartojamas nuolat kiekvieną dieną.</w:t>
      </w:r>
    </w:p>
    <w:p w14:paraId="52818A61" w14:textId="77777777" w:rsidR="004D474D" w:rsidRPr="002E7B89" w:rsidRDefault="004D474D" w:rsidP="002D4A26">
      <w:pPr>
        <w:pStyle w:val="Betarp"/>
        <w:rPr>
          <w:lang w:val="lt-LT"/>
        </w:rPr>
      </w:pPr>
    </w:p>
    <w:p w14:paraId="4EA69F14" w14:textId="733C0D9E" w:rsidR="00A16F40" w:rsidRPr="002E7B89" w:rsidRDefault="00716299" w:rsidP="002D4A26">
      <w:pPr>
        <w:pStyle w:val="Betarp"/>
        <w:rPr>
          <w:lang w:val="lt-LT"/>
        </w:rPr>
      </w:pPr>
      <w:proofErr w:type="spellStart"/>
      <w:r w:rsidRPr="002E7B89">
        <w:rPr>
          <w:lang w:val="lt-LT" w:bidi="lt-LT"/>
        </w:rPr>
        <w:t>Deksametazonas</w:t>
      </w:r>
      <w:proofErr w:type="spellEnd"/>
      <w:r w:rsidRPr="002E7B89">
        <w:rPr>
          <w:lang w:val="lt-LT" w:bidi="lt-LT"/>
        </w:rPr>
        <w:t xml:space="preserve"> pasižymi maždaug 7,5</w:t>
      </w:r>
      <w:r w:rsidR="008B5C86">
        <w:rPr>
          <w:lang w:val="lt-LT" w:bidi="lt-LT"/>
        </w:rPr>
        <w:t> </w:t>
      </w:r>
      <w:r w:rsidRPr="002E7B89">
        <w:rPr>
          <w:lang w:val="lt-LT" w:bidi="lt-LT"/>
        </w:rPr>
        <w:t>karto stipresniu gliukokortikoidiniu poveikiu nei prednizolonas ir prednizonas; palyginti su hidrokortizonu, jis yra 30</w:t>
      </w:r>
      <w:r w:rsidR="008B5C86">
        <w:rPr>
          <w:lang w:val="lt-LT" w:bidi="lt-LT"/>
        </w:rPr>
        <w:t> </w:t>
      </w:r>
      <w:r w:rsidRPr="002E7B89">
        <w:rPr>
          <w:lang w:val="lt-LT" w:bidi="lt-LT"/>
        </w:rPr>
        <w:t>kartų stipresnis. Deksametazonas nepasižymi mineralkortikoidiniu poveikiu.</w:t>
      </w:r>
    </w:p>
    <w:p w14:paraId="6931950F" w14:textId="77777777" w:rsidR="00A16F40" w:rsidRPr="002E7B89" w:rsidRDefault="00A16F40" w:rsidP="002D4A26">
      <w:pPr>
        <w:pStyle w:val="Betarp"/>
        <w:rPr>
          <w:lang w:val="lt-LT"/>
        </w:rPr>
      </w:pPr>
    </w:p>
    <w:p w14:paraId="2E3055A3" w14:textId="77777777" w:rsidR="00A16F40" w:rsidRPr="002E7B89" w:rsidRDefault="00716299" w:rsidP="002D4A26">
      <w:pPr>
        <w:pStyle w:val="Betarp"/>
        <w:rPr>
          <w:lang w:val="lt-LT"/>
        </w:rPr>
      </w:pPr>
      <w:r w:rsidRPr="002E7B89">
        <w:rPr>
          <w:lang w:val="lt-LT" w:bidi="lt-LT"/>
        </w:rPr>
        <w:t xml:space="preserve">Gliukokortikoidai, </w:t>
      </w:r>
      <w:r w:rsidR="006F4B9E">
        <w:rPr>
          <w:lang w:val="lt-LT" w:bidi="lt-LT"/>
        </w:rPr>
        <w:t>tokie kaip</w:t>
      </w:r>
      <w:r w:rsidRPr="002E7B89">
        <w:rPr>
          <w:lang w:val="lt-LT" w:bidi="lt-LT"/>
        </w:rPr>
        <w:t xml:space="preserve"> deksametazonas, biologiškai veikia aktyvindami kortikosteroidams jautrių genų transkripciją. Uždegimo slopinamąjį, imunosupresinį ir antiproliferacinį poveikį lemia tokie veiksniai kaip uždegimo mediatorių susidarymo, išsiskyrimo ir aktyvumo sumažėjimas ir specifinių uždegimo ląstelių funkcijų ir migracijos slopinimas. Be to, gali būti, kad kortikosteroidai </w:t>
      </w:r>
      <w:r w:rsidRPr="002E7B89">
        <w:rPr>
          <w:lang w:val="lt-LT" w:bidi="lt-LT"/>
        </w:rPr>
        <w:lastRenderedPageBreak/>
        <w:t>užkerta kelią jautrių T limfocitų ir makrofagų poveikiui tikslinėms ląstelėms.</w:t>
      </w:r>
    </w:p>
    <w:p w14:paraId="0F522B5B" w14:textId="77777777" w:rsidR="002F40B0" w:rsidRPr="002E7B89" w:rsidRDefault="002F40B0" w:rsidP="00F30255">
      <w:pPr>
        <w:pStyle w:val="Betarp"/>
        <w:rPr>
          <w:highlight w:val="green"/>
          <w:u w:val="single"/>
          <w:lang w:val="lt-LT"/>
        </w:rPr>
      </w:pPr>
    </w:p>
    <w:p w14:paraId="5E55ED11" w14:textId="77777777" w:rsidR="002F40B0" w:rsidRPr="002E7B89" w:rsidRDefault="002F40B0" w:rsidP="00F30255">
      <w:pPr>
        <w:pStyle w:val="Betarp"/>
        <w:rPr>
          <w:u w:val="single"/>
          <w:lang w:val="lt-LT"/>
        </w:rPr>
      </w:pPr>
      <w:r w:rsidRPr="002E7B89">
        <w:rPr>
          <w:u w:val="single"/>
          <w:lang w:val="lt-LT" w:bidi="lt-LT"/>
        </w:rPr>
        <w:t xml:space="preserve">COVID-19 </w:t>
      </w:r>
      <w:r w:rsidR="00046EAE" w:rsidRPr="002E7B89">
        <w:rPr>
          <w:u w:val="single"/>
          <w:lang w:val="lt-LT" w:bidi="lt-LT"/>
        </w:rPr>
        <w:t xml:space="preserve">ligos </w:t>
      </w:r>
      <w:r w:rsidRPr="002E7B89">
        <w:rPr>
          <w:u w:val="single"/>
          <w:lang w:val="lt-LT" w:bidi="lt-LT"/>
        </w:rPr>
        <w:t>gydymas</w:t>
      </w:r>
    </w:p>
    <w:p w14:paraId="2174890F" w14:textId="77777777" w:rsidR="00A16F40" w:rsidRPr="002E7B89" w:rsidRDefault="00A16F40" w:rsidP="002D4A26">
      <w:pPr>
        <w:pStyle w:val="Betarp"/>
        <w:rPr>
          <w:lang w:val="lt-LT"/>
        </w:rPr>
      </w:pPr>
    </w:p>
    <w:p w14:paraId="0EBABCCC" w14:textId="6349A4AE" w:rsidR="00A16F40" w:rsidRPr="002E7B89" w:rsidRDefault="00716299" w:rsidP="002D4A26">
      <w:pPr>
        <w:pStyle w:val="Betarp"/>
        <w:rPr>
          <w:lang w:val="lt-LT"/>
        </w:rPr>
      </w:pPr>
      <w:r w:rsidRPr="002E7B89">
        <w:rPr>
          <w:lang w:val="lt-LT" w:bidi="lt-LT"/>
        </w:rPr>
        <w:t xml:space="preserve">RECOVERY </w:t>
      </w:r>
      <w:r w:rsidR="00046EAE" w:rsidRPr="002E7B89">
        <w:rPr>
          <w:lang w:val="lt-LT" w:bidi="lt-LT"/>
        </w:rPr>
        <w:t xml:space="preserve">tyrimas </w:t>
      </w:r>
      <w:r w:rsidRPr="002E7B89">
        <w:rPr>
          <w:lang w:val="lt-LT" w:bidi="lt-LT"/>
        </w:rPr>
        <w:t>(</w:t>
      </w:r>
      <w:r w:rsidRPr="002E7B89">
        <w:rPr>
          <w:i/>
          <w:lang w:val="lt-LT" w:bidi="lt-LT"/>
        </w:rPr>
        <w:t>COVid-19 thERapY</w:t>
      </w:r>
      <w:r w:rsidRPr="002E7B89">
        <w:rPr>
          <w:lang w:val="lt-LT" w:bidi="lt-LT"/>
        </w:rPr>
        <w:t xml:space="preserve"> atsitiktinių imčių vertinimas)</w:t>
      </w:r>
      <w:r w:rsidR="00D16A7B">
        <w:rPr>
          <w:rStyle w:val="Puslapioinaosnuoroda"/>
          <w:lang w:val="lt-LT" w:bidi="lt-LT"/>
        </w:rPr>
        <w:footnoteReference w:id="2"/>
      </w:r>
      <w:r w:rsidRPr="002E7B89">
        <w:rPr>
          <w:lang w:val="lt-LT" w:bidi="lt-LT"/>
        </w:rPr>
        <w:t xml:space="preserve"> – tai tyrėj</w:t>
      </w:r>
      <w:r w:rsidR="00046EAE" w:rsidRPr="002E7B89">
        <w:rPr>
          <w:lang w:val="lt-LT" w:bidi="lt-LT"/>
        </w:rPr>
        <w:t>o</w:t>
      </w:r>
      <w:r w:rsidRPr="002E7B89">
        <w:rPr>
          <w:lang w:val="lt-LT" w:bidi="lt-LT"/>
        </w:rPr>
        <w:t xml:space="preserve"> inicijuotas individuali</w:t>
      </w:r>
      <w:r w:rsidR="00046EAE" w:rsidRPr="002E7B89">
        <w:rPr>
          <w:lang w:val="lt-LT" w:bidi="lt-LT"/>
        </w:rPr>
        <w:t>ai</w:t>
      </w:r>
      <w:r w:rsidRPr="002E7B89">
        <w:rPr>
          <w:lang w:val="lt-LT" w:bidi="lt-LT"/>
        </w:rPr>
        <w:t xml:space="preserve"> atsitiktinės atrankos, kontroliuojamas, atviras, </w:t>
      </w:r>
      <w:r w:rsidR="00046EAE" w:rsidRPr="002E7B89">
        <w:rPr>
          <w:lang w:val="lt-LT" w:bidi="lt-LT"/>
        </w:rPr>
        <w:t>pritaikomos</w:t>
      </w:r>
      <w:r w:rsidRPr="002E7B89">
        <w:rPr>
          <w:lang w:val="lt-LT" w:bidi="lt-LT"/>
        </w:rPr>
        <w:t xml:space="preserve"> platformos tyrimas, </w:t>
      </w:r>
      <w:r w:rsidR="006F4B9E">
        <w:rPr>
          <w:lang w:val="lt-LT" w:bidi="lt-LT"/>
        </w:rPr>
        <w:t xml:space="preserve">kurio tikslas </w:t>
      </w:r>
      <w:r w:rsidR="006F4B9E">
        <w:rPr>
          <w:lang w:val="lt-LT" w:bidi="lt-LT"/>
        </w:rPr>
        <w:softHyphen/>
      </w:r>
      <w:r w:rsidR="00046EAE" w:rsidRPr="002E7B89">
        <w:rPr>
          <w:lang w:val="lt-LT" w:bidi="lt-LT"/>
        </w:rPr>
        <w:t xml:space="preserve"> </w:t>
      </w:r>
      <w:r w:rsidRPr="002E7B89">
        <w:rPr>
          <w:lang w:val="lt-LT" w:bidi="lt-LT"/>
        </w:rPr>
        <w:t>įvertinti galim</w:t>
      </w:r>
      <w:r w:rsidR="00046EAE" w:rsidRPr="002E7B89">
        <w:rPr>
          <w:lang w:val="lt-LT" w:bidi="lt-LT"/>
        </w:rPr>
        <w:t>o</w:t>
      </w:r>
      <w:r w:rsidRPr="002E7B89">
        <w:rPr>
          <w:lang w:val="lt-LT" w:bidi="lt-LT"/>
        </w:rPr>
        <w:t xml:space="preserve"> gydymo būd</w:t>
      </w:r>
      <w:r w:rsidR="00046EAE" w:rsidRPr="002E7B89">
        <w:rPr>
          <w:lang w:val="lt-LT" w:bidi="lt-LT"/>
        </w:rPr>
        <w:t>o</w:t>
      </w:r>
      <w:r w:rsidRPr="002E7B89">
        <w:rPr>
          <w:lang w:val="lt-LT" w:bidi="lt-LT"/>
        </w:rPr>
        <w:t xml:space="preserve"> poveikį pacientams, hospitalizuotiems dėl COVID-19.</w:t>
      </w:r>
    </w:p>
    <w:p w14:paraId="2CE9A85D" w14:textId="77777777" w:rsidR="00A16F40" w:rsidRPr="002E7B89" w:rsidRDefault="00A16F40" w:rsidP="002D4A26">
      <w:pPr>
        <w:pStyle w:val="Betarp"/>
        <w:rPr>
          <w:lang w:val="lt-LT"/>
        </w:rPr>
      </w:pPr>
    </w:p>
    <w:p w14:paraId="1AECD1DA" w14:textId="61E34C73" w:rsidR="00A16F40" w:rsidRPr="002E7B89" w:rsidRDefault="00716299" w:rsidP="002D4A26">
      <w:pPr>
        <w:pStyle w:val="Betarp"/>
        <w:rPr>
          <w:lang w:val="lt-LT"/>
        </w:rPr>
      </w:pPr>
      <w:r w:rsidRPr="002E7B89">
        <w:rPr>
          <w:lang w:val="lt-LT" w:bidi="lt-LT"/>
        </w:rPr>
        <w:t>Tyrimas atliktas 176</w:t>
      </w:r>
      <w:r w:rsidR="008B5C86">
        <w:rPr>
          <w:lang w:val="lt-LT" w:bidi="lt-LT"/>
        </w:rPr>
        <w:t> </w:t>
      </w:r>
      <w:r w:rsidRPr="002E7B89">
        <w:rPr>
          <w:lang w:val="lt-LT" w:bidi="lt-LT"/>
        </w:rPr>
        <w:t>Jungtinės Karalystės ligoninėse.</w:t>
      </w:r>
    </w:p>
    <w:p w14:paraId="0A3B586A" w14:textId="77777777" w:rsidR="00775A41" w:rsidRPr="002E7B89" w:rsidRDefault="00775A41" w:rsidP="002D4A26">
      <w:pPr>
        <w:pStyle w:val="Betarp"/>
        <w:rPr>
          <w:lang w:val="lt-LT"/>
        </w:rPr>
      </w:pPr>
    </w:p>
    <w:p w14:paraId="21BB812C" w14:textId="4D0D31B0" w:rsidR="00A16F40" w:rsidRPr="002E7B89" w:rsidRDefault="006C78D0" w:rsidP="002D4A26">
      <w:pPr>
        <w:pStyle w:val="Betarp"/>
        <w:rPr>
          <w:lang w:val="lt-LT"/>
        </w:rPr>
      </w:pPr>
      <w:r w:rsidRPr="002E7B89">
        <w:rPr>
          <w:lang w:val="lt-LT" w:bidi="lt-LT"/>
        </w:rPr>
        <w:t>Atsitiktinės atrankos būdu buvo atrinkti 6</w:t>
      </w:r>
      <w:r w:rsidR="006F4B9E">
        <w:rPr>
          <w:lang w:val="lt-LT" w:bidi="lt-LT"/>
        </w:rPr>
        <w:t> </w:t>
      </w:r>
      <w:r w:rsidRPr="002E7B89">
        <w:rPr>
          <w:lang w:val="lt-LT" w:bidi="lt-LT"/>
        </w:rPr>
        <w:t>425</w:t>
      </w:r>
      <w:r w:rsidR="008B5C86">
        <w:rPr>
          <w:lang w:val="lt-LT" w:bidi="lt-LT"/>
        </w:rPr>
        <w:t> </w:t>
      </w:r>
      <w:r w:rsidRPr="002E7B89">
        <w:rPr>
          <w:lang w:val="lt-LT" w:bidi="lt-LT"/>
        </w:rPr>
        <w:t>pacientai ir jiems skirtas deksametazonas (2</w:t>
      </w:r>
      <w:r w:rsidR="006F4B9E">
        <w:rPr>
          <w:lang w:val="lt-LT" w:bidi="lt-LT"/>
        </w:rPr>
        <w:t> </w:t>
      </w:r>
      <w:r w:rsidRPr="002E7B89">
        <w:rPr>
          <w:lang w:val="lt-LT" w:bidi="lt-LT"/>
        </w:rPr>
        <w:t>104 pacientai) arba įprastinė priežiūra (4</w:t>
      </w:r>
      <w:r w:rsidR="006F4B9E">
        <w:rPr>
          <w:lang w:val="lt-LT" w:bidi="lt-LT"/>
        </w:rPr>
        <w:t> </w:t>
      </w:r>
      <w:r w:rsidRPr="002E7B89">
        <w:rPr>
          <w:lang w:val="lt-LT" w:bidi="lt-LT"/>
        </w:rPr>
        <w:t>321</w:t>
      </w:r>
      <w:r w:rsidR="008B5C86">
        <w:rPr>
          <w:lang w:val="lt-LT" w:bidi="lt-LT"/>
        </w:rPr>
        <w:t> </w:t>
      </w:r>
      <w:r w:rsidRPr="002E7B89">
        <w:rPr>
          <w:lang w:val="lt-LT" w:bidi="lt-LT"/>
        </w:rPr>
        <w:t>pacientas). 89 % pacientų buvo laboratoriškai patvirtinta SARS-CoV-2 infekcija.</w:t>
      </w:r>
    </w:p>
    <w:p w14:paraId="31574456" w14:textId="77777777" w:rsidR="00A16F40" w:rsidRPr="002E7B89" w:rsidRDefault="00A16F40" w:rsidP="002D4A26">
      <w:pPr>
        <w:pStyle w:val="Betarp"/>
        <w:rPr>
          <w:lang w:val="lt-LT"/>
        </w:rPr>
      </w:pPr>
    </w:p>
    <w:p w14:paraId="7BE5586D" w14:textId="0E3809A1" w:rsidR="00046EAE" w:rsidRPr="002E7B89" w:rsidRDefault="00716299" w:rsidP="00046EAE">
      <w:pPr>
        <w:rPr>
          <w:lang w:val="lt-LT" w:eastAsia="lt-LT"/>
        </w:rPr>
      </w:pPr>
      <w:r w:rsidRPr="002E7B89">
        <w:rPr>
          <w:lang w:val="lt-LT" w:bidi="lt-LT"/>
        </w:rPr>
        <w:t xml:space="preserve">Atsitiktinės atrankos metu 16 % pacientų buvo taikoma invazinė </w:t>
      </w:r>
      <w:r w:rsidR="00046EAE" w:rsidRPr="002E7B89">
        <w:rPr>
          <w:lang w:val="lt-LT" w:bidi="lt-LT"/>
        </w:rPr>
        <w:t>dirbtinė plaučių</w:t>
      </w:r>
      <w:r w:rsidRPr="002E7B89">
        <w:rPr>
          <w:lang w:val="lt-LT" w:bidi="lt-LT"/>
        </w:rPr>
        <w:t xml:space="preserve"> ventiliacija ar ekstrakorporinė membraninė oksigenacija, 60 % </w:t>
      </w:r>
      <w:r w:rsidR="00046EAE" w:rsidRPr="002E7B89">
        <w:rPr>
          <w:lang w:val="lt-LT" w:bidi="lt-LT"/>
        </w:rPr>
        <w:t>pacientų gavo tik deguonies</w:t>
      </w:r>
      <w:r w:rsidRPr="002E7B89">
        <w:rPr>
          <w:lang w:val="lt-LT" w:bidi="lt-LT"/>
        </w:rPr>
        <w:t xml:space="preserve"> (</w:t>
      </w:r>
      <w:r w:rsidR="00046EAE" w:rsidRPr="002E7B89">
        <w:rPr>
          <w:lang w:val="lt-LT" w:eastAsia="lt-LT"/>
        </w:rPr>
        <w:t>su invazine dirbtine plaučių ventiliacija arba be jos), o 24</w:t>
      </w:r>
      <w:r w:rsidR="000D1F21">
        <w:rPr>
          <w:lang w:val="lt-LT" w:eastAsia="lt-LT"/>
        </w:rPr>
        <w:t> </w:t>
      </w:r>
      <w:r w:rsidR="00046EAE" w:rsidRPr="002E7B89">
        <w:rPr>
          <w:lang w:val="lt-LT" w:eastAsia="lt-LT"/>
        </w:rPr>
        <w:t>% pacientų</w:t>
      </w:r>
      <w:bookmarkStart w:id="14" w:name="_Hlk63178947"/>
      <w:r w:rsidR="00046EAE" w:rsidRPr="002E7B89">
        <w:rPr>
          <w:lang w:val="lt-LT" w:eastAsia="lt-LT"/>
        </w:rPr>
        <w:t xml:space="preserve"> nebuvo </w:t>
      </w:r>
      <w:r w:rsidR="006F4B9E">
        <w:rPr>
          <w:lang w:val="lt-LT" w:eastAsia="lt-LT"/>
        </w:rPr>
        <w:t>skiriamas nė vienas iš paminėtų oksigenacijos metodų</w:t>
      </w:r>
      <w:bookmarkEnd w:id="14"/>
      <w:r w:rsidR="00046EAE" w:rsidRPr="002E7B89">
        <w:rPr>
          <w:lang w:val="lt-LT" w:eastAsia="lt-LT"/>
        </w:rPr>
        <w:t>.</w:t>
      </w:r>
    </w:p>
    <w:p w14:paraId="287E4EDA" w14:textId="77777777" w:rsidR="009F163E" w:rsidRDefault="009F163E" w:rsidP="002D4A26">
      <w:pPr>
        <w:pStyle w:val="Betarp"/>
        <w:rPr>
          <w:lang w:val="lt-LT" w:bidi="lt-LT"/>
        </w:rPr>
      </w:pPr>
    </w:p>
    <w:p w14:paraId="10A3C169" w14:textId="16D60D0E" w:rsidR="00A16F40" w:rsidRPr="002E7B89" w:rsidRDefault="00716299" w:rsidP="002D4A26">
      <w:pPr>
        <w:pStyle w:val="Betarp"/>
        <w:rPr>
          <w:lang w:val="lt-LT"/>
        </w:rPr>
      </w:pPr>
      <w:r w:rsidRPr="002E7B89">
        <w:rPr>
          <w:lang w:val="lt-LT" w:bidi="lt-LT"/>
        </w:rPr>
        <w:t>Vidutinis pacientų amžius buvo 66,1 +/– 15,7</w:t>
      </w:r>
      <w:r w:rsidR="008B5C86">
        <w:rPr>
          <w:lang w:val="lt-LT" w:bidi="lt-LT"/>
        </w:rPr>
        <w:t> </w:t>
      </w:r>
      <w:r w:rsidRPr="002E7B89">
        <w:rPr>
          <w:lang w:val="lt-LT" w:bidi="lt-LT"/>
        </w:rPr>
        <w:t xml:space="preserve">metų. 36 % pacientų buvo moterys. 24 % pacientų </w:t>
      </w:r>
      <w:r w:rsidR="001C18A4" w:rsidRPr="002E7B89">
        <w:rPr>
          <w:lang w:val="lt-LT" w:bidi="lt-LT"/>
        </w:rPr>
        <w:t xml:space="preserve">anksčiau </w:t>
      </w:r>
      <w:r w:rsidRPr="002E7B89">
        <w:rPr>
          <w:lang w:val="lt-LT" w:bidi="lt-LT"/>
        </w:rPr>
        <w:t>sirgo cukriniu diabetu, 27 % – širdies lig</w:t>
      </w:r>
      <w:r w:rsidR="001C18A4" w:rsidRPr="002E7B89">
        <w:rPr>
          <w:lang w:val="lt-LT" w:bidi="lt-LT"/>
        </w:rPr>
        <w:t>omis</w:t>
      </w:r>
      <w:r w:rsidRPr="002E7B89">
        <w:rPr>
          <w:lang w:val="lt-LT" w:bidi="lt-LT"/>
        </w:rPr>
        <w:t>, 21 % – lėtin</w:t>
      </w:r>
      <w:r w:rsidR="001C18A4" w:rsidRPr="002E7B89">
        <w:rPr>
          <w:lang w:val="lt-LT" w:bidi="lt-LT"/>
        </w:rPr>
        <w:t xml:space="preserve">ėmis </w:t>
      </w:r>
      <w:r w:rsidRPr="002E7B89">
        <w:rPr>
          <w:lang w:val="lt-LT" w:bidi="lt-LT"/>
        </w:rPr>
        <w:t>plaučių lig</w:t>
      </w:r>
      <w:r w:rsidR="001C18A4" w:rsidRPr="002E7B89">
        <w:rPr>
          <w:lang w:val="lt-LT" w:bidi="lt-LT"/>
        </w:rPr>
        <w:t>omis.</w:t>
      </w:r>
    </w:p>
    <w:p w14:paraId="753FA62B" w14:textId="77777777" w:rsidR="00A16F40" w:rsidRPr="002E7B89" w:rsidRDefault="00A16F40" w:rsidP="002D4A26">
      <w:pPr>
        <w:pStyle w:val="Betarp"/>
        <w:rPr>
          <w:lang w:val="lt-LT"/>
        </w:rPr>
      </w:pPr>
    </w:p>
    <w:p w14:paraId="25D6B556" w14:textId="77777777" w:rsidR="00A16F40" w:rsidRPr="002E7B89" w:rsidRDefault="00716299" w:rsidP="002D4A26">
      <w:pPr>
        <w:pStyle w:val="Betarp"/>
        <w:rPr>
          <w:b/>
          <w:lang w:val="lt-LT"/>
        </w:rPr>
      </w:pPr>
      <w:r w:rsidRPr="002E7B89">
        <w:rPr>
          <w:b/>
          <w:lang w:val="lt-LT" w:bidi="lt-LT"/>
        </w:rPr>
        <w:t>Pirminė vertinamoji baigtis</w:t>
      </w:r>
    </w:p>
    <w:p w14:paraId="38F76581" w14:textId="49E9BD31" w:rsidR="00A16F40" w:rsidRPr="002E7B89" w:rsidRDefault="005E145E" w:rsidP="002D4A26">
      <w:pPr>
        <w:pStyle w:val="Betarp"/>
        <w:rPr>
          <w:lang w:val="lt-LT"/>
        </w:rPr>
      </w:pPr>
      <w:r w:rsidRPr="002E7B89">
        <w:rPr>
          <w:lang w:val="lt-LT" w:bidi="lt-LT"/>
        </w:rPr>
        <w:t>Mirtingumas po 28</w:t>
      </w:r>
      <w:r w:rsidR="008B5C86">
        <w:rPr>
          <w:lang w:val="lt-LT" w:bidi="lt-LT"/>
        </w:rPr>
        <w:t> </w:t>
      </w:r>
      <w:r w:rsidRPr="002E7B89">
        <w:rPr>
          <w:lang w:val="lt-LT" w:bidi="lt-LT"/>
        </w:rPr>
        <w:t xml:space="preserve">dienų </w:t>
      </w:r>
      <w:proofErr w:type="spellStart"/>
      <w:r w:rsidRPr="002E7B89">
        <w:rPr>
          <w:lang w:val="lt-LT" w:bidi="lt-LT"/>
        </w:rPr>
        <w:t>deksametazono</w:t>
      </w:r>
      <w:proofErr w:type="spellEnd"/>
      <w:r w:rsidRPr="002E7B89">
        <w:rPr>
          <w:lang w:val="lt-LT" w:bidi="lt-LT"/>
        </w:rPr>
        <w:t xml:space="preserve"> grupėje buvo reikšmingai mažesnis nei įprastinės priežiūros grupėje – mirė atitinkamai 482 iš 2</w:t>
      </w:r>
      <w:r w:rsidR="006F4B9E">
        <w:rPr>
          <w:lang w:val="lt-LT" w:bidi="lt-LT"/>
        </w:rPr>
        <w:t> </w:t>
      </w:r>
      <w:r w:rsidRPr="002E7B89">
        <w:rPr>
          <w:lang w:val="lt-LT" w:bidi="lt-LT"/>
        </w:rPr>
        <w:t>104</w:t>
      </w:r>
      <w:r w:rsidR="008B5C86">
        <w:rPr>
          <w:lang w:val="lt-LT" w:bidi="lt-LT"/>
        </w:rPr>
        <w:t> </w:t>
      </w:r>
      <w:r w:rsidRPr="002E7B89">
        <w:rPr>
          <w:lang w:val="lt-LT" w:bidi="lt-LT"/>
        </w:rPr>
        <w:t>pacientų (22,9 %) ir 1</w:t>
      </w:r>
      <w:r w:rsidR="006F4B9E">
        <w:rPr>
          <w:lang w:val="lt-LT" w:bidi="lt-LT"/>
        </w:rPr>
        <w:t> </w:t>
      </w:r>
      <w:r w:rsidRPr="002E7B89">
        <w:rPr>
          <w:lang w:val="lt-LT" w:bidi="lt-LT"/>
        </w:rPr>
        <w:t>110 iš 4</w:t>
      </w:r>
      <w:r w:rsidR="006F4B9E">
        <w:rPr>
          <w:lang w:val="lt-LT" w:bidi="lt-LT"/>
        </w:rPr>
        <w:t> </w:t>
      </w:r>
      <w:r w:rsidRPr="002E7B89">
        <w:rPr>
          <w:lang w:val="lt-LT" w:bidi="lt-LT"/>
        </w:rPr>
        <w:t>321 paciento (25,7 %) (dažnio santykis 0,83; 95 % pasikliautinasis</w:t>
      </w:r>
      <w:r w:rsidR="000B2118">
        <w:rPr>
          <w:lang w:val="lt-LT" w:bidi="lt-LT"/>
        </w:rPr>
        <w:t xml:space="preserve"> intervalas [PI] 0,75–0,93; P &lt;</w:t>
      </w:r>
      <w:r w:rsidRPr="002E7B89">
        <w:rPr>
          <w:lang w:val="lt-LT" w:bidi="lt-LT"/>
        </w:rPr>
        <w:t>0,001).</w:t>
      </w:r>
    </w:p>
    <w:p w14:paraId="05FDE7B9" w14:textId="77777777" w:rsidR="00A16F40" w:rsidRPr="002E7B89" w:rsidRDefault="00A16F40" w:rsidP="002D4A26">
      <w:pPr>
        <w:pStyle w:val="Betarp"/>
        <w:rPr>
          <w:lang w:val="lt-LT"/>
        </w:rPr>
      </w:pPr>
    </w:p>
    <w:p w14:paraId="78AF6039" w14:textId="77777777" w:rsidR="00A16F40" w:rsidRPr="002E7B89" w:rsidRDefault="00716299" w:rsidP="002D4A26">
      <w:pPr>
        <w:pStyle w:val="Betarp"/>
        <w:rPr>
          <w:lang w:val="lt-LT"/>
        </w:rPr>
      </w:pPr>
      <w:r w:rsidRPr="002E7B89">
        <w:rPr>
          <w:lang w:val="lt-LT" w:bidi="lt-LT"/>
        </w:rPr>
        <w:t xml:space="preserve">Deksametazono grupėje pacientų, kuriems buvo taikoma invazinė </w:t>
      </w:r>
      <w:r w:rsidR="001C18A4" w:rsidRPr="002E7B89">
        <w:rPr>
          <w:lang w:val="lt-LT" w:bidi="lt-LT"/>
        </w:rPr>
        <w:t>dirbtinė plaučių</w:t>
      </w:r>
      <w:r w:rsidRPr="002E7B89">
        <w:rPr>
          <w:lang w:val="lt-LT" w:bidi="lt-LT"/>
        </w:rPr>
        <w:t xml:space="preserve"> ventiliacija, mirties atvejų skaičius buvo mažesnis nei įprastinės priežiūros grupėje (29,3 %</w:t>
      </w:r>
      <w:r w:rsidR="001C18A4" w:rsidRPr="002E7B89">
        <w:rPr>
          <w:lang w:val="lt-LT" w:bidi="lt-LT"/>
        </w:rPr>
        <w:t>, palyginti su</w:t>
      </w:r>
      <w:r w:rsidRPr="002E7B89">
        <w:rPr>
          <w:lang w:val="lt-LT" w:bidi="lt-LT"/>
        </w:rPr>
        <w:t xml:space="preserve"> 41,4 %; dažnio santykis 0,64; 95 % PI 0,51–0,81) ir </w:t>
      </w:r>
      <w:r w:rsidR="001C18A4" w:rsidRPr="002E7B89">
        <w:rPr>
          <w:lang w:val="lt-LT" w:bidi="lt-LT"/>
        </w:rPr>
        <w:t>t</w:t>
      </w:r>
      <w:r w:rsidR="006F4B9E">
        <w:rPr>
          <w:lang w:val="lt-LT" w:bidi="lt-LT"/>
        </w:rPr>
        <w:t>ų</w:t>
      </w:r>
      <w:r w:rsidR="001C18A4" w:rsidRPr="002E7B89">
        <w:rPr>
          <w:lang w:val="lt-LT" w:bidi="lt-LT"/>
        </w:rPr>
        <w:t xml:space="preserve">, kurie vartojo </w:t>
      </w:r>
      <w:r w:rsidRPr="002E7B89">
        <w:rPr>
          <w:lang w:val="lt-LT" w:bidi="lt-LT"/>
        </w:rPr>
        <w:t xml:space="preserve">papildomą deguonį be invazinės </w:t>
      </w:r>
      <w:r w:rsidR="001C18A4" w:rsidRPr="002E7B89">
        <w:rPr>
          <w:lang w:val="lt-LT" w:bidi="lt-LT"/>
        </w:rPr>
        <w:t>dirbtinės plaučių</w:t>
      </w:r>
      <w:r w:rsidRPr="002E7B89">
        <w:rPr>
          <w:lang w:val="lt-LT" w:bidi="lt-LT"/>
        </w:rPr>
        <w:t xml:space="preserve"> ventiliacijos grupėje (23,3 %</w:t>
      </w:r>
      <w:r w:rsidR="001C18A4" w:rsidRPr="002E7B89">
        <w:rPr>
          <w:lang w:val="lt-LT" w:bidi="lt-LT"/>
        </w:rPr>
        <w:t>, palyginti su</w:t>
      </w:r>
      <w:r w:rsidRPr="002E7B89">
        <w:rPr>
          <w:lang w:val="lt-LT" w:bidi="lt-LT"/>
        </w:rPr>
        <w:t xml:space="preserve"> 26,2 %; dažnio santykis 0,82; 95 % PI 0,72–0,94).</w:t>
      </w:r>
    </w:p>
    <w:p w14:paraId="7B0B5780" w14:textId="77777777" w:rsidR="00A16F40" w:rsidRPr="002E7B89" w:rsidRDefault="00A16F40" w:rsidP="002D4A26">
      <w:pPr>
        <w:pStyle w:val="Betarp"/>
        <w:rPr>
          <w:lang w:val="lt-LT"/>
        </w:rPr>
      </w:pPr>
    </w:p>
    <w:p w14:paraId="7D28BFCF" w14:textId="77777777" w:rsidR="00A16F40" w:rsidRPr="002E7B89" w:rsidRDefault="00716299" w:rsidP="002D4A26">
      <w:pPr>
        <w:pStyle w:val="Betarp"/>
        <w:rPr>
          <w:lang w:val="lt-LT"/>
        </w:rPr>
      </w:pPr>
      <w:r w:rsidRPr="002E7B89">
        <w:rPr>
          <w:lang w:val="lt-LT" w:bidi="lt-LT"/>
        </w:rPr>
        <w:t xml:space="preserve">Tarp pacientų, kuriems atsitiktinės atrankos metu nebuvo taikomas joks kvėpavimo palaikymas, </w:t>
      </w:r>
      <w:r w:rsidR="006F4B9E">
        <w:rPr>
          <w:lang w:val="lt-LT" w:bidi="lt-LT"/>
        </w:rPr>
        <w:t xml:space="preserve">aiškaus </w:t>
      </w:r>
      <w:r w:rsidRPr="002E7B89">
        <w:rPr>
          <w:lang w:val="lt-LT" w:bidi="lt-LT"/>
        </w:rPr>
        <w:t>deksametazono poveiki</w:t>
      </w:r>
      <w:r w:rsidR="001C18A4" w:rsidRPr="002E7B89">
        <w:rPr>
          <w:lang w:val="lt-LT" w:bidi="lt-LT"/>
        </w:rPr>
        <w:t>o</w:t>
      </w:r>
      <w:r w:rsidRPr="002E7B89">
        <w:rPr>
          <w:lang w:val="lt-LT" w:bidi="lt-LT"/>
        </w:rPr>
        <w:t xml:space="preserve"> nebuvo </w:t>
      </w:r>
      <w:r w:rsidR="006F4B9E">
        <w:rPr>
          <w:lang w:val="lt-LT" w:bidi="lt-LT"/>
        </w:rPr>
        <w:t xml:space="preserve">stebėta </w:t>
      </w:r>
      <w:r w:rsidRPr="002E7B89">
        <w:rPr>
          <w:lang w:val="lt-LT" w:bidi="lt-LT"/>
        </w:rPr>
        <w:t>(17,8 %</w:t>
      </w:r>
      <w:r w:rsidR="001C18A4" w:rsidRPr="002E7B89">
        <w:rPr>
          <w:lang w:val="lt-LT" w:bidi="lt-LT"/>
        </w:rPr>
        <w:t>, palyginti su</w:t>
      </w:r>
      <w:r w:rsidRPr="002E7B89">
        <w:rPr>
          <w:lang w:val="lt-LT" w:bidi="lt-LT"/>
        </w:rPr>
        <w:t xml:space="preserve"> 14,0 %; dažnio santykis 1,19; 95 % PI 0,91–1,55).</w:t>
      </w:r>
    </w:p>
    <w:p w14:paraId="1F536136" w14:textId="77777777" w:rsidR="00A16F40" w:rsidRPr="002E7B89" w:rsidRDefault="00A16F40" w:rsidP="002D4A26">
      <w:pPr>
        <w:pStyle w:val="Betarp"/>
        <w:rPr>
          <w:lang w:val="lt-LT"/>
        </w:rPr>
      </w:pPr>
    </w:p>
    <w:p w14:paraId="5CC51594" w14:textId="77777777" w:rsidR="00A16F40" w:rsidRPr="002E7B89" w:rsidRDefault="00716299" w:rsidP="002D4A26">
      <w:pPr>
        <w:pStyle w:val="Betarp"/>
        <w:rPr>
          <w:b/>
          <w:lang w:val="lt-LT"/>
        </w:rPr>
      </w:pPr>
      <w:r w:rsidRPr="002E7B89">
        <w:rPr>
          <w:b/>
          <w:lang w:val="lt-LT" w:bidi="lt-LT"/>
        </w:rPr>
        <w:t>Antrinė vertinamoji baigtis</w:t>
      </w:r>
    </w:p>
    <w:p w14:paraId="0FD9BB1D" w14:textId="7344E78C" w:rsidR="00A16F40" w:rsidRPr="002E7B89" w:rsidRDefault="00716299" w:rsidP="002D4A26">
      <w:pPr>
        <w:pStyle w:val="Betarp"/>
        <w:rPr>
          <w:lang w:val="lt-LT"/>
        </w:rPr>
      </w:pPr>
      <w:r w:rsidRPr="002E7B89">
        <w:rPr>
          <w:lang w:val="lt-LT" w:bidi="lt-LT"/>
        </w:rPr>
        <w:t>Deksametazono grupės pacientų hospitaliza</w:t>
      </w:r>
      <w:r w:rsidR="004411D9" w:rsidRPr="002E7B89">
        <w:rPr>
          <w:lang w:val="lt-LT" w:bidi="lt-LT"/>
        </w:rPr>
        <w:t>vimo</w:t>
      </w:r>
      <w:r w:rsidRPr="002E7B89">
        <w:rPr>
          <w:lang w:val="lt-LT" w:bidi="lt-LT"/>
        </w:rPr>
        <w:t xml:space="preserve"> trukmė buvo trumpesnė nei įprastinės priežiūros grupės pacientų (mediana – 12</w:t>
      </w:r>
      <w:r w:rsidR="008B5C86">
        <w:rPr>
          <w:lang w:val="lt-LT" w:bidi="lt-LT"/>
        </w:rPr>
        <w:t> </w:t>
      </w:r>
      <w:r w:rsidRPr="002E7B89">
        <w:rPr>
          <w:lang w:val="lt-LT" w:bidi="lt-LT"/>
        </w:rPr>
        <w:t>dienų ir 13</w:t>
      </w:r>
      <w:r w:rsidR="008B5C86">
        <w:rPr>
          <w:lang w:val="lt-LT" w:bidi="lt-LT"/>
        </w:rPr>
        <w:t> </w:t>
      </w:r>
      <w:r w:rsidRPr="002E7B89">
        <w:rPr>
          <w:lang w:val="lt-LT" w:bidi="lt-LT"/>
        </w:rPr>
        <w:t>dienų) ir</w:t>
      </w:r>
      <w:r w:rsidR="006F4B9E">
        <w:rPr>
          <w:lang w:val="lt-LT" w:bidi="lt-LT"/>
        </w:rPr>
        <w:t xml:space="preserve"> stebėta</w:t>
      </w:r>
      <w:r w:rsidRPr="002E7B89">
        <w:rPr>
          <w:lang w:val="lt-LT" w:bidi="lt-LT"/>
        </w:rPr>
        <w:t xml:space="preserve"> didesnė tikimybė</w:t>
      </w:r>
      <w:r w:rsidR="004411D9" w:rsidRPr="002E7B89">
        <w:rPr>
          <w:lang w:val="lt-LT" w:bidi="lt-LT"/>
        </w:rPr>
        <w:t xml:space="preserve">, kad </w:t>
      </w:r>
      <w:r w:rsidR="004411D9" w:rsidRPr="002E7B89">
        <w:rPr>
          <w:lang w:val="lt-LT" w:eastAsia="en-US"/>
        </w:rPr>
        <w:t>per 28</w:t>
      </w:r>
      <w:r w:rsidR="008B5C86">
        <w:rPr>
          <w:lang w:val="lt-LT" w:eastAsia="en-US"/>
        </w:rPr>
        <w:t> </w:t>
      </w:r>
      <w:r w:rsidR="004411D9" w:rsidRPr="002E7B89">
        <w:rPr>
          <w:lang w:val="lt-LT" w:eastAsia="en-US"/>
        </w:rPr>
        <w:t>dienas bus išrašytas iš intensyvios terapijos skyriaus</w:t>
      </w:r>
      <w:r w:rsidRPr="002E7B89">
        <w:rPr>
          <w:lang w:val="lt-LT" w:bidi="lt-LT"/>
        </w:rPr>
        <w:t xml:space="preserve"> (dažnio santykis 1,10; 95 % PI 1,03–1,17).</w:t>
      </w:r>
    </w:p>
    <w:p w14:paraId="2EEC140A" w14:textId="77777777" w:rsidR="00A16F40" w:rsidRPr="002E7B89" w:rsidRDefault="00A16F40" w:rsidP="002D4A26">
      <w:pPr>
        <w:pStyle w:val="Betarp"/>
        <w:rPr>
          <w:lang w:val="lt-LT"/>
        </w:rPr>
      </w:pPr>
    </w:p>
    <w:p w14:paraId="31C98891" w14:textId="3573CFCF" w:rsidR="00A16F40" w:rsidRPr="002E7B89" w:rsidRDefault="00716299" w:rsidP="002D4A26">
      <w:pPr>
        <w:pStyle w:val="Betarp"/>
        <w:rPr>
          <w:lang w:val="lt-LT" w:bidi="lt-LT"/>
        </w:rPr>
      </w:pPr>
      <w:r w:rsidRPr="002E7B89">
        <w:rPr>
          <w:lang w:val="lt-LT" w:bidi="lt-LT"/>
        </w:rPr>
        <w:t xml:space="preserve">Atsižvelgiant į pirminę </w:t>
      </w:r>
      <w:r w:rsidR="004411D9" w:rsidRPr="002E7B89">
        <w:rPr>
          <w:lang w:val="lt-LT" w:bidi="lt-LT"/>
        </w:rPr>
        <w:t>vertinamąją</w:t>
      </w:r>
      <w:r w:rsidRPr="002E7B89">
        <w:rPr>
          <w:lang w:val="lt-LT" w:bidi="lt-LT"/>
        </w:rPr>
        <w:t xml:space="preserve"> baigtį, didžiausias poveikis išrašymui per 28</w:t>
      </w:r>
      <w:r w:rsidR="008B5C86">
        <w:rPr>
          <w:lang w:val="lt-LT" w:bidi="lt-LT"/>
        </w:rPr>
        <w:t> </w:t>
      </w:r>
      <w:r w:rsidRPr="002E7B89">
        <w:rPr>
          <w:lang w:val="lt-LT" w:bidi="lt-LT"/>
        </w:rPr>
        <w:t xml:space="preserve">dienas buvo </w:t>
      </w:r>
      <w:r w:rsidR="004411D9" w:rsidRPr="002E7B89">
        <w:rPr>
          <w:lang w:val="lt-LT" w:bidi="lt-LT"/>
        </w:rPr>
        <w:t>stebimas</w:t>
      </w:r>
      <w:r w:rsidRPr="002E7B89">
        <w:rPr>
          <w:lang w:val="lt-LT" w:bidi="lt-LT"/>
        </w:rPr>
        <w:t xml:space="preserve"> tarp pacientų, kuriems atsitiktinės atrankos </w:t>
      </w:r>
      <w:r w:rsidR="004411D9" w:rsidRPr="002E7B89">
        <w:rPr>
          <w:lang w:val="lt-LT" w:bidi="lt-LT"/>
        </w:rPr>
        <w:t>būdu</w:t>
      </w:r>
      <w:r w:rsidRPr="002E7B89">
        <w:rPr>
          <w:lang w:val="lt-LT" w:bidi="lt-LT"/>
        </w:rPr>
        <w:t xml:space="preserve"> buvo taikoma invazinė </w:t>
      </w:r>
      <w:r w:rsidR="004411D9" w:rsidRPr="002E7B89">
        <w:rPr>
          <w:lang w:val="lt-LT" w:bidi="lt-LT"/>
        </w:rPr>
        <w:t xml:space="preserve">dirbtinė plaučių </w:t>
      </w:r>
      <w:r w:rsidRPr="002E7B89">
        <w:rPr>
          <w:lang w:val="lt-LT" w:bidi="lt-LT"/>
        </w:rPr>
        <w:t>ventiliacija (dažnio santykis 1,48; 95 % PI 1,16–1,90), po to – tik deguoni</w:t>
      </w:r>
      <w:r w:rsidR="004411D9" w:rsidRPr="002E7B89">
        <w:rPr>
          <w:lang w:val="lt-LT" w:bidi="lt-LT"/>
        </w:rPr>
        <w:t>mi gydomiems</w:t>
      </w:r>
      <w:r w:rsidRPr="002E7B89">
        <w:rPr>
          <w:lang w:val="lt-LT" w:bidi="lt-LT"/>
        </w:rPr>
        <w:t xml:space="preserve"> (dažnio santykis 1,15; 95 % PI 1,06</w:t>
      </w:r>
      <w:r w:rsidR="009F163E">
        <w:rPr>
          <w:lang w:val="lt-LT" w:bidi="lt-LT"/>
        </w:rPr>
        <w:t>‒</w:t>
      </w:r>
      <w:r w:rsidRPr="002E7B89">
        <w:rPr>
          <w:lang w:val="lt-LT" w:bidi="lt-LT"/>
        </w:rPr>
        <w:t xml:space="preserve">1,24), </w:t>
      </w:r>
      <w:r w:rsidR="006F4B9E">
        <w:rPr>
          <w:lang w:val="lt-LT" w:bidi="lt-LT"/>
        </w:rPr>
        <w:t>ir</w:t>
      </w:r>
      <w:r w:rsidR="004411D9" w:rsidRPr="002E7B89">
        <w:rPr>
          <w:lang w:val="lt-LT" w:bidi="lt-LT"/>
        </w:rPr>
        <w:t xml:space="preserve"> jokio teigiamo poveikio</w:t>
      </w:r>
      <w:r w:rsidRPr="002E7B89">
        <w:rPr>
          <w:lang w:val="lt-LT" w:bidi="lt-LT"/>
        </w:rPr>
        <w:t xml:space="preserve"> pacientams</w:t>
      </w:r>
      <w:r w:rsidR="004411D9" w:rsidRPr="002E7B89">
        <w:rPr>
          <w:lang w:val="lt-LT" w:bidi="lt-LT"/>
        </w:rPr>
        <w:t>, negavusiems deguonies</w:t>
      </w:r>
      <w:r w:rsidRPr="002E7B89">
        <w:rPr>
          <w:lang w:val="lt-LT" w:bidi="lt-LT"/>
        </w:rPr>
        <w:t xml:space="preserve"> (dažnio santykis 0,96; 95 % PI 0,85–1,08).</w:t>
      </w:r>
    </w:p>
    <w:p w14:paraId="1B8900B7" w14:textId="77777777" w:rsidR="00C02C9D" w:rsidRPr="002E7B89" w:rsidRDefault="00C02C9D" w:rsidP="002D4A26">
      <w:pPr>
        <w:pStyle w:val="Betarp"/>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1979"/>
        <w:gridCol w:w="1896"/>
        <w:gridCol w:w="1866"/>
      </w:tblGrid>
      <w:tr w:rsidR="00641C6F" w:rsidRPr="002472CD" w14:paraId="36DD7B1A" w14:textId="77777777" w:rsidTr="000B2118">
        <w:tc>
          <w:tcPr>
            <w:tcW w:w="3544" w:type="dxa"/>
            <w:vMerge w:val="restart"/>
            <w:vAlign w:val="center"/>
          </w:tcPr>
          <w:p w14:paraId="71ED1E61" w14:textId="77777777" w:rsidR="00F82090" w:rsidRPr="002E7B89" w:rsidRDefault="00F82090" w:rsidP="00984DB6">
            <w:pPr>
              <w:pStyle w:val="Betarp"/>
              <w:rPr>
                <w:b/>
                <w:lang w:val="lt-LT"/>
              </w:rPr>
            </w:pPr>
            <w:r w:rsidRPr="002E7B89">
              <w:rPr>
                <w:b/>
                <w:lang w:val="lt-LT" w:bidi="lt-LT"/>
              </w:rPr>
              <w:t>Rezultatas</w:t>
            </w:r>
          </w:p>
        </w:tc>
        <w:tc>
          <w:tcPr>
            <w:tcW w:w="2012" w:type="dxa"/>
            <w:vAlign w:val="center"/>
          </w:tcPr>
          <w:p w14:paraId="30B36E65" w14:textId="77777777" w:rsidR="00F82090" w:rsidRPr="002E7B89" w:rsidRDefault="00F82090" w:rsidP="005B3B71">
            <w:pPr>
              <w:pStyle w:val="Betarp"/>
              <w:jc w:val="center"/>
              <w:rPr>
                <w:b/>
                <w:lang w:val="lt-LT"/>
              </w:rPr>
            </w:pPr>
            <w:r w:rsidRPr="002E7B89">
              <w:rPr>
                <w:b/>
                <w:lang w:val="lt-LT" w:bidi="lt-LT"/>
              </w:rPr>
              <w:t>Deksametazonas</w:t>
            </w:r>
          </w:p>
          <w:p w14:paraId="6E9ED59B" w14:textId="77777777" w:rsidR="00F82090" w:rsidRPr="002E7B89" w:rsidRDefault="00F82090" w:rsidP="005B3B71">
            <w:pPr>
              <w:pStyle w:val="Betarp"/>
              <w:jc w:val="center"/>
              <w:rPr>
                <w:b/>
                <w:lang w:val="lt-LT"/>
              </w:rPr>
            </w:pPr>
            <w:r w:rsidRPr="002E7B89">
              <w:rPr>
                <w:b/>
                <w:lang w:val="lt-LT" w:bidi="lt-LT"/>
              </w:rPr>
              <w:t>(N = 2104)</w:t>
            </w:r>
          </w:p>
        </w:tc>
        <w:tc>
          <w:tcPr>
            <w:tcW w:w="2012" w:type="dxa"/>
            <w:vAlign w:val="center"/>
          </w:tcPr>
          <w:p w14:paraId="5E758EFF" w14:textId="77777777" w:rsidR="00F82090" w:rsidRPr="002E7B89" w:rsidRDefault="00F82090" w:rsidP="005B3B71">
            <w:pPr>
              <w:pStyle w:val="Betarp"/>
              <w:jc w:val="center"/>
              <w:rPr>
                <w:b/>
                <w:lang w:val="lt-LT"/>
              </w:rPr>
            </w:pPr>
            <w:r w:rsidRPr="002E7B89">
              <w:rPr>
                <w:b/>
                <w:lang w:val="lt-LT" w:bidi="lt-LT"/>
              </w:rPr>
              <w:t>Įprastinė priežiūra</w:t>
            </w:r>
          </w:p>
          <w:p w14:paraId="5EFBB7DC" w14:textId="77777777" w:rsidR="00F82090" w:rsidRPr="002E7B89" w:rsidRDefault="00F82090" w:rsidP="005B3B71">
            <w:pPr>
              <w:pStyle w:val="Betarp"/>
              <w:jc w:val="center"/>
              <w:rPr>
                <w:b/>
                <w:lang w:val="lt-LT"/>
              </w:rPr>
            </w:pPr>
            <w:r w:rsidRPr="002E7B89">
              <w:rPr>
                <w:b/>
                <w:lang w:val="lt-LT" w:bidi="lt-LT"/>
              </w:rPr>
              <w:t>(N = 4321)</w:t>
            </w:r>
          </w:p>
        </w:tc>
        <w:tc>
          <w:tcPr>
            <w:tcW w:w="2012" w:type="dxa"/>
            <w:vAlign w:val="center"/>
          </w:tcPr>
          <w:p w14:paraId="79C949FC" w14:textId="77777777" w:rsidR="00F82090" w:rsidRPr="002E7B89" w:rsidRDefault="00641C6F" w:rsidP="005B3B71">
            <w:pPr>
              <w:pStyle w:val="Betarp"/>
              <w:jc w:val="center"/>
              <w:rPr>
                <w:b/>
                <w:lang w:val="lt-LT"/>
              </w:rPr>
            </w:pPr>
            <w:r w:rsidRPr="002E7B89">
              <w:rPr>
                <w:b/>
                <w:lang w:val="lt-LT" w:bidi="lt-LT"/>
              </w:rPr>
              <w:t>Dažnio santykis</w:t>
            </w:r>
            <w:r w:rsidR="00F82090" w:rsidRPr="002E7B89">
              <w:rPr>
                <w:b/>
                <w:lang w:val="lt-LT" w:bidi="lt-LT"/>
              </w:rPr>
              <w:t xml:space="preserve"> arba rizikos santykis</w:t>
            </w:r>
          </w:p>
          <w:p w14:paraId="3A284B4C" w14:textId="77777777" w:rsidR="00F82090" w:rsidRPr="002E7B89" w:rsidRDefault="00F82090" w:rsidP="005B3B71">
            <w:pPr>
              <w:pStyle w:val="Betarp"/>
              <w:jc w:val="center"/>
              <w:rPr>
                <w:b/>
                <w:lang w:val="lt-LT"/>
              </w:rPr>
            </w:pPr>
            <w:r w:rsidRPr="002E7B89">
              <w:rPr>
                <w:b/>
                <w:lang w:val="lt-LT" w:bidi="lt-LT"/>
              </w:rPr>
              <w:t>(95 % PI)*</w:t>
            </w:r>
          </w:p>
        </w:tc>
      </w:tr>
      <w:tr w:rsidR="00F2275D" w:rsidRPr="002472CD" w14:paraId="2D25DE33" w14:textId="77777777" w:rsidTr="000B2118">
        <w:trPr>
          <w:trHeight w:val="283"/>
        </w:trPr>
        <w:tc>
          <w:tcPr>
            <w:tcW w:w="3544" w:type="dxa"/>
            <w:vMerge/>
            <w:tcBorders>
              <w:bottom w:val="single" w:sz="12" w:space="0" w:color="auto"/>
            </w:tcBorders>
            <w:vAlign w:val="center"/>
          </w:tcPr>
          <w:p w14:paraId="69C85BC6" w14:textId="77777777" w:rsidR="00F82090" w:rsidRPr="002E7B89" w:rsidRDefault="00F82090" w:rsidP="00B8393F">
            <w:pPr>
              <w:pStyle w:val="Betarp"/>
              <w:rPr>
                <w:lang w:val="lt-LT"/>
              </w:rPr>
            </w:pPr>
          </w:p>
        </w:tc>
        <w:tc>
          <w:tcPr>
            <w:tcW w:w="6036" w:type="dxa"/>
            <w:gridSpan w:val="3"/>
            <w:tcBorders>
              <w:bottom w:val="single" w:sz="12" w:space="0" w:color="auto"/>
            </w:tcBorders>
            <w:vAlign w:val="center"/>
          </w:tcPr>
          <w:p w14:paraId="4675B823" w14:textId="77777777" w:rsidR="00F82090" w:rsidRPr="002E7B89" w:rsidRDefault="00F82090" w:rsidP="005B3B71">
            <w:pPr>
              <w:pStyle w:val="Betarp"/>
              <w:jc w:val="center"/>
              <w:rPr>
                <w:lang w:val="lt-LT"/>
              </w:rPr>
            </w:pPr>
            <w:r w:rsidRPr="002E7B89">
              <w:rPr>
                <w:i/>
                <w:lang w:val="lt-LT" w:bidi="lt-LT"/>
              </w:rPr>
              <w:t>pacientų skaičius / bendras pacientų skaičius (%)</w:t>
            </w:r>
          </w:p>
        </w:tc>
      </w:tr>
      <w:tr w:rsidR="00641C6F" w:rsidRPr="002E7B89" w14:paraId="4AC9FF64" w14:textId="77777777" w:rsidTr="000B2118">
        <w:trPr>
          <w:trHeight w:val="283"/>
        </w:trPr>
        <w:tc>
          <w:tcPr>
            <w:tcW w:w="3544" w:type="dxa"/>
            <w:tcBorders>
              <w:top w:val="single" w:sz="12" w:space="0" w:color="auto"/>
            </w:tcBorders>
            <w:shd w:val="clear" w:color="auto" w:fill="E6E6E6"/>
            <w:vAlign w:val="center"/>
          </w:tcPr>
          <w:p w14:paraId="20CA08F2" w14:textId="77777777" w:rsidR="00860227" w:rsidRPr="002E7B89" w:rsidRDefault="00495804" w:rsidP="00B8393F">
            <w:pPr>
              <w:pStyle w:val="Betarp"/>
              <w:rPr>
                <w:b/>
                <w:lang w:val="lt-LT"/>
              </w:rPr>
            </w:pPr>
            <w:r w:rsidRPr="002E7B89">
              <w:rPr>
                <w:b/>
                <w:lang w:val="lt-LT" w:bidi="lt-LT"/>
              </w:rPr>
              <w:t>Pirminis rezultatas</w:t>
            </w:r>
          </w:p>
        </w:tc>
        <w:tc>
          <w:tcPr>
            <w:tcW w:w="2012" w:type="dxa"/>
            <w:tcBorders>
              <w:top w:val="single" w:sz="12" w:space="0" w:color="auto"/>
            </w:tcBorders>
            <w:shd w:val="clear" w:color="auto" w:fill="E6E6E6"/>
            <w:vAlign w:val="center"/>
          </w:tcPr>
          <w:p w14:paraId="01C5EB28" w14:textId="77777777" w:rsidR="00860227" w:rsidRPr="002E7B89" w:rsidRDefault="00860227" w:rsidP="005B3B71">
            <w:pPr>
              <w:pStyle w:val="Betarp"/>
              <w:jc w:val="center"/>
              <w:rPr>
                <w:lang w:val="lt-LT"/>
              </w:rPr>
            </w:pPr>
          </w:p>
        </w:tc>
        <w:tc>
          <w:tcPr>
            <w:tcW w:w="2012" w:type="dxa"/>
            <w:tcBorders>
              <w:top w:val="single" w:sz="12" w:space="0" w:color="auto"/>
            </w:tcBorders>
            <w:shd w:val="clear" w:color="auto" w:fill="E6E6E6"/>
            <w:vAlign w:val="center"/>
          </w:tcPr>
          <w:p w14:paraId="20DB1CB3" w14:textId="77777777" w:rsidR="00860227" w:rsidRPr="002E7B89" w:rsidRDefault="00860227" w:rsidP="005B3B71">
            <w:pPr>
              <w:pStyle w:val="Betarp"/>
              <w:jc w:val="center"/>
              <w:rPr>
                <w:lang w:val="lt-LT"/>
              </w:rPr>
            </w:pPr>
          </w:p>
        </w:tc>
        <w:tc>
          <w:tcPr>
            <w:tcW w:w="2012" w:type="dxa"/>
            <w:tcBorders>
              <w:top w:val="single" w:sz="12" w:space="0" w:color="auto"/>
            </w:tcBorders>
            <w:shd w:val="clear" w:color="auto" w:fill="E6E6E6"/>
            <w:vAlign w:val="center"/>
          </w:tcPr>
          <w:p w14:paraId="10E8B73B" w14:textId="77777777" w:rsidR="00860227" w:rsidRPr="002E7B89" w:rsidRDefault="00860227" w:rsidP="005B3B71">
            <w:pPr>
              <w:pStyle w:val="Betarp"/>
              <w:jc w:val="center"/>
              <w:rPr>
                <w:lang w:val="lt-LT"/>
              </w:rPr>
            </w:pPr>
          </w:p>
        </w:tc>
      </w:tr>
      <w:tr w:rsidR="00641C6F" w:rsidRPr="002E7B89" w14:paraId="0957CCDB" w14:textId="77777777" w:rsidTr="000B2118">
        <w:trPr>
          <w:trHeight w:val="283"/>
        </w:trPr>
        <w:tc>
          <w:tcPr>
            <w:tcW w:w="3544" w:type="dxa"/>
            <w:vAlign w:val="center"/>
          </w:tcPr>
          <w:p w14:paraId="42577891" w14:textId="77777777" w:rsidR="004C069C" w:rsidRPr="002E7B89" w:rsidRDefault="004C069C" w:rsidP="00641C6F">
            <w:pPr>
              <w:pStyle w:val="Betarp"/>
              <w:rPr>
                <w:b/>
                <w:lang w:val="lt-LT"/>
              </w:rPr>
            </w:pPr>
            <w:r w:rsidRPr="002E7B89">
              <w:rPr>
                <w:lang w:val="lt-LT" w:bidi="lt-LT"/>
              </w:rPr>
              <w:t>Mir</w:t>
            </w:r>
            <w:r w:rsidR="00641C6F" w:rsidRPr="002E7B89">
              <w:rPr>
                <w:lang w:val="lt-LT" w:bidi="lt-LT"/>
              </w:rPr>
              <w:t>čių per 28 dienas</w:t>
            </w:r>
          </w:p>
        </w:tc>
        <w:tc>
          <w:tcPr>
            <w:tcW w:w="2012" w:type="dxa"/>
            <w:vAlign w:val="center"/>
          </w:tcPr>
          <w:p w14:paraId="30B93954" w14:textId="77777777" w:rsidR="004C069C" w:rsidRPr="002E7B89" w:rsidRDefault="004C069C" w:rsidP="005B3B71">
            <w:pPr>
              <w:pStyle w:val="Betarp"/>
              <w:jc w:val="center"/>
              <w:rPr>
                <w:lang w:val="lt-LT"/>
              </w:rPr>
            </w:pPr>
            <w:r w:rsidRPr="002E7B89">
              <w:rPr>
                <w:lang w:val="lt-LT" w:bidi="lt-LT"/>
              </w:rPr>
              <w:t>482/2104 (22,9)</w:t>
            </w:r>
          </w:p>
        </w:tc>
        <w:tc>
          <w:tcPr>
            <w:tcW w:w="2012" w:type="dxa"/>
            <w:vAlign w:val="center"/>
          </w:tcPr>
          <w:p w14:paraId="4CD91F83" w14:textId="77777777" w:rsidR="004C069C" w:rsidRPr="002E7B89" w:rsidRDefault="004C069C" w:rsidP="005B3B71">
            <w:pPr>
              <w:pStyle w:val="Betarp"/>
              <w:jc w:val="center"/>
              <w:rPr>
                <w:lang w:val="lt-LT"/>
              </w:rPr>
            </w:pPr>
            <w:r w:rsidRPr="002E7B89">
              <w:rPr>
                <w:lang w:val="lt-LT" w:bidi="lt-LT"/>
              </w:rPr>
              <w:t>1110/4321 (25,7)</w:t>
            </w:r>
          </w:p>
        </w:tc>
        <w:tc>
          <w:tcPr>
            <w:tcW w:w="2012" w:type="dxa"/>
            <w:vAlign w:val="center"/>
          </w:tcPr>
          <w:p w14:paraId="409AAFD1" w14:textId="77777777" w:rsidR="004C069C" w:rsidRPr="002E7B89" w:rsidRDefault="004C069C" w:rsidP="005B3B71">
            <w:pPr>
              <w:pStyle w:val="Betarp"/>
              <w:jc w:val="center"/>
              <w:rPr>
                <w:lang w:val="lt-LT"/>
              </w:rPr>
            </w:pPr>
            <w:r w:rsidRPr="002E7B89">
              <w:rPr>
                <w:lang w:val="lt-LT" w:bidi="lt-LT"/>
              </w:rPr>
              <w:t>0,83 (0,75–0,93)</w:t>
            </w:r>
          </w:p>
        </w:tc>
      </w:tr>
      <w:tr w:rsidR="00641C6F" w:rsidRPr="002E7B89" w14:paraId="0C00A2DF" w14:textId="77777777" w:rsidTr="000B2118">
        <w:trPr>
          <w:trHeight w:val="283"/>
        </w:trPr>
        <w:tc>
          <w:tcPr>
            <w:tcW w:w="3544" w:type="dxa"/>
            <w:shd w:val="clear" w:color="auto" w:fill="E6E6E6"/>
            <w:vAlign w:val="center"/>
          </w:tcPr>
          <w:p w14:paraId="085A9E91" w14:textId="77777777" w:rsidR="004C069C" w:rsidRPr="002E7B89" w:rsidRDefault="00E005A0" w:rsidP="00B8393F">
            <w:pPr>
              <w:pStyle w:val="Betarp"/>
              <w:rPr>
                <w:b/>
                <w:lang w:val="lt-LT"/>
              </w:rPr>
            </w:pPr>
            <w:r w:rsidRPr="002E7B89">
              <w:rPr>
                <w:b/>
                <w:lang w:val="lt-LT" w:bidi="lt-LT"/>
              </w:rPr>
              <w:lastRenderedPageBreak/>
              <w:t>Antriniai rezultatai</w:t>
            </w:r>
          </w:p>
        </w:tc>
        <w:tc>
          <w:tcPr>
            <w:tcW w:w="2012" w:type="dxa"/>
            <w:shd w:val="clear" w:color="auto" w:fill="E6E6E6"/>
            <w:vAlign w:val="center"/>
          </w:tcPr>
          <w:p w14:paraId="1781CC36" w14:textId="77777777" w:rsidR="004C069C" w:rsidRPr="002E7B89" w:rsidRDefault="004C069C" w:rsidP="005B3B71">
            <w:pPr>
              <w:pStyle w:val="Betarp"/>
              <w:jc w:val="center"/>
              <w:rPr>
                <w:lang w:val="lt-LT"/>
              </w:rPr>
            </w:pPr>
          </w:p>
        </w:tc>
        <w:tc>
          <w:tcPr>
            <w:tcW w:w="2012" w:type="dxa"/>
            <w:shd w:val="clear" w:color="auto" w:fill="E6E6E6"/>
            <w:vAlign w:val="center"/>
          </w:tcPr>
          <w:p w14:paraId="6983FB8C" w14:textId="77777777" w:rsidR="004C069C" w:rsidRPr="002E7B89" w:rsidRDefault="004C069C" w:rsidP="005B3B71">
            <w:pPr>
              <w:pStyle w:val="Betarp"/>
              <w:jc w:val="center"/>
              <w:rPr>
                <w:lang w:val="lt-LT"/>
              </w:rPr>
            </w:pPr>
          </w:p>
        </w:tc>
        <w:tc>
          <w:tcPr>
            <w:tcW w:w="2012" w:type="dxa"/>
            <w:shd w:val="clear" w:color="auto" w:fill="E6E6E6"/>
            <w:vAlign w:val="center"/>
          </w:tcPr>
          <w:p w14:paraId="07561217" w14:textId="77777777" w:rsidR="004C069C" w:rsidRPr="002E7B89" w:rsidRDefault="004C069C" w:rsidP="005B3B71">
            <w:pPr>
              <w:pStyle w:val="Betarp"/>
              <w:jc w:val="center"/>
              <w:rPr>
                <w:lang w:val="lt-LT"/>
              </w:rPr>
            </w:pPr>
          </w:p>
        </w:tc>
      </w:tr>
      <w:tr w:rsidR="00641C6F" w:rsidRPr="002E7B89" w14:paraId="25C9F262" w14:textId="77777777" w:rsidTr="000B2118">
        <w:trPr>
          <w:trHeight w:val="283"/>
        </w:trPr>
        <w:tc>
          <w:tcPr>
            <w:tcW w:w="3544" w:type="dxa"/>
            <w:vAlign w:val="center"/>
          </w:tcPr>
          <w:p w14:paraId="0F75066D" w14:textId="77777777" w:rsidR="004C069C" w:rsidRPr="002E7B89" w:rsidRDefault="0092581B" w:rsidP="00641C6F">
            <w:pPr>
              <w:pStyle w:val="Betarp"/>
              <w:rPr>
                <w:b/>
                <w:lang w:val="lt-LT"/>
              </w:rPr>
            </w:pPr>
            <w:r w:rsidRPr="002E7B89">
              <w:rPr>
                <w:lang w:val="lt-LT" w:bidi="lt-LT"/>
              </w:rPr>
              <w:t>Išrašyt</w:t>
            </w:r>
            <w:r w:rsidR="00641C6F" w:rsidRPr="002E7B89">
              <w:rPr>
                <w:lang w:val="lt-LT" w:bidi="lt-LT"/>
              </w:rPr>
              <w:t>a</w:t>
            </w:r>
            <w:r w:rsidRPr="002E7B89">
              <w:rPr>
                <w:lang w:val="lt-LT" w:bidi="lt-LT"/>
              </w:rPr>
              <w:t xml:space="preserve"> iš ligoninės per 28 dienas</w:t>
            </w:r>
          </w:p>
        </w:tc>
        <w:tc>
          <w:tcPr>
            <w:tcW w:w="2012" w:type="dxa"/>
            <w:vAlign w:val="center"/>
          </w:tcPr>
          <w:p w14:paraId="17844D08" w14:textId="77777777" w:rsidR="004C069C" w:rsidRPr="002E7B89" w:rsidRDefault="00B950DD" w:rsidP="005B3B71">
            <w:pPr>
              <w:pStyle w:val="Betarp"/>
              <w:jc w:val="center"/>
              <w:rPr>
                <w:lang w:val="lt-LT"/>
              </w:rPr>
            </w:pPr>
            <w:r w:rsidRPr="002E7B89">
              <w:rPr>
                <w:lang w:val="lt-LT" w:bidi="lt-LT"/>
              </w:rPr>
              <w:t>1413/2104 (67,2)</w:t>
            </w:r>
          </w:p>
        </w:tc>
        <w:tc>
          <w:tcPr>
            <w:tcW w:w="2012" w:type="dxa"/>
            <w:vAlign w:val="center"/>
          </w:tcPr>
          <w:p w14:paraId="498BDFAE" w14:textId="77777777" w:rsidR="004C069C" w:rsidRPr="002E7B89" w:rsidRDefault="00B950DD" w:rsidP="005B3B71">
            <w:pPr>
              <w:pStyle w:val="Betarp"/>
              <w:jc w:val="center"/>
              <w:rPr>
                <w:lang w:val="lt-LT"/>
              </w:rPr>
            </w:pPr>
            <w:r w:rsidRPr="002E7B89">
              <w:rPr>
                <w:lang w:val="lt-LT" w:bidi="lt-LT"/>
              </w:rPr>
              <w:t>2745/4321 (63,5)</w:t>
            </w:r>
          </w:p>
        </w:tc>
        <w:tc>
          <w:tcPr>
            <w:tcW w:w="2012" w:type="dxa"/>
            <w:vAlign w:val="center"/>
          </w:tcPr>
          <w:p w14:paraId="161103C2" w14:textId="77777777" w:rsidR="004C069C" w:rsidRPr="002E7B89" w:rsidRDefault="00B950DD" w:rsidP="005B3B71">
            <w:pPr>
              <w:pStyle w:val="Betarp"/>
              <w:jc w:val="center"/>
              <w:rPr>
                <w:lang w:val="lt-LT"/>
              </w:rPr>
            </w:pPr>
            <w:r w:rsidRPr="002E7B89">
              <w:rPr>
                <w:lang w:val="lt-LT" w:bidi="lt-LT"/>
              </w:rPr>
              <w:t>1,10 (1,03–1,17)</w:t>
            </w:r>
          </w:p>
        </w:tc>
      </w:tr>
      <w:tr w:rsidR="00641C6F" w:rsidRPr="002E7B89" w14:paraId="1B977224" w14:textId="77777777" w:rsidTr="000B2118">
        <w:trPr>
          <w:trHeight w:val="283"/>
        </w:trPr>
        <w:tc>
          <w:tcPr>
            <w:tcW w:w="3544" w:type="dxa"/>
            <w:shd w:val="clear" w:color="auto" w:fill="E6E6E6"/>
            <w:vAlign w:val="center"/>
          </w:tcPr>
          <w:p w14:paraId="4F646953" w14:textId="77777777" w:rsidR="004C069C" w:rsidRPr="002E7B89" w:rsidRDefault="00B950DD" w:rsidP="00641C6F">
            <w:pPr>
              <w:pStyle w:val="Betarp"/>
              <w:rPr>
                <w:b/>
                <w:lang w:val="lt-LT"/>
              </w:rPr>
            </w:pPr>
            <w:r w:rsidRPr="002E7B89">
              <w:rPr>
                <w:lang w:val="lt-LT" w:bidi="lt-LT"/>
              </w:rPr>
              <w:t xml:space="preserve">Invazinė </w:t>
            </w:r>
            <w:r w:rsidR="00641C6F" w:rsidRPr="002E7B89">
              <w:rPr>
                <w:lang w:val="lt-LT" w:bidi="lt-LT"/>
              </w:rPr>
              <w:t xml:space="preserve">dirbtinė plaučių </w:t>
            </w:r>
            <w:r w:rsidRPr="002E7B89">
              <w:rPr>
                <w:lang w:val="lt-LT" w:bidi="lt-LT"/>
              </w:rPr>
              <w:t>ventiliacija arba mirtis †</w:t>
            </w:r>
          </w:p>
        </w:tc>
        <w:tc>
          <w:tcPr>
            <w:tcW w:w="2012" w:type="dxa"/>
            <w:shd w:val="clear" w:color="auto" w:fill="E6E6E6"/>
            <w:vAlign w:val="center"/>
          </w:tcPr>
          <w:p w14:paraId="5A29792E" w14:textId="77777777" w:rsidR="004C069C" w:rsidRPr="002E7B89" w:rsidRDefault="00B950DD" w:rsidP="005B3B71">
            <w:pPr>
              <w:pStyle w:val="Betarp"/>
              <w:jc w:val="center"/>
              <w:rPr>
                <w:lang w:val="lt-LT"/>
              </w:rPr>
            </w:pPr>
            <w:r w:rsidRPr="002E7B89">
              <w:rPr>
                <w:lang w:val="lt-LT" w:bidi="lt-LT"/>
              </w:rPr>
              <w:t>456/1780 (25,6)</w:t>
            </w:r>
          </w:p>
        </w:tc>
        <w:tc>
          <w:tcPr>
            <w:tcW w:w="2012" w:type="dxa"/>
            <w:shd w:val="clear" w:color="auto" w:fill="E6E6E6"/>
            <w:vAlign w:val="center"/>
          </w:tcPr>
          <w:p w14:paraId="041AC65C" w14:textId="77777777" w:rsidR="004C069C" w:rsidRPr="002E7B89" w:rsidRDefault="00B950DD" w:rsidP="005B3B71">
            <w:pPr>
              <w:pStyle w:val="Betarp"/>
              <w:jc w:val="center"/>
              <w:rPr>
                <w:lang w:val="lt-LT"/>
              </w:rPr>
            </w:pPr>
            <w:r w:rsidRPr="002E7B89">
              <w:rPr>
                <w:lang w:val="lt-LT" w:bidi="lt-LT"/>
              </w:rPr>
              <w:t>994/3638 (27,3)</w:t>
            </w:r>
          </w:p>
        </w:tc>
        <w:tc>
          <w:tcPr>
            <w:tcW w:w="2012" w:type="dxa"/>
            <w:shd w:val="clear" w:color="auto" w:fill="E6E6E6"/>
            <w:vAlign w:val="center"/>
          </w:tcPr>
          <w:p w14:paraId="12387970" w14:textId="77777777" w:rsidR="004C069C" w:rsidRPr="002E7B89" w:rsidRDefault="00B950DD" w:rsidP="005B3B71">
            <w:pPr>
              <w:pStyle w:val="Betarp"/>
              <w:jc w:val="center"/>
              <w:rPr>
                <w:lang w:val="lt-LT"/>
              </w:rPr>
            </w:pPr>
            <w:r w:rsidRPr="002E7B89">
              <w:rPr>
                <w:lang w:val="lt-LT" w:bidi="lt-LT"/>
              </w:rPr>
              <w:t>0,92 (0,84–1,01)</w:t>
            </w:r>
          </w:p>
        </w:tc>
      </w:tr>
      <w:tr w:rsidR="00641C6F" w:rsidRPr="002E7B89" w14:paraId="6167F6AB" w14:textId="77777777" w:rsidTr="000B2118">
        <w:trPr>
          <w:trHeight w:val="283"/>
        </w:trPr>
        <w:tc>
          <w:tcPr>
            <w:tcW w:w="3544" w:type="dxa"/>
            <w:vAlign w:val="center"/>
          </w:tcPr>
          <w:p w14:paraId="1C028840" w14:textId="77777777" w:rsidR="00D34E4C" w:rsidRPr="002E7B89" w:rsidRDefault="00D34E4C" w:rsidP="00641C6F">
            <w:pPr>
              <w:pStyle w:val="Betarp"/>
              <w:rPr>
                <w:lang w:val="lt-LT"/>
              </w:rPr>
            </w:pPr>
            <w:r w:rsidRPr="002E7B89">
              <w:rPr>
                <w:lang w:val="lt-LT" w:bidi="lt-LT"/>
              </w:rPr>
              <w:t xml:space="preserve">Invazinė </w:t>
            </w:r>
            <w:r w:rsidR="00641C6F" w:rsidRPr="002E7B89">
              <w:rPr>
                <w:lang w:val="lt-LT" w:bidi="lt-LT"/>
              </w:rPr>
              <w:t>dirbtinė plaučių</w:t>
            </w:r>
            <w:r w:rsidRPr="002E7B89">
              <w:rPr>
                <w:lang w:val="lt-LT" w:bidi="lt-LT"/>
              </w:rPr>
              <w:t xml:space="preserve"> ventiliacija</w:t>
            </w:r>
          </w:p>
        </w:tc>
        <w:tc>
          <w:tcPr>
            <w:tcW w:w="2012" w:type="dxa"/>
            <w:vAlign w:val="center"/>
          </w:tcPr>
          <w:p w14:paraId="2831C96E" w14:textId="77777777" w:rsidR="00D34E4C" w:rsidRPr="002E7B89" w:rsidRDefault="00D34E4C" w:rsidP="005B3B71">
            <w:pPr>
              <w:pStyle w:val="Betarp"/>
              <w:jc w:val="center"/>
              <w:rPr>
                <w:lang w:val="lt-LT"/>
              </w:rPr>
            </w:pPr>
            <w:r w:rsidRPr="002E7B89">
              <w:rPr>
                <w:lang w:val="lt-LT" w:bidi="lt-LT"/>
              </w:rPr>
              <w:t>102/1780 (5,7)</w:t>
            </w:r>
          </w:p>
        </w:tc>
        <w:tc>
          <w:tcPr>
            <w:tcW w:w="2012" w:type="dxa"/>
            <w:vAlign w:val="center"/>
          </w:tcPr>
          <w:p w14:paraId="1909540F" w14:textId="77777777" w:rsidR="00D34E4C" w:rsidRPr="002E7B89" w:rsidRDefault="00D34E4C" w:rsidP="005B3B71">
            <w:pPr>
              <w:pStyle w:val="Betarp"/>
              <w:jc w:val="center"/>
              <w:rPr>
                <w:lang w:val="lt-LT"/>
              </w:rPr>
            </w:pPr>
            <w:r w:rsidRPr="002E7B89">
              <w:rPr>
                <w:lang w:val="lt-LT" w:bidi="lt-LT"/>
              </w:rPr>
              <w:t>285/3638 (7,8)</w:t>
            </w:r>
          </w:p>
        </w:tc>
        <w:tc>
          <w:tcPr>
            <w:tcW w:w="2012" w:type="dxa"/>
            <w:vAlign w:val="center"/>
          </w:tcPr>
          <w:p w14:paraId="15EA87C9" w14:textId="77777777" w:rsidR="00D34E4C" w:rsidRPr="002E7B89" w:rsidRDefault="00D34E4C" w:rsidP="005B3B71">
            <w:pPr>
              <w:pStyle w:val="Betarp"/>
              <w:jc w:val="center"/>
              <w:rPr>
                <w:lang w:val="lt-LT"/>
              </w:rPr>
            </w:pPr>
            <w:r w:rsidRPr="002E7B89">
              <w:rPr>
                <w:lang w:val="lt-LT" w:bidi="lt-LT"/>
              </w:rPr>
              <w:t>0,77 (0,62–0,95)</w:t>
            </w:r>
          </w:p>
        </w:tc>
      </w:tr>
      <w:tr w:rsidR="00641C6F" w:rsidRPr="002E7B89" w14:paraId="110061E8" w14:textId="77777777" w:rsidTr="000B2118">
        <w:trPr>
          <w:trHeight w:val="283"/>
        </w:trPr>
        <w:tc>
          <w:tcPr>
            <w:tcW w:w="3544" w:type="dxa"/>
            <w:shd w:val="clear" w:color="auto" w:fill="E6E6E6"/>
            <w:vAlign w:val="center"/>
          </w:tcPr>
          <w:p w14:paraId="6C6EF75A" w14:textId="77777777" w:rsidR="00D34E4C" w:rsidRPr="002E7B89" w:rsidRDefault="00D34E4C" w:rsidP="00D34E4C">
            <w:pPr>
              <w:pStyle w:val="Betarp"/>
              <w:rPr>
                <w:lang w:val="lt-LT"/>
              </w:rPr>
            </w:pPr>
            <w:r w:rsidRPr="002E7B89">
              <w:rPr>
                <w:lang w:val="lt-LT" w:bidi="lt-LT"/>
              </w:rPr>
              <w:t>Mirtis</w:t>
            </w:r>
          </w:p>
        </w:tc>
        <w:tc>
          <w:tcPr>
            <w:tcW w:w="2012" w:type="dxa"/>
            <w:shd w:val="clear" w:color="auto" w:fill="E6E6E6"/>
            <w:vAlign w:val="center"/>
          </w:tcPr>
          <w:p w14:paraId="781433D9" w14:textId="77777777" w:rsidR="00D34E4C" w:rsidRPr="002E7B89" w:rsidRDefault="00D34E4C" w:rsidP="005B3B71">
            <w:pPr>
              <w:pStyle w:val="Betarp"/>
              <w:jc w:val="center"/>
              <w:rPr>
                <w:lang w:val="lt-LT"/>
              </w:rPr>
            </w:pPr>
            <w:r w:rsidRPr="002E7B89">
              <w:rPr>
                <w:lang w:val="lt-LT" w:bidi="lt-LT"/>
              </w:rPr>
              <w:t>387/1780 (21,7)</w:t>
            </w:r>
          </w:p>
        </w:tc>
        <w:tc>
          <w:tcPr>
            <w:tcW w:w="2012" w:type="dxa"/>
            <w:shd w:val="clear" w:color="auto" w:fill="E6E6E6"/>
            <w:vAlign w:val="center"/>
          </w:tcPr>
          <w:p w14:paraId="3A160B49" w14:textId="77777777" w:rsidR="00D34E4C" w:rsidRPr="002E7B89" w:rsidRDefault="00D34E4C" w:rsidP="005B3B71">
            <w:pPr>
              <w:pStyle w:val="Betarp"/>
              <w:jc w:val="center"/>
              <w:rPr>
                <w:lang w:val="lt-LT"/>
              </w:rPr>
            </w:pPr>
            <w:r w:rsidRPr="002E7B89">
              <w:rPr>
                <w:lang w:val="lt-LT" w:bidi="lt-LT"/>
              </w:rPr>
              <w:t>827/3638 (22,7)</w:t>
            </w:r>
          </w:p>
        </w:tc>
        <w:tc>
          <w:tcPr>
            <w:tcW w:w="2012" w:type="dxa"/>
            <w:shd w:val="clear" w:color="auto" w:fill="E6E6E6"/>
            <w:vAlign w:val="center"/>
          </w:tcPr>
          <w:p w14:paraId="7ABBC84E" w14:textId="77777777" w:rsidR="00D34E4C" w:rsidRPr="002E7B89" w:rsidRDefault="00D34E4C" w:rsidP="005B3B71">
            <w:pPr>
              <w:pStyle w:val="Betarp"/>
              <w:jc w:val="center"/>
              <w:rPr>
                <w:lang w:val="lt-LT"/>
              </w:rPr>
            </w:pPr>
            <w:r w:rsidRPr="002E7B89">
              <w:rPr>
                <w:lang w:val="lt-LT" w:bidi="lt-LT"/>
              </w:rPr>
              <w:t>0,93 (0,84–1,03)</w:t>
            </w:r>
          </w:p>
        </w:tc>
      </w:tr>
    </w:tbl>
    <w:p w14:paraId="56B8C7A3" w14:textId="36F80C0B" w:rsidR="00A16F40" w:rsidRPr="002E7B89" w:rsidRDefault="00957509" w:rsidP="00957509">
      <w:pPr>
        <w:pStyle w:val="Betarp"/>
        <w:ind w:left="284" w:hanging="284"/>
        <w:rPr>
          <w:lang w:val="lt-LT"/>
        </w:rPr>
      </w:pPr>
      <w:r w:rsidRPr="002E7B89">
        <w:rPr>
          <w:lang w:val="lt-LT" w:bidi="lt-LT"/>
        </w:rPr>
        <w:t>*</w:t>
      </w:r>
      <w:r w:rsidRPr="002E7B89">
        <w:rPr>
          <w:lang w:val="lt-LT" w:bidi="lt-LT"/>
        </w:rPr>
        <w:tab/>
        <w:t>28</w:t>
      </w:r>
      <w:r w:rsidR="008B5C86">
        <w:rPr>
          <w:lang w:val="lt-LT" w:bidi="lt-LT"/>
        </w:rPr>
        <w:t> </w:t>
      </w:r>
      <w:r w:rsidRPr="002E7B89">
        <w:rPr>
          <w:lang w:val="lt-LT" w:bidi="lt-LT"/>
        </w:rPr>
        <w:t xml:space="preserve">dienų mirštamumo ir išrašymo iš ligoninės </w:t>
      </w:r>
      <w:r w:rsidR="00641C6F" w:rsidRPr="002E7B89">
        <w:rPr>
          <w:lang w:val="lt-LT" w:bidi="lt-LT"/>
        </w:rPr>
        <w:t>dažnio</w:t>
      </w:r>
      <w:r w:rsidRPr="002E7B89">
        <w:rPr>
          <w:lang w:val="lt-LT" w:bidi="lt-LT"/>
        </w:rPr>
        <w:t xml:space="preserve"> santykis buvo pakoreguotas atsižvelgiant į amžių. Invazinės </w:t>
      </w:r>
      <w:r w:rsidR="00641C6F" w:rsidRPr="002E7B89">
        <w:rPr>
          <w:lang w:val="lt-LT" w:bidi="lt-LT"/>
        </w:rPr>
        <w:t>dirbtinės plaučių</w:t>
      </w:r>
      <w:r w:rsidRPr="002E7B89">
        <w:rPr>
          <w:lang w:val="lt-LT" w:bidi="lt-LT"/>
        </w:rPr>
        <w:t xml:space="preserve"> ventiliacijos taikymo arba mirties ir jos sudedamųjų dalių rizikos santykiai buvo pakoreguoti atsižvelgiant į amžių.</w:t>
      </w:r>
    </w:p>
    <w:p w14:paraId="09CFA790" w14:textId="77777777" w:rsidR="00A16F40" w:rsidRPr="002E7B89" w:rsidRDefault="006B05BA" w:rsidP="00957509">
      <w:pPr>
        <w:pStyle w:val="Betarp"/>
        <w:ind w:left="284" w:hanging="284"/>
        <w:rPr>
          <w:spacing w:val="-71"/>
          <w:lang w:val="lt-LT"/>
        </w:rPr>
      </w:pPr>
      <w:r w:rsidRPr="002E7B89">
        <w:rPr>
          <w:lang w:val="lt-LT" w:bidi="lt-LT"/>
        </w:rPr>
        <w:t>†</w:t>
      </w:r>
      <w:r w:rsidRPr="002E7B89">
        <w:rPr>
          <w:lang w:val="lt-LT" w:bidi="lt-LT"/>
        </w:rPr>
        <w:tab/>
        <w:t xml:space="preserve">Į šią kategoriją neįtraukti pacientai, kuriems atsitiktinės atrankos </w:t>
      </w:r>
      <w:r w:rsidR="006F4B9E">
        <w:rPr>
          <w:lang w:val="lt-LT" w:bidi="lt-LT"/>
        </w:rPr>
        <w:t>metu</w:t>
      </w:r>
      <w:r w:rsidRPr="002E7B89">
        <w:rPr>
          <w:lang w:val="lt-LT" w:bidi="lt-LT"/>
        </w:rPr>
        <w:t xml:space="preserve"> buvo taikoma invazinė </w:t>
      </w:r>
      <w:r w:rsidR="00641C6F" w:rsidRPr="002E7B89">
        <w:rPr>
          <w:lang w:val="lt-LT" w:bidi="lt-LT"/>
        </w:rPr>
        <w:t>dirbtinė plaučių</w:t>
      </w:r>
      <w:r w:rsidRPr="002E7B89">
        <w:rPr>
          <w:lang w:val="lt-LT" w:bidi="lt-LT"/>
        </w:rPr>
        <w:t xml:space="preserve"> ventiliacija.</w:t>
      </w:r>
    </w:p>
    <w:p w14:paraId="7E5BEFA3" w14:textId="77777777" w:rsidR="00A16F40" w:rsidRPr="002E7B89" w:rsidRDefault="00A16F40" w:rsidP="002D4A26">
      <w:pPr>
        <w:pStyle w:val="Betarp"/>
        <w:rPr>
          <w:lang w:val="lt-LT"/>
        </w:rPr>
      </w:pPr>
    </w:p>
    <w:p w14:paraId="2805467D" w14:textId="77777777" w:rsidR="00A16F40" w:rsidRPr="002E7B89" w:rsidRDefault="00716299" w:rsidP="002D4A26">
      <w:pPr>
        <w:pStyle w:val="Betarp"/>
        <w:rPr>
          <w:b/>
          <w:lang w:val="lt-LT"/>
        </w:rPr>
      </w:pPr>
      <w:r w:rsidRPr="002E7B89">
        <w:rPr>
          <w:b/>
          <w:lang w:val="lt-LT" w:bidi="lt-LT"/>
        </w:rPr>
        <w:t>Saugumas</w:t>
      </w:r>
    </w:p>
    <w:p w14:paraId="6D6DF011" w14:textId="77777777" w:rsidR="00A16F40" w:rsidRPr="002E7B89" w:rsidRDefault="00641C6F" w:rsidP="002D4A26">
      <w:pPr>
        <w:pStyle w:val="Betarp"/>
        <w:rPr>
          <w:lang w:val="lt-LT"/>
        </w:rPr>
      </w:pPr>
      <w:r w:rsidRPr="002E7B89">
        <w:rPr>
          <w:lang w:val="lt-LT" w:eastAsia="lt-LT"/>
        </w:rPr>
        <w:t>Keturi sunkūs nepageidaujami reiškiniai buvo susiję su tiriamųjų gydymu:</w:t>
      </w:r>
      <w:r w:rsidR="00716299" w:rsidRPr="002E7B89">
        <w:rPr>
          <w:lang w:val="lt-LT" w:bidi="lt-LT"/>
        </w:rPr>
        <w:t xml:space="preserve"> du – hiperglikemijos, vienas – steroidų sukelt</w:t>
      </w:r>
      <w:r w:rsidRPr="002E7B89">
        <w:rPr>
          <w:lang w:val="lt-LT" w:bidi="lt-LT"/>
        </w:rPr>
        <w:t>a</w:t>
      </w:r>
      <w:r w:rsidR="00716299" w:rsidRPr="002E7B89">
        <w:rPr>
          <w:lang w:val="lt-LT" w:bidi="lt-LT"/>
        </w:rPr>
        <w:t xml:space="preserve"> psichozė, vienas – kraujavimo iš viršutin</w:t>
      </w:r>
      <w:r w:rsidRPr="002E7B89">
        <w:rPr>
          <w:lang w:val="lt-LT" w:bidi="lt-LT"/>
        </w:rPr>
        <w:t>io</w:t>
      </w:r>
      <w:r w:rsidR="00716299" w:rsidRPr="002E7B89">
        <w:rPr>
          <w:lang w:val="lt-LT" w:bidi="lt-LT"/>
        </w:rPr>
        <w:t xml:space="preserve"> virškinimo trakto</w:t>
      </w:r>
      <w:r w:rsidRPr="002E7B89">
        <w:rPr>
          <w:lang w:val="lt-LT" w:bidi="lt-LT"/>
        </w:rPr>
        <w:t>.</w:t>
      </w:r>
      <w:r w:rsidR="00716299" w:rsidRPr="002E7B89">
        <w:rPr>
          <w:lang w:val="lt-LT" w:bidi="lt-LT"/>
        </w:rPr>
        <w:t xml:space="preserve"> Visi atvejai išspręsti.</w:t>
      </w:r>
    </w:p>
    <w:p w14:paraId="2D9FA108" w14:textId="77777777" w:rsidR="00B1781D" w:rsidRPr="002E7B89" w:rsidRDefault="00B1781D" w:rsidP="002D4A26">
      <w:pPr>
        <w:pStyle w:val="Betarp"/>
        <w:rPr>
          <w:lang w:val="lt-LT"/>
        </w:rPr>
      </w:pPr>
    </w:p>
    <w:p w14:paraId="5FF17643" w14:textId="77777777" w:rsidR="00B1781D" w:rsidRPr="002E7B89" w:rsidRDefault="00716299" w:rsidP="002D4A26">
      <w:pPr>
        <w:pStyle w:val="Betarp"/>
        <w:rPr>
          <w:b/>
          <w:lang w:val="lt-LT"/>
        </w:rPr>
      </w:pPr>
      <w:r w:rsidRPr="002E7B89">
        <w:rPr>
          <w:b/>
          <w:lang w:val="lt-LT" w:bidi="lt-LT"/>
        </w:rPr>
        <w:t>Pogrupio analizė</w:t>
      </w:r>
    </w:p>
    <w:p w14:paraId="4D52D7AF" w14:textId="77777777" w:rsidR="005E4E1D" w:rsidRPr="002E7B89" w:rsidRDefault="005E4E1D" w:rsidP="002D4A26">
      <w:pPr>
        <w:pStyle w:val="Betarp"/>
        <w:rPr>
          <w:lang w:val="lt-LT"/>
        </w:rPr>
      </w:pPr>
    </w:p>
    <w:p w14:paraId="7E292B43" w14:textId="64F2E5A6" w:rsidR="00A16F40" w:rsidRPr="002E7B89" w:rsidRDefault="006F4B9E" w:rsidP="002D4A26">
      <w:pPr>
        <w:pStyle w:val="Betarp"/>
        <w:rPr>
          <w:b/>
          <w:lang w:val="lt-LT" w:bidi="lt-LT"/>
        </w:rPr>
      </w:pPr>
      <w:r>
        <w:rPr>
          <w:b/>
          <w:lang w:val="lt-LT" w:bidi="lt-LT"/>
        </w:rPr>
        <w:t xml:space="preserve">Atsitiktiniu būdu paskirto </w:t>
      </w:r>
      <w:r w:rsidR="00716299" w:rsidRPr="002E7B89">
        <w:rPr>
          <w:b/>
          <w:lang w:val="lt-LT" w:bidi="lt-LT"/>
        </w:rPr>
        <w:t>DEKSAMETA</w:t>
      </w:r>
      <w:r w:rsidR="00641C6F" w:rsidRPr="002E7B89">
        <w:rPr>
          <w:b/>
          <w:lang w:val="lt-LT" w:bidi="lt-LT"/>
        </w:rPr>
        <w:t>Z</w:t>
      </w:r>
      <w:r w:rsidR="00716299" w:rsidRPr="002E7B89">
        <w:rPr>
          <w:b/>
          <w:lang w:val="lt-LT" w:bidi="lt-LT"/>
        </w:rPr>
        <w:t xml:space="preserve">ONO </w:t>
      </w:r>
      <w:r w:rsidR="00003957" w:rsidRPr="002E7B89">
        <w:rPr>
          <w:b/>
          <w:lang w:val="lt-LT" w:bidi="lt-LT"/>
        </w:rPr>
        <w:t xml:space="preserve">poveikis </w:t>
      </w:r>
      <w:r w:rsidR="00716299" w:rsidRPr="002E7B89">
        <w:rPr>
          <w:b/>
          <w:lang w:val="lt-LT" w:bidi="lt-LT"/>
        </w:rPr>
        <w:t>28</w:t>
      </w:r>
      <w:r w:rsidR="008B5C86">
        <w:rPr>
          <w:b/>
          <w:lang w:val="lt-LT" w:bidi="lt-LT"/>
        </w:rPr>
        <w:t> </w:t>
      </w:r>
      <w:r w:rsidR="00716299" w:rsidRPr="002E7B89">
        <w:rPr>
          <w:b/>
          <w:lang w:val="lt-LT" w:bidi="lt-LT"/>
        </w:rPr>
        <w:t>dien</w:t>
      </w:r>
      <w:r w:rsidR="00641C6F" w:rsidRPr="002E7B89">
        <w:rPr>
          <w:b/>
          <w:lang w:val="lt-LT" w:bidi="lt-LT"/>
        </w:rPr>
        <w:t>ų mirtingumui</w:t>
      </w:r>
      <w:r>
        <w:rPr>
          <w:b/>
          <w:lang w:val="lt-LT" w:bidi="lt-LT"/>
        </w:rPr>
        <w:t>, skirstant tiriamuosius</w:t>
      </w:r>
      <w:r w:rsidR="00641C6F" w:rsidRPr="002E7B89">
        <w:rPr>
          <w:b/>
          <w:lang w:val="lt-LT" w:bidi="lt-LT"/>
        </w:rPr>
        <w:t xml:space="preserve"> </w:t>
      </w:r>
      <w:r w:rsidR="00716299" w:rsidRPr="002E7B89">
        <w:rPr>
          <w:b/>
          <w:lang w:val="lt-LT" w:bidi="lt-LT"/>
        </w:rPr>
        <w:t xml:space="preserve">pagal amžių ir </w:t>
      </w:r>
      <w:r w:rsidR="00641C6F" w:rsidRPr="002E7B89">
        <w:rPr>
          <w:b/>
          <w:lang w:val="lt-LT" w:bidi="lt-LT"/>
        </w:rPr>
        <w:t>kvėpavimo palaikymą</w:t>
      </w:r>
      <w:r w:rsidR="002A1C95">
        <w:rPr>
          <w:rStyle w:val="Puslapioinaosnuoroda"/>
          <w:b/>
          <w:lang w:val="lt-LT" w:bidi="lt-LT"/>
        </w:rPr>
        <w:footnoteReference w:id="3"/>
      </w:r>
    </w:p>
    <w:p w14:paraId="0C6DAF9D" w14:textId="77777777" w:rsidR="00641C6F" w:rsidRPr="002E7B89" w:rsidRDefault="00641C6F" w:rsidP="00641C6F">
      <w:pPr>
        <w:rPr>
          <w:b/>
          <w:i/>
          <w:lang w:val="lt-LT" w:eastAsia="lt-LT"/>
        </w:rPr>
      </w:pPr>
    </w:p>
    <w:tbl>
      <w:tblPr>
        <w:tblW w:w="94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710"/>
        <w:gridCol w:w="1778"/>
        <w:gridCol w:w="1559"/>
        <w:gridCol w:w="1276"/>
        <w:gridCol w:w="1559"/>
      </w:tblGrid>
      <w:tr w:rsidR="00641C6F" w:rsidRPr="000B2118" w14:paraId="7EB99172" w14:textId="77777777" w:rsidTr="002472CD">
        <w:tc>
          <w:tcPr>
            <w:tcW w:w="1553" w:type="dxa"/>
          </w:tcPr>
          <w:p w14:paraId="66F6E0B1" w14:textId="77777777" w:rsidR="00641C6F" w:rsidRPr="000B2118" w:rsidRDefault="00641C6F" w:rsidP="00BB772F">
            <w:pPr>
              <w:ind w:left="-390"/>
              <w:rPr>
                <w:sz w:val="18"/>
                <w:szCs w:val="18"/>
                <w:lang w:val="lt-LT"/>
              </w:rPr>
            </w:pPr>
          </w:p>
        </w:tc>
        <w:tc>
          <w:tcPr>
            <w:tcW w:w="1710" w:type="dxa"/>
          </w:tcPr>
          <w:p w14:paraId="2816CB28" w14:textId="77777777" w:rsidR="00641C6F" w:rsidRPr="000B2118" w:rsidRDefault="00641C6F" w:rsidP="00BB772F">
            <w:pPr>
              <w:rPr>
                <w:b/>
                <w:sz w:val="18"/>
                <w:szCs w:val="18"/>
                <w:lang w:val="lt-LT"/>
              </w:rPr>
            </w:pPr>
            <w:r w:rsidRPr="000B2118">
              <w:rPr>
                <w:b/>
                <w:sz w:val="18"/>
                <w:szCs w:val="18"/>
                <w:lang w:val="lt-LT"/>
              </w:rPr>
              <w:t>Deksametazonas</w:t>
            </w:r>
          </w:p>
        </w:tc>
        <w:tc>
          <w:tcPr>
            <w:tcW w:w="1778" w:type="dxa"/>
          </w:tcPr>
          <w:p w14:paraId="0D7C83BE" w14:textId="77777777" w:rsidR="00641C6F" w:rsidRPr="000B2118" w:rsidRDefault="00641C6F" w:rsidP="00641C6F">
            <w:pPr>
              <w:rPr>
                <w:b/>
                <w:sz w:val="18"/>
                <w:szCs w:val="18"/>
                <w:lang w:val="lt-LT"/>
              </w:rPr>
            </w:pPr>
            <w:r w:rsidRPr="000B2118">
              <w:rPr>
                <w:b/>
                <w:sz w:val="18"/>
                <w:szCs w:val="18"/>
                <w:lang w:val="lt-LT"/>
              </w:rPr>
              <w:t>Įprastinė priežiūra</w:t>
            </w:r>
          </w:p>
        </w:tc>
        <w:tc>
          <w:tcPr>
            <w:tcW w:w="2835" w:type="dxa"/>
            <w:gridSpan w:val="2"/>
            <w:vMerge w:val="restart"/>
          </w:tcPr>
          <w:p w14:paraId="7CD6CB10" w14:textId="77777777" w:rsidR="00641C6F" w:rsidRPr="000B2118" w:rsidRDefault="00641C6F" w:rsidP="00BB772F">
            <w:pPr>
              <w:rPr>
                <w:sz w:val="18"/>
                <w:szCs w:val="18"/>
                <w:lang w:val="lt-LT" w:eastAsia="lt-LT"/>
              </w:rPr>
            </w:pPr>
          </w:p>
          <w:p w14:paraId="57392A1C" w14:textId="77777777" w:rsidR="00641C6F" w:rsidRPr="000B2118" w:rsidRDefault="0053590C" w:rsidP="00BB772F">
            <w:pPr>
              <w:rPr>
                <w:sz w:val="18"/>
                <w:szCs w:val="18"/>
                <w:lang w:val="lt-LT"/>
              </w:rPr>
            </w:pPr>
            <w:r w:rsidRPr="000B2118">
              <w:rPr>
                <w:noProof/>
                <w:sz w:val="18"/>
                <w:szCs w:val="18"/>
                <w:lang w:val="lt-LT" w:eastAsia="lt-LT" w:bidi="ar-SA"/>
              </w:rPr>
              <w:drawing>
                <wp:inline distT="0" distB="0" distL="0" distR="0" wp14:anchorId="7768D876" wp14:editId="0C452D38">
                  <wp:extent cx="1619250" cy="2828925"/>
                  <wp:effectExtent l="0" t="0" r="0" b="0"/>
                  <wp:docPr id="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2828925"/>
                          </a:xfrm>
                          <a:prstGeom prst="rect">
                            <a:avLst/>
                          </a:prstGeom>
                          <a:noFill/>
                          <a:ln>
                            <a:noFill/>
                          </a:ln>
                        </pic:spPr>
                      </pic:pic>
                    </a:graphicData>
                  </a:graphic>
                </wp:inline>
              </w:drawing>
            </w:r>
          </w:p>
        </w:tc>
        <w:tc>
          <w:tcPr>
            <w:tcW w:w="1559" w:type="dxa"/>
          </w:tcPr>
          <w:p w14:paraId="47115368" w14:textId="77777777" w:rsidR="00641C6F" w:rsidRPr="000B2118" w:rsidRDefault="002E726F" w:rsidP="00A94563">
            <w:pPr>
              <w:jc w:val="right"/>
              <w:rPr>
                <w:b/>
                <w:sz w:val="18"/>
                <w:szCs w:val="18"/>
                <w:lang w:val="lt-LT"/>
              </w:rPr>
            </w:pPr>
            <w:r>
              <w:rPr>
                <w:b/>
                <w:sz w:val="18"/>
                <w:szCs w:val="18"/>
                <w:lang w:val="lt-LT"/>
              </w:rPr>
              <w:t>D</w:t>
            </w:r>
            <w:r w:rsidRPr="002E726F">
              <w:rPr>
                <w:b/>
                <w:sz w:val="18"/>
                <w:szCs w:val="18"/>
                <w:lang w:val="lt-LT"/>
              </w:rPr>
              <w:t xml:space="preserve">ažnio santykis </w:t>
            </w:r>
            <w:r w:rsidR="00641C6F" w:rsidRPr="000B2118">
              <w:rPr>
                <w:b/>
                <w:sz w:val="18"/>
                <w:szCs w:val="18"/>
                <w:lang w:val="lt-LT"/>
              </w:rPr>
              <w:t>(95</w:t>
            </w:r>
            <w:r w:rsidR="001327F6">
              <w:rPr>
                <w:b/>
                <w:sz w:val="18"/>
                <w:szCs w:val="18"/>
                <w:lang w:val="lt-LT"/>
              </w:rPr>
              <w:t> </w:t>
            </w:r>
            <w:r w:rsidR="00641C6F" w:rsidRPr="000B2118">
              <w:rPr>
                <w:b/>
                <w:sz w:val="18"/>
                <w:szCs w:val="18"/>
                <w:lang w:val="lt-LT"/>
              </w:rPr>
              <w:t>% Pl)</w:t>
            </w:r>
          </w:p>
        </w:tc>
      </w:tr>
      <w:tr w:rsidR="00641C6F" w:rsidRPr="000B2118" w14:paraId="71BE9CEF" w14:textId="77777777" w:rsidTr="002472CD">
        <w:tc>
          <w:tcPr>
            <w:tcW w:w="5041" w:type="dxa"/>
            <w:gridSpan w:val="3"/>
          </w:tcPr>
          <w:p w14:paraId="300DCC5C" w14:textId="77777777" w:rsidR="00641C6F" w:rsidRPr="000B2118" w:rsidRDefault="00641C6F" w:rsidP="00BB772F">
            <w:pPr>
              <w:rPr>
                <w:b/>
                <w:sz w:val="18"/>
                <w:szCs w:val="18"/>
                <w:lang w:val="lt-LT"/>
              </w:rPr>
            </w:pPr>
            <w:r w:rsidRPr="000B2118">
              <w:rPr>
                <w:b/>
                <w:sz w:val="18"/>
                <w:szCs w:val="18"/>
                <w:lang w:val="lt-LT"/>
              </w:rPr>
              <w:t>Be deguonies (x</w:t>
            </w:r>
            <w:r w:rsidRPr="000B2118">
              <w:rPr>
                <w:b/>
                <w:sz w:val="18"/>
                <w:szCs w:val="18"/>
                <w:vertAlign w:val="subscript"/>
                <w:lang w:val="lt-LT"/>
              </w:rPr>
              <w:t>1</w:t>
            </w:r>
            <w:r w:rsidRPr="000B2118">
              <w:rPr>
                <w:b/>
                <w:sz w:val="18"/>
                <w:szCs w:val="18"/>
                <w:vertAlign w:val="superscript"/>
                <w:lang w:val="lt-LT"/>
              </w:rPr>
              <w:t>2</w:t>
            </w:r>
            <w:r w:rsidRPr="000B2118">
              <w:rPr>
                <w:b/>
                <w:sz w:val="18"/>
                <w:szCs w:val="18"/>
                <w:lang w:val="lt-LT"/>
              </w:rPr>
              <w:t>= 0</w:t>
            </w:r>
            <w:r w:rsidR="00BA5337">
              <w:rPr>
                <w:b/>
                <w:sz w:val="18"/>
                <w:szCs w:val="18"/>
                <w:lang w:val="lt-LT"/>
              </w:rPr>
              <w:t>,</w:t>
            </w:r>
            <w:r w:rsidRPr="000B2118">
              <w:rPr>
                <w:b/>
                <w:sz w:val="18"/>
                <w:szCs w:val="18"/>
                <w:lang w:val="lt-LT"/>
              </w:rPr>
              <w:t>70; p=0</w:t>
            </w:r>
            <w:r w:rsidR="00BA5337">
              <w:rPr>
                <w:b/>
                <w:sz w:val="18"/>
                <w:szCs w:val="18"/>
                <w:lang w:val="lt-LT"/>
              </w:rPr>
              <w:t>,</w:t>
            </w:r>
            <w:r w:rsidRPr="000B2118">
              <w:rPr>
                <w:b/>
                <w:sz w:val="18"/>
                <w:szCs w:val="18"/>
                <w:lang w:val="lt-LT"/>
              </w:rPr>
              <w:t>40)</w:t>
            </w:r>
          </w:p>
        </w:tc>
        <w:tc>
          <w:tcPr>
            <w:tcW w:w="2835" w:type="dxa"/>
            <w:gridSpan w:val="2"/>
            <w:vMerge/>
          </w:tcPr>
          <w:p w14:paraId="1C65A856" w14:textId="77777777" w:rsidR="00641C6F" w:rsidRPr="000B2118" w:rsidRDefault="00641C6F" w:rsidP="00BB772F">
            <w:pPr>
              <w:rPr>
                <w:sz w:val="18"/>
                <w:szCs w:val="18"/>
                <w:lang w:val="lt-LT"/>
              </w:rPr>
            </w:pPr>
          </w:p>
        </w:tc>
        <w:tc>
          <w:tcPr>
            <w:tcW w:w="1559" w:type="dxa"/>
          </w:tcPr>
          <w:p w14:paraId="02F7A697" w14:textId="77777777" w:rsidR="00641C6F" w:rsidRPr="000B2118" w:rsidRDefault="00641C6F" w:rsidP="00A94563">
            <w:pPr>
              <w:jc w:val="right"/>
              <w:rPr>
                <w:sz w:val="18"/>
                <w:szCs w:val="18"/>
                <w:lang w:val="lt-LT"/>
              </w:rPr>
            </w:pPr>
          </w:p>
        </w:tc>
      </w:tr>
      <w:tr w:rsidR="00641C6F" w:rsidRPr="000B2118" w14:paraId="14479F8C" w14:textId="77777777" w:rsidTr="002472CD">
        <w:trPr>
          <w:trHeight w:val="925"/>
        </w:trPr>
        <w:tc>
          <w:tcPr>
            <w:tcW w:w="1553" w:type="dxa"/>
          </w:tcPr>
          <w:p w14:paraId="389771DE" w14:textId="77777777" w:rsidR="00641C6F" w:rsidRPr="000B2118" w:rsidRDefault="00641C6F" w:rsidP="00BB772F">
            <w:pPr>
              <w:rPr>
                <w:sz w:val="18"/>
                <w:szCs w:val="18"/>
                <w:lang w:val="lt-LT"/>
              </w:rPr>
            </w:pPr>
            <w:r w:rsidRPr="000B2118">
              <w:rPr>
                <w:sz w:val="18"/>
                <w:szCs w:val="18"/>
                <w:lang w:val="lt-LT"/>
              </w:rPr>
              <w:t xml:space="preserve">&lt;70 </w:t>
            </w:r>
          </w:p>
          <w:p w14:paraId="24F81190" w14:textId="77777777" w:rsidR="00641C6F" w:rsidRPr="000B2118" w:rsidRDefault="00641C6F" w:rsidP="00BB772F">
            <w:pPr>
              <w:rPr>
                <w:sz w:val="18"/>
                <w:szCs w:val="18"/>
                <w:lang w:val="lt-LT"/>
              </w:rPr>
            </w:pPr>
            <w:r w:rsidRPr="000B2118">
              <w:rPr>
                <w:sz w:val="18"/>
                <w:szCs w:val="18"/>
                <w:lang w:val="lt-LT"/>
              </w:rPr>
              <w:t xml:space="preserve">≥70 &lt;80 </w:t>
            </w:r>
          </w:p>
          <w:p w14:paraId="5BC698D4" w14:textId="77777777" w:rsidR="00641C6F" w:rsidRPr="000B2118" w:rsidRDefault="00641C6F" w:rsidP="00BB772F">
            <w:pPr>
              <w:rPr>
                <w:sz w:val="18"/>
                <w:szCs w:val="18"/>
                <w:lang w:val="lt-LT"/>
              </w:rPr>
            </w:pPr>
            <w:r w:rsidRPr="000B2118">
              <w:rPr>
                <w:sz w:val="18"/>
                <w:szCs w:val="18"/>
                <w:lang w:val="lt-LT"/>
              </w:rPr>
              <w:t xml:space="preserve">≥80 </w:t>
            </w:r>
          </w:p>
          <w:p w14:paraId="6CE1DCD9" w14:textId="77777777" w:rsidR="00641C6F" w:rsidRPr="000B2118" w:rsidRDefault="00641C6F" w:rsidP="00BB772F">
            <w:pPr>
              <w:rPr>
                <w:b/>
                <w:sz w:val="18"/>
                <w:szCs w:val="18"/>
                <w:lang w:val="lt-LT"/>
              </w:rPr>
            </w:pPr>
            <w:r w:rsidRPr="000B2118">
              <w:rPr>
                <w:b/>
                <w:sz w:val="18"/>
                <w:szCs w:val="18"/>
                <w:lang w:val="lt-LT"/>
              </w:rPr>
              <w:t xml:space="preserve">Tarpinė suma </w:t>
            </w:r>
          </w:p>
        </w:tc>
        <w:tc>
          <w:tcPr>
            <w:tcW w:w="1710" w:type="dxa"/>
          </w:tcPr>
          <w:p w14:paraId="2FE256E3" w14:textId="77777777" w:rsidR="00641C6F" w:rsidRPr="000B2118" w:rsidRDefault="00641C6F" w:rsidP="00BB772F">
            <w:pPr>
              <w:jc w:val="right"/>
              <w:rPr>
                <w:sz w:val="18"/>
                <w:szCs w:val="18"/>
                <w:lang w:val="lt-LT"/>
              </w:rPr>
            </w:pPr>
            <w:r w:rsidRPr="000B2118">
              <w:rPr>
                <w:sz w:val="18"/>
                <w:szCs w:val="18"/>
                <w:lang w:val="lt-LT"/>
              </w:rPr>
              <w:t>10/197 (5</w:t>
            </w:r>
            <w:r w:rsidR="00003957" w:rsidRPr="000B2118">
              <w:rPr>
                <w:sz w:val="18"/>
                <w:szCs w:val="18"/>
                <w:lang w:val="lt-LT"/>
              </w:rPr>
              <w:t>,</w:t>
            </w:r>
            <w:r w:rsidRPr="000B2118">
              <w:rPr>
                <w:sz w:val="18"/>
                <w:szCs w:val="18"/>
                <w:lang w:val="lt-LT"/>
              </w:rPr>
              <w:t>1</w:t>
            </w:r>
            <w:r w:rsidR="001327F6">
              <w:rPr>
                <w:sz w:val="18"/>
                <w:szCs w:val="18"/>
                <w:lang w:val="lt-LT"/>
              </w:rPr>
              <w:t> </w:t>
            </w:r>
            <w:r w:rsidRPr="000B2118">
              <w:rPr>
                <w:sz w:val="18"/>
                <w:szCs w:val="18"/>
                <w:lang w:val="lt-LT"/>
              </w:rPr>
              <w:t>%)</w:t>
            </w:r>
          </w:p>
          <w:p w14:paraId="192C053B" w14:textId="77777777" w:rsidR="00641C6F" w:rsidRPr="000B2118" w:rsidRDefault="00641C6F" w:rsidP="00BB772F">
            <w:pPr>
              <w:jc w:val="right"/>
              <w:rPr>
                <w:sz w:val="18"/>
                <w:szCs w:val="18"/>
                <w:lang w:val="lt-LT"/>
              </w:rPr>
            </w:pPr>
            <w:r w:rsidRPr="000B2118">
              <w:rPr>
                <w:sz w:val="18"/>
                <w:szCs w:val="18"/>
                <w:lang w:val="lt-LT"/>
              </w:rPr>
              <w:t>25/114 (21</w:t>
            </w:r>
            <w:r w:rsidR="00003957" w:rsidRPr="000B2118">
              <w:rPr>
                <w:sz w:val="18"/>
                <w:szCs w:val="18"/>
                <w:lang w:val="lt-LT"/>
              </w:rPr>
              <w:t>,</w:t>
            </w:r>
            <w:r w:rsidRPr="000B2118">
              <w:rPr>
                <w:sz w:val="18"/>
                <w:szCs w:val="18"/>
                <w:lang w:val="lt-LT"/>
              </w:rPr>
              <w:t>9</w:t>
            </w:r>
            <w:r w:rsidR="001327F6">
              <w:rPr>
                <w:sz w:val="18"/>
                <w:szCs w:val="18"/>
                <w:lang w:val="lt-LT"/>
              </w:rPr>
              <w:t> </w:t>
            </w:r>
            <w:r w:rsidRPr="000B2118">
              <w:rPr>
                <w:sz w:val="18"/>
                <w:szCs w:val="18"/>
                <w:lang w:val="lt-LT"/>
              </w:rPr>
              <w:t>%)</w:t>
            </w:r>
          </w:p>
          <w:p w14:paraId="48D155D7" w14:textId="77777777" w:rsidR="00641C6F" w:rsidRPr="000B2118" w:rsidRDefault="00641C6F" w:rsidP="00BB772F">
            <w:pPr>
              <w:jc w:val="right"/>
              <w:rPr>
                <w:sz w:val="18"/>
                <w:szCs w:val="18"/>
                <w:lang w:val="lt-LT"/>
              </w:rPr>
            </w:pPr>
            <w:r w:rsidRPr="000B2118">
              <w:rPr>
                <w:sz w:val="18"/>
                <w:szCs w:val="18"/>
                <w:lang w:val="lt-LT"/>
              </w:rPr>
              <w:t>54/190 (28</w:t>
            </w:r>
            <w:r w:rsidR="00003957" w:rsidRPr="000B2118">
              <w:rPr>
                <w:sz w:val="18"/>
                <w:szCs w:val="18"/>
                <w:lang w:val="lt-LT"/>
              </w:rPr>
              <w:t>,</w:t>
            </w:r>
            <w:r w:rsidRPr="000B2118">
              <w:rPr>
                <w:sz w:val="18"/>
                <w:szCs w:val="18"/>
                <w:lang w:val="lt-LT"/>
              </w:rPr>
              <w:t>4</w:t>
            </w:r>
            <w:r w:rsidR="001327F6">
              <w:rPr>
                <w:sz w:val="18"/>
                <w:szCs w:val="18"/>
                <w:lang w:val="lt-LT"/>
              </w:rPr>
              <w:t> </w:t>
            </w:r>
            <w:r w:rsidRPr="000B2118">
              <w:rPr>
                <w:sz w:val="18"/>
                <w:szCs w:val="18"/>
                <w:lang w:val="lt-LT"/>
              </w:rPr>
              <w:t>%)</w:t>
            </w:r>
          </w:p>
          <w:p w14:paraId="21D6F5CB" w14:textId="77777777" w:rsidR="00641C6F" w:rsidRPr="000B2118" w:rsidRDefault="00641C6F" w:rsidP="00003957">
            <w:pPr>
              <w:jc w:val="right"/>
              <w:rPr>
                <w:b/>
                <w:sz w:val="18"/>
                <w:szCs w:val="18"/>
                <w:lang w:val="lt-LT"/>
              </w:rPr>
            </w:pPr>
            <w:r w:rsidRPr="000B2118">
              <w:rPr>
                <w:b/>
                <w:sz w:val="18"/>
                <w:szCs w:val="18"/>
                <w:lang w:val="lt-LT"/>
              </w:rPr>
              <w:t>89/501 (17</w:t>
            </w:r>
            <w:r w:rsidR="00003957" w:rsidRPr="000B2118">
              <w:rPr>
                <w:b/>
                <w:sz w:val="18"/>
                <w:szCs w:val="18"/>
                <w:lang w:val="lt-LT"/>
              </w:rPr>
              <w:t>,</w:t>
            </w:r>
            <w:r w:rsidRPr="000B2118">
              <w:rPr>
                <w:b/>
                <w:sz w:val="18"/>
                <w:szCs w:val="18"/>
                <w:lang w:val="lt-LT"/>
              </w:rPr>
              <w:t>8</w:t>
            </w:r>
            <w:r w:rsidR="001327F6">
              <w:rPr>
                <w:b/>
                <w:sz w:val="18"/>
                <w:szCs w:val="18"/>
                <w:lang w:val="lt-LT"/>
              </w:rPr>
              <w:t> </w:t>
            </w:r>
            <w:r w:rsidRPr="000B2118">
              <w:rPr>
                <w:b/>
                <w:sz w:val="18"/>
                <w:szCs w:val="18"/>
                <w:lang w:val="lt-LT"/>
              </w:rPr>
              <w:t>%)</w:t>
            </w:r>
          </w:p>
        </w:tc>
        <w:tc>
          <w:tcPr>
            <w:tcW w:w="1778" w:type="dxa"/>
          </w:tcPr>
          <w:p w14:paraId="4EA03AAC" w14:textId="77777777" w:rsidR="00641C6F" w:rsidRPr="000B2118" w:rsidRDefault="00641C6F" w:rsidP="00BB772F">
            <w:pPr>
              <w:jc w:val="right"/>
              <w:rPr>
                <w:sz w:val="18"/>
                <w:szCs w:val="18"/>
                <w:lang w:val="lt-LT"/>
              </w:rPr>
            </w:pPr>
            <w:r w:rsidRPr="000B2118">
              <w:rPr>
                <w:sz w:val="18"/>
                <w:szCs w:val="18"/>
                <w:lang w:val="lt-LT"/>
              </w:rPr>
              <w:t>18/462 (3</w:t>
            </w:r>
            <w:r w:rsidR="00003957" w:rsidRPr="000B2118">
              <w:rPr>
                <w:sz w:val="18"/>
                <w:szCs w:val="18"/>
                <w:lang w:val="lt-LT"/>
              </w:rPr>
              <w:t>,</w:t>
            </w:r>
            <w:r w:rsidRPr="000B2118">
              <w:rPr>
                <w:sz w:val="18"/>
                <w:szCs w:val="18"/>
                <w:lang w:val="lt-LT"/>
              </w:rPr>
              <w:t>9</w:t>
            </w:r>
            <w:r w:rsidR="001327F6">
              <w:rPr>
                <w:sz w:val="18"/>
                <w:szCs w:val="18"/>
                <w:lang w:val="lt-LT"/>
              </w:rPr>
              <w:t> </w:t>
            </w:r>
            <w:r w:rsidRPr="000B2118">
              <w:rPr>
                <w:sz w:val="18"/>
                <w:szCs w:val="18"/>
                <w:lang w:val="lt-LT"/>
              </w:rPr>
              <w:t>%)</w:t>
            </w:r>
          </w:p>
          <w:p w14:paraId="73F7AEB9" w14:textId="77777777" w:rsidR="00641C6F" w:rsidRPr="000B2118" w:rsidRDefault="00641C6F" w:rsidP="00BB772F">
            <w:pPr>
              <w:jc w:val="right"/>
              <w:rPr>
                <w:sz w:val="18"/>
                <w:szCs w:val="18"/>
                <w:lang w:val="lt-LT"/>
              </w:rPr>
            </w:pPr>
            <w:r w:rsidRPr="000B2118">
              <w:rPr>
                <w:sz w:val="18"/>
                <w:szCs w:val="18"/>
                <w:lang w:val="lt-LT"/>
              </w:rPr>
              <w:t>35/224 (15</w:t>
            </w:r>
            <w:r w:rsidR="00003957" w:rsidRPr="000B2118">
              <w:rPr>
                <w:sz w:val="18"/>
                <w:szCs w:val="18"/>
                <w:lang w:val="lt-LT"/>
              </w:rPr>
              <w:t>,</w:t>
            </w:r>
            <w:r w:rsidRPr="000B2118">
              <w:rPr>
                <w:sz w:val="18"/>
                <w:szCs w:val="18"/>
                <w:lang w:val="lt-LT"/>
              </w:rPr>
              <w:t>6</w:t>
            </w:r>
            <w:r w:rsidR="001327F6">
              <w:rPr>
                <w:sz w:val="18"/>
                <w:szCs w:val="18"/>
                <w:lang w:val="lt-LT"/>
              </w:rPr>
              <w:t> </w:t>
            </w:r>
            <w:r w:rsidRPr="000B2118">
              <w:rPr>
                <w:sz w:val="18"/>
                <w:szCs w:val="18"/>
                <w:lang w:val="lt-LT"/>
              </w:rPr>
              <w:t>%)</w:t>
            </w:r>
          </w:p>
          <w:p w14:paraId="7FF6F207" w14:textId="77777777" w:rsidR="00641C6F" w:rsidRPr="000B2118" w:rsidRDefault="00641C6F" w:rsidP="00BB772F">
            <w:pPr>
              <w:jc w:val="right"/>
              <w:rPr>
                <w:sz w:val="18"/>
                <w:szCs w:val="18"/>
                <w:lang w:val="lt-LT"/>
              </w:rPr>
            </w:pPr>
            <w:r w:rsidRPr="000B2118">
              <w:rPr>
                <w:sz w:val="18"/>
                <w:szCs w:val="18"/>
                <w:lang w:val="lt-LT"/>
              </w:rPr>
              <w:t>92/348 (26</w:t>
            </w:r>
            <w:r w:rsidR="00003957" w:rsidRPr="000B2118">
              <w:rPr>
                <w:sz w:val="18"/>
                <w:szCs w:val="18"/>
                <w:lang w:val="lt-LT"/>
              </w:rPr>
              <w:t>,</w:t>
            </w:r>
            <w:r w:rsidRPr="000B2118">
              <w:rPr>
                <w:sz w:val="18"/>
                <w:szCs w:val="18"/>
                <w:lang w:val="lt-LT"/>
              </w:rPr>
              <w:t>4</w:t>
            </w:r>
            <w:r w:rsidR="001327F6">
              <w:rPr>
                <w:sz w:val="18"/>
                <w:szCs w:val="18"/>
                <w:lang w:val="lt-LT"/>
              </w:rPr>
              <w:t> </w:t>
            </w:r>
            <w:r w:rsidRPr="000B2118">
              <w:rPr>
                <w:sz w:val="18"/>
                <w:szCs w:val="18"/>
                <w:lang w:val="lt-LT"/>
              </w:rPr>
              <w:t>%)</w:t>
            </w:r>
          </w:p>
          <w:p w14:paraId="3FAFFC71" w14:textId="77777777" w:rsidR="00641C6F" w:rsidRPr="000B2118" w:rsidRDefault="00641C6F" w:rsidP="00003957">
            <w:pPr>
              <w:jc w:val="right"/>
              <w:rPr>
                <w:b/>
                <w:sz w:val="18"/>
                <w:szCs w:val="18"/>
                <w:lang w:val="lt-LT"/>
              </w:rPr>
            </w:pPr>
            <w:r w:rsidRPr="000B2118">
              <w:rPr>
                <w:b/>
                <w:sz w:val="18"/>
                <w:szCs w:val="18"/>
                <w:lang w:val="lt-LT"/>
              </w:rPr>
              <w:t>145/1034 (14</w:t>
            </w:r>
            <w:r w:rsidR="00003957" w:rsidRPr="000B2118">
              <w:rPr>
                <w:b/>
                <w:sz w:val="18"/>
                <w:szCs w:val="18"/>
                <w:lang w:val="lt-LT"/>
              </w:rPr>
              <w:t>,</w:t>
            </w:r>
            <w:r w:rsidRPr="000B2118">
              <w:rPr>
                <w:b/>
                <w:sz w:val="18"/>
                <w:szCs w:val="18"/>
                <w:lang w:val="lt-LT"/>
              </w:rPr>
              <w:t>0</w:t>
            </w:r>
            <w:r w:rsidR="001327F6">
              <w:rPr>
                <w:b/>
                <w:sz w:val="18"/>
                <w:szCs w:val="18"/>
                <w:lang w:val="lt-LT"/>
              </w:rPr>
              <w:t> </w:t>
            </w:r>
            <w:r w:rsidRPr="000B2118">
              <w:rPr>
                <w:b/>
                <w:sz w:val="18"/>
                <w:szCs w:val="18"/>
                <w:lang w:val="lt-LT"/>
              </w:rPr>
              <w:t>%)</w:t>
            </w:r>
          </w:p>
        </w:tc>
        <w:tc>
          <w:tcPr>
            <w:tcW w:w="2835" w:type="dxa"/>
            <w:gridSpan w:val="2"/>
            <w:vMerge/>
          </w:tcPr>
          <w:p w14:paraId="5D74454E" w14:textId="77777777" w:rsidR="00641C6F" w:rsidRPr="000B2118" w:rsidRDefault="00641C6F" w:rsidP="00BB772F">
            <w:pPr>
              <w:rPr>
                <w:sz w:val="18"/>
                <w:szCs w:val="18"/>
                <w:lang w:val="lt-LT"/>
              </w:rPr>
            </w:pPr>
          </w:p>
        </w:tc>
        <w:tc>
          <w:tcPr>
            <w:tcW w:w="1559" w:type="dxa"/>
          </w:tcPr>
          <w:p w14:paraId="50939B66" w14:textId="77777777" w:rsidR="00641C6F" w:rsidRPr="000B2118" w:rsidRDefault="00641C6F" w:rsidP="00A94563">
            <w:pPr>
              <w:jc w:val="right"/>
              <w:rPr>
                <w:sz w:val="18"/>
                <w:szCs w:val="18"/>
                <w:lang w:val="lt-LT"/>
              </w:rPr>
            </w:pPr>
            <w:r w:rsidRPr="000B2118">
              <w:rPr>
                <w:sz w:val="18"/>
                <w:szCs w:val="18"/>
                <w:lang w:val="lt-LT"/>
              </w:rPr>
              <w:t>1</w:t>
            </w:r>
            <w:r w:rsidR="00003957" w:rsidRPr="000B2118">
              <w:rPr>
                <w:sz w:val="18"/>
                <w:szCs w:val="18"/>
                <w:lang w:val="lt-LT"/>
              </w:rPr>
              <w:t>,</w:t>
            </w:r>
            <w:r w:rsidRPr="000B2118">
              <w:rPr>
                <w:sz w:val="18"/>
                <w:szCs w:val="18"/>
                <w:lang w:val="lt-LT"/>
              </w:rPr>
              <w:t>31 (0</w:t>
            </w:r>
            <w:r w:rsidR="00003957" w:rsidRPr="000B2118">
              <w:rPr>
                <w:sz w:val="18"/>
                <w:szCs w:val="18"/>
                <w:lang w:val="lt-LT"/>
              </w:rPr>
              <w:t>,</w:t>
            </w:r>
            <w:r w:rsidRPr="000B2118">
              <w:rPr>
                <w:sz w:val="18"/>
                <w:szCs w:val="18"/>
                <w:lang w:val="lt-LT"/>
              </w:rPr>
              <w:t>60</w:t>
            </w:r>
            <w:r w:rsidRPr="000B2118">
              <w:rPr>
                <w:sz w:val="18"/>
                <w:szCs w:val="18"/>
                <w:lang w:val="lt-LT"/>
              </w:rPr>
              <w:noBreakHyphen/>
              <w:t>2</w:t>
            </w:r>
            <w:r w:rsidR="00003957" w:rsidRPr="000B2118">
              <w:rPr>
                <w:sz w:val="18"/>
                <w:szCs w:val="18"/>
                <w:lang w:val="lt-LT"/>
              </w:rPr>
              <w:t>,</w:t>
            </w:r>
            <w:r w:rsidRPr="000B2118">
              <w:rPr>
                <w:sz w:val="18"/>
                <w:szCs w:val="18"/>
                <w:lang w:val="lt-LT"/>
              </w:rPr>
              <w:t>83)</w:t>
            </w:r>
          </w:p>
          <w:p w14:paraId="49BD7EA2" w14:textId="77777777" w:rsidR="00641C6F" w:rsidRPr="000B2118" w:rsidRDefault="00641C6F" w:rsidP="00A94563">
            <w:pPr>
              <w:jc w:val="right"/>
              <w:rPr>
                <w:sz w:val="18"/>
                <w:szCs w:val="18"/>
                <w:lang w:val="lt-LT"/>
              </w:rPr>
            </w:pPr>
            <w:r w:rsidRPr="000B2118">
              <w:rPr>
                <w:sz w:val="18"/>
                <w:szCs w:val="18"/>
                <w:lang w:val="lt-LT"/>
              </w:rPr>
              <w:t>1</w:t>
            </w:r>
            <w:r w:rsidR="00003957" w:rsidRPr="000B2118">
              <w:rPr>
                <w:sz w:val="18"/>
                <w:szCs w:val="18"/>
                <w:lang w:val="lt-LT"/>
              </w:rPr>
              <w:t>,</w:t>
            </w:r>
            <w:r w:rsidRPr="000B2118">
              <w:rPr>
                <w:sz w:val="18"/>
                <w:szCs w:val="18"/>
                <w:lang w:val="lt-LT"/>
              </w:rPr>
              <w:t>46 (0</w:t>
            </w:r>
            <w:r w:rsidR="00003957" w:rsidRPr="000B2118">
              <w:rPr>
                <w:sz w:val="18"/>
                <w:szCs w:val="18"/>
                <w:lang w:val="lt-LT"/>
              </w:rPr>
              <w:t>,</w:t>
            </w:r>
            <w:r w:rsidRPr="000B2118">
              <w:rPr>
                <w:sz w:val="18"/>
                <w:szCs w:val="18"/>
                <w:lang w:val="lt-LT"/>
              </w:rPr>
              <w:t>88</w:t>
            </w:r>
            <w:r w:rsidRPr="000B2118">
              <w:rPr>
                <w:sz w:val="18"/>
                <w:szCs w:val="18"/>
                <w:lang w:val="lt-LT"/>
              </w:rPr>
              <w:noBreakHyphen/>
              <w:t>2</w:t>
            </w:r>
            <w:r w:rsidR="00003957" w:rsidRPr="000B2118">
              <w:rPr>
                <w:sz w:val="18"/>
                <w:szCs w:val="18"/>
                <w:lang w:val="lt-LT"/>
              </w:rPr>
              <w:t>,</w:t>
            </w:r>
            <w:r w:rsidRPr="000B2118">
              <w:rPr>
                <w:sz w:val="18"/>
                <w:szCs w:val="18"/>
                <w:lang w:val="lt-LT"/>
              </w:rPr>
              <w:t>45)</w:t>
            </w:r>
          </w:p>
          <w:p w14:paraId="05AFD9E2" w14:textId="77777777" w:rsidR="00641C6F" w:rsidRPr="000B2118" w:rsidRDefault="00641C6F" w:rsidP="00A94563">
            <w:pPr>
              <w:jc w:val="right"/>
              <w:rPr>
                <w:sz w:val="18"/>
                <w:szCs w:val="18"/>
                <w:lang w:val="lt-LT"/>
              </w:rPr>
            </w:pPr>
            <w:r w:rsidRPr="000B2118">
              <w:rPr>
                <w:sz w:val="18"/>
                <w:szCs w:val="18"/>
                <w:lang w:val="lt-LT"/>
              </w:rPr>
              <w:t>1</w:t>
            </w:r>
            <w:r w:rsidR="00003957" w:rsidRPr="000B2118">
              <w:rPr>
                <w:sz w:val="18"/>
                <w:szCs w:val="18"/>
                <w:lang w:val="lt-LT"/>
              </w:rPr>
              <w:t>,</w:t>
            </w:r>
            <w:r w:rsidRPr="000B2118">
              <w:rPr>
                <w:sz w:val="18"/>
                <w:szCs w:val="18"/>
                <w:lang w:val="lt-LT"/>
              </w:rPr>
              <w:t>06 (0</w:t>
            </w:r>
            <w:r w:rsidR="00003957" w:rsidRPr="000B2118">
              <w:rPr>
                <w:sz w:val="18"/>
                <w:szCs w:val="18"/>
                <w:lang w:val="lt-LT"/>
              </w:rPr>
              <w:t>,</w:t>
            </w:r>
            <w:r w:rsidRPr="000B2118">
              <w:rPr>
                <w:sz w:val="18"/>
                <w:szCs w:val="18"/>
                <w:lang w:val="lt-LT"/>
              </w:rPr>
              <w:t>76</w:t>
            </w:r>
            <w:r w:rsidRPr="000B2118">
              <w:rPr>
                <w:sz w:val="18"/>
                <w:szCs w:val="18"/>
                <w:lang w:val="lt-LT"/>
              </w:rPr>
              <w:noBreakHyphen/>
              <w:t>1</w:t>
            </w:r>
            <w:r w:rsidR="00003957" w:rsidRPr="000B2118">
              <w:rPr>
                <w:sz w:val="18"/>
                <w:szCs w:val="18"/>
                <w:lang w:val="lt-LT"/>
              </w:rPr>
              <w:t>,</w:t>
            </w:r>
            <w:r w:rsidRPr="000B2118">
              <w:rPr>
                <w:sz w:val="18"/>
                <w:szCs w:val="18"/>
                <w:lang w:val="lt-LT"/>
              </w:rPr>
              <w:t>49)</w:t>
            </w:r>
          </w:p>
          <w:p w14:paraId="46465C16" w14:textId="77777777" w:rsidR="00641C6F" w:rsidRPr="000B2118" w:rsidRDefault="00641C6F" w:rsidP="00A94563">
            <w:pPr>
              <w:jc w:val="right"/>
              <w:rPr>
                <w:b/>
                <w:sz w:val="18"/>
                <w:szCs w:val="18"/>
                <w:lang w:val="lt-LT"/>
              </w:rPr>
            </w:pPr>
            <w:r w:rsidRPr="000B2118">
              <w:rPr>
                <w:b/>
                <w:sz w:val="18"/>
                <w:szCs w:val="18"/>
                <w:lang w:val="lt-LT"/>
              </w:rPr>
              <w:t>1</w:t>
            </w:r>
            <w:r w:rsidR="00003957" w:rsidRPr="000B2118">
              <w:rPr>
                <w:b/>
                <w:sz w:val="18"/>
                <w:szCs w:val="18"/>
                <w:lang w:val="lt-LT"/>
              </w:rPr>
              <w:t>,</w:t>
            </w:r>
            <w:r w:rsidRPr="000B2118">
              <w:rPr>
                <w:b/>
                <w:sz w:val="18"/>
                <w:szCs w:val="18"/>
                <w:lang w:val="lt-LT"/>
              </w:rPr>
              <w:t>19 (0</w:t>
            </w:r>
            <w:r w:rsidR="00003957" w:rsidRPr="000B2118">
              <w:rPr>
                <w:b/>
                <w:sz w:val="18"/>
                <w:szCs w:val="18"/>
                <w:lang w:val="lt-LT"/>
              </w:rPr>
              <w:t>,</w:t>
            </w:r>
            <w:r w:rsidRPr="000B2118">
              <w:rPr>
                <w:b/>
                <w:sz w:val="18"/>
                <w:szCs w:val="18"/>
                <w:lang w:val="lt-LT"/>
              </w:rPr>
              <w:t>91</w:t>
            </w:r>
            <w:r w:rsidRPr="000B2118">
              <w:rPr>
                <w:b/>
                <w:sz w:val="18"/>
                <w:szCs w:val="18"/>
                <w:lang w:val="lt-LT"/>
              </w:rPr>
              <w:noBreakHyphen/>
              <w:t>1</w:t>
            </w:r>
            <w:r w:rsidR="00003957" w:rsidRPr="000B2118">
              <w:rPr>
                <w:b/>
                <w:sz w:val="18"/>
                <w:szCs w:val="18"/>
                <w:lang w:val="lt-LT"/>
              </w:rPr>
              <w:t>,</w:t>
            </w:r>
            <w:r w:rsidRPr="000B2118">
              <w:rPr>
                <w:b/>
                <w:sz w:val="18"/>
                <w:szCs w:val="18"/>
                <w:lang w:val="lt-LT"/>
              </w:rPr>
              <w:t>55)</w:t>
            </w:r>
          </w:p>
        </w:tc>
      </w:tr>
      <w:tr w:rsidR="00641C6F" w:rsidRPr="000B2118" w14:paraId="5489051E" w14:textId="77777777" w:rsidTr="002472CD">
        <w:trPr>
          <w:trHeight w:val="275"/>
        </w:trPr>
        <w:tc>
          <w:tcPr>
            <w:tcW w:w="5041" w:type="dxa"/>
            <w:gridSpan w:val="3"/>
          </w:tcPr>
          <w:p w14:paraId="1AC07263" w14:textId="77777777" w:rsidR="00641C6F" w:rsidRPr="000B2118" w:rsidRDefault="00641C6F" w:rsidP="00003957">
            <w:pPr>
              <w:rPr>
                <w:b/>
                <w:sz w:val="18"/>
                <w:szCs w:val="18"/>
                <w:lang w:val="lt-LT"/>
              </w:rPr>
            </w:pPr>
            <w:r w:rsidRPr="000B2118">
              <w:rPr>
                <w:b/>
                <w:sz w:val="18"/>
                <w:szCs w:val="18"/>
                <w:lang w:val="lt-LT"/>
              </w:rPr>
              <w:t>Tik deguonis (x</w:t>
            </w:r>
            <w:r w:rsidRPr="000B2118">
              <w:rPr>
                <w:b/>
                <w:sz w:val="18"/>
                <w:szCs w:val="18"/>
                <w:vertAlign w:val="subscript"/>
                <w:lang w:val="lt-LT"/>
              </w:rPr>
              <w:t>1</w:t>
            </w:r>
            <w:r w:rsidRPr="000B2118">
              <w:rPr>
                <w:b/>
                <w:sz w:val="18"/>
                <w:szCs w:val="18"/>
                <w:vertAlign w:val="superscript"/>
                <w:lang w:val="lt-LT"/>
              </w:rPr>
              <w:t>2</w:t>
            </w:r>
            <w:r w:rsidRPr="000B2118">
              <w:rPr>
                <w:b/>
                <w:sz w:val="18"/>
                <w:szCs w:val="18"/>
                <w:lang w:val="lt-LT"/>
              </w:rPr>
              <w:t>= 2</w:t>
            </w:r>
            <w:r w:rsidR="00003957" w:rsidRPr="000B2118">
              <w:rPr>
                <w:b/>
                <w:sz w:val="18"/>
                <w:szCs w:val="18"/>
                <w:lang w:val="lt-LT"/>
              </w:rPr>
              <w:t>,</w:t>
            </w:r>
            <w:r w:rsidRPr="000B2118">
              <w:rPr>
                <w:b/>
                <w:sz w:val="18"/>
                <w:szCs w:val="18"/>
                <w:lang w:val="lt-LT"/>
              </w:rPr>
              <w:t>54; p=0</w:t>
            </w:r>
            <w:r w:rsidR="00003957" w:rsidRPr="000B2118">
              <w:rPr>
                <w:b/>
                <w:sz w:val="18"/>
                <w:szCs w:val="18"/>
                <w:lang w:val="lt-LT"/>
              </w:rPr>
              <w:t>,</w:t>
            </w:r>
            <w:r w:rsidRPr="000B2118">
              <w:rPr>
                <w:b/>
                <w:sz w:val="18"/>
                <w:szCs w:val="18"/>
                <w:lang w:val="lt-LT"/>
              </w:rPr>
              <w:t>11)</w:t>
            </w:r>
          </w:p>
        </w:tc>
        <w:tc>
          <w:tcPr>
            <w:tcW w:w="2835" w:type="dxa"/>
            <w:gridSpan w:val="2"/>
            <w:vMerge/>
          </w:tcPr>
          <w:p w14:paraId="63F1001A" w14:textId="77777777" w:rsidR="00641C6F" w:rsidRPr="000B2118" w:rsidRDefault="00641C6F" w:rsidP="00BB772F">
            <w:pPr>
              <w:rPr>
                <w:sz w:val="18"/>
                <w:szCs w:val="18"/>
                <w:lang w:val="lt-LT"/>
              </w:rPr>
            </w:pPr>
          </w:p>
        </w:tc>
        <w:tc>
          <w:tcPr>
            <w:tcW w:w="1559" w:type="dxa"/>
          </w:tcPr>
          <w:p w14:paraId="2F9DD1DE" w14:textId="77777777" w:rsidR="00641C6F" w:rsidRPr="000B2118" w:rsidRDefault="00641C6F" w:rsidP="00A94563">
            <w:pPr>
              <w:jc w:val="right"/>
              <w:rPr>
                <w:sz w:val="18"/>
                <w:szCs w:val="18"/>
                <w:lang w:val="lt-LT"/>
              </w:rPr>
            </w:pPr>
          </w:p>
        </w:tc>
      </w:tr>
      <w:tr w:rsidR="00641C6F" w:rsidRPr="000B2118" w14:paraId="026512D3" w14:textId="77777777" w:rsidTr="002472CD">
        <w:trPr>
          <w:trHeight w:val="842"/>
        </w:trPr>
        <w:tc>
          <w:tcPr>
            <w:tcW w:w="1553" w:type="dxa"/>
          </w:tcPr>
          <w:p w14:paraId="27963714" w14:textId="77777777" w:rsidR="00641C6F" w:rsidRPr="000B2118" w:rsidRDefault="00641C6F" w:rsidP="00BB772F">
            <w:pPr>
              <w:rPr>
                <w:sz w:val="18"/>
                <w:szCs w:val="18"/>
                <w:lang w:val="lt-LT"/>
              </w:rPr>
            </w:pPr>
            <w:r w:rsidRPr="000B2118">
              <w:rPr>
                <w:sz w:val="18"/>
                <w:szCs w:val="18"/>
                <w:lang w:val="lt-LT"/>
              </w:rPr>
              <w:t xml:space="preserve">&lt;70 </w:t>
            </w:r>
          </w:p>
          <w:p w14:paraId="48CBB250" w14:textId="77777777" w:rsidR="00641C6F" w:rsidRPr="000B2118" w:rsidRDefault="00641C6F" w:rsidP="00BB772F">
            <w:pPr>
              <w:rPr>
                <w:sz w:val="18"/>
                <w:szCs w:val="18"/>
                <w:lang w:val="lt-LT"/>
              </w:rPr>
            </w:pPr>
            <w:r w:rsidRPr="000B2118">
              <w:rPr>
                <w:sz w:val="18"/>
                <w:szCs w:val="18"/>
                <w:lang w:val="lt-LT"/>
              </w:rPr>
              <w:t xml:space="preserve">≥70 &lt;80 </w:t>
            </w:r>
          </w:p>
          <w:p w14:paraId="49847BCE" w14:textId="77777777" w:rsidR="00641C6F" w:rsidRPr="000B2118" w:rsidRDefault="00641C6F" w:rsidP="00BB772F">
            <w:pPr>
              <w:rPr>
                <w:sz w:val="18"/>
                <w:szCs w:val="18"/>
                <w:lang w:val="lt-LT"/>
              </w:rPr>
            </w:pPr>
            <w:r w:rsidRPr="000B2118">
              <w:rPr>
                <w:sz w:val="18"/>
                <w:szCs w:val="18"/>
                <w:lang w:val="lt-LT"/>
              </w:rPr>
              <w:t xml:space="preserve">≥80 </w:t>
            </w:r>
          </w:p>
          <w:p w14:paraId="7A8E7861" w14:textId="77777777" w:rsidR="00641C6F" w:rsidRPr="000B2118" w:rsidRDefault="00641C6F" w:rsidP="00BB772F">
            <w:pPr>
              <w:rPr>
                <w:b/>
                <w:sz w:val="18"/>
                <w:szCs w:val="18"/>
                <w:lang w:val="lt-LT"/>
              </w:rPr>
            </w:pPr>
            <w:r w:rsidRPr="000B2118">
              <w:rPr>
                <w:b/>
                <w:sz w:val="18"/>
                <w:szCs w:val="18"/>
                <w:lang w:val="lt-LT"/>
              </w:rPr>
              <w:t>Tarpinė suma</w:t>
            </w:r>
          </w:p>
          <w:p w14:paraId="46AD2CAE" w14:textId="77777777" w:rsidR="00641C6F" w:rsidRPr="000B2118" w:rsidRDefault="00641C6F" w:rsidP="00BB772F">
            <w:pPr>
              <w:rPr>
                <w:sz w:val="18"/>
                <w:szCs w:val="18"/>
                <w:lang w:val="lt-LT"/>
              </w:rPr>
            </w:pPr>
          </w:p>
        </w:tc>
        <w:tc>
          <w:tcPr>
            <w:tcW w:w="1710" w:type="dxa"/>
          </w:tcPr>
          <w:p w14:paraId="7C97EA65" w14:textId="77777777" w:rsidR="00641C6F" w:rsidRPr="000B2118" w:rsidRDefault="00641C6F" w:rsidP="00BB772F">
            <w:pPr>
              <w:jc w:val="right"/>
              <w:rPr>
                <w:sz w:val="18"/>
                <w:szCs w:val="18"/>
                <w:lang w:val="lt-LT"/>
              </w:rPr>
            </w:pPr>
            <w:r w:rsidRPr="000B2118">
              <w:rPr>
                <w:sz w:val="18"/>
                <w:szCs w:val="18"/>
                <w:lang w:val="lt-LT"/>
              </w:rPr>
              <w:t>53/675 (7</w:t>
            </w:r>
            <w:r w:rsidR="00003957" w:rsidRPr="000B2118">
              <w:rPr>
                <w:sz w:val="18"/>
                <w:szCs w:val="18"/>
                <w:lang w:val="lt-LT"/>
              </w:rPr>
              <w:t>,</w:t>
            </w:r>
            <w:r w:rsidRPr="000B2118">
              <w:rPr>
                <w:sz w:val="18"/>
                <w:szCs w:val="18"/>
                <w:lang w:val="lt-LT"/>
              </w:rPr>
              <w:t>9</w:t>
            </w:r>
            <w:r w:rsidR="001327F6">
              <w:rPr>
                <w:sz w:val="18"/>
                <w:szCs w:val="18"/>
                <w:lang w:val="lt-LT"/>
              </w:rPr>
              <w:t> </w:t>
            </w:r>
            <w:r w:rsidRPr="000B2118">
              <w:rPr>
                <w:sz w:val="18"/>
                <w:szCs w:val="18"/>
                <w:lang w:val="lt-LT"/>
              </w:rPr>
              <w:t>%)</w:t>
            </w:r>
          </w:p>
          <w:p w14:paraId="6B082710" w14:textId="77777777" w:rsidR="00641C6F" w:rsidRPr="000B2118" w:rsidRDefault="00641C6F" w:rsidP="00BB772F">
            <w:pPr>
              <w:jc w:val="right"/>
              <w:rPr>
                <w:sz w:val="18"/>
                <w:szCs w:val="18"/>
                <w:lang w:val="lt-LT"/>
              </w:rPr>
            </w:pPr>
            <w:r w:rsidRPr="000B2118">
              <w:rPr>
                <w:sz w:val="18"/>
                <w:szCs w:val="18"/>
                <w:lang w:val="lt-LT"/>
              </w:rPr>
              <w:t>104/306 (34</w:t>
            </w:r>
            <w:r w:rsidR="00003957" w:rsidRPr="000B2118">
              <w:rPr>
                <w:sz w:val="18"/>
                <w:szCs w:val="18"/>
                <w:lang w:val="lt-LT"/>
              </w:rPr>
              <w:t>,</w:t>
            </w:r>
            <w:r w:rsidRPr="000B2118">
              <w:rPr>
                <w:sz w:val="18"/>
                <w:szCs w:val="18"/>
                <w:lang w:val="lt-LT"/>
              </w:rPr>
              <w:t>0</w:t>
            </w:r>
            <w:r w:rsidR="001327F6">
              <w:rPr>
                <w:sz w:val="18"/>
                <w:szCs w:val="18"/>
                <w:lang w:val="lt-LT"/>
              </w:rPr>
              <w:t> </w:t>
            </w:r>
            <w:r w:rsidRPr="000B2118">
              <w:rPr>
                <w:sz w:val="18"/>
                <w:szCs w:val="18"/>
                <w:lang w:val="lt-LT"/>
              </w:rPr>
              <w:t>%)</w:t>
            </w:r>
          </w:p>
          <w:p w14:paraId="32CF931D" w14:textId="77777777" w:rsidR="00641C6F" w:rsidRPr="000B2118" w:rsidRDefault="00641C6F" w:rsidP="00BB772F">
            <w:pPr>
              <w:jc w:val="right"/>
              <w:rPr>
                <w:sz w:val="18"/>
                <w:szCs w:val="18"/>
                <w:lang w:val="lt-LT"/>
              </w:rPr>
            </w:pPr>
            <w:r w:rsidRPr="000B2118">
              <w:rPr>
                <w:sz w:val="18"/>
                <w:szCs w:val="18"/>
                <w:lang w:val="lt-LT"/>
              </w:rPr>
              <w:t>141/298 (47</w:t>
            </w:r>
            <w:r w:rsidR="00003957" w:rsidRPr="000B2118">
              <w:rPr>
                <w:sz w:val="18"/>
                <w:szCs w:val="18"/>
                <w:lang w:val="lt-LT"/>
              </w:rPr>
              <w:t>,</w:t>
            </w:r>
            <w:r w:rsidRPr="000B2118">
              <w:rPr>
                <w:sz w:val="18"/>
                <w:szCs w:val="18"/>
                <w:lang w:val="lt-LT"/>
              </w:rPr>
              <w:t>3</w:t>
            </w:r>
            <w:r w:rsidR="001327F6">
              <w:rPr>
                <w:sz w:val="18"/>
                <w:szCs w:val="18"/>
                <w:lang w:val="lt-LT"/>
              </w:rPr>
              <w:t> </w:t>
            </w:r>
            <w:r w:rsidRPr="000B2118">
              <w:rPr>
                <w:sz w:val="18"/>
                <w:szCs w:val="18"/>
                <w:lang w:val="lt-LT"/>
              </w:rPr>
              <w:t>%)</w:t>
            </w:r>
          </w:p>
          <w:p w14:paraId="604B9494" w14:textId="77777777" w:rsidR="00641C6F" w:rsidRPr="000B2118" w:rsidRDefault="00641C6F" w:rsidP="00003957">
            <w:pPr>
              <w:jc w:val="right"/>
              <w:rPr>
                <w:b/>
                <w:sz w:val="18"/>
                <w:szCs w:val="18"/>
                <w:lang w:val="lt-LT"/>
              </w:rPr>
            </w:pPr>
            <w:r w:rsidRPr="000B2118">
              <w:rPr>
                <w:b/>
                <w:sz w:val="18"/>
                <w:szCs w:val="18"/>
                <w:lang w:val="lt-LT"/>
              </w:rPr>
              <w:t>298/1279 (23</w:t>
            </w:r>
            <w:r w:rsidR="00003957" w:rsidRPr="000B2118">
              <w:rPr>
                <w:b/>
                <w:sz w:val="18"/>
                <w:szCs w:val="18"/>
                <w:lang w:val="lt-LT"/>
              </w:rPr>
              <w:t>,</w:t>
            </w:r>
            <w:r w:rsidRPr="000B2118">
              <w:rPr>
                <w:b/>
                <w:sz w:val="18"/>
                <w:szCs w:val="18"/>
                <w:lang w:val="lt-LT"/>
              </w:rPr>
              <w:t>3</w:t>
            </w:r>
            <w:r w:rsidR="001327F6">
              <w:rPr>
                <w:b/>
                <w:sz w:val="18"/>
                <w:szCs w:val="18"/>
                <w:lang w:val="lt-LT"/>
              </w:rPr>
              <w:t> </w:t>
            </w:r>
            <w:r w:rsidRPr="000B2118">
              <w:rPr>
                <w:b/>
                <w:sz w:val="18"/>
                <w:szCs w:val="18"/>
                <w:lang w:val="lt-LT"/>
              </w:rPr>
              <w:t>%)</w:t>
            </w:r>
          </w:p>
        </w:tc>
        <w:tc>
          <w:tcPr>
            <w:tcW w:w="1778" w:type="dxa"/>
          </w:tcPr>
          <w:p w14:paraId="4E8FD1D3" w14:textId="77777777" w:rsidR="00641C6F" w:rsidRPr="000B2118" w:rsidRDefault="00641C6F" w:rsidP="00BB772F">
            <w:pPr>
              <w:jc w:val="right"/>
              <w:rPr>
                <w:sz w:val="18"/>
                <w:szCs w:val="18"/>
                <w:lang w:val="lt-LT"/>
              </w:rPr>
            </w:pPr>
            <w:r w:rsidRPr="000B2118">
              <w:rPr>
                <w:sz w:val="18"/>
                <w:szCs w:val="18"/>
                <w:lang w:val="lt-LT"/>
              </w:rPr>
              <w:t>193/1473 (13</w:t>
            </w:r>
            <w:r w:rsidR="00003957" w:rsidRPr="000B2118">
              <w:rPr>
                <w:sz w:val="18"/>
                <w:szCs w:val="18"/>
                <w:lang w:val="lt-LT"/>
              </w:rPr>
              <w:t>,</w:t>
            </w:r>
            <w:r w:rsidRPr="000B2118">
              <w:rPr>
                <w:sz w:val="18"/>
                <w:szCs w:val="18"/>
                <w:lang w:val="lt-LT"/>
              </w:rPr>
              <w:t>1</w:t>
            </w:r>
            <w:r w:rsidR="001327F6">
              <w:rPr>
                <w:sz w:val="18"/>
                <w:szCs w:val="18"/>
                <w:lang w:val="lt-LT"/>
              </w:rPr>
              <w:t> </w:t>
            </w:r>
            <w:r w:rsidRPr="000B2118">
              <w:rPr>
                <w:sz w:val="18"/>
                <w:szCs w:val="18"/>
                <w:lang w:val="lt-LT"/>
              </w:rPr>
              <w:t>%)</w:t>
            </w:r>
          </w:p>
          <w:p w14:paraId="7E71603E" w14:textId="77777777" w:rsidR="00641C6F" w:rsidRPr="000B2118" w:rsidRDefault="00641C6F" w:rsidP="00BB772F">
            <w:pPr>
              <w:jc w:val="right"/>
              <w:rPr>
                <w:sz w:val="18"/>
                <w:szCs w:val="18"/>
                <w:lang w:val="lt-LT"/>
              </w:rPr>
            </w:pPr>
            <w:r w:rsidRPr="000B2118">
              <w:rPr>
                <w:sz w:val="18"/>
                <w:szCs w:val="18"/>
                <w:lang w:val="lt-LT"/>
              </w:rPr>
              <w:t>178/531 (33</w:t>
            </w:r>
            <w:r w:rsidR="00003957" w:rsidRPr="000B2118">
              <w:rPr>
                <w:sz w:val="18"/>
                <w:szCs w:val="18"/>
                <w:lang w:val="lt-LT"/>
              </w:rPr>
              <w:t>,</w:t>
            </w:r>
            <w:r w:rsidRPr="000B2118">
              <w:rPr>
                <w:sz w:val="18"/>
                <w:szCs w:val="18"/>
                <w:lang w:val="lt-LT"/>
              </w:rPr>
              <w:t>5</w:t>
            </w:r>
            <w:r w:rsidR="001327F6">
              <w:rPr>
                <w:sz w:val="18"/>
                <w:szCs w:val="18"/>
                <w:lang w:val="lt-LT"/>
              </w:rPr>
              <w:t> </w:t>
            </w:r>
            <w:r w:rsidRPr="000B2118">
              <w:rPr>
                <w:sz w:val="18"/>
                <w:szCs w:val="18"/>
                <w:lang w:val="lt-LT"/>
              </w:rPr>
              <w:t>%)</w:t>
            </w:r>
          </w:p>
          <w:p w14:paraId="5E862D7F" w14:textId="77777777" w:rsidR="00641C6F" w:rsidRPr="000B2118" w:rsidRDefault="00641C6F" w:rsidP="00BB772F">
            <w:pPr>
              <w:jc w:val="right"/>
              <w:rPr>
                <w:sz w:val="18"/>
                <w:szCs w:val="18"/>
                <w:lang w:val="lt-LT"/>
              </w:rPr>
            </w:pPr>
            <w:r w:rsidRPr="000B2118">
              <w:rPr>
                <w:sz w:val="18"/>
                <w:szCs w:val="18"/>
                <w:lang w:val="lt-LT"/>
              </w:rPr>
              <w:t>311/600 (51</w:t>
            </w:r>
            <w:r w:rsidR="00003957" w:rsidRPr="000B2118">
              <w:rPr>
                <w:sz w:val="18"/>
                <w:szCs w:val="18"/>
                <w:lang w:val="lt-LT"/>
              </w:rPr>
              <w:t>,</w:t>
            </w:r>
            <w:r w:rsidRPr="000B2118">
              <w:rPr>
                <w:sz w:val="18"/>
                <w:szCs w:val="18"/>
                <w:lang w:val="lt-LT"/>
              </w:rPr>
              <w:t>8</w:t>
            </w:r>
            <w:r w:rsidR="001327F6">
              <w:rPr>
                <w:sz w:val="18"/>
                <w:szCs w:val="18"/>
                <w:lang w:val="lt-LT"/>
              </w:rPr>
              <w:t> </w:t>
            </w:r>
            <w:r w:rsidRPr="000B2118">
              <w:rPr>
                <w:sz w:val="18"/>
                <w:szCs w:val="18"/>
                <w:lang w:val="lt-LT"/>
              </w:rPr>
              <w:t>%)</w:t>
            </w:r>
          </w:p>
          <w:p w14:paraId="5C8C4E75" w14:textId="77777777" w:rsidR="00641C6F" w:rsidRPr="000B2118" w:rsidRDefault="00641C6F" w:rsidP="00003957">
            <w:pPr>
              <w:jc w:val="right"/>
              <w:rPr>
                <w:b/>
                <w:sz w:val="18"/>
                <w:szCs w:val="18"/>
                <w:lang w:val="lt-LT"/>
              </w:rPr>
            </w:pPr>
            <w:r w:rsidRPr="000B2118">
              <w:rPr>
                <w:b/>
                <w:sz w:val="18"/>
                <w:szCs w:val="18"/>
                <w:lang w:val="lt-LT"/>
              </w:rPr>
              <w:t>682/2604 (26</w:t>
            </w:r>
            <w:r w:rsidR="00003957" w:rsidRPr="000B2118">
              <w:rPr>
                <w:b/>
                <w:sz w:val="18"/>
                <w:szCs w:val="18"/>
                <w:lang w:val="lt-LT"/>
              </w:rPr>
              <w:t>,</w:t>
            </w:r>
            <w:r w:rsidRPr="000B2118">
              <w:rPr>
                <w:b/>
                <w:sz w:val="18"/>
                <w:szCs w:val="18"/>
                <w:lang w:val="lt-LT"/>
              </w:rPr>
              <w:t>2</w:t>
            </w:r>
            <w:r w:rsidR="001327F6">
              <w:rPr>
                <w:b/>
                <w:sz w:val="18"/>
                <w:szCs w:val="18"/>
                <w:lang w:val="lt-LT"/>
              </w:rPr>
              <w:t> </w:t>
            </w:r>
            <w:r w:rsidRPr="000B2118">
              <w:rPr>
                <w:b/>
                <w:sz w:val="18"/>
                <w:szCs w:val="18"/>
                <w:lang w:val="lt-LT"/>
              </w:rPr>
              <w:t>%)</w:t>
            </w:r>
          </w:p>
        </w:tc>
        <w:tc>
          <w:tcPr>
            <w:tcW w:w="2835" w:type="dxa"/>
            <w:gridSpan w:val="2"/>
            <w:vMerge/>
          </w:tcPr>
          <w:p w14:paraId="0DAAB8DF" w14:textId="77777777" w:rsidR="00641C6F" w:rsidRPr="000B2118" w:rsidRDefault="00641C6F" w:rsidP="00BB772F">
            <w:pPr>
              <w:rPr>
                <w:sz w:val="18"/>
                <w:szCs w:val="18"/>
                <w:lang w:val="lt-LT"/>
              </w:rPr>
            </w:pPr>
          </w:p>
        </w:tc>
        <w:tc>
          <w:tcPr>
            <w:tcW w:w="1559" w:type="dxa"/>
          </w:tcPr>
          <w:p w14:paraId="6982F8BC" w14:textId="77777777" w:rsidR="00641C6F" w:rsidRPr="000B2118" w:rsidRDefault="00641C6F" w:rsidP="00A94563">
            <w:pPr>
              <w:jc w:val="right"/>
              <w:rPr>
                <w:sz w:val="18"/>
                <w:szCs w:val="18"/>
                <w:lang w:val="lt-LT"/>
              </w:rPr>
            </w:pPr>
            <w:r w:rsidRPr="000B2118">
              <w:rPr>
                <w:sz w:val="18"/>
                <w:szCs w:val="18"/>
                <w:lang w:val="lt-LT"/>
              </w:rPr>
              <w:t>0</w:t>
            </w:r>
            <w:r w:rsidR="00003957" w:rsidRPr="000B2118">
              <w:rPr>
                <w:sz w:val="18"/>
                <w:szCs w:val="18"/>
                <w:lang w:val="lt-LT"/>
              </w:rPr>
              <w:t>,</w:t>
            </w:r>
            <w:r w:rsidRPr="000B2118">
              <w:rPr>
                <w:sz w:val="18"/>
                <w:szCs w:val="18"/>
                <w:lang w:val="lt-LT"/>
              </w:rPr>
              <w:t>58 (0</w:t>
            </w:r>
            <w:r w:rsidR="00003957" w:rsidRPr="000B2118">
              <w:rPr>
                <w:sz w:val="18"/>
                <w:szCs w:val="18"/>
                <w:lang w:val="lt-LT"/>
              </w:rPr>
              <w:t>,</w:t>
            </w:r>
            <w:r w:rsidRPr="000B2118">
              <w:rPr>
                <w:sz w:val="18"/>
                <w:szCs w:val="18"/>
                <w:lang w:val="lt-LT"/>
              </w:rPr>
              <w:t>43</w:t>
            </w:r>
            <w:r w:rsidRPr="000B2118">
              <w:rPr>
                <w:sz w:val="18"/>
                <w:szCs w:val="18"/>
                <w:lang w:val="lt-LT"/>
              </w:rPr>
              <w:noBreakHyphen/>
              <w:t>0</w:t>
            </w:r>
            <w:r w:rsidR="00003957" w:rsidRPr="000B2118">
              <w:rPr>
                <w:sz w:val="18"/>
                <w:szCs w:val="18"/>
                <w:lang w:val="lt-LT"/>
              </w:rPr>
              <w:t>,</w:t>
            </w:r>
            <w:r w:rsidRPr="000B2118">
              <w:rPr>
                <w:sz w:val="18"/>
                <w:szCs w:val="18"/>
                <w:lang w:val="lt-LT"/>
              </w:rPr>
              <w:t>78)</w:t>
            </w:r>
          </w:p>
          <w:p w14:paraId="608D2733" w14:textId="77777777" w:rsidR="00641C6F" w:rsidRPr="000B2118" w:rsidRDefault="00641C6F" w:rsidP="00A94563">
            <w:pPr>
              <w:jc w:val="right"/>
              <w:rPr>
                <w:sz w:val="18"/>
                <w:szCs w:val="18"/>
                <w:lang w:val="lt-LT"/>
              </w:rPr>
            </w:pPr>
            <w:r w:rsidRPr="000B2118">
              <w:rPr>
                <w:sz w:val="18"/>
                <w:szCs w:val="18"/>
                <w:lang w:val="lt-LT"/>
              </w:rPr>
              <w:t>0</w:t>
            </w:r>
            <w:r w:rsidR="00003957" w:rsidRPr="000B2118">
              <w:rPr>
                <w:sz w:val="18"/>
                <w:szCs w:val="18"/>
                <w:lang w:val="lt-LT"/>
              </w:rPr>
              <w:t>,</w:t>
            </w:r>
            <w:r w:rsidRPr="000B2118">
              <w:rPr>
                <w:sz w:val="18"/>
                <w:szCs w:val="18"/>
                <w:lang w:val="lt-LT"/>
              </w:rPr>
              <w:t>98 (0</w:t>
            </w:r>
            <w:r w:rsidR="00003957" w:rsidRPr="000B2118">
              <w:rPr>
                <w:sz w:val="18"/>
                <w:szCs w:val="18"/>
                <w:lang w:val="lt-LT"/>
              </w:rPr>
              <w:t>,</w:t>
            </w:r>
            <w:r w:rsidRPr="000B2118">
              <w:rPr>
                <w:sz w:val="18"/>
                <w:szCs w:val="18"/>
                <w:lang w:val="lt-LT"/>
              </w:rPr>
              <w:t>77</w:t>
            </w:r>
            <w:r w:rsidRPr="000B2118">
              <w:rPr>
                <w:sz w:val="18"/>
                <w:szCs w:val="18"/>
                <w:lang w:val="lt-LT"/>
              </w:rPr>
              <w:noBreakHyphen/>
              <w:t>1</w:t>
            </w:r>
            <w:r w:rsidR="00003957" w:rsidRPr="000B2118">
              <w:rPr>
                <w:sz w:val="18"/>
                <w:szCs w:val="18"/>
                <w:lang w:val="lt-LT"/>
              </w:rPr>
              <w:t>,</w:t>
            </w:r>
            <w:r w:rsidRPr="000B2118">
              <w:rPr>
                <w:sz w:val="18"/>
                <w:szCs w:val="18"/>
                <w:lang w:val="lt-LT"/>
              </w:rPr>
              <w:t>25)</w:t>
            </w:r>
          </w:p>
          <w:p w14:paraId="2225C6BE" w14:textId="77777777" w:rsidR="00641C6F" w:rsidRPr="000B2118" w:rsidRDefault="00641C6F" w:rsidP="00A94563">
            <w:pPr>
              <w:jc w:val="right"/>
              <w:rPr>
                <w:sz w:val="18"/>
                <w:szCs w:val="18"/>
                <w:lang w:val="lt-LT"/>
              </w:rPr>
            </w:pPr>
            <w:r w:rsidRPr="000B2118">
              <w:rPr>
                <w:sz w:val="18"/>
                <w:szCs w:val="18"/>
                <w:lang w:val="lt-LT"/>
              </w:rPr>
              <w:t>0</w:t>
            </w:r>
            <w:r w:rsidR="00003957" w:rsidRPr="000B2118">
              <w:rPr>
                <w:sz w:val="18"/>
                <w:szCs w:val="18"/>
                <w:lang w:val="lt-LT"/>
              </w:rPr>
              <w:t>,</w:t>
            </w:r>
            <w:r w:rsidRPr="000B2118">
              <w:rPr>
                <w:sz w:val="18"/>
                <w:szCs w:val="18"/>
                <w:lang w:val="lt-LT"/>
              </w:rPr>
              <w:t>85 (0</w:t>
            </w:r>
            <w:r w:rsidR="00003957" w:rsidRPr="000B2118">
              <w:rPr>
                <w:sz w:val="18"/>
                <w:szCs w:val="18"/>
                <w:lang w:val="lt-LT"/>
              </w:rPr>
              <w:t>,</w:t>
            </w:r>
            <w:r w:rsidRPr="000B2118">
              <w:rPr>
                <w:sz w:val="18"/>
                <w:szCs w:val="18"/>
                <w:lang w:val="lt-LT"/>
              </w:rPr>
              <w:t>70</w:t>
            </w:r>
            <w:r w:rsidRPr="000B2118">
              <w:rPr>
                <w:sz w:val="18"/>
                <w:szCs w:val="18"/>
                <w:lang w:val="lt-LT"/>
              </w:rPr>
              <w:noBreakHyphen/>
              <w:t>1</w:t>
            </w:r>
            <w:r w:rsidR="00003957" w:rsidRPr="000B2118">
              <w:rPr>
                <w:sz w:val="18"/>
                <w:szCs w:val="18"/>
                <w:lang w:val="lt-LT"/>
              </w:rPr>
              <w:t>,</w:t>
            </w:r>
            <w:r w:rsidRPr="000B2118">
              <w:rPr>
                <w:sz w:val="18"/>
                <w:szCs w:val="18"/>
                <w:lang w:val="lt-LT"/>
              </w:rPr>
              <w:t>04)</w:t>
            </w:r>
          </w:p>
          <w:p w14:paraId="1E461A20" w14:textId="77777777" w:rsidR="00641C6F" w:rsidRPr="000B2118" w:rsidRDefault="00641C6F" w:rsidP="00A94563">
            <w:pPr>
              <w:jc w:val="right"/>
              <w:rPr>
                <w:b/>
                <w:sz w:val="18"/>
                <w:szCs w:val="18"/>
                <w:lang w:val="lt-LT"/>
              </w:rPr>
            </w:pPr>
            <w:r w:rsidRPr="000B2118">
              <w:rPr>
                <w:b/>
                <w:sz w:val="18"/>
                <w:szCs w:val="18"/>
                <w:lang w:val="lt-LT"/>
              </w:rPr>
              <w:t>0</w:t>
            </w:r>
            <w:r w:rsidR="00003957" w:rsidRPr="000B2118">
              <w:rPr>
                <w:b/>
                <w:sz w:val="18"/>
                <w:szCs w:val="18"/>
                <w:lang w:val="lt-LT"/>
              </w:rPr>
              <w:t>,</w:t>
            </w:r>
            <w:r w:rsidRPr="000B2118">
              <w:rPr>
                <w:b/>
                <w:sz w:val="18"/>
                <w:szCs w:val="18"/>
                <w:lang w:val="lt-LT"/>
              </w:rPr>
              <w:t>82 (0</w:t>
            </w:r>
            <w:r w:rsidR="00003957" w:rsidRPr="000B2118">
              <w:rPr>
                <w:b/>
                <w:sz w:val="18"/>
                <w:szCs w:val="18"/>
                <w:lang w:val="lt-LT"/>
              </w:rPr>
              <w:t>,</w:t>
            </w:r>
            <w:r w:rsidRPr="000B2118">
              <w:rPr>
                <w:b/>
                <w:sz w:val="18"/>
                <w:szCs w:val="18"/>
                <w:lang w:val="lt-LT"/>
              </w:rPr>
              <w:t>72</w:t>
            </w:r>
            <w:r w:rsidRPr="000B2118">
              <w:rPr>
                <w:b/>
                <w:sz w:val="18"/>
                <w:szCs w:val="18"/>
                <w:lang w:val="lt-LT"/>
              </w:rPr>
              <w:noBreakHyphen/>
              <w:t>0</w:t>
            </w:r>
            <w:r w:rsidR="00003957" w:rsidRPr="000B2118">
              <w:rPr>
                <w:b/>
                <w:sz w:val="18"/>
                <w:szCs w:val="18"/>
                <w:lang w:val="lt-LT"/>
              </w:rPr>
              <w:t>,</w:t>
            </w:r>
            <w:r w:rsidRPr="000B2118">
              <w:rPr>
                <w:b/>
                <w:sz w:val="18"/>
                <w:szCs w:val="18"/>
                <w:lang w:val="lt-LT"/>
              </w:rPr>
              <w:t>94)</w:t>
            </w:r>
          </w:p>
        </w:tc>
      </w:tr>
      <w:tr w:rsidR="00641C6F" w:rsidRPr="001B60F2" w14:paraId="7C2BA757" w14:textId="77777777" w:rsidTr="002472CD">
        <w:tc>
          <w:tcPr>
            <w:tcW w:w="5041" w:type="dxa"/>
            <w:gridSpan w:val="3"/>
          </w:tcPr>
          <w:p w14:paraId="7A8FC9EB" w14:textId="77777777" w:rsidR="00641C6F" w:rsidRPr="000B2118" w:rsidRDefault="00641C6F" w:rsidP="00003957">
            <w:pPr>
              <w:rPr>
                <w:b/>
                <w:sz w:val="18"/>
                <w:szCs w:val="18"/>
                <w:lang w:val="lt-LT"/>
              </w:rPr>
            </w:pPr>
            <w:r w:rsidRPr="000B2118">
              <w:rPr>
                <w:b/>
                <w:sz w:val="18"/>
                <w:szCs w:val="18"/>
                <w:lang w:val="lt-LT"/>
              </w:rPr>
              <w:t>Dirbtinė plaučių ventiliacija (x</w:t>
            </w:r>
            <w:r w:rsidRPr="000B2118">
              <w:rPr>
                <w:b/>
                <w:sz w:val="18"/>
                <w:szCs w:val="18"/>
                <w:vertAlign w:val="subscript"/>
                <w:lang w:val="lt-LT"/>
              </w:rPr>
              <w:t>1</w:t>
            </w:r>
            <w:r w:rsidRPr="000B2118">
              <w:rPr>
                <w:b/>
                <w:sz w:val="18"/>
                <w:szCs w:val="18"/>
                <w:vertAlign w:val="superscript"/>
                <w:lang w:val="lt-LT"/>
              </w:rPr>
              <w:t>2</w:t>
            </w:r>
            <w:r w:rsidRPr="000B2118">
              <w:rPr>
                <w:b/>
                <w:sz w:val="18"/>
                <w:szCs w:val="18"/>
                <w:lang w:val="lt-LT"/>
              </w:rPr>
              <w:t>= 0</w:t>
            </w:r>
            <w:r w:rsidR="00003957" w:rsidRPr="000B2118">
              <w:rPr>
                <w:b/>
                <w:sz w:val="18"/>
                <w:szCs w:val="18"/>
                <w:lang w:val="lt-LT"/>
              </w:rPr>
              <w:t>,</w:t>
            </w:r>
            <w:r w:rsidRPr="000B2118">
              <w:rPr>
                <w:b/>
                <w:sz w:val="18"/>
                <w:szCs w:val="18"/>
                <w:lang w:val="lt-LT"/>
              </w:rPr>
              <w:t>28; p=0</w:t>
            </w:r>
            <w:r w:rsidR="00003957" w:rsidRPr="000B2118">
              <w:rPr>
                <w:b/>
                <w:sz w:val="18"/>
                <w:szCs w:val="18"/>
                <w:lang w:val="lt-LT"/>
              </w:rPr>
              <w:t>,</w:t>
            </w:r>
            <w:r w:rsidRPr="000B2118">
              <w:rPr>
                <w:b/>
                <w:sz w:val="18"/>
                <w:szCs w:val="18"/>
                <w:lang w:val="lt-LT"/>
              </w:rPr>
              <w:t>60)</w:t>
            </w:r>
          </w:p>
        </w:tc>
        <w:tc>
          <w:tcPr>
            <w:tcW w:w="2835" w:type="dxa"/>
            <w:gridSpan w:val="2"/>
            <w:vMerge/>
          </w:tcPr>
          <w:p w14:paraId="79422F16" w14:textId="77777777" w:rsidR="00641C6F" w:rsidRPr="000B2118" w:rsidRDefault="00641C6F" w:rsidP="00BB772F">
            <w:pPr>
              <w:rPr>
                <w:sz w:val="18"/>
                <w:szCs w:val="18"/>
                <w:lang w:val="lt-LT"/>
              </w:rPr>
            </w:pPr>
          </w:p>
        </w:tc>
        <w:tc>
          <w:tcPr>
            <w:tcW w:w="1559" w:type="dxa"/>
          </w:tcPr>
          <w:p w14:paraId="7B15535A" w14:textId="77777777" w:rsidR="00641C6F" w:rsidRPr="000B2118" w:rsidRDefault="00641C6F" w:rsidP="00A94563">
            <w:pPr>
              <w:jc w:val="right"/>
              <w:rPr>
                <w:sz w:val="18"/>
                <w:szCs w:val="18"/>
                <w:lang w:val="lt-LT"/>
              </w:rPr>
            </w:pPr>
          </w:p>
        </w:tc>
      </w:tr>
      <w:tr w:rsidR="00641C6F" w:rsidRPr="000B2118" w14:paraId="104C2F97" w14:textId="77777777" w:rsidTr="002472CD">
        <w:tc>
          <w:tcPr>
            <w:tcW w:w="1553" w:type="dxa"/>
          </w:tcPr>
          <w:p w14:paraId="31BFBA5B" w14:textId="77777777" w:rsidR="00641C6F" w:rsidRPr="000B2118" w:rsidRDefault="00641C6F" w:rsidP="00BB772F">
            <w:pPr>
              <w:rPr>
                <w:sz w:val="18"/>
                <w:szCs w:val="18"/>
                <w:lang w:val="lt-LT"/>
              </w:rPr>
            </w:pPr>
            <w:r w:rsidRPr="000B2118">
              <w:rPr>
                <w:sz w:val="18"/>
                <w:szCs w:val="18"/>
                <w:lang w:val="lt-LT"/>
              </w:rPr>
              <w:t xml:space="preserve">&lt;70 </w:t>
            </w:r>
          </w:p>
          <w:p w14:paraId="235CF161" w14:textId="77777777" w:rsidR="00641C6F" w:rsidRPr="000B2118" w:rsidRDefault="00641C6F" w:rsidP="00BB772F">
            <w:pPr>
              <w:rPr>
                <w:sz w:val="18"/>
                <w:szCs w:val="18"/>
                <w:lang w:val="lt-LT"/>
              </w:rPr>
            </w:pPr>
            <w:r w:rsidRPr="000B2118">
              <w:rPr>
                <w:sz w:val="18"/>
                <w:szCs w:val="18"/>
                <w:lang w:val="lt-LT"/>
              </w:rPr>
              <w:t xml:space="preserve">≥70 &lt;80 </w:t>
            </w:r>
          </w:p>
          <w:p w14:paraId="3FA4D22E" w14:textId="77777777" w:rsidR="00641C6F" w:rsidRPr="000B2118" w:rsidRDefault="00641C6F" w:rsidP="00BB772F">
            <w:pPr>
              <w:rPr>
                <w:sz w:val="18"/>
                <w:szCs w:val="18"/>
                <w:lang w:val="lt-LT"/>
              </w:rPr>
            </w:pPr>
            <w:r w:rsidRPr="000B2118">
              <w:rPr>
                <w:sz w:val="18"/>
                <w:szCs w:val="18"/>
                <w:lang w:val="lt-LT"/>
              </w:rPr>
              <w:t xml:space="preserve">≥80 </w:t>
            </w:r>
          </w:p>
          <w:p w14:paraId="3120148A" w14:textId="77777777" w:rsidR="00641C6F" w:rsidRPr="000B2118" w:rsidRDefault="00641C6F" w:rsidP="00BB772F">
            <w:pPr>
              <w:rPr>
                <w:b/>
                <w:sz w:val="18"/>
                <w:szCs w:val="18"/>
                <w:lang w:val="lt-LT"/>
              </w:rPr>
            </w:pPr>
            <w:r w:rsidRPr="000B2118">
              <w:rPr>
                <w:b/>
                <w:sz w:val="18"/>
                <w:szCs w:val="18"/>
                <w:lang w:val="lt-LT"/>
              </w:rPr>
              <w:t>Tarpinė suma</w:t>
            </w:r>
          </w:p>
          <w:p w14:paraId="36C0C634" w14:textId="77777777" w:rsidR="00641C6F" w:rsidRPr="000B2118" w:rsidRDefault="00641C6F" w:rsidP="00BB772F">
            <w:pPr>
              <w:rPr>
                <w:sz w:val="18"/>
                <w:szCs w:val="18"/>
                <w:lang w:val="lt-LT"/>
              </w:rPr>
            </w:pPr>
          </w:p>
        </w:tc>
        <w:tc>
          <w:tcPr>
            <w:tcW w:w="1710" w:type="dxa"/>
          </w:tcPr>
          <w:p w14:paraId="1C808B17" w14:textId="77777777" w:rsidR="00641C6F" w:rsidRPr="000B2118" w:rsidRDefault="00641C6F" w:rsidP="00BB772F">
            <w:pPr>
              <w:jc w:val="right"/>
              <w:rPr>
                <w:sz w:val="18"/>
                <w:szCs w:val="18"/>
                <w:lang w:val="lt-LT"/>
              </w:rPr>
            </w:pPr>
            <w:r w:rsidRPr="000B2118">
              <w:rPr>
                <w:sz w:val="18"/>
                <w:szCs w:val="18"/>
                <w:lang w:val="lt-LT"/>
              </w:rPr>
              <w:t>66/269 (24</w:t>
            </w:r>
            <w:r w:rsidR="00003957" w:rsidRPr="000B2118">
              <w:rPr>
                <w:sz w:val="18"/>
                <w:szCs w:val="18"/>
                <w:lang w:val="lt-LT"/>
              </w:rPr>
              <w:t>,</w:t>
            </w:r>
            <w:r w:rsidRPr="000B2118">
              <w:rPr>
                <w:sz w:val="18"/>
                <w:szCs w:val="18"/>
                <w:lang w:val="lt-LT"/>
              </w:rPr>
              <w:t>5</w:t>
            </w:r>
            <w:r w:rsidR="001327F6">
              <w:rPr>
                <w:sz w:val="18"/>
                <w:szCs w:val="18"/>
                <w:lang w:val="lt-LT"/>
              </w:rPr>
              <w:t> </w:t>
            </w:r>
            <w:r w:rsidRPr="000B2118">
              <w:rPr>
                <w:sz w:val="18"/>
                <w:szCs w:val="18"/>
                <w:lang w:val="lt-LT"/>
              </w:rPr>
              <w:t>%)</w:t>
            </w:r>
          </w:p>
          <w:p w14:paraId="0A64AECD" w14:textId="77777777" w:rsidR="00641C6F" w:rsidRPr="000B2118" w:rsidRDefault="00641C6F" w:rsidP="00BB772F">
            <w:pPr>
              <w:jc w:val="right"/>
              <w:rPr>
                <w:sz w:val="18"/>
                <w:szCs w:val="18"/>
                <w:lang w:val="lt-LT"/>
              </w:rPr>
            </w:pPr>
            <w:r w:rsidRPr="000B2118">
              <w:rPr>
                <w:sz w:val="18"/>
                <w:szCs w:val="18"/>
                <w:lang w:val="lt-LT"/>
              </w:rPr>
              <w:t>26/49 (53</w:t>
            </w:r>
            <w:r w:rsidR="00003957" w:rsidRPr="000B2118">
              <w:rPr>
                <w:sz w:val="18"/>
                <w:szCs w:val="18"/>
                <w:lang w:val="lt-LT"/>
              </w:rPr>
              <w:t>,</w:t>
            </w:r>
            <w:r w:rsidRPr="000B2118">
              <w:rPr>
                <w:sz w:val="18"/>
                <w:szCs w:val="18"/>
                <w:lang w:val="lt-LT"/>
              </w:rPr>
              <w:t>1</w:t>
            </w:r>
            <w:r w:rsidR="001327F6">
              <w:rPr>
                <w:sz w:val="18"/>
                <w:szCs w:val="18"/>
                <w:lang w:val="lt-LT"/>
              </w:rPr>
              <w:t> </w:t>
            </w:r>
            <w:r w:rsidRPr="000B2118">
              <w:rPr>
                <w:sz w:val="18"/>
                <w:szCs w:val="18"/>
                <w:lang w:val="lt-LT"/>
              </w:rPr>
              <w:t>%)</w:t>
            </w:r>
          </w:p>
          <w:p w14:paraId="53929FD9" w14:textId="77777777" w:rsidR="00641C6F" w:rsidRPr="000B2118" w:rsidRDefault="00641C6F" w:rsidP="00BB772F">
            <w:pPr>
              <w:jc w:val="right"/>
              <w:rPr>
                <w:sz w:val="18"/>
                <w:szCs w:val="18"/>
                <w:lang w:val="lt-LT"/>
              </w:rPr>
            </w:pPr>
            <w:r w:rsidRPr="000B2118">
              <w:rPr>
                <w:sz w:val="18"/>
                <w:szCs w:val="18"/>
                <w:lang w:val="lt-LT"/>
              </w:rPr>
              <w:t>3/6 (50</w:t>
            </w:r>
            <w:r w:rsidR="00003957" w:rsidRPr="000B2118">
              <w:rPr>
                <w:sz w:val="18"/>
                <w:szCs w:val="18"/>
                <w:lang w:val="lt-LT"/>
              </w:rPr>
              <w:t>,</w:t>
            </w:r>
            <w:r w:rsidRPr="000B2118">
              <w:rPr>
                <w:sz w:val="18"/>
                <w:szCs w:val="18"/>
                <w:lang w:val="lt-LT"/>
              </w:rPr>
              <w:t>0</w:t>
            </w:r>
            <w:r w:rsidR="001327F6">
              <w:rPr>
                <w:sz w:val="18"/>
                <w:szCs w:val="18"/>
                <w:lang w:val="lt-LT"/>
              </w:rPr>
              <w:t> </w:t>
            </w:r>
            <w:r w:rsidRPr="000B2118">
              <w:rPr>
                <w:sz w:val="18"/>
                <w:szCs w:val="18"/>
                <w:lang w:val="lt-LT"/>
              </w:rPr>
              <w:t>%)</w:t>
            </w:r>
          </w:p>
          <w:p w14:paraId="3B0B3C92" w14:textId="77777777" w:rsidR="00641C6F" w:rsidRPr="000B2118" w:rsidRDefault="00641C6F" w:rsidP="00003957">
            <w:pPr>
              <w:jc w:val="right"/>
              <w:rPr>
                <w:b/>
                <w:sz w:val="18"/>
                <w:szCs w:val="18"/>
                <w:lang w:val="lt-LT"/>
              </w:rPr>
            </w:pPr>
            <w:r w:rsidRPr="000B2118">
              <w:rPr>
                <w:b/>
                <w:sz w:val="18"/>
                <w:szCs w:val="18"/>
                <w:lang w:val="lt-LT"/>
              </w:rPr>
              <w:t>95/324 (29</w:t>
            </w:r>
            <w:r w:rsidR="00003957" w:rsidRPr="000B2118">
              <w:rPr>
                <w:b/>
                <w:sz w:val="18"/>
                <w:szCs w:val="18"/>
                <w:lang w:val="lt-LT"/>
              </w:rPr>
              <w:t>,</w:t>
            </w:r>
            <w:r w:rsidRPr="000B2118">
              <w:rPr>
                <w:b/>
                <w:sz w:val="18"/>
                <w:szCs w:val="18"/>
                <w:lang w:val="lt-LT"/>
              </w:rPr>
              <w:t>3</w:t>
            </w:r>
            <w:r w:rsidR="001327F6">
              <w:rPr>
                <w:b/>
                <w:sz w:val="18"/>
                <w:szCs w:val="18"/>
                <w:lang w:val="lt-LT"/>
              </w:rPr>
              <w:t> </w:t>
            </w:r>
            <w:r w:rsidRPr="000B2118">
              <w:rPr>
                <w:b/>
                <w:sz w:val="18"/>
                <w:szCs w:val="18"/>
                <w:lang w:val="lt-LT"/>
              </w:rPr>
              <w:t>%)</w:t>
            </w:r>
          </w:p>
        </w:tc>
        <w:tc>
          <w:tcPr>
            <w:tcW w:w="1778" w:type="dxa"/>
          </w:tcPr>
          <w:p w14:paraId="391F86BB" w14:textId="77777777" w:rsidR="00641C6F" w:rsidRPr="000B2118" w:rsidRDefault="00641C6F" w:rsidP="00BB772F">
            <w:pPr>
              <w:jc w:val="right"/>
              <w:rPr>
                <w:sz w:val="18"/>
                <w:szCs w:val="18"/>
                <w:lang w:val="lt-LT"/>
              </w:rPr>
            </w:pPr>
            <w:r w:rsidRPr="000B2118">
              <w:rPr>
                <w:sz w:val="18"/>
                <w:szCs w:val="18"/>
                <w:lang w:val="lt-LT"/>
              </w:rPr>
              <w:t>217/569 (38</w:t>
            </w:r>
            <w:r w:rsidR="00003957" w:rsidRPr="000B2118">
              <w:rPr>
                <w:sz w:val="18"/>
                <w:szCs w:val="18"/>
                <w:lang w:val="lt-LT"/>
              </w:rPr>
              <w:t>,</w:t>
            </w:r>
            <w:r w:rsidRPr="000B2118">
              <w:rPr>
                <w:sz w:val="18"/>
                <w:szCs w:val="18"/>
                <w:lang w:val="lt-LT"/>
              </w:rPr>
              <w:t>1</w:t>
            </w:r>
            <w:r w:rsidR="001327F6">
              <w:rPr>
                <w:sz w:val="18"/>
                <w:szCs w:val="18"/>
                <w:lang w:val="lt-LT"/>
              </w:rPr>
              <w:t> </w:t>
            </w:r>
            <w:r w:rsidRPr="000B2118">
              <w:rPr>
                <w:sz w:val="18"/>
                <w:szCs w:val="18"/>
                <w:lang w:val="lt-LT"/>
              </w:rPr>
              <w:t>%)</w:t>
            </w:r>
          </w:p>
          <w:p w14:paraId="098077AC" w14:textId="77777777" w:rsidR="00641C6F" w:rsidRPr="000B2118" w:rsidRDefault="00641C6F" w:rsidP="00BB772F">
            <w:pPr>
              <w:jc w:val="right"/>
              <w:rPr>
                <w:sz w:val="18"/>
                <w:szCs w:val="18"/>
                <w:lang w:val="lt-LT"/>
              </w:rPr>
            </w:pPr>
            <w:r w:rsidRPr="000B2118">
              <w:rPr>
                <w:sz w:val="18"/>
                <w:szCs w:val="18"/>
                <w:lang w:val="lt-LT"/>
              </w:rPr>
              <w:t>58/104 (55</w:t>
            </w:r>
            <w:r w:rsidR="00003957" w:rsidRPr="000B2118">
              <w:rPr>
                <w:sz w:val="18"/>
                <w:szCs w:val="18"/>
                <w:lang w:val="lt-LT"/>
              </w:rPr>
              <w:t>,</w:t>
            </w:r>
            <w:r w:rsidRPr="000B2118">
              <w:rPr>
                <w:sz w:val="18"/>
                <w:szCs w:val="18"/>
                <w:lang w:val="lt-LT"/>
              </w:rPr>
              <w:t>8</w:t>
            </w:r>
            <w:r w:rsidR="001327F6">
              <w:rPr>
                <w:sz w:val="18"/>
                <w:szCs w:val="18"/>
                <w:lang w:val="lt-LT"/>
              </w:rPr>
              <w:t> </w:t>
            </w:r>
            <w:r w:rsidRPr="000B2118">
              <w:rPr>
                <w:sz w:val="18"/>
                <w:szCs w:val="18"/>
                <w:lang w:val="lt-LT"/>
              </w:rPr>
              <w:t>%)</w:t>
            </w:r>
          </w:p>
          <w:p w14:paraId="207BBCC1" w14:textId="77777777" w:rsidR="00641C6F" w:rsidRPr="000B2118" w:rsidRDefault="00641C6F" w:rsidP="00BB772F">
            <w:pPr>
              <w:jc w:val="right"/>
              <w:rPr>
                <w:sz w:val="18"/>
                <w:szCs w:val="18"/>
                <w:lang w:val="lt-LT"/>
              </w:rPr>
            </w:pPr>
            <w:r w:rsidRPr="000B2118">
              <w:rPr>
                <w:sz w:val="18"/>
                <w:szCs w:val="18"/>
                <w:lang w:val="lt-LT"/>
              </w:rPr>
              <w:t>8/10 (80</w:t>
            </w:r>
            <w:r w:rsidR="00003957" w:rsidRPr="000B2118">
              <w:rPr>
                <w:sz w:val="18"/>
                <w:szCs w:val="18"/>
                <w:lang w:val="lt-LT"/>
              </w:rPr>
              <w:t>,</w:t>
            </w:r>
            <w:r w:rsidRPr="000B2118">
              <w:rPr>
                <w:sz w:val="18"/>
                <w:szCs w:val="18"/>
                <w:lang w:val="lt-LT"/>
              </w:rPr>
              <w:t>0</w:t>
            </w:r>
            <w:r w:rsidR="001327F6">
              <w:rPr>
                <w:sz w:val="18"/>
                <w:szCs w:val="18"/>
                <w:lang w:val="lt-LT"/>
              </w:rPr>
              <w:t> </w:t>
            </w:r>
            <w:r w:rsidRPr="000B2118">
              <w:rPr>
                <w:sz w:val="18"/>
                <w:szCs w:val="18"/>
                <w:lang w:val="lt-LT"/>
              </w:rPr>
              <w:t>%)</w:t>
            </w:r>
          </w:p>
          <w:p w14:paraId="46050597" w14:textId="77777777" w:rsidR="00641C6F" w:rsidRPr="000B2118" w:rsidRDefault="00641C6F" w:rsidP="00003957">
            <w:pPr>
              <w:jc w:val="right"/>
              <w:rPr>
                <w:b/>
                <w:sz w:val="18"/>
                <w:szCs w:val="18"/>
                <w:lang w:val="lt-LT"/>
              </w:rPr>
            </w:pPr>
            <w:r w:rsidRPr="000B2118">
              <w:rPr>
                <w:b/>
                <w:sz w:val="18"/>
                <w:szCs w:val="18"/>
                <w:lang w:val="lt-LT"/>
              </w:rPr>
              <w:t>283/683 (41</w:t>
            </w:r>
            <w:r w:rsidR="00003957" w:rsidRPr="000B2118">
              <w:rPr>
                <w:b/>
                <w:sz w:val="18"/>
                <w:szCs w:val="18"/>
                <w:lang w:val="lt-LT"/>
              </w:rPr>
              <w:t>,</w:t>
            </w:r>
            <w:r w:rsidRPr="000B2118">
              <w:rPr>
                <w:b/>
                <w:sz w:val="18"/>
                <w:szCs w:val="18"/>
                <w:lang w:val="lt-LT"/>
              </w:rPr>
              <w:t>4</w:t>
            </w:r>
            <w:r w:rsidR="001327F6">
              <w:rPr>
                <w:b/>
                <w:sz w:val="18"/>
                <w:szCs w:val="18"/>
                <w:lang w:val="lt-LT"/>
              </w:rPr>
              <w:t> </w:t>
            </w:r>
            <w:r w:rsidRPr="000B2118">
              <w:rPr>
                <w:b/>
                <w:sz w:val="18"/>
                <w:szCs w:val="18"/>
                <w:lang w:val="lt-LT"/>
              </w:rPr>
              <w:t>%)</w:t>
            </w:r>
          </w:p>
        </w:tc>
        <w:tc>
          <w:tcPr>
            <w:tcW w:w="2835" w:type="dxa"/>
            <w:gridSpan w:val="2"/>
            <w:vMerge/>
          </w:tcPr>
          <w:p w14:paraId="49B444A7" w14:textId="77777777" w:rsidR="00641C6F" w:rsidRPr="000B2118" w:rsidRDefault="00641C6F" w:rsidP="00BB772F">
            <w:pPr>
              <w:rPr>
                <w:sz w:val="18"/>
                <w:szCs w:val="18"/>
                <w:lang w:val="lt-LT"/>
              </w:rPr>
            </w:pPr>
          </w:p>
        </w:tc>
        <w:tc>
          <w:tcPr>
            <w:tcW w:w="1559" w:type="dxa"/>
          </w:tcPr>
          <w:p w14:paraId="23BA897F" w14:textId="77777777" w:rsidR="00641C6F" w:rsidRPr="000B2118" w:rsidRDefault="00641C6F" w:rsidP="00A94563">
            <w:pPr>
              <w:jc w:val="right"/>
              <w:rPr>
                <w:sz w:val="18"/>
                <w:szCs w:val="18"/>
                <w:lang w:val="lt-LT"/>
              </w:rPr>
            </w:pPr>
            <w:r w:rsidRPr="000B2118">
              <w:rPr>
                <w:sz w:val="18"/>
                <w:szCs w:val="18"/>
                <w:lang w:val="lt-LT"/>
              </w:rPr>
              <w:t>0</w:t>
            </w:r>
            <w:r w:rsidR="00003957" w:rsidRPr="000B2118">
              <w:rPr>
                <w:sz w:val="18"/>
                <w:szCs w:val="18"/>
                <w:lang w:val="lt-LT"/>
              </w:rPr>
              <w:t>,</w:t>
            </w:r>
            <w:r w:rsidRPr="000B2118">
              <w:rPr>
                <w:sz w:val="18"/>
                <w:szCs w:val="18"/>
                <w:lang w:val="lt-LT"/>
              </w:rPr>
              <w:t>61 (0</w:t>
            </w:r>
            <w:r w:rsidR="00003957" w:rsidRPr="000B2118">
              <w:rPr>
                <w:sz w:val="18"/>
                <w:szCs w:val="18"/>
                <w:lang w:val="lt-LT"/>
              </w:rPr>
              <w:t>,</w:t>
            </w:r>
            <w:r w:rsidRPr="000B2118">
              <w:rPr>
                <w:sz w:val="18"/>
                <w:szCs w:val="18"/>
                <w:lang w:val="lt-LT"/>
              </w:rPr>
              <w:t>46-0</w:t>
            </w:r>
            <w:r w:rsidR="00003957" w:rsidRPr="000B2118">
              <w:rPr>
                <w:sz w:val="18"/>
                <w:szCs w:val="18"/>
                <w:lang w:val="lt-LT"/>
              </w:rPr>
              <w:t>,</w:t>
            </w:r>
            <w:r w:rsidRPr="000B2118">
              <w:rPr>
                <w:sz w:val="18"/>
                <w:szCs w:val="18"/>
                <w:lang w:val="lt-LT"/>
              </w:rPr>
              <w:t>81)</w:t>
            </w:r>
          </w:p>
          <w:p w14:paraId="463983E9" w14:textId="77777777" w:rsidR="00641C6F" w:rsidRPr="000B2118" w:rsidRDefault="00641C6F" w:rsidP="00A94563">
            <w:pPr>
              <w:jc w:val="right"/>
              <w:rPr>
                <w:sz w:val="18"/>
                <w:szCs w:val="18"/>
                <w:lang w:val="lt-LT"/>
              </w:rPr>
            </w:pPr>
            <w:r w:rsidRPr="000B2118">
              <w:rPr>
                <w:sz w:val="18"/>
                <w:szCs w:val="18"/>
                <w:lang w:val="lt-LT"/>
              </w:rPr>
              <w:t>0</w:t>
            </w:r>
            <w:r w:rsidR="00003957" w:rsidRPr="000B2118">
              <w:rPr>
                <w:sz w:val="18"/>
                <w:szCs w:val="18"/>
                <w:lang w:val="lt-LT"/>
              </w:rPr>
              <w:t>,</w:t>
            </w:r>
            <w:r w:rsidRPr="000B2118">
              <w:rPr>
                <w:sz w:val="18"/>
                <w:szCs w:val="18"/>
                <w:lang w:val="lt-LT"/>
              </w:rPr>
              <w:t>85 (0</w:t>
            </w:r>
            <w:r w:rsidR="00003957" w:rsidRPr="000B2118">
              <w:rPr>
                <w:sz w:val="18"/>
                <w:szCs w:val="18"/>
                <w:lang w:val="lt-LT"/>
              </w:rPr>
              <w:t>,</w:t>
            </w:r>
            <w:r w:rsidRPr="000B2118">
              <w:rPr>
                <w:sz w:val="18"/>
                <w:szCs w:val="18"/>
                <w:lang w:val="lt-LT"/>
              </w:rPr>
              <w:t>53-1</w:t>
            </w:r>
            <w:r w:rsidR="00003957" w:rsidRPr="000B2118">
              <w:rPr>
                <w:sz w:val="18"/>
                <w:szCs w:val="18"/>
                <w:lang w:val="lt-LT"/>
              </w:rPr>
              <w:t>,</w:t>
            </w:r>
            <w:r w:rsidRPr="000B2118">
              <w:rPr>
                <w:sz w:val="18"/>
                <w:szCs w:val="18"/>
                <w:lang w:val="lt-LT"/>
              </w:rPr>
              <w:t>34)</w:t>
            </w:r>
          </w:p>
          <w:p w14:paraId="27865305" w14:textId="77777777" w:rsidR="00641C6F" w:rsidRPr="000B2118" w:rsidRDefault="00641C6F" w:rsidP="00A94563">
            <w:pPr>
              <w:jc w:val="right"/>
              <w:rPr>
                <w:sz w:val="18"/>
                <w:szCs w:val="18"/>
                <w:lang w:val="lt-LT"/>
              </w:rPr>
            </w:pPr>
            <w:r w:rsidRPr="000B2118">
              <w:rPr>
                <w:sz w:val="18"/>
                <w:szCs w:val="18"/>
                <w:lang w:val="lt-LT"/>
              </w:rPr>
              <w:t>0</w:t>
            </w:r>
            <w:r w:rsidR="00003957" w:rsidRPr="000B2118">
              <w:rPr>
                <w:sz w:val="18"/>
                <w:szCs w:val="18"/>
                <w:lang w:val="lt-LT"/>
              </w:rPr>
              <w:t>,</w:t>
            </w:r>
            <w:r w:rsidRPr="000B2118">
              <w:rPr>
                <w:sz w:val="18"/>
                <w:szCs w:val="18"/>
                <w:lang w:val="lt-LT"/>
              </w:rPr>
              <w:t>39 (0</w:t>
            </w:r>
            <w:r w:rsidR="00003957" w:rsidRPr="000B2118">
              <w:rPr>
                <w:sz w:val="18"/>
                <w:szCs w:val="18"/>
                <w:lang w:val="lt-LT"/>
              </w:rPr>
              <w:t>,</w:t>
            </w:r>
            <w:r w:rsidRPr="000B2118">
              <w:rPr>
                <w:sz w:val="18"/>
                <w:szCs w:val="18"/>
                <w:lang w:val="lt-LT"/>
              </w:rPr>
              <w:t>10-1</w:t>
            </w:r>
            <w:r w:rsidR="00003957" w:rsidRPr="000B2118">
              <w:rPr>
                <w:sz w:val="18"/>
                <w:szCs w:val="18"/>
                <w:lang w:val="lt-LT"/>
              </w:rPr>
              <w:t>,</w:t>
            </w:r>
            <w:r w:rsidRPr="000B2118">
              <w:rPr>
                <w:sz w:val="18"/>
                <w:szCs w:val="18"/>
                <w:lang w:val="lt-LT"/>
              </w:rPr>
              <w:t>47)</w:t>
            </w:r>
          </w:p>
          <w:p w14:paraId="672BA455" w14:textId="77777777" w:rsidR="00641C6F" w:rsidRPr="000B2118" w:rsidRDefault="00641C6F" w:rsidP="00A94563">
            <w:pPr>
              <w:jc w:val="right"/>
              <w:rPr>
                <w:b/>
                <w:sz w:val="18"/>
                <w:szCs w:val="18"/>
                <w:lang w:val="lt-LT"/>
              </w:rPr>
            </w:pPr>
            <w:r w:rsidRPr="000B2118">
              <w:rPr>
                <w:b/>
                <w:sz w:val="18"/>
                <w:szCs w:val="18"/>
                <w:lang w:val="lt-LT"/>
              </w:rPr>
              <w:t>0</w:t>
            </w:r>
            <w:r w:rsidR="00003957" w:rsidRPr="000B2118">
              <w:rPr>
                <w:b/>
                <w:sz w:val="18"/>
                <w:szCs w:val="18"/>
                <w:lang w:val="lt-LT"/>
              </w:rPr>
              <w:t>,</w:t>
            </w:r>
            <w:r w:rsidRPr="000B2118">
              <w:rPr>
                <w:b/>
                <w:sz w:val="18"/>
                <w:szCs w:val="18"/>
                <w:lang w:val="lt-LT"/>
              </w:rPr>
              <w:t>64 (0</w:t>
            </w:r>
            <w:r w:rsidR="00003957" w:rsidRPr="000B2118">
              <w:rPr>
                <w:b/>
                <w:sz w:val="18"/>
                <w:szCs w:val="18"/>
                <w:lang w:val="lt-LT"/>
              </w:rPr>
              <w:t>,</w:t>
            </w:r>
            <w:r w:rsidRPr="000B2118">
              <w:rPr>
                <w:b/>
                <w:sz w:val="18"/>
                <w:szCs w:val="18"/>
                <w:lang w:val="lt-LT"/>
              </w:rPr>
              <w:t>51-0</w:t>
            </w:r>
            <w:r w:rsidR="00003957" w:rsidRPr="000B2118">
              <w:rPr>
                <w:b/>
                <w:sz w:val="18"/>
                <w:szCs w:val="18"/>
                <w:lang w:val="lt-LT"/>
              </w:rPr>
              <w:t>,</w:t>
            </w:r>
            <w:r w:rsidRPr="000B2118">
              <w:rPr>
                <w:b/>
                <w:sz w:val="18"/>
                <w:szCs w:val="18"/>
                <w:lang w:val="lt-LT"/>
              </w:rPr>
              <w:t>81)</w:t>
            </w:r>
          </w:p>
        </w:tc>
      </w:tr>
      <w:tr w:rsidR="00641C6F" w:rsidRPr="000B2118" w14:paraId="4F635B6C" w14:textId="77777777" w:rsidTr="002472CD">
        <w:tc>
          <w:tcPr>
            <w:tcW w:w="1553" w:type="dxa"/>
          </w:tcPr>
          <w:p w14:paraId="55122E5F" w14:textId="05825594" w:rsidR="00641C6F" w:rsidRPr="000B2118" w:rsidRDefault="00641C6F" w:rsidP="008B5C86">
            <w:pPr>
              <w:rPr>
                <w:b/>
                <w:sz w:val="18"/>
                <w:szCs w:val="18"/>
                <w:lang w:val="lt-LT"/>
              </w:rPr>
            </w:pPr>
            <w:r w:rsidRPr="000B2118">
              <w:rPr>
                <w:b/>
                <w:sz w:val="18"/>
                <w:szCs w:val="18"/>
                <w:lang w:val="lt-LT"/>
              </w:rPr>
              <w:t>Visi dalyviai</w:t>
            </w:r>
          </w:p>
        </w:tc>
        <w:tc>
          <w:tcPr>
            <w:tcW w:w="1710" w:type="dxa"/>
          </w:tcPr>
          <w:p w14:paraId="3589E5E7" w14:textId="77777777" w:rsidR="00641C6F" w:rsidRPr="000B2118" w:rsidRDefault="00641C6F" w:rsidP="00003957">
            <w:pPr>
              <w:jc w:val="right"/>
              <w:rPr>
                <w:b/>
                <w:sz w:val="18"/>
                <w:szCs w:val="18"/>
                <w:lang w:val="lt-LT"/>
              </w:rPr>
            </w:pPr>
            <w:r w:rsidRPr="000B2118">
              <w:rPr>
                <w:b/>
                <w:sz w:val="18"/>
                <w:szCs w:val="18"/>
                <w:lang w:val="lt-LT"/>
              </w:rPr>
              <w:t>482/2104 (22</w:t>
            </w:r>
            <w:r w:rsidR="00003957" w:rsidRPr="000B2118">
              <w:rPr>
                <w:b/>
                <w:sz w:val="18"/>
                <w:szCs w:val="18"/>
                <w:lang w:val="lt-LT"/>
              </w:rPr>
              <w:t>,</w:t>
            </w:r>
            <w:r w:rsidRPr="000B2118">
              <w:rPr>
                <w:b/>
                <w:sz w:val="18"/>
                <w:szCs w:val="18"/>
                <w:lang w:val="lt-LT"/>
              </w:rPr>
              <w:t>9</w:t>
            </w:r>
            <w:r w:rsidR="001327F6">
              <w:rPr>
                <w:b/>
                <w:sz w:val="18"/>
                <w:szCs w:val="18"/>
                <w:lang w:val="lt-LT"/>
              </w:rPr>
              <w:t> </w:t>
            </w:r>
            <w:r w:rsidRPr="000B2118">
              <w:rPr>
                <w:b/>
                <w:sz w:val="18"/>
                <w:szCs w:val="18"/>
                <w:lang w:val="lt-LT"/>
              </w:rPr>
              <w:t>%)</w:t>
            </w:r>
          </w:p>
        </w:tc>
        <w:tc>
          <w:tcPr>
            <w:tcW w:w="1778" w:type="dxa"/>
          </w:tcPr>
          <w:p w14:paraId="06459E45" w14:textId="77777777" w:rsidR="00641C6F" w:rsidRPr="000B2118" w:rsidRDefault="00641C6F" w:rsidP="00003957">
            <w:pPr>
              <w:jc w:val="right"/>
              <w:rPr>
                <w:b/>
                <w:sz w:val="18"/>
                <w:szCs w:val="18"/>
                <w:lang w:val="lt-LT"/>
              </w:rPr>
            </w:pPr>
            <w:r w:rsidRPr="000B2118">
              <w:rPr>
                <w:b/>
                <w:sz w:val="18"/>
                <w:szCs w:val="18"/>
                <w:lang w:val="lt-LT"/>
              </w:rPr>
              <w:t>1110/4321 (25</w:t>
            </w:r>
            <w:r w:rsidR="00003957" w:rsidRPr="000B2118">
              <w:rPr>
                <w:b/>
                <w:sz w:val="18"/>
                <w:szCs w:val="18"/>
                <w:lang w:val="lt-LT"/>
              </w:rPr>
              <w:t>,</w:t>
            </w:r>
            <w:r w:rsidRPr="000B2118">
              <w:rPr>
                <w:b/>
                <w:sz w:val="18"/>
                <w:szCs w:val="18"/>
                <w:lang w:val="lt-LT"/>
              </w:rPr>
              <w:t>7</w:t>
            </w:r>
            <w:r w:rsidR="001327F6">
              <w:rPr>
                <w:b/>
                <w:sz w:val="18"/>
                <w:szCs w:val="18"/>
                <w:lang w:val="lt-LT"/>
              </w:rPr>
              <w:t> </w:t>
            </w:r>
            <w:r w:rsidRPr="000B2118">
              <w:rPr>
                <w:b/>
                <w:sz w:val="18"/>
                <w:szCs w:val="18"/>
                <w:lang w:val="lt-LT"/>
              </w:rPr>
              <w:t>%)</w:t>
            </w:r>
          </w:p>
        </w:tc>
        <w:tc>
          <w:tcPr>
            <w:tcW w:w="2835" w:type="dxa"/>
            <w:gridSpan w:val="2"/>
            <w:vMerge/>
          </w:tcPr>
          <w:p w14:paraId="37D57E41" w14:textId="77777777" w:rsidR="00641C6F" w:rsidRPr="000B2118" w:rsidRDefault="00641C6F" w:rsidP="00BB772F">
            <w:pPr>
              <w:rPr>
                <w:sz w:val="18"/>
                <w:szCs w:val="18"/>
                <w:lang w:val="lt-LT"/>
              </w:rPr>
            </w:pPr>
          </w:p>
        </w:tc>
        <w:tc>
          <w:tcPr>
            <w:tcW w:w="1559" w:type="dxa"/>
          </w:tcPr>
          <w:p w14:paraId="14595E81" w14:textId="77777777" w:rsidR="00641C6F" w:rsidRPr="000B2118" w:rsidRDefault="00641C6F" w:rsidP="00A94563">
            <w:pPr>
              <w:jc w:val="right"/>
              <w:rPr>
                <w:b/>
                <w:sz w:val="18"/>
                <w:szCs w:val="18"/>
                <w:lang w:val="lt-LT"/>
              </w:rPr>
            </w:pPr>
            <w:r w:rsidRPr="000B2118">
              <w:rPr>
                <w:b/>
                <w:sz w:val="18"/>
                <w:szCs w:val="18"/>
                <w:lang w:val="lt-LT"/>
              </w:rPr>
              <w:t>0</w:t>
            </w:r>
            <w:r w:rsidR="00003957" w:rsidRPr="000B2118">
              <w:rPr>
                <w:b/>
                <w:sz w:val="18"/>
                <w:szCs w:val="18"/>
                <w:lang w:val="lt-LT"/>
              </w:rPr>
              <w:t>,</w:t>
            </w:r>
            <w:r w:rsidRPr="000B2118">
              <w:rPr>
                <w:b/>
                <w:sz w:val="18"/>
                <w:szCs w:val="18"/>
                <w:lang w:val="lt-LT"/>
              </w:rPr>
              <w:t>83 (0</w:t>
            </w:r>
            <w:r w:rsidR="00003957" w:rsidRPr="000B2118">
              <w:rPr>
                <w:b/>
                <w:sz w:val="18"/>
                <w:szCs w:val="18"/>
                <w:lang w:val="lt-LT"/>
              </w:rPr>
              <w:t>,</w:t>
            </w:r>
            <w:r w:rsidRPr="000B2118">
              <w:rPr>
                <w:b/>
                <w:sz w:val="18"/>
                <w:szCs w:val="18"/>
                <w:lang w:val="lt-LT"/>
              </w:rPr>
              <w:t>75-0</w:t>
            </w:r>
            <w:r w:rsidR="00003957" w:rsidRPr="000B2118">
              <w:rPr>
                <w:b/>
                <w:sz w:val="18"/>
                <w:szCs w:val="18"/>
                <w:lang w:val="lt-LT"/>
              </w:rPr>
              <w:t>,</w:t>
            </w:r>
            <w:r w:rsidRPr="000B2118">
              <w:rPr>
                <w:b/>
                <w:sz w:val="18"/>
                <w:szCs w:val="18"/>
                <w:lang w:val="lt-LT"/>
              </w:rPr>
              <w:t>93)</w:t>
            </w:r>
          </w:p>
          <w:p w14:paraId="438B3B01" w14:textId="77777777" w:rsidR="00641C6F" w:rsidRPr="000B2118" w:rsidRDefault="00641C6F" w:rsidP="00A94563">
            <w:pPr>
              <w:jc w:val="right"/>
              <w:rPr>
                <w:sz w:val="18"/>
                <w:szCs w:val="18"/>
                <w:lang w:val="lt-LT"/>
              </w:rPr>
            </w:pPr>
            <w:r w:rsidRPr="000B2118">
              <w:rPr>
                <w:b/>
                <w:sz w:val="18"/>
                <w:szCs w:val="18"/>
                <w:lang w:val="lt-LT"/>
              </w:rPr>
              <w:t>p &lt;0</w:t>
            </w:r>
            <w:r w:rsidR="00003957" w:rsidRPr="000B2118">
              <w:rPr>
                <w:b/>
                <w:sz w:val="18"/>
                <w:szCs w:val="18"/>
                <w:lang w:val="lt-LT"/>
              </w:rPr>
              <w:t>,</w:t>
            </w:r>
            <w:r w:rsidRPr="000B2118">
              <w:rPr>
                <w:b/>
                <w:sz w:val="18"/>
                <w:szCs w:val="18"/>
                <w:lang w:val="lt-LT"/>
              </w:rPr>
              <w:t>001</w:t>
            </w:r>
          </w:p>
        </w:tc>
      </w:tr>
      <w:tr w:rsidR="00641C6F" w:rsidRPr="000B2118" w14:paraId="7CE1EABC" w14:textId="77777777" w:rsidTr="002472CD">
        <w:tc>
          <w:tcPr>
            <w:tcW w:w="6600" w:type="dxa"/>
            <w:gridSpan w:val="4"/>
          </w:tcPr>
          <w:p w14:paraId="31B711B5" w14:textId="77777777" w:rsidR="00641C6F" w:rsidRPr="00A94563" w:rsidRDefault="00641C6F" w:rsidP="00BB772F">
            <w:pPr>
              <w:jc w:val="right"/>
              <w:rPr>
                <w:sz w:val="18"/>
                <w:szCs w:val="18"/>
                <w:lang w:val="lt-LT"/>
              </w:rPr>
            </w:pPr>
            <w:r w:rsidRPr="00A94563">
              <w:rPr>
                <w:sz w:val="18"/>
                <w:szCs w:val="18"/>
                <w:lang w:val="lt-LT"/>
              </w:rPr>
              <w:t>Geriau deksametazonas</w:t>
            </w:r>
          </w:p>
          <w:p w14:paraId="572F0D91" w14:textId="77777777" w:rsidR="00641C6F" w:rsidRPr="00A94563" w:rsidRDefault="00641C6F" w:rsidP="00BB772F">
            <w:pPr>
              <w:jc w:val="center"/>
              <w:rPr>
                <w:sz w:val="18"/>
                <w:szCs w:val="18"/>
                <w:lang w:val="lt-LT"/>
              </w:rPr>
            </w:pPr>
          </w:p>
        </w:tc>
        <w:tc>
          <w:tcPr>
            <w:tcW w:w="2835" w:type="dxa"/>
            <w:gridSpan w:val="2"/>
          </w:tcPr>
          <w:p w14:paraId="43285216" w14:textId="77777777" w:rsidR="00641C6F" w:rsidRPr="00A94563" w:rsidRDefault="00641C6F" w:rsidP="00641C6F">
            <w:pPr>
              <w:rPr>
                <w:sz w:val="18"/>
                <w:szCs w:val="18"/>
                <w:lang w:val="lt-LT"/>
              </w:rPr>
            </w:pPr>
            <w:r w:rsidRPr="00A94563">
              <w:rPr>
                <w:sz w:val="18"/>
                <w:szCs w:val="18"/>
                <w:lang w:val="lt-LT"/>
              </w:rPr>
              <w:t>Geriau įprastinė priežiūra</w:t>
            </w:r>
          </w:p>
        </w:tc>
      </w:tr>
    </w:tbl>
    <w:p w14:paraId="01F718D9" w14:textId="77777777" w:rsidR="00641C6F" w:rsidRPr="002E7B89" w:rsidRDefault="00641C6F" w:rsidP="00641C6F">
      <w:pPr>
        <w:rPr>
          <w:lang w:val="lt-LT" w:eastAsia="lt-LT"/>
        </w:rPr>
      </w:pPr>
    </w:p>
    <w:p w14:paraId="7F80FBB1" w14:textId="77777777" w:rsidR="00A16F40" w:rsidRPr="002E7B89" w:rsidRDefault="00A16F40" w:rsidP="002D4A26">
      <w:pPr>
        <w:pStyle w:val="Betarp"/>
        <w:rPr>
          <w:lang w:val="lt-LT"/>
        </w:rPr>
      </w:pPr>
    </w:p>
    <w:p w14:paraId="1244C4B8" w14:textId="7419C157" w:rsidR="00003957" w:rsidRPr="002E7B89" w:rsidRDefault="0036105C" w:rsidP="00003957">
      <w:pPr>
        <w:rPr>
          <w:b/>
          <w:bCs/>
          <w:iCs/>
          <w:vertAlign w:val="superscript"/>
          <w:lang w:val="lt-LT"/>
        </w:rPr>
      </w:pPr>
      <w:r>
        <w:rPr>
          <w:b/>
          <w:lang w:val="lt-LT" w:eastAsia="lt-LT"/>
        </w:rPr>
        <w:t xml:space="preserve">Atsitiktiniu būdu paskirto </w:t>
      </w:r>
      <w:r w:rsidR="00003957" w:rsidRPr="002E7B89">
        <w:rPr>
          <w:b/>
          <w:lang w:val="lt-LT" w:eastAsia="lt-LT"/>
        </w:rPr>
        <w:t>DEKSAMETAZONO poveikis 28</w:t>
      </w:r>
      <w:r w:rsidR="008B5C86">
        <w:rPr>
          <w:b/>
          <w:lang w:val="lt-LT" w:eastAsia="lt-LT"/>
        </w:rPr>
        <w:t> </w:t>
      </w:r>
      <w:r w:rsidR="00003957" w:rsidRPr="002E7B89">
        <w:rPr>
          <w:b/>
          <w:lang w:val="lt-LT" w:eastAsia="lt-LT"/>
        </w:rPr>
        <w:t xml:space="preserve">dienų mirtingumui, </w:t>
      </w:r>
      <w:r>
        <w:rPr>
          <w:b/>
          <w:lang w:val="lt-LT" w:eastAsia="lt-LT"/>
        </w:rPr>
        <w:t>tiriamuosius skirstant pagal</w:t>
      </w:r>
      <w:r w:rsidR="00003957" w:rsidRPr="002E7B89">
        <w:rPr>
          <w:b/>
          <w:lang w:val="lt-LT" w:eastAsia="lt-LT"/>
        </w:rPr>
        <w:t xml:space="preserve"> gaut</w:t>
      </w:r>
      <w:r>
        <w:rPr>
          <w:b/>
          <w:lang w:val="lt-LT" w:eastAsia="lt-LT"/>
        </w:rPr>
        <w:t>ą</w:t>
      </w:r>
      <w:r w:rsidR="00003957" w:rsidRPr="002E7B89">
        <w:rPr>
          <w:b/>
          <w:lang w:val="lt-LT" w:eastAsia="lt-LT"/>
        </w:rPr>
        <w:t xml:space="preserve"> kvėpavimo sistemos palaikym</w:t>
      </w:r>
      <w:r>
        <w:rPr>
          <w:b/>
          <w:lang w:val="lt-LT" w:eastAsia="lt-LT"/>
        </w:rPr>
        <w:t>ą</w:t>
      </w:r>
      <w:r w:rsidR="00003957" w:rsidRPr="002E7B89">
        <w:rPr>
          <w:b/>
          <w:lang w:val="lt-LT" w:eastAsia="lt-LT"/>
        </w:rPr>
        <w:t xml:space="preserve"> ir ankščiau diagnozuot</w:t>
      </w:r>
      <w:r>
        <w:rPr>
          <w:b/>
          <w:lang w:val="lt-LT" w:eastAsia="lt-LT"/>
        </w:rPr>
        <w:t>as</w:t>
      </w:r>
      <w:r w:rsidR="00003957" w:rsidRPr="002E7B89">
        <w:rPr>
          <w:b/>
          <w:lang w:val="lt-LT" w:eastAsia="lt-LT"/>
        </w:rPr>
        <w:t xml:space="preserve"> lėtin</w:t>
      </w:r>
      <w:r>
        <w:rPr>
          <w:b/>
          <w:lang w:val="lt-LT" w:eastAsia="lt-LT"/>
        </w:rPr>
        <w:t>e</w:t>
      </w:r>
      <w:r w:rsidR="00003957" w:rsidRPr="002E7B89">
        <w:rPr>
          <w:b/>
          <w:lang w:val="lt-LT" w:eastAsia="lt-LT"/>
        </w:rPr>
        <w:t>s lig</w:t>
      </w:r>
      <w:r>
        <w:rPr>
          <w:b/>
          <w:lang w:val="lt-LT" w:eastAsia="lt-LT"/>
        </w:rPr>
        <w:t>a</w:t>
      </w:r>
      <w:r w:rsidR="00003957" w:rsidRPr="002E7B89">
        <w:rPr>
          <w:b/>
          <w:lang w:val="lt-LT" w:eastAsia="lt-LT"/>
        </w:rPr>
        <w:t>s</w:t>
      </w:r>
      <w:r w:rsidR="002A1C95">
        <w:rPr>
          <w:rStyle w:val="Puslapioinaosnuoroda"/>
          <w:b/>
          <w:lang w:val="lt-LT" w:eastAsia="lt-LT"/>
        </w:rPr>
        <w:footnoteReference w:id="4"/>
      </w:r>
    </w:p>
    <w:p w14:paraId="733B845B" w14:textId="77777777" w:rsidR="00003957" w:rsidRPr="002E7B89" w:rsidRDefault="00003957" w:rsidP="00003957">
      <w:pPr>
        <w:rPr>
          <w:b/>
          <w:i/>
          <w:lang w:val="lt-LT" w:eastAsia="lt-LT"/>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59"/>
        <w:gridCol w:w="1719"/>
        <w:gridCol w:w="1625"/>
        <w:gridCol w:w="992"/>
        <w:gridCol w:w="1560"/>
      </w:tblGrid>
      <w:tr w:rsidR="00003957" w:rsidRPr="000B2118" w14:paraId="2C0B71B8" w14:textId="77777777" w:rsidTr="00A94563">
        <w:tc>
          <w:tcPr>
            <w:tcW w:w="1843" w:type="dxa"/>
          </w:tcPr>
          <w:p w14:paraId="4D519C21" w14:textId="77777777" w:rsidR="00003957" w:rsidRPr="000B2118" w:rsidRDefault="00003957" w:rsidP="00BB772F">
            <w:pPr>
              <w:rPr>
                <w:sz w:val="18"/>
                <w:szCs w:val="18"/>
                <w:lang w:val="lt-LT"/>
              </w:rPr>
            </w:pPr>
          </w:p>
        </w:tc>
        <w:tc>
          <w:tcPr>
            <w:tcW w:w="1759" w:type="dxa"/>
          </w:tcPr>
          <w:p w14:paraId="4EDF8E9B" w14:textId="77777777" w:rsidR="00003957" w:rsidRPr="000B2118" w:rsidRDefault="00003957" w:rsidP="00BB772F">
            <w:pPr>
              <w:rPr>
                <w:b/>
                <w:sz w:val="18"/>
                <w:szCs w:val="18"/>
                <w:lang w:val="lt-LT"/>
              </w:rPr>
            </w:pPr>
            <w:r w:rsidRPr="000B2118">
              <w:rPr>
                <w:b/>
                <w:sz w:val="18"/>
                <w:szCs w:val="18"/>
                <w:lang w:val="lt-LT"/>
              </w:rPr>
              <w:t>Deksametazonas</w:t>
            </w:r>
          </w:p>
        </w:tc>
        <w:tc>
          <w:tcPr>
            <w:tcW w:w="1719" w:type="dxa"/>
          </w:tcPr>
          <w:p w14:paraId="716EAA5F" w14:textId="77777777" w:rsidR="00003957" w:rsidRPr="000B2118" w:rsidRDefault="00873413" w:rsidP="00BB772F">
            <w:pPr>
              <w:rPr>
                <w:b/>
                <w:sz w:val="18"/>
                <w:szCs w:val="18"/>
                <w:lang w:val="lt-LT"/>
              </w:rPr>
            </w:pPr>
            <w:r w:rsidRPr="000B2118">
              <w:rPr>
                <w:b/>
                <w:sz w:val="18"/>
                <w:szCs w:val="18"/>
                <w:lang w:val="lt-LT"/>
              </w:rPr>
              <w:t xml:space="preserve">Įprastinė </w:t>
            </w:r>
            <w:r w:rsidR="00003957" w:rsidRPr="000B2118">
              <w:rPr>
                <w:b/>
                <w:sz w:val="18"/>
                <w:szCs w:val="18"/>
                <w:lang w:val="lt-LT"/>
              </w:rPr>
              <w:t>priežiūra</w:t>
            </w:r>
          </w:p>
        </w:tc>
        <w:tc>
          <w:tcPr>
            <w:tcW w:w="2617" w:type="dxa"/>
            <w:gridSpan w:val="2"/>
            <w:vMerge w:val="restart"/>
          </w:tcPr>
          <w:p w14:paraId="3D8AE517" w14:textId="77777777" w:rsidR="00003957" w:rsidRPr="000B2118" w:rsidRDefault="00003957" w:rsidP="00BB772F">
            <w:pPr>
              <w:jc w:val="both"/>
              <w:rPr>
                <w:sz w:val="18"/>
                <w:szCs w:val="18"/>
                <w:lang w:val="lt-LT" w:eastAsia="lt-LT"/>
              </w:rPr>
            </w:pPr>
          </w:p>
          <w:p w14:paraId="14837076" w14:textId="77777777" w:rsidR="00003957" w:rsidRPr="000B2118" w:rsidRDefault="0053590C" w:rsidP="00BB772F">
            <w:pPr>
              <w:jc w:val="both"/>
              <w:rPr>
                <w:sz w:val="18"/>
                <w:szCs w:val="18"/>
                <w:lang w:val="lt-LT"/>
              </w:rPr>
            </w:pPr>
            <w:r w:rsidRPr="000B2118">
              <w:rPr>
                <w:noProof/>
                <w:sz w:val="18"/>
                <w:szCs w:val="18"/>
                <w:lang w:val="lt-LT" w:eastAsia="lt-LT" w:bidi="ar-SA"/>
              </w:rPr>
              <w:lastRenderedPageBreak/>
              <w:drawing>
                <wp:inline distT="0" distB="0" distL="0" distR="0" wp14:anchorId="54E464AE" wp14:editId="58F74EE9">
                  <wp:extent cx="1466850" cy="2676525"/>
                  <wp:effectExtent l="0" t="0" r="0" b="0"/>
                  <wp:docPr id="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2676525"/>
                          </a:xfrm>
                          <a:prstGeom prst="rect">
                            <a:avLst/>
                          </a:prstGeom>
                          <a:noFill/>
                          <a:ln>
                            <a:noFill/>
                          </a:ln>
                        </pic:spPr>
                      </pic:pic>
                    </a:graphicData>
                  </a:graphic>
                </wp:inline>
              </w:drawing>
            </w:r>
          </w:p>
        </w:tc>
        <w:tc>
          <w:tcPr>
            <w:tcW w:w="1560" w:type="dxa"/>
          </w:tcPr>
          <w:p w14:paraId="117E0ED3" w14:textId="77777777" w:rsidR="00003957" w:rsidRPr="000B2118" w:rsidRDefault="002E726F" w:rsidP="00A94563">
            <w:pPr>
              <w:jc w:val="right"/>
              <w:rPr>
                <w:b/>
                <w:sz w:val="18"/>
                <w:szCs w:val="18"/>
                <w:lang w:val="lt-LT"/>
              </w:rPr>
            </w:pPr>
            <w:r>
              <w:rPr>
                <w:b/>
                <w:sz w:val="18"/>
                <w:szCs w:val="18"/>
                <w:lang w:val="lt-LT"/>
              </w:rPr>
              <w:lastRenderedPageBreak/>
              <w:t>D</w:t>
            </w:r>
            <w:r w:rsidRPr="002E726F">
              <w:rPr>
                <w:b/>
                <w:sz w:val="18"/>
                <w:szCs w:val="18"/>
                <w:lang w:val="lt-LT"/>
              </w:rPr>
              <w:t xml:space="preserve">ažnio santykis </w:t>
            </w:r>
            <w:r w:rsidR="00003957" w:rsidRPr="000B2118">
              <w:rPr>
                <w:b/>
                <w:sz w:val="18"/>
                <w:szCs w:val="18"/>
                <w:lang w:val="lt-LT"/>
              </w:rPr>
              <w:t>(95</w:t>
            </w:r>
            <w:r w:rsidR="001327F6">
              <w:rPr>
                <w:b/>
                <w:sz w:val="18"/>
                <w:szCs w:val="18"/>
                <w:lang w:val="lt-LT"/>
              </w:rPr>
              <w:t> </w:t>
            </w:r>
            <w:r w:rsidR="00003957" w:rsidRPr="000B2118">
              <w:rPr>
                <w:b/>
                <w:sz w:val="18"/>
                <w:szCs w:val="18"/>
                <w:lang w:val="lt-LT"/>
              </w:rPr>
              <w:t xml:space="preserve">% </w:t>
            </w:r>
            <w:r w:rsidR="000B2118">
              <w:rPr>
                <w:b/>
                <w:sz w:val="18"/>
                <w:szCs w:val="18"/>
                <w:lang w:val="lt-LT"/>
              </w:rPr>
              <w:t>P</w:t>
            </w:r>
            <w:r w:rsidR="00003957" w:rsidRPr="000B2118">
              <w:rPr>
                <w:b/>
                <w:sz w:val="18"/>
                <w:szCs w:val="18"/>
                <w:lang w:val="lt-LT"/>
              </w:rPr>
              <w:t>l)</w:t>
            </w:r>
          </w:p>
        </w:tc>
      </w:tr>
      <w:tr w:rsidR="00003957" w:rsidRPr="000B2118" w14:paraId="299547DF" w14:textId="77777777" w:rsidTr="00A94563">
        <w:tc>
          <w:tcPr>
            <w:tcW w:w="5321" w:type="dxa"/>
            <w:gridSpan w:val="3"/>
          </w:tcPr>
          <w:p w14:paraId="4E167B1B" w14:textId="77777777" w:rsidR="00003957" w:rsidRPr="000B2118" w:rsidRDefault="00003957" w:rsidP="00AC606C">
            <w:pPr>
              <w:rPr>
                <w:b/>
                <w:sz w:val="18"/>
                <w:szCs w:val="18"/>
                <w:lang w:val="lt-LT"/>
              </w:rPr>
            </w:pPr>
            <w:r w:rsidRPr="000B2118">
              <w:rPr>
                <w:b/>
                <w:sz w:val="18"/>
                <w:szCs w:val="18"/>
                <w:lang w:val="lt-LT"/>
              </w:rPr>
              <w:t>Be deguonies (x</w:t>
            </w:r>
            <w:r w:rsidRPr="000B2118">
              <w:rPr>
                <w:b/>
                <w:sz w:val="18"/>
                <w:szCs w:val="18"/>
                <w:vertAlign w:val="subscript"/>
                <w:lang w:val="lt-LT"/>
              </w:rPr>
              <w:t>1</w:t>
            </w:r>
            <w:r w:rsidRPr="000B2118">
              <w:rPr>
                <w:b/>
                <w:sz w:val="18"/>
                <w:szCs w:val="18"/>
                <w:vertAlign w:val="superscript"/>
                <w:lang w:val="lt-LT"/>
              </w:rPr>
              <w:t>2</w:t>
            </w:r>
            <w:r w:rsidRPr="000B2118">
              <w:rPr>
                <w:b/>
                <w:sz w:val="18"/>
                <w:szCs w:val="18"/>
                <w:lang w:val="lt-LT"/>
              </w:rPr>
              <w:t>= 0</w:t>
            </w:r>
            <w:r w:rsidR="00AC606C" w:rsidRPr="000B2118">
              <w:rPr>
                <w:b/>
                <w:sz w:val="18"/>
                <w:szCs w:val="18"/>
                <w:lang w:val="lt-LT"/>
              </w:rPr>
              <w:t>,</w:t>
            </w:r>
            <w:r w:rsidRPr="000B2118">
              <w:rPr>
                <w:b/>
                <w:sz w:val="18"/>
                <w:szCs w:val="18"/>
                <w:lang w:val="lt-LT"/>
              </w:rPr>
              <w:t>08; p=0</w:t>
            </w:r>
            <w:r w:rsidR="00AC606C" w:rsidRPr="000B2118">
              <w:rPr>
                <w:b/>
                <w:sz w:val="18"/>
                <w:szCs w:val="18"/>
                <w:lang w:val="lt-LT"/>
              </w:rPr>
              <w:t>,</w:t>
            </w:r>
            <w:r w:rsidRPr="000B2118">
              <w:rPr>
                <w:b/>
                <w:sz w:val="18"/>
                <w:szCs w:val="18"/>
                <w:lang w:val="lt-LT"/>
              </w:rPr>
              <w:t>78)</w:t>
            </w:r>
          </w:p>
        </w:tc>
        <w:tc>
          <w:tcPr>
            <w:tcW w:w="2617" w:type="dxa"/>
            <w:gridSpan w:val="2"/>
            <w:vMerge/>
          </w:tcPr>
          <w:p w14:paraId="4F7D9DCA" w14:textId="77777777" w:rsidR="00003957" w:rsidRPr="000B2118" w:rsidRDefault="00003957" w:rsidP="00BB772F">
            <w:pPr>
              <w:rPr>
                <w:sz w:val="18"/>
                <w:szCs w:val="18"/>
                <w:lang w:val="lt-LT"/>
              </w:rPr>
            </w:pPr>
          </w:p>
        </w:tc>
        <w:tc>
          <w:tcPr>
            <w:tcW w:w="1560" w:type="dxa"/>
          </w:tcPr>
          <w:p w14:paraId="211B2633" w14:textId="77777777" w:rsidR="00003957" w:rsidRPr="000B2118" w:rsidRDefault="00003957" w:rsidP="00BB772F">
            <w:pPr>
              <w:rPr>
                <w:sz w:val="18"/>
                <w:szCs w:val="18"/>
                <w:lang w:val="lt-LT"/>
              </w:rPr>
            </w:pPr>
          </w:p>
        </w:tc>
      </w:tr>
      <w:tr w:rsidR="00003957" w:rsidRPr="000B2118" w14:paraId="4C4F981A" w14:textId="77777777" w:rsidTr="00A94563">
        <w:trPr>
          <w:trHeight w:val="925"/>
        </w:trPr>
        <w:tc>
          <w:tcPr>
            <w:tcW w:w="1843" w:type="dxa"/>
          </w:tcPr>
          <w:p w14:paraId="5EF30B94" w14:textId="77777777" w:rsidR="00003957" w:rsidRPr="000B2118" w:rsidRDefault="00003957" w:rsidP="00BB772F">
            <w:pPr>
              <w:rPr>
                <w:sz w:val="18"/>
                <w:szCs w:val="18"/>
                <w:lang w:val="lt-LT"/>
              </w:rPr>
            </w:pPr>
            <w:r w:rsidRPr="000B2118">
              <w:rPr>
                <w:sz w:val="18"/>
                <w:szCs w:val="18"/>
                <w:lang w:val="lt-LT"/>
              </w:rPr>
              <w:lastRenderedPageBreak/>
              <w:t>Ankstesnė liga</w:t>
            </w:r>
          </w:p>
          <w:p w14:paraId="2D10173D" w14:textId="77777777" w:rsidR="00003957" w:rsidRPr="000B2118" w:rsidRDefault="00003957" w:rsidP="00BB772F">
            <w:pPr>
              <w:rPr>
                <w:sz w:val="18"/>
                <w:szCs w:val="18"/>
                <w:lang w:val="lt-LT"/>
              </w:rPr>
            </w:pPr>
            <w:r w:rsidRPr="000B2118">
              <w:rPr>
                <w:sz w:val="18"/>
                <w:szCs w:val="18"/>
                <w:lang w:val="lt-LT"/>
              </w:rPr>
              <w:t>Be ankstesnės ligos</w:t>
            </w:r>
          </w:p>
          <w:p w14:paraId="5D585D45" w14:textId="77777777" w:rsidR="00003957" w:rsidRPr="000B2118" w:rsidRDefault="00003957" w:rsidP="00BB772F">
            <w:pPr>
              <w:rPr>
                <w:b/>
                <w:sz w:val="18"/>
                <w:szCs w:val="18"/>
                <w:lang w:val="lt-LT"/>
              </w:rPr>
            </w:pPr>
            <w:r w:rsidRPr="000B2118">
              <w:rPr>
                <w:b/>
                <w:sz w:val="18"/>
                <w:szCs w:val="18"/>
                <w:lang w:val="lt-LT"/>
              </w:rPr>
              <w:t>Tarpinė suma</w:t>
            </w:r>
          </w:p>
        </w:tc>
        <w:tc>
          <w:tcPr>
            <w:tcW w:w="1759" w:type="dxa"/>
          </w:tcPr>
          <w:p w14:paraId="21FEFF4D" w14:textId="77777777" w:rsidR="00003957" w:rsidRPr="000B2118" w:rsidRDefault="00003957" w:rsidP="00BB772F">
            <w:pPr>
              <w:jc w:val="right"/>
              <w:rPr>
                <w:sz w:val="18"/>
                <w:szCs w:val="18"/>
                <w:lang w:val="lt-LT"/>
              </w:rPr>
            </w:pPr>
            <w:r w:rsidRPr="000B2118">
              <w:rPr>
                <w:sz w:val="18"/>
                <w:szCs w:val="18"/>
                <w:lang w:val="lt-LT"/>
              </w:rPr>
              <w:t>65/313 (20</w:t>
            </w:r>
            <w:r w:rsidR="00AC606C" w:rsidRPr="000B2118">
              <w:rPr>
                <w:sz w:val="18"/>
                <w:szCs w:val="18"/>
                <w:lang w:val="lt-LT"/>
              </w:rPr>
              <w:t>,</w:t>
            </w:r>
            <w:r w:rsidRPr="000B2118">
              <w:rPr>
                <w:sz w:val="18"/>
                <w:szCs w:val="18"/>
                <w:lang w:val="lt-LT"/>
              </w:rPr>
              <w:t>8</w:t>
            </w:r>
            <w:r w:rsidR="001327F6">
              <w:rPr>
                <w:sz w:val="18"/>
                <w:szCs w:val="18"/>
                <w:lang w:val="lt-LT"/>
              </w:rPr>
              <w:t> </w:t>
            </w:r>
            <w:r w:rsidRPr="000B2118">
              <w:rPr>
                <w:sz w:val="18"/>
                <w:szCs w:val="18"/>
                <w:lang w:val="lt-LT"/>
              </w:rPr>
              <w:t>%)</w:t>
            </w:r>
          </w:p>
          <w:p w14:paraId="4E9501A4" w14:textId="77777777" w:rsidR="00003957" w:rsidRPr="000B2118" w:rsidRDefault="00003957" w:rsidP="00BB772F">
            <w:pPr>
              <w:jc w:val="right"/>
              <w:rPr>
                <w:sz w:val="18"/>
                <w:szCs w:val="18"/>
                <w:lang w:val="lt-LT"/>
              </w:rPr>
            </w:pPr>
            <w:r w:rsidRPr="000B2118">
              <w:rPr>
                <w:sz w:val="18"/>
                <w:szCs w:val="18"/>
                <w:lang w:val="lt-LT"/>
              </w:rPr>
              <w:t>24/188 (12</w:t>
            </w:r>
            <w:r w:rsidR="00AC606C" w:rsidRPr="000B2118">
              <w:rPr>
                <w:sz w:val="18"/>
                <w:szCs w:val="18"/>
                <w:lang w:val="lt-LT"/>
              </w:rPr>
              <w:t>,</w:t>
            </w:r>
            <w:r w:rsidRPr="000B2118">
              <w:rPr>
                <w:sz w:val="18"/>
                <w:szCs w:val="18"/>
                <w:lang w:val="lt-LT"/>
              </w:rPr>
              <w:t>8</w:t>
            </w:r>
            <w:r w:rsidR="001327F6">
              <w:rPr>
                <w:sz w:val="18"/>
                <w:szCs w:val="18"/>
                <w:lang w:val="lt-LT"/>
              </w:rPr>
              <w:t> </w:t>
            </w:r>
            <w:r w:rsidRPr="000B2118">
              <w:rPr>
                <w:sz w:val="18"/>
                <w:szCs w:val="18"/>
                <w:lang w:val="lt-LT"/>
              </w:rPr>
              <w:t>%)</w:t>
            </w:r>
          </w:p>
          <w:p w14:paraId="456CD428" w14:textId="77777777" w:rsidR="00003957" w:rsidRPr="000B2118" w:rsidRDefault="00003957" w:rsidP="00AC606C">
            <w:pPr>
              <w:jc w:val="right"/>
              <w:rPr>
                <w:b/>
                <w:sz w:val="18"/>
                <w:szCs w:val="18"/>
                <w:lang w:val="lt-LT"/>
              </w:rPr>
            </w:pPr>
            <w:r w:rsidRPr="000B2118">
              <w:rPr>
                <w:b/>
                <w:sz w:val="18"/>
                <w:szCs w:val="18"/>
                <w:lang w:val="lt-LT"/>
              </w:rPr>
              <w:t>89/501 (17</w:t>
            </w:r>
            <w:r w:rsidR="00AC606C" w:rsidRPr="000B2118">
              <w:rPr>
                <w:b/>
                <w:sz w:val="18"/>
                <w:szCs w:val="18"/>
                <w:lang w:val="lt-LT"/>
              </w:rPr>
              <w:t>,</w:t>
            </w:r>
            <w:r w:rsidRPr="000B2118">
              <w:rPr>
                <w:b/>
                <w:sz w:val="18"/>
                <w:szCs w:val="18"/>
                <w:lang w:val="lt-LT"/>
              </w:rPr>
              <w:t>8</w:t>
            </w:r>
            <w:r w:rsidR="001327F6">
              <w:rPr>
                <w:b/>
                <w:sz w:val="18"/>
                <w:szCs w:val="18"/>
                <w:lang w:val="lt-LT"/>
              </w:rPr>
              <w:t> </w:t>
            </w:r>
            <w:r w:rsidRPr="000B2118">
              <w:rPr>
                <w:b/>
                <w:sz w:val="18"/>
                <w:szCs w:val="18"/>
                <w:lang w:val="lt-LT"/>
              </w:rPr>
              <w:t>%)</w:t>
            </w:r>
          </w:p>
        </w:tc>
        <w:tc>
          <w:tcPr>
            <w:tcW w:w="1719" w:type="dxa"/>
          </w:tcPr>
          <w:p w14:paraId="7B13EBBA" w14:textId="77777777" w:rsidR="00003957" w:rsidRPr="000B2118" w:rsidRDefault="00003957" w:rsidP="00BB772F">
            <w:pPr>
              <w:jc w:val="right"/>
              <w:rPr>
                <w:sz w:val="18"/>
                <w:szCs w:val="18"/>
                <w:lang w:val="lt-LT"/>
              </w:rPr>
            </w:pPr>
            <w:r w:rsidRPr="000B2118">
              <w:rPr>
                <w:sz w:val="18"/>
                <w:szCs w:val="18"/>
                <w:lang w:val="lt-LT"/>
              </w:rPr>
              <w:t>100/598 (16</w:t>
            </w:r>
            <w:r w:rsidR="00AC606C" w:rsidRPr="000B2118">
              <w:rPr>
                <w:sz w:val="18"/>
                <w:szCs w:val="18"/>
                <w:lang w:val="lt-LT"/>
              </w:rPr>
              <w:t>,</w:t>
            </w:r>
            <w:r w:rsidRPr="000B2118">
              <w:rPr>
                <w:sz w:val="18"/>
                <w:szCs w:val="18"/>
                <w:lang w:val="lt-LT"/>
              </w:rPr>
              <w:t>7</w:t>
            </w:r>
            <w:r w:rsidR="001327F6">
              <w:rPr>
                <w:sz w:val="18"/>
                <w:szCs w:val="18"/>
                <w:lang w:val="lt-LT"/>
              </w:rPr>
              <w:t> </w:t>
            </w:r>
            <w:r w:rsidRPr="000B2118">
              <w:rPr>
                <w:sz w:val="18"/>
                <w:szCs w:val="18"/>
                <w:lang w:val="lt-LT"/>
              </w:rPr>
              <w:t>%)</w:t>
            </w:r>
          </w:p>
          <w:p w14:paraId="46473FAC" w14:textId="77777777" w:rsidR="00003957" w:rsidRPr="000B2118" w:rsidRDefault="00003957" w:rsidP="00BB772F">
            <w:pPr>
              <w:jc w:val="right"/>
              <w:rPr>
                <w:sz w:val="18"/>
                <w:szCs w:val="18"/>
                <w:lang w:val="lt-LT"/>
              </w:rPr>
            </w:pPr>
            <w:r w:rsidRPr="000B2118">
              <w:rPr>
                <w:sz w:val="18"/>
                <w:szCs w:val="18"/>
                <w:lang w:val="lt-LT"/>
              </w:rPr>
              <w:t>45/436 (10</w:t>
            </w:r>
            <w:r w:rsidR="00AC606C" w:rsidRPr="000B2118">
              <w:rPr>
                <w:sz w:val="18"/>
                <w:szCs w:val="18"/>
                <w:lang w:val="lt-LT"/>
              </w:rPr>
              <w:t>,</w:t>
            </w:r>
            <w:r w:rsidRPr="000B2118">
              <w:rPr>
                <w:sz w:val="18"/>
                <w:szCs w:val="18"/>
                <w:lang w:val="lt-LT"/>
              </w:rPr>
              <w:t>3</w:t>
            </w:r>
            <w:r w:rsidR="001327F6">
              <w:rPr>
                <w:sz w:val="18"/>
                <w:szCs w:val="18"/>
                <w:lang w:val="lt-LT"/>
              </w:rPr>
              <w:t> </w:t>
            </w:r>
            <w:r w:rsidRPr="000B2118">
              <w:rPr>
                <w:sz w:val="18"/>
                <w:szCs w:val="18"/>
                <w:lang w:val="lt-LT"/>
              </w:rPr>
              <w:t>%)</w:t>
            </w:r>
          </w:p>
          <w:p w14:paraId="36628220" w14:textId="77777777" w:rsidR="00003957" w:rsidRPr="000B2118" w:rsidRDefault="00003957" w:rsidP="00AC606C">
            <w:pPr>
              <w:jc w:val="right"/>
              <w:rPr>
                <w:b/>
                <w:sz w:val="18"/>
                <w:szCs w:val="18"/>
                <w:lang w:val="lt-LT"/>
              </w:rPr>
            </w:pPr>
            <w:r w:rsidRPr="000B2118">
              <w:rPr>
                <w:b/>
                <w:sz w:val="18"/>
                <w:szCs w:val="18"/>
                <w:lang w:val="lt-LT"/>
              </w:rPr>
              <w:t>145/1034 (14</w:t>
            </w:r>
            <w:r w:rsidR="00AC606C" w:rsidRPr="000B2118">
              <w:rPr>
                <w:b/>
                <w:sz w:val="18"/>
                <w:szCs w:val="18"/>
                <w:lang w:val="lt-LT"/>
              </w:rPr>
              <w:t>,</w:t>
            </w:r>
            <w:r w:rsidRPr="000B2118">
              <w:rPr>
                <w:b/>
                <w:sz w:val="18"/>
                <w:szCs w:val="18"/>
                <w:lang w:val="lt-LT"/>
              </w:rPr>
              <w:t>0</w:t>
            </w:r>
            <w:r w:rsidR="001327F6">
              <w:rPr>
                <w:b/>
                <w:sz w:val="18"/>
                <w:szCs w:val="18"/>
                <w:lang w:val="lt-LT"/>
              </w:rPr>
              <w:t> </w:t>
            </w:r>
            <w:r w:rsidRPr="000B2118">
              <w:rPr>
                <w:b/>
                <w:sz w:val="18"/>
                <w:szCs w:val="18"/>
                <w:lang w:val="lt-LT"/>
              </w:rPr>
              <w:t>%)</w:t>
            </w:r>
          </w:p>
        </w:tc>
        <w:tc>
          <w:tcPr>
            <w:tcW w:w="2617" w:type="dxa"/>
            <w:gridSpan w:val="2"/>
            <w:vMerge/>
          </w:tcPr>
          <w:p w14:paraId="7C26DAE4" w14:textId="77777777" w:rsidR="00003957" w:rsidRPr="000B2118" w:rsidRDefault="00003957" w:rsidP="00BB772F">
            <w:pPr>
              <w:rPr>
                <w:sz w:val="18"/>
                <w:szCs w:val="18"/>
                <w:lang w:val="lt-LT"/>
              </w:rPr>
            </w:pPr>
          </w:p>
        </w:tc>
        <w:tc>
          <w:tcPr>
            <w:tcW w:w="1560" w:type="dxa"/>
          </w:tcPr>
          <w:p w14:paraId="79A851CA" w14:textId="77777777" w:rsidR="00003957" w:rsidRPr="000B2118" w:rsidRDefault="00003957" w:rsidP="00A94563">
            <w:pPr>
              <w:jc w:val="right"/>
              <w:rPr>
                <w:sz w:val="18"/>
                <w:szCs w:val="18"/>
                <w:lang w:val="lt-LT"/>
              </w:rPr>
            </w:pPr>
            <w:r w:rsidRPr="000B2118">
              <w:rPr>
                <w:sz w:val="18"/>
                <w:szCs w:val="18"/>
                <w:lang w:val="lt-LT"/>
              </w:rPr>
              <w:t>1</w:t>
            </w:r>
            <w:r w:rsidR="00AC606C" w:rsidRPr="000B2118">
              <w:rPr>
                <w:sz w:val="18"/>
                <w:szCs w:val="18"/>
                <w:lang w:val="lt-LT"/>
              </w:rPr>
              <w:t>,</w:t>
            </w:r>
            <w:r w:rsidRPr="000B2118">
              <w:rPr>
                <w:sz w:val="18"/>
                <w:szCs w:val="18"/>
                <w:lang w:val="lt-LT"/>
              </w:rPr>
              <w:t>22 (0,89–1</w:t>
            </w:r>
            <w:r w:rsidR="00AC606C" w:rsidRPr="000B2118">
              <w:rPr>
                <w:sz w:val="18"/>
                <w:szCs w:val="18"/>
                <w:lang w:val="lt-LT"/>
              </w:rPr>
              <w:t>,</w:t>
            </w:r>
            <w:r w:rsidRPr="000B2118">
              <w:rPr>
                <w:sz w:val="18"/>
                <w:szCs w:val="18"/>
                <w:lang w:val="lt-LT"/>
              </w:rPr>
              <w:t>66)</w:t>
            </w:r>
          </w:p>
          <w:p w14:paraId="4956A10D" w14:textId="77777777" w:rsidR="00003957" w:rsidRPr="000B2118" w:rsidRDefault="00003957" w:rsidP="00A94563">
            <w:pPr>
              <w:jc w:val="right"/>
              <w:rPr>
                <w:sz w:val="18"/>
                <w:szCs w:val="18"/>
                <w:lang w:val="lt-LT"/>
              </w:rPr>
            </w:pPr>
            <w:r w:rsidRPr="000B2118">
              <w:rPr>
                <w:sz w:val="18"/>
                <w:szCs w:val="18"/>
                <w:lang w:val="lt-LT"/>
              </w:rPr>
              <w:t>1</w:t>
            </w:r>
            <w:r w:rsidR="00AC606C" w:rsidRPr="000B2118">
              <w:rPr>
                <w:sz w:val="18"/>
                <w:szCs w:val="18"/>
                <w:lang w:val="lt-LT"/>
              </w:rPr>
              <w:t>,</w:t>
            </w:r>
            <w:r w:rsidRPr="000B2118">
              <w:rPr>
                <w:sz w:val="18"/>
                <w:szCs w:val="18"/>
                <w:lang w:val="lt-LT"/>
              </w:rPr>
              <w:t>12 (0,68–1,83)</w:t>
            </w:r>
          </w:p>
          <w:p w14:paraId="1B6D5481" w14:textId="77777777" w:rsidR="00003957" w:rsidRPr="000B2118" w:rsidRDefault="00003957" w:rsidP="00A94563">
            <w:pPr>
              <w:jc w:val="right"/>
              <w:rPr>
                <w:b/>
                <w:sz w:val="18"/>
                <w:szCs w:val="18"/>
                <w:lang w:val="lt-LT"/>
              </w:rPr>
            </w:pPr>
            <w:r w:rsidRPr="000B2118">
              <w:rPr>
                <w:b/>
                <w:sz w:val="18"/>
                <w:szCs w:val="18"/>
                <w:lang w:val="lt-LT"/>
              </w:rPr>
              <w:t>1</w:t>
            </w:r>
            <w:r w:rsidR="00AC606C" w:rsidRPr="000B2118">
              <w:rPr>
                <w:b/>
                <w:sz w:val="18"/>
                <w:szCs w:val="18"/>
                <w:lang w:val="lt-LT"/>
              </w:rPr>
              <w:t>,</w:t>
            </w:r>
            <w:r w:rsidRPr="000B2118">
              <w:rPr>
                <w:b/>
                <w:sz w:val="18"/>
                <w:szCs w:val="18"/>
                <w:lang w:val="lt-LT"/>
              </w:rPr>
              <w:t>19 (0</w:t>
            </w:r>
            <w:r w:rsidR="00AC606C" w:rsidRPr="000B2118">
              <w:rPr>
                <w:b/>
                <w:sz w:val="18"/>
                <w:szCs w:val="18"/>
                <w:lang w:val="lt-LT"/>
              </w:rPr>
              <w:t>,</w:t>
            </w:r>
            <w:r w:rsidRPr="000B2118">
              <w:rPr>
                <w:b/>
                <w:sz w:val="18"/>
                <w:szCs w:val="18"/>
                <w:lang w:val="lt-LT"/>
              </w:rPr>
              <w:t>91</w:t>
            </w:r>
            <w:r w:rsidRPr="000B2118">
              <w:rPr>
                <w:b/>
                <w:sz w:val="18"/>
                <w:szCs w:val="18"/>
                <w:lang w:val="lt-LT"/>
              </w:rPr>
              <w:noBreakHyphen/>
              <w:t>1</w:t>
            </w:r>
            <w:r w:rsidR="00AC606C" w:rsidRPr="000B2118">
              <w:rPr>
                <w:b/>
                <w:sz w:val="18"/>
                <w:szCs w:val="18"/>
                <w:lang w:val="lt-LT"/>
              </w:rPr>
              <w:t>,</w:t>
            </w:r>
            <w:r w:rsidRPr="000B2118">
              <w:rPr>
                <w:b/>
                <w:sz w:val="18"/>
                <w:szCs w:val="18"/>
                <w:lang w:val="lt-LT"/>
              </w:rPr>
              <w:t>55)</w:t>
            </w:r>
          </w:p>
        </w:tc>
      </w:tr>
      <w:tr w:rsidR="00003957" w:rsidRPr="000B2118" w14:paraId="5DC0F7A8" w14:textId="77777777" w:rsidTr="00A94563">
        <w:trPr>
          <w:trHeight w:val="275"/>
        </w:trPr>
        <w:tc>
          <w:tcPr>
            <w:tcW w:w="5321" w:type="dxa"/>
            <w:gridSpan w:val="3"/>
          </w:tcPr>
          <w:p w14:paraId="248B02FA" w14:textId="77777777" w:rsidR="00003957" w:rsidRPr="000B2118" w:rsidRDefault="00003957" w:rsidP="00BB772F">
            <w:pPr>
              <w:rPr>
                <w:b/>
                <w:sz w:val="18"/>
                <w:szCs w:val="18"/>
                <w:lang w:val="lt-LT"/>
              </w:rPr>
            </w:pPr>
            <w:r w:rsidRPr="000B2118">
              <w:rPr>
                <w:b/>
                <w:sz w:val="18"/>
                <w:szCs w:val="18"/>
                <w:lang w:val="lt-LT"/>
              </w:rPr>
              <w:t>Tik deguonis (x</w:t>
            </w:r>
            <w:r w:rsidRPr="000B2118">
              <w:rPr>
                <w:b/>
                <w:sz w:val="18"/>
                <w:szCs w:val="18"/>
                <w:vertAlign w:val="subscript"/>
                <w:lang w:val="lt-LT"/>
              </w:rPr>
              <w:t>1</w:t>
            </w:r>
            <w:r w:rsidRPr="000B2118">
              <w:rPr>
                <w:b/>
                <w:sz w:val="18"/>
                <w:szCs w:val="18"/>
                <w:vertAlign w:val="superscript"/>
                <w:lang w:val="lt-LT"/>
              </w:rPr>
              <w:t>2</w:t>
            </w:r>
            <w:r w:rsidRPr="000B2118">
              <w:rPr>
                <w:b/>
                <w:sz w:val="18"/>
                <w:szCs w:val="18"/>
                <w:lang w:val="lt-LT"/>
              </w:rPr>
              <w:t>= 2</w:t>
            </w:r>
            <w:r w:rsidR="00545C77">
              <w:rPr>
                <w:b/>
                <w:sz w:val="18"/>
                <w:szCs w:val="18"/>
                <w:lang w:val="lt-LT"/>
              </w:rPr>
              <w:t>,</w:t>
            </w:r>
            <w:r w:rsidRPr="000B2118">
              <w:rPr>
                <w:b/>
                <w:sz w:val="18"/>
                <w:szCs w:val="18"/>
                <w:lang w:val="lt-LT"/>
              </w:rPr>
              <w:t>05; p=0</w:t>
            </w:r>
            <w:r w:rsidR="00545C77">
              <w:rPr>
                <w:b/>
                <w:sz w:val="18"/>
                <w:szCs w:val="18"/>
                <w:lang w:val="lt-LT"/>
              </w:rPr>
              <w:t>,</w:t>
            </w:r>
            <w:r w:rsidRPr="000B2118">
              <w:rPr>
                <w:b/>
                <w:sz w:val="18"/>
                <w:szCs w:val="18"/>
                <w:lang w:val="lt-LT"/>
              </w:rPr>
              <w:t>15)</w:t>
            </w:r>
          </w:p>
        </w:tc>
        <w:tc>
          <w:tcPr>
            <w:tcW w:w="2617" w:type="dxa"/>
            <w:gridSpan w:val="2"/>
            <w:vMerge/>
          </w:tcPr>
          <w:p w14:paraId="03FDE905" w14:textId="77777777" w:rsidR="00003957" w:rsidRPr="000B2118" w:rsidRDefault="00003957" w:rsidP="00BB772F">
            <w:pPr>
              <w:rPr>
                <w:sz w:val="18"/>
                <w:szCs w:val="18"/>
                <w:lang w:val="lt-LT"/>
              </w:rPr>
            </w:pPr>
          </w:p>
        </w:tc>
        <w:tc>
          <w:tcPr>
            <w:tcW w:w="1560" w:type="dxa"/>
          </w:tcPr>
          <w:p w14:paraId="3EE12122" w14:textId="77777777" w:rsidR="00003957" w:rsidRPr="000B2118" w:rsidRDefault="00003957" w:rsidP="00A94563">
            <w:pPr>
              <w:jc w:val="right"/>
              <w:rPr>
                <w:sz w:val="18"/>
                <w:szCs w:val="18"/>
                <w:lang w:val="lt-LT"/>
              </w:rPr>
            </w:pPr>
          </w:p>
        </w:tc>
      </w:tr>
      <w:tr w:rsidR="00003957" w:rsidRPr="000B2118" w14:paraId="3A4A01A8" w14:textId="77777777" w:rsidTr="00A94563">
        <w:trPr>
          <w:trHeight w:val="842"/>
        </w:trPr>
        <w:tc>
          <w:tcPr>
            <w:tcW w:w="1843" w:type="dxa"/>
          </w:tcPr>
          <w:p w14:paraId="4EE9CDDC" w14:textId="77777777" w:rsidR="00003957" w:rsidRPr="000B2118" w:rsidRDefault="00003957" w:rsidP="00BB772F">
            <w:pPr>
              <w:rPr>
                <w:sz w:val="18"/>
                <w:szCs w:val="18"/>
                <w:lang w:val="lt-LT"/>
              </w:rPr>
            </w:pPr>
            <w:r w:rsidRPr="000B2118">
              <w:rPr>
                <w:sz w:val="18"/>
                <w:szCs w:val="18"/>
                <w:lang w:val="lt-LT"/>
              </w:rPr>
              <w:t>Ankstesnė liga</w:t>
            </w:r>
          </w:p>
          <w:p w14:paraId="7A8B44FD" w14:textId="77777777" w:rsidR="00003957" w:rsidRPr="000B2118" w:rsidRDefault="00003957" w:rsidP="00BB772F">
            <w:pPr>
              <w:rPr>
                <w:sz w:val="18"/>
                <w:szCs w:val="18"/>
                <w:lang w:val="lt-LT"/>
              </w:rPr>
            </w:pPr>
            <w:r w:rsidRPr="000B2118">
              <w:rPr>
                <w:sz w:val="18"/>
                <w:szCs w:val="18"/>
                <w:lang w:val="lt-LT"/>
              </w:rPr>
              <w:t>Be ankstesnės ligos</w:t>
            </w:r>
          </w:p>
          <w:p w14:paraId="4BE29678" w14:textId="77777777" w:rsidR="00003957" w:rsidRPr="000B2118" w:rsidRDefault="00003957" w:rsidP="00BB772F">
            <w:pPr>
              <w:rPr>
                <w:sz w:val="18"/>
                <w:szCs w:val="18"/>
                <w:lang w:val="lt-LT"/>
              </w:rPr>
            </w:pPr>
            <w:r w:rsidRPr="000B2118">
              <w:rPr>
                <w:b/>
                <w:sz w:val="18"/>
                <w:szCs w:val="18"/>
                <w:lang w:val="lt-LT"/>
              </w:rPr>
              <w:t xml:space="preserve">Tarpinė suma </w:t>
            </w:r>
          </w:p>
        </w:tc>
        <w:tc>
          <w:tcPr>
            <w:tcW w:w="1759" w:type="dxa"/>
          </w:tcPr>
          <w:p w14:paraId="4EB35D79" w14:textId="77777777" w:rsidR="00003957" w:rsidRPr="000B2118" w:rsidRDefault="00003957" w:rsidP="00BB772F">
            <w:pPr>
              <w:jc w:val="right"/>
              <w:rPr>
                <w:sz w:val="18"/>
                <w:szCs w:val="18"/>
                <w:lang w:val="lt-LT"/>
              </w:rPr>
            </w:pPr>
            <w:r w:rsidRPr="000B2118">
              <w:rPr>
                <w:sz w:val="18"/>
                <w:szCs w:val="18"/>
                <w:lang w:val="lt-LT"/>
              </w:rPr>
              <w:t>221/702 (31</w:t>
            </w:r>
            <w:r w:rsidR="00AC606C" w:rsidRPr="000B2118">
              <w:rPr>
                <w:sz w:val="18"/>
                <w:szCs w:val="18"/>
                <w:lang w:val="lt-LT"/>
              </w:rPr>
              <w:t>,</w:t>
            </w:r>
            <w:r w:rsidRPr="000B2118">
              <w:rPr>
                <w:sz w:val="18"/>
                <w:szCs w:val="18"/>
                <w:lang w:val="lt-LT"/>
              </w:rPr>
              <w:t>5</w:t>
            </w:r>
            <w:r w:rsidR="001327F6">
              <w:rPr>
                <w:sz w:val="18"/>
                <w:szCs w:val="18"/>
                <w:lang w:val="lt-LT"/>
              </w:rPr>
              <w:t> </w:t>
            </w:r>
            <w:r w:rsidRPr="000B2118">
              <w:rPr>
                <w:sz w:val="18"/>
                <w:szCs w:val="18"/>
                <w:lang w:val="lt-LT"/>
              </w:rPr>
              <w:t>%)</w:t>
            </w:r>
          </w:p>
          <w:p w14:paraId="5215C9AA" w14:textId="77777777" w:rsidR="00003957" w:rsidRPr="000B2118" w:rsidRDefault="00003957" w:rsidP="00AC606C">
            <w:pPr>
              <w:jc w:val="right"/>
              <w:rPr>
                <w:b/>
                <w:sz w:val="18"/>
                <w:szCs w:val="18"/>
                <w:lang w:val="lt-LT"/>
              </w:rPr>
            </w:pPr>
            <w:r w:rsidRPr="000B2118">
              <w:rPr>
                <w:sz w:val="18"/>
                <w:szCs w:val="18"/>
                <w:lang w:val="lt-LT"/>
              </w:rPr>
              <w:t>77/577 (13</w:t>
            </w:r>
            <w:r w:rsidR="00AC606C" w:rsidRPr="000B2118">
              <w:rPr>
                <w:sz w:val="18"/>
                <w:szCs w:val="18"/>
                <w:lang w:val="lt-LT"/>
              </w:rPr>
              <w:t>,</w:t>
            </w:r>
            <w:r w:rsidRPr="000B2118">
              <w:rPr>
                <w:sz w:val="18"/>
                <w:szCs w:val="18"/>
                <w:lang w:val="lt-LT"/>
              </w:rPr>
              <w:t>3</w:t>
            </w:r>
            <w:r w:rsidR="001327F6">
              <w:rPr>
                <w:sz w:val="18"/>
                <w:szCs w:val="18"/>
                <w:lang w:val="lt-LT"/>
              </w:rPr>
              <w:t> </w:t>
            </w:r>
            <w:r w:rsidRPr="000B2118">
              <w:rPr>
                <w:sz w:val="18"/>
                <w:szCs w:val="18"/>
                <w:lang w:val="lt-LT"/>
              </w:rPr>
              <w:t xml:space="preserve">%) </w:t>
            </w:r>
            <w:r w:rsidRPr="000B2118">
              <w:rPr>
                <w:b/>
                <w:sz w:val="18"/>
                <w:szCs w:val="18"/>
                <w:lang w:val="lt-LT"/>
              </w:rPr>
              <w:t>298/1279 (23</w:t>
            </w:r>
            <w:r w:rsidR="00AC606C" w:rsidRPr="000B2118">
              <w:rPr>
                <w:b/>
                <w:sz w:val="18"/>
                <w:szCs w:val="18"/>
                <w:lang w:val="lt-LT"/>
              </w:rPr>
              <w:t>,</w:t>
            </w:r>
            <w:r w:rsidRPr="000B2118">
              <w:rPr>
                <w:b/>
                <w:sz w:val="18"/>
                <w:szCs w:val="18"/>
                <w:lang w:val="lt-LT"/>
              </w:rPr>
              <w:t>3</w:t>
            </w:r>
            <w:r w:rsidR="008911FD">
              <w:rPr>
                <w:b/>
                <w:sz w:val="18"/>
                <w:szCs w:val="18"/>
                <w:lang w:val="lt-LT"/>
              </w:rPr>
              <w:t> </w:t>
            </w:r>
            <w:r w:rsidRPr="000B2118">
              <w:rPr>
                <w:b/>
                <w:sz w:val="18"/>
                <w:szCs w:val="18"/>
                <w:lang w:val="lt-LT"/>
              </w:rPr>
              <w:t>%)</w:t>
            </w:r>
          </w:p>
        </w:tc>
        <w:tc>
          <w:tcPr>
            <w:tcW w:w="1719" w:type="dxa"/>
          </w:tcPr>
          <w:p w14:paraId="28E66F60" w14:textId="77777777" w:rsidR="00003957" w:rsidRPr="000B2118" w:rsidRDefault="00003957" w:rsidP="00BB772F">
            <w:pPr>
              <w:jc w:val="right"/>
              <w:rPr>
                <w:sz w:val="18"/>
                <w:szCs w:val="18"/>
                <w:lang w:val="lt-LT"/>
              </w:rPr>
            </w:pPr>
            <w:r w:rsidRPr="000B2118">
              <w:rPr>
                <w:sz w:val="18"/>
                <w:szCs w:val="18"/>
                <w:lang w:val="lt-LT"/>
              </w:rPr>
              <w:t>481/1473 (32</w:t>
            </w:r>
            <w:r w:rsidR="00AC606C" w:rsidRPr="000B2118">
              <w:rPr>
                <w:sz w:val="18"/>
                <w:szCs w:val="18"/>
                <w:lang w:val="lt-LT"/>
              </w:rPr>
              <w:t>,</w:t>
            </w:r>
            <w:r w:rsidRPr="000B2118">
              <w:rPr>
                <w:sz w:val="18"/>
                <w:szCs w:val="18"/>
                <w:lang w:val="lt-LT"/>
              </w:rPr>
              <w:t>7</w:t>
            </w:r>
            <w:r w:rsidR="008911FD">
              <w:rPr>
                <w:sz w:val="18"/>
                <w:szCs w:val="18"/>
                <w:lang w:val="lt-LT"/>
              </w:rPr>
              <w:t> </w:t>
            </w:r>
            <w:r w:rsidRPr="000B2118">
              <w:rPr>
                <w:sz w:val="18"/>
                <w:szCs w:val="18"/>
                <w:lang w:val="lt-LT"/>
              </w:rPr>
              <w:t>%)</w:t>
            </w:r>
          </w:p>
          <w:p w14:paraId="2B4B8FF1" w14:textId="77777777" w:rsidR="00003957" w:rsidRPr="000B2118" w:rsidRDefault="00003957" w:rsidP="00BB772F">
            <w:pPr>
              <w:jc w:val="right"/>
              <w:rPr>
                <w:sz w:val="18"/>
                <w:szCs w:val="18"/>
                <w:lang w:val="lt-LT"/>
              </w:rPr>
            </w:pPr>
            <w:r w:rsidRPr="000B2118">
              <w:rPr>
                <w:sz w:val="18"/>
                <w:szCs w:val="18"/>
                <w:lang w:val="lt-LT"/>
              </w:rPr>
              <w:t>201/1131 (17</w:t>
            </w:r>
            <w:r w:rsidR="00AC606C" w:rsidRPr="000B2118">
              <w:rPr>
                <w:sz w:val="18"/>
                <w:szCs w:val="18"/>
                <w:lang w:val="lt-LT"/>
              </w:rPr>
              <w:t>,</w:t>
            </w:r>
            <w:r w:rsidRPr="000B2118">
              <w:rPr>
                <w:sz w:val="18"/>
                <w:szCs w:val="18"/>
                <w:lang w:val="lt-LT"/>
              </w:rPr>
              <w:t>8</w:t>
            </w:r>
            <w:r w:rsidR="008911FD">
              <w:rPr>
                <w:sz w:val="18"/>
                <w:szCs w:val="18"/>
                <w:lang w:val="lt-LT"/>
              </w:rPr>
              <w:t> </w:t>
            </w:r>
            <w:r w:rsidRPr="000B2118">
              <w:rPr>
                <w:sz w:val="18"/>
                <w:szCs w:val="18"/>
                <w:lang w:val="lt-LT"/>
              </w:rPr>
              <w:t>%)</w:t>
            </w:r>
          </w:p>
          <w:p w14:paraId="0CDDD0C5" w14:textId="77777777" w:rsidR="00003957" w:rsidRPr="000B2118" w:rsidRDefault="00003957" w:rsidP="00AC606C">
            <w:pPr>
              <w:jc w:val="right"/>
              <w:rPr>
                <w:b/>
                <w:sz w:val="18"/>
                <w:szCs w:val="18"/>
                <w:lang w:val="lt-LT"/>
              </w:rPr>
            </w:pPr>
            <w:r w:rsidRPr="000B2118">
              <w:rPr>
                <w:b/>
                <w:sz w:val="18"/>
                <w:szCs w:val="18"/>
                <w:lang w:val="lt-LT"/>
              </w:rPr>
              <w:t>682/2604 (26</w:t>
            </w:r>
            <w:r w:rsidR="00AC606C" w:rsidRPr="000B2118">
              <w:rPr>
                <w:b/>
                <w:sz w:val="18"/>
                <w:szCs w:val="18"/>
                <w:lang w:val="lt-LT"/>
              </w:rPr>
              <w:t>,</w:t>
            </w:r>
            <w:r w:rsidRPr="000B2118">
              <w:rPr>
                <w:b/>
                <w:sz w:val="18"/>
                <w:szCs w:val="18"/>
                <w:lang w:val="lt-LT"/>
              </w:rPr>
              <w:t>2</w:t>
            </w:r>
            <w:r w:rsidR="008911FD">
              <w:rPr>
                <w:b/>
                <w:sz w:val="18"/>
                <w:szCs w:val="18"/>
                <w:lang w:val="lt-LT"/>
              </w:rPr>
              <w:t> </w:t>
            </w:r>
            <w:r w:rsidRPr="000B2118">
              <w:rPr>
                <w:b/>
                <w:sz w:val="18"/>
                <w:szCs w:val="18"/>
                <w:lang w:val="lt-LT"/>
              </w:rPr>
              <w:t>%)</w:t>
            </w:r>
          </w:p>
        </w:tc>
        <w:tc>
          <w:tcPr>
            <w:tcW w:w="2617" w:type="dxa"/>
            <w:gridSpan w:val="2"/>
            <w:vMerge/>
          </w:tcPr>
          <w:p w14:paraId="349EBC3B" w14:textId="77777777" w:rsidR="00003957" w:rsidRPr="000B2118" w:rsidRDefault="00003957" w:rsidP="00BB772F">
            <w:pPr>
              <w:rPr>
                <w:sz w:val="18"/>
                <w:szCs w:val="18"/>
                <w:lang w:val="lt-LT"/>
              </w:rPr>
            </w:pPr>
          </w:p>
        </w:tc>
        <w:tc>
          <w:tcPr>
            <w:tcW w:w="1560" w:type="dxa"/>
          </w:tcPr>
          <w:p w14:paraId="48A7F2C8" w14:textId="77777777" w:rsidR="00003957" w:rsidRPr="000B2118" w:rsidRDefault="00003957" w:rsidP="00A94563">
            <w:pPr>
              <w:jc w:val="right"/>
              <w:rPr>
                <w:sz w:val="18"/>
                <w:szCs w:val="18"/>
                <w:lang w:val="lt-LT"/>
              </w:rPr>
            </w:pPr>
            <w:r w:rsidRPr="000B2118">
              <w:rPr>
                <w:sz w:val="18"/>
                <w:szCs w:val="18"/>
                <w:lang w:val="lt-LT"/>
              </w:rPr>
              <w:t>0,88 (0,75–1,03)</w:t>
            </w:r>
          </w:p>
          <w:p w14:paraId="6E19CA34" w14:textId="77777777" w:rsidR="00003957" w:rsidRPr="000B2118" w:rsidRDefault="00003957" w:rsidP="00A94563">
            <w:pPr>
              <w:jc w:val="right"/>
              <w:rPr>
                <w:sz w:val="18"/>
                <w:szCs w:val="18"/>
                <w:lang w:val="lt-LT"/>
              </w:rPr>
            </w:pPr>
            <w:r w:rsidRPr="000B2118">
              <w:rPr>
                <w:sz w:val="18"/>
                <w:szCs w:val="18"/>
                <w:lang w:val="lt-LT"/>
              </w:rPr>
              <w:t>0</w:t>
            </w:r>
            <w:r w:rsidR="00AC606C" w:rsidRPr="000B2118">
              <w:rPr>
                <w:sz w:val="18"/>
                <w:szCs w:val="18"/>
                <w:lang w:val="lt-LT"/>
              </w:rPr>
              <w:t>,</w:t>
            </w:r>
            <w:r w:rsidRPr="000B2118">
              <w:rPr>
                <w:sz w:val="18"/>
                <w:szCs w:val="18"/>
                <w:lang w:val="lt-LT"/>
              </w:rPr>
              <w:t>70 (0,54–0,91)</w:t>
            </w:r>
          </w:p>
          <w:p w14:paraId="6E6F2E24" w14:textId="77777777" w:rsidR="00003957" w:rsidRPr="000B2118" w:rsidRDefault="00003957" w:rsidP="00A94563">
            <w:pPr>
              <w:jc w:val="right"/>
              <w:rPr>
                <w:b/>
                <w:sz w:val="18"/>
                <w:szCs w:val="18"/>
                <w:lang w:val="lt-LT"/>
              </w:rPr>
            </w:pPr>
            <w:r w:rsidRPr="000B2118">
              <w:rPr>
                <w:b/>
                <w:sz w:val="18"/>
                <w:szCs w:val="18"/>
                <w:lang w:val="lt-LT"/>
              </w:rPr>
              <w:t>0</w:t>
            </w:r>
            <w:r w:rsidR="00AC606C" w:rsidRPr="000B2118">
              <w:rPr>
                <w:b/>
                <w:sz w:val="18"/>
                <w:szCs w:val="18"/>
                <w:lang w:val="lt-LT"/>
              </w:rPr>
              <w:t>,</w:t>
            </w:r>
            <w:r w:rsidRPr="000B2118">
              <w:rPr>
                <w:b/>
                <w:sz w:val="18"/>
                <w:szCs w:val="18"/>
                <w:lang w:val="lt-LT"/>
              </w:rPr>
              <w:t>82 (0</w:t>
            </w:r>
            <w:r w:rsidR="00AC606C" w:rsidRPr="000B2118">
              <w:rPr>
                <w:b/>
                <w:sz w:val="18"/>
                <w:szCs w:val="18"/>
                <w:lang w:val="lt-LT"/>
              </w:rPr>
              <w:t>,</w:t>
            </w:r>
            <w:r w:rsidRPr="000B2118">
              <w:rPr>
                <w:b/>
                <w:sz w:val="18"/>
                <w:szCs w:val="18"/>
                <w:lang w:val="lt-LT"/>
              </w:rPr>
              <w:t>72</w:t>
            </w:r>
            <w:r w:rsidRPr="000B2118">
              <w:rPr>
                <w:b/>
                <w:sz w:val="18"/>
                <w:szCs w:val="18"/>
                <w:lang w:val="lt-LT"/>
              </w:rPr>
              <w:noBreakHyphen/>
              <w:t>0</w:t>
            </w:r>
            <w:r w:rsidR="00AC606C" w:rsidRPr="000B2118">
              <w:rPr>
                <w:b/>
                <w:sz w:val="18"/>
                <w:szCs w:val="18"/>
                <w:lang w:val="lt-LT"/>
              </w:rPr>
              <w:t>,</w:t>
            </w:r>
            <w:r w:rsidRPr="000B2118">
              <w:rPr>
                <w:b/>
                <w:sz w:val="18"/>
                <w:szCs w:val="18"/>
                <w:lang w:val="lt-LT"/>
              </w:rPr>
              <w:t>94)</w:t>
            </w:r>
          </w:p>
        </w:tc>
      </w:tr>
      <w:tr w:rsidR="00003957" w:rsidRPr="001B60F2" w14:paraId="7D3B247B" w14:textId="77777777" w:rsidTr="00A94563">
        <w:tc>
          <w:tcPr>
            <w:tcW w:w="5321" w:type="dxa"/>
            <w:gridSpan w:val="3"/>
          </w:tcPr>
          <w:p w14:paraId="442E5722" w14:textId="77777777" w:rsidR="00003957" w:rsidRPr="000B2118" w:rsidRDefault="00003957" w:rsidP="00BB772F">
            <w:pPr>
              <w:rPr>
                <w:b/>
                <w:sz w:val="18"/>
                <w:szCs w:val="18"/>
                <w:lang w:val="lt-LT"/>
              </w:rPr>
            </w:pPr>
            <w:r w:rsidRPr="000B2118">
              <w:rPr>
                <w:b/>
                <w:sz w:val="18"/>
                <w:szCs w:val="18"/>
                <w:lang w:val="lt-LT"/>
              </w:rPr>
              <w:t>Dirbtinė plaučių ventiliacija (x</w:t>
            </w:r>
            <w:r w:rsidRPr="000B2118">
              <w:rPr>
                <w:b/>
                <w:sz w:val="18"/>
                <w:szCs w:val="18"/>
                <w:vertAlign w:val="subscript"/>
                <w:lang w:val="lt-LT"/>
              </w:rPr>
              <w:t>1</w:t>
            </w:r>
            <w:r w:rsidRPr="000B2118">
              <w:rPr>
                <w:b/>
                <w:sz w:val="18"/>
                <w:szCs w:val="18"/>
                <w:vertAlign w:val="superscript"/>
                <w:lang w:val="lt-LT"/>
              </w:rPr>
              <w:t>2</w:t>
            </w:r>
            <w:r w:rsidRPr="000B2118">
              <w:rPr>
                <w:b/>
                <w:sz w:val="18"/>
                <w:szCs w:val="18"/>
                <w:lang w:val="lt-LT"/>
              </w:rPr>
              <w:t>= 1</w:t>
            </w:r>
            <w:r w:rsidR="00545C77">
              <w:rPr>
                <w:b/>
                <w:sz w:val="18"/>
                <w:szCs w:val="18"/>
                <w:lang w:val="lt-LT"/>
              </w:rPr>
              <w:t>,</w:t>
            </w:r>
            <w:r w:rsidRPr="000B2118">
              <w:rPr>
                <w:b/>
                <w:sz w:val="18"/>
                <w:szCs w:val="18"/>
                <w:lang w:val="lt-LT"/>
              </w:rPr>
              <w:t>52; p=0</w:t>
            </w:r>
            <w:r w:rsidR="00545C77">
              <w:rPr>
                <w:b/>
                <w:sz w:val="18"/>
                <w:szCs w:val="18"/>
                <w:lang w:val="lt-LT"/>
              </w:rPr>
              <w:t>,</w:t>
            </w:r>
            <w:r w:rsidRPr="000B2118">
              <w:rPr>
                <w:b/>
                <w:sz w:val="18"/>
                <w:szCs w:val="18"/>
                <w:lang w:val="lt-LT"/>
              </w:rPr>
              <w:t>22)</w:t>
            </w:r>
          </w:p>
        </w:tc>
        <w:tc>
          <w:tcPr>
            <w:tcW w:w="2617" w:type="dxa"/>
            <w:gridSpan w:val="2"/>
            <w:vMerge/>
          </w:tcPr>
          <w:p w14:paraId="40D189AB" w14:textId="77777777" w:rsidR="00003957" w:rsidRPr="000B2118" w:rsidRDefault="00003957" w:rsidP="00BB772F">
            <w:pPr>
              <w:rPr>
                <w:sz w:val="18"/>
                <w:szCs w:val="18"/>
                <w:lang w:val="lt-LT"/>
              </w:rPr>
            </w:pPr>
          </w:p>
        </w:tc>
        <w:tc>
          <w:tcPr>
            <w:tcW w:w="1560" w:type="dxa"/>
          </w:tcPr>
          <w:p w14:paraId="419B488D" w14:textId="77777777" w:rsidR="00003957" w:rsidRPr="000B2118" w:rsidRDefault="00003957" w:rsidP="00A94563">
            <w:pPr>
              <w:jc w:val="right"/>
              <w:rPr>
                <w:sz w:val="18"/>
                <w:szCs w:val="18"/>
                <w:lang w:val="lt-LT"/>
              </w:rPr>
            </w:pPr>
          </w:p>
        </w:tc>
      </w:tr>
      <w:tr w:rsidR="00003957" w:rsidRPr="000B2118" w14:paraId="7391052E" w14:textId="77777777" w:rsidTr="00A94563">
        <w:tc>
          <w:tcPr>
            <w:tcW w:w="1843" w:type="dxa"/>
          </w:tcPr>
          <w:p w14:paraId="60F38C07" w14:textId="77777777" w:rsidR="00003957" w:rsidRPr="000B2118" w:rsidRDefault="00003957" w:rsidP="00BB772F">
            <w:pPr>
              <w:rPr>
                <w:sz w:val="18"/>
                <w:szCs w:val="18"/>
                <w:lang w:val="lt-LT"/>
              </w:rPr>
            </w:pPr>
            <w:r w:rsidRPr="000B2118">
              <w:rPr>
                <w:sz w:val="18"/>
                <w:szCs w:val="18"/>
                <w:lang w:val="lt-LT"/>
              </w:rPr>
              <w:t>Ankstesnė liga</w:t>
            </w:r>
          </w:p>
          <w:p w14:paraId="7A4FC06E" w14:textId="77777777" w:rsidR="00003957" w:rsidRPr="000B2118" w:rsidRDefault="00003957" w:rsidP="00BB772F">
            <w:pPr>
              <w:rPr>
                <w:sz w:val="18"/>
                <w:szCs w:val="18"/>
                <w:lang w:val="lt-LT"/>
              </w:rPr>
            </w:pPr>
            <w:r w:rsidRPr="000B2118">
              <w:rPr>
                <w:sz w:val="18"/>
                <w:szCs w:val="18"/>
                <w:lang w:val="lt-LT"/>
              </w:rPr>
              <w:t>Be ankstesnės ligos</w:t>
            </w:r>
          </w:p>
          <w:p w14:paraId="60963EA2" w14:textId="77777777" w:rsidR="00003957" w:rsidRPr="000B2118" w:rsidRDefault="00003957" w:rsidP="00BB772F">
            <w:pPr>
              <w:rPr>
                <w:b/>
                <w:sz w:val="18"/>
                <w:szCs w:val="18"/>
                <w:lang w:val="lt-LT"/>
              </w:rPr>
            </w:pPr>
            <w:r w:rsidRPr="000B2118">
              <w:rPr>
                <w:b/>
                <w:sz w:val="18"/>
                <w:szCs w:val="18"/>
                <w:lang w:val="lt-LT"/>
              </w:rPr>
              <w:t xml:space="preserve">Tarpinė suma </w:t>
            </w:r>
          </w:p>
          <w:p w14:paraId="7EEDC4A9" w14:textId="77777777" w:rsidR="00003957" w:rsidRPr="000B2118" w:rsidRDefault="00003957" w:rsidP="00BB772F">
            <w:pPr>
              <w:rPr>
                <w:sz w:val="18"/>
                <w:szCs w:val="18"/>
                <w:lang w:val="lt-LT"/>
              </w:rPr>
            </w:pPr>
          </w:p>
        </w:tc>
        <w:tc>
          <w:tcPr>
            <w:tcW w:w="1759" w:type="dxa"/>
          </w:tcPr>
          <w:p w14:paraId="029E723F" w14:textId="77777777" w:rsidR="00003957" w:rsidRPr="000B2118" w:rsidRDefault="00003957" w:rsidP="00BB772F">
            <w:pPr>
              <w:jc w:val="right"/>
              <w:rPr>
                <w:sz w:val="18"/>
                <w:szCs w:val="18"/>
                <w:lang w:val="lt-LT"/>
              </w:rPr>
            </w:pPr>
            <w:r w:rsidRPr="000B2118">
              <w:rPr>
                <w:sz w:val="18"/>
                <w:szCs w:val="18"/>
                <w:lang w:val="lt-LT"/>
              </w:rPr>
              <w:t>51/159 (32</w:t>
            </w:r>
            <w:r w:rsidR="00AC606C" w:rsidRPr="000B2118">
              <w:rPr>
                <w:sz w:val="18"/>
                <w:szCs w:val="18"/>
                <w:lang w:val="lt-LT"/>
              </w:rPr>
              <w:t>,</w:t>
            </w:r>
            <w:r w:rsidRPr="000B2118">
              <w:rPr>
                <w:sz w:val="18"/>
                <w:szCs w:val="18"/>
                <w:lang w:val="lt-LT"/>
              </w:rPr>
              <w:t>1</w:t>
            </w:r>
            <w:r w:rsidR="008911FD">
              <w:rPr>
                <w:sz w:val="18"/>
                <w:szCs w:val="18"/>
                <w:lang w:val="lt-LT"/>
              </w:rPr>
              <w:t> </w:t>
            </w:r>
            <w:r w:rsidRPr="000B2118">
              <w:rPr>
                <w:sz w:val="18"/>
                <w:szCs w:val="18"/>
                <w:lang w:val="lt-LT"/>
              </w:rPr>
              <w:t>%)</w:t>
            </w:r>
          </w:p>
          <w:p w14:paraId="13918F44" w14:textId="77777777" w:rsidR="00003957" w:rsidRPr="000B2118" w:rsidRDefault="00003957" w:rsidP="00BB772F">
            <w:pPr>
              <w:jc w:val="right"/>
              <w:rPr>
                <w:sz w:val="18"/>
                <w:szCs w:val="18"/>
                <w:lang w:val="lt-LT"/>
              </w:rPr>
            </w:pPr>
            <w:r w:rsidRPr="000B2118">
              <w:rPr>
                <w:sz w:val="18"/>
                <w:szCs w:val="18"/>
                <w:lang w:val="lt-LT"/>
              </w:rPr>
              <w:t>44/165 (26</w:t>
            </w:r>
            <w:r w:rsidR="00AC606C" w:rsidRPr="000B2118">
              <w:rPr>
                <w:sz w:val="18"/>
                <w:szCs w:val="18"/>
                <w:lang w:val="lt-LT"/>
              </w:rPr>
              <w:t>,</w:t>
            </w:r>
            <w:r w:rsidRPr="000B2118">
              <w:rPr>
                <w:sz w:val="18"/>
                <w:szCs w:val="18"/>
                <w:lang w:val="lt-LT"/>
              </w:rPr>
              <w:t>7</w:t>
            </w:r>
            <w:r w:rsidR="008911FD">
              <w:rPr>
                <w:sz w:val="18"/>
                <w:szCs w:val="18"/>
                <w:lang w:val="lt-LT"/>
              </w:rPr>
              <w:t> </w:t>
            </w:r>
            <w:r w:rsidRPr="000B2118">
              <w:rPr>
                <w:sz w:val="18"/>
                <w:szCs w:val="18"/>
                <w:lang w:val="lt-LT"/>
              </w:rPr>
              <w:t>%)</w:t>
            </w:r>
          </w:p>
          <w:p w14:paraId="5231D5E8" w14:textId="77777777" w:rsidR="00003957" w:rsidRPr="000B2118" w:rsidRDefault="00003957" w:rsidP="00AC606C">
            <w:pPr>
              <w:jc w:val="right"/>
              <w:rPr>
                <w:b/>
                <w:sz w:val="18"/>
                <w:szCs w:val="18"/>
                <w:lang w:val="lt-LT"/>
              </w:rPr>
            </w:pPr>
            <w:r w:rsidRPr="000B2118">
              <w:rPr>
                <w:b/>
                <w:sz w:val="18"/>
                <w:szCs w:val="18"/>
                <w:lang w:val="lt-LT"/>
              </w:rPr>
              <w:t>95/324 (29</w:t>
            </w:r>
            <w:r w:rsidR="00AC606C" w:rsidRPr="000B2118">
              <w:rPr>
                <w:b/>
                <w:sz w:val="18"/>
                <w:szCs w:val="18"/>
                <w:lang w:val="lt-LT"/>
              </w:rPr>
              <w:t>,</w:t>
            </w:r>
            <w:r w:rsidRPr="000B2118">
              <w:rPr>
                <w:b/>
                <w:sz w:val="18"/>
                <w:szCs w:val="18"/>
                <w:lang w:val="lt-LT"/>
              </w:rPr>
              <w:t>3</w:t>
            </w:r>
            <w:r w:rsidR="008911FD">
              <w:rPr>
                <w:b/>
                <w:sz w:val="18"/>
                <w:szCs w:val="18"/>
                <w:lang w:val="lt-LT"/>
              </w:rPr>
              <w:t> </w:t>
            </w:r>
            <w:r w:rsidRPr="000B2118">
              <w:rPr>
                <w:b/>
                <w:sz w:val="18"/>
                <w:szCs w:val="18"/>
                <w:lang w:val="lt-LT"/>
              </w:rPr>
              <w:t>%)</w:t>
            </w:r>
          </w:p>
        </w:tc>
        <w:tc>
          <w:tcPr>
            <w:tcW w:w="1719" w:type="dxa"/>
          </w:tcPr>
          <w:p w14:paraId="5CE80A95" w14:textId="77777777" w:rsidR="00003957" w:rsidRPr="000B2118" w:rsidRDefault="00003957" w:rsidP="00BB772F">
            <w:pPr>
              <w:jc w:val="right"/>
              <w:rPr>
                <w:sz w:val="18"/>
                <w:szCs w:val="18"/>
                <w:lang w:val="lt-LT"/>
              </w:rPr>
            </w:pPr>
            <w:r w:rsidRPr="000B2118">
              <w:rPr>
                <w:sz w:val="18"/>
                <w:szCs w:val="18"/>
                <w:lang w:val="lt-LT"/>
              </w:rPr>
              <w:t>150/346 (43</w:t>
            </w:r>
            <w:r w:rsidR="00AC606C" w:rsidRPr="000B2118">
              <w:rPr>
                <w:sz w:val="18"/>
                <w:szCs w:val="18"/>
                <w:lang w:val="lt-LT"/>
              </w:rPr>
              <w:t>,</w:t>
            </w:r>
            <w:r w:rsidRPr="000B2118">
              <w:rPr>
                <w:sz w:val="18"/>
                <w:szCs w:val="18"/>
                <w:lang w:val="lt-LT"/>
              </w:rPr>
              <w:t>4</w:t>
            </w:r>
            <w:r w:rsidR="008911FD">
              <w:rPr>
                <w:sz w:val="18"/>
                <w:szCs w:val="18"/>
                <w:lang w:val="lt-LT"/>
              </w:rPr>
              <w:t> </w:t>
            </w:r>
            <w:r w:rsidRPr="000B2118">
              <w:rPr>
                <w:sz w:val="18"/>
                <w:szCs w:val="18"/>
                <w:lang w:val="lt-LT"/>
              </w:rPr>
              <w:t>%)</w:t>
            </w:r>
          </w:p>
          <w:p w14:paraId="4CEAE625" w14:textId="77777777" w:rsidR="00003957" w:rsidRPr="000B2118" w:rsidRDefault="00003957" w:rsidP="00BB772F">
            <w:pPr>
              <w:jc w:val="right"/>
              <w:rPr>
                <w:sz w:val="18"/>
                <w:szCs w:val="18"/>
                <w:lang w:val="lt-LT"/>
              </w:rPr>
            </w:pPr>
            <w:r w:rsidRPr="000B2118">
              <w:rPr>
                <w:sz w:val="18"/>
                <w:szCs w:val="18"/>
                <w:lang w:val="lt-LT"/>
              </w:rPr>
              <w:t>133/337 (39</w:t>
            </w:r>
            <w:r w:rsidR="00AC606C" w:rsidRPr="000B2118">
              <w:rPr>
                <w:sz w:val="18"/>
                <w:szCs w:val="18"/>
                <w:lang w:val="lt-LT"/>
              </w:rPr>
              <w:t>,</w:t>
            </w:r>
            <w:r w:rsidRPr="000B2118">
              <w:rPr>
                <w:sz w:val="18"/>
                <w:szCs w:val="18"/>
                <w:lang w:val="lt-LT"/>
              </w:rPr>
              <w:t>5</w:t>
            </w:r>
            <w:r w:rsidR="008911FD">
              <w:rPr>
                <w:sz w:val="18"/>
                <w:szCs w:val="18"/>
                <w:lang w:val="lt-LT"/>
              </w:rPr>
              <w:t> </w:t>
            </w:r>
            <w:r w:rsidRPr="000B2118">
              <w:rPr>
                <w:sz w:val="18"/>
                <w:szCs w:val="18"/>
                <w:lang w:val="lt-LT"/>
              </w:rPr>
              <w:t>%)</w:t>
            </w:r>
          </w:p>
          <w:p w14:paraId="6A8C087C" w14:textId="77777777" w:rsidR="00003957" w:rsidRPr="000B2118" w:rsidRDefault="00003957" w:rsidP="00AC606C">
            <w:pPr>
              <w:jc w:val="right"/>
              <w:rPr>
                <w:b/>
                <w:sz w:val="18"/>
                <w:szCs w:val="18"/>
                <w:lang w:val="lt-LT"/>
              </w:rPr>
            </w:pPr>
            <w:r w:rsidRPr="000B2118">
              <w:rPr>
                <w:b/>
                <w:sz w:val="18"/>
                <w:szCs w:val="18"/>
                <w:lang w:val="lt-LT"/>
              </w:rPr>
              <w:t>283/683 (41</w:t>
            </w:r>
            <w:r w:rsidR="00AC606C" w:rsidRPr="000B2118">
              <w:rPr>
                <w:b/>
                <w:sz w:val="18"/>
                <w:szCs w:val="18"/>
                <w:lang w:val="lt-LT"/>
              </w:rPr>
              <w:t>,</w:t>
            </w:r>
            <w:r w:rsidRPr="000B2118">
              <w:rPr>
                <w:b/>
                <w:sz w:val="18"/>
                <w:szCs w:val="18"/>
                <w:lang w:val="lt-LT"/>
              </w:rPr>
              <w:t>4</w:t>
            </w:r>
            <w:r w:rsidR="008911FD">
              <w:rPr>
                <w:b/>
                <w:sz w:val="18"/>
                <w:szCs w:val="18"/>
                <w:lang w:val="lt-LT"/>
              </w:rPr>
              <w:t> </w:t>
            </w:r>
            <w:r w:rsidRPr="000B2118">
              <w:rPr>
                <w:b/>
                <w:sz w:val="18"/>
                <w:szCs w:val="18"/>
                <w:lang w:val="lt-LT"/>
              </w:rPr>
              <w:t>%)</w:t>
            </w:r>
          </w:p>
        </w:tc>
        <w:tc>
          <w:tcPr>
            <w:tcW w:w="2617" w:type="dxa"/>
            <w:gridSpan w:val="2"/>
            <w:vMerge/>
          </w:tcPr>
          <w:p w14:paraId="192E5E3B" w14:textId="77777777" w:rsidR="00003957" w:rsidRPr="000B2118" w:rsidRDefault="00003957" w:rsidP="00BB772F">
            <w:pPr>
              <w:rPr>
                <w:sz w:val="18"/>
                <w:szCs w:val="18"/>
                <w:lang w:val="lt-LT"/>
              </w:rPr>
            </w:pPr>
          </w:p>
        </w:tc>
        <w:tc>
          <w:tcPr>
            <w:tcW w:w="1560" w:type="dxa"/>
          </w:tcPr>
          <w:p w14:paraId="22E1C777" w14:textId="77777777" w:rsidR="00003957" w:rsidRPr="000B2118" w:rsidRDefault="00003957" w:rsidP="00A94563">
            <w:pPr>
              <w:jc w:val="right"/>
              <w:rPr>
                <w:sz w:val="18"/>
                <w:szCs w:val="18"/>
                <w:lang w:val="lt-LT"/>
              </w:rPr>
            </w:pPr>
            <w:r w:rsidRPr="000B2118">
              <w:rPr>
                <w:sz w:val="18"/>
                <w:szCs w:val="18"/>
                <w:lang w:val="lt-LT"/>
              </w:rPr>
              <w:t>0,75 (0,54–1,02)</w:t>
            </w:r>
          </w:p>
          <w:p w14:paraId="4AADE564" w14:textId="77777777" w:rsidR="00003957" w:rsidRPr="000B2118" w:rsidRDefault="00003957" w:rsidP="00A94563">
            <w:pPr>
              <w:jc w:val="right"/>
              <w:rPr>
                <w:sz w:val="18"/>
                <w:szCs w:val="18"/>
                <w:lang w:val="lt-LT"/>
              </w:rPr>
            </w:pPr>
            <w:r w:rsidRPr="000B2118">
              <w:rPr>
                <w:sz w:val="18"/>
                <w:szCs w:val="18"/>
                <w:lang w:val="lt-LT"/>
              </w:rPr>
              <w:t>0,56 (0,40–0,78</w:t>
            </w:r>
          </w:p>
          <w:p w14:paraId="0C45F9E9" w14:textId="77777777" w:rsidR="00003957" w:rsidRPr="000B2118" w:rsidRDefault="00003957" w:rsidP="00A94563">
            <w:pPr>
              <w:jc w:val="right"/>
              <w:rPr>
                <w:b/>
                <w:sz w:val="18"/>
                <w:szCs w:val="18"/>
                <w:lang w:val="lt-LT"/>
              </w:rPr>
            </w:pPr>
            <w:r w:rsidRPr="000B2118">
              <w:rPr>
                <w:b/>
                <w:sz w:val="18"/>
                <w:szCs w:val="18"/>
                <w:lang w:val="lt-LT"/>
              </w:rPr>
              <w:t>0.64 (0</w:t>
            </w:r>
            <w:r w:rsidR="00EB554B" w:rsidRPr="000B2118">
              <w:rPr>
                <w:b/>
                <w:sz w:val="18"/>
                <w:szCs w:val="18"/>
                <w:lang w:val="lt-LT"/>
              </w:rPr>
              <w:t>,</w:t>
            </w:r>
            <w:r w:rsidRPr="000B2118">
              <w:rPr>
                <w:b/>
                <w:sz w:val="18"/>
                <w:szCs w:val="18"/>
                <w:lang w:val="lt-LT"/>
              </w:rPr>
              <w:t>51-0</w:t>
            </w:r>
            <w:r w:rsidR="00EB554B" w:rsidRPr="000B2118">
              <w:rPr>
                <w:b/>
                <w:sz w:val="18"/>
                <w:szCs w:val="18"/>
                <w:lang w:val="lt-LT"/>
              </w:rPr>
              <w:t>,</w:t>
            </w:r>
            <w:r w:rsidRPr="000B2118">
              <w:rPr>
                <w:b/>
                <w:sz w:val="18"/>
                <w:szCs w:val="18"/>
                <w:lang w:val="lt-LT"/>
              </w:rPr>
              <w:t>81)</w:t>
            </w:r>
          </w:p>
        </w:tc>
      </w:tr>
      <w:tr w:rsidR="00003957" w:rsidRPr="000B2118" w14:paraId="768D64B7" w14:textId="77777777" w:rsidTr="00A94563">
        <w:trPr>
          <w:trHeight w:val="686"/>
        </w:trPr>
        <w:tc>
          <w:tcPr>
            <w:tcW w:w="1843" w:type="dxa"/>
          </w:tcPr>
          <w:p w14:paraId="62F9E985" w14:textId="13FA741F" w:rsidR="00003957" w:rsidRPr="000B2118" w:rsidRDefault="00003957" w:rsidP="008B5C86">
            <w:pPr>
              <w:rPr>
                <w:b/>
                <w:sz w:val="18"/>
                <w:szCs w:val="18"/>
                <w:lang w:val="lt-LT"/>
              </w:rPr>
            </w:pPr>
            <w:r w:rsidRPr="000B2118">
              <w:rPr>
                <w:b/>
                <w:sz w:val="18"/>
                <w:szCs w:val="18"/>
                <w:lang w:val="lt-LT"/>
              </w:rPr>
              <w:t>Visi dalyviai</w:t>
            </w:r>
          </w:p>
        </w:tc>
        <w:tc>
          <w:tcPr>
            <w:tcW w:w="1759" w:type="dxa"/>
          </w:tcPr>
          <w:p w14:paraId="28808FD9" w14:textId="77777777" w:rsidR="00003957" w:rsidRPr="000B2118" w:rsidRDefault="00003957" w:rsidP="00A94563">
            <w:pPr>
              <w:jc w:val="right"/>
              <w:rPr>
                <w:b/>
                <w:sz w:val="18"/>
                <w:szCs w:val="18"/>
                <w:lang w:val="lt-LT"/>
              </w:rPr>
            </w:pPr>
            <w:r w:rsidRPr="000B2118">
              <w:rPr>
                <w:b/>
                <w:sz w:val="18"/>
                <w:szCs w:val="18"/>
                <w:lang w:val="lt-LT"/>
              </w:rPr>
              <w:t>482/2104 (22</w:t>
            </w:r>
            <w:r w:rsidR="00AC606C" w:rsidRPr="000B2118">
              <w:rPr>
                <w:b/>
                <w:sz w:val="18"/>
                <w:szCs w:val="18"/>
                <w:lang w:val="lt-LT"/>
              </w:rPr>
              <w:t>,</w:t>
            </w:r>
            <w:r w:rsidRPr="000B2118">
              <w:rPr>
                <w:b/>
                <w:sz w:val="18"/>
                <w:szCs w:val="18"/>
                <w:lang w:val="lt-LT"/>
              </w:rPr>
              <w:t>9</w:t>
            </w:r>
            <w:r w:rsidR="008911FD">
              <w:rPr>
                <w:b/>
                <w:sz w:val="18"/>
                <w:szCs w:val="18"/>
                <w:lang w:val="lt-LT"/>
              </w:rPr>
              <w:t> </w:t>
            </w:r>
            <w:r w:rsidRPr="000B2118">
              <w:rPr>
                <w:b/>
                <w:sz w:val="18"/>
                <w:szCs w:val="18"/>
                <w:lang w:val="lt-LT"/>
              </w:rPr>
              <w:t>%)</w:t>
            </w:r>
          </w:p>
        </w:tc>
        <w:tc>
          <w:tcPr>
            <w:tcW w:w="1719" w:type="dxa"/>
          </w:tcPr>
          <w:p w14:paraId="671B4D53" w14:textId="77777777" w:rsidR="00003957" w:rsidRPr="000B2118" w:rsidRDefault="00003957" w:rsidP="00A94563">
            <w:pPr>
              <w:jc w:val="right"/>
              <w:rPr>
                <w:b/>
                <w:sz w:val="18"/>
                <w:szCs w:val="18"/>
                <w:lang w:val="lt-LT"/>
              </w:rPr>
            </w:pPr>
            <w:r w:rsidRPr="000B2118">
              <w:rPr>
                <w:b/>
                <w:sz w:val="18"/>
                <w:szCs w:val="18"/>
                <w:lang w:val="lt-LT"/>
              </w:rPr>
              <w:t>1110/4321 (25</w:t>
            </w:r>
            <w:r w:rsidR="00AC606C" w:rsidRPr="000B2118">
              <w:rPr>
                <w:b/>
                <w:sz w:val="18"/>
                <w:szCs w:val="18"/>
                <w:lang w:val="lt-LT"/>
              </w:rPr>
              <w:t>,</w:t>
            </w:r>
            <w:r w:rsidRPr="000B2118">
              <w:rPr>
                <w:b/>
                <w:sz w:val="18"/>
                <w:szCs w:val="18"/>
                <w:lang w:val="lt-LT"/>
              </w:rPr>
              <w:t>7</w:t>
            </w:r>
            <w:r w:rsidR="00C37035">
              <w:rPr>
                <w:b/>
                <w:sz w:val="18"/>
                <w:szCs w:val="18"/>
                <w:lang w:val="lt-LT"/>
              </w:rPr>
              <w:t> </w:t>
            </w:r>
            <w:r w:rsidRPr="000B2118">
              <w:rPr>
                <w:b/>
                <w:sz w:val="18"/>
                <w:szCs w:val="18"/>
                <w:lang w:val="lt-LT"/>
              </w:rPr>
              <w:t>%)</w:t>
            </w:r>
          </w:p>
        </w:tc>
        <w:tc>
          <w:tcPr>
            <w:tcW w:w="2617" w:type="dxa"/>
            <w:gridSpan w:val="2"/>
            <w:vMerge/>
          </w:tcPr>
          <w:p w14:paraId="1D724CA9" w14:textId="77777777" w:rsidR="00003957" w:rsidRPr="000B2118" w:rsidRDefault="00003957" w:rsidP="00BB772F">
            <w:pPr>
              <w:rPr>
                <w:sz w:val="18"/>
                <w:szCs w:val="18"/>
                <w:lang w:val="lt-LT"/>
              </w:rPr>
            </w:pPr>
          </w:p>
        </w:tc>
        <w:tc>
          <w:tcPr>
            <w:tcW w:w="1560" w:type="dxa"/>
          </w:tcPr>
          <w:p w14:paraId="44F3AB43" w14:textId="77777777" w:rsidR="00003957" w:rsidRPr="000B2118" w:rsidRDefault="00003957" w:rsidP="00A94563">
            <w:pPr>
              <w:jc w:val="right"/>
              <w:rPr>
                <w:b/>
                <w:sz w:val="18"/>
                <w:szCs w:val="18"/>
                <w:lang w:val="lt-LT"/>
              </w:rPr>
            </w:pPr>
            <w:r w:rsidRPr="000B2118">
              <w:rPr>
                <w:b/>
                <w:sz w:val="18"/>
                <w:szCs w:val="18"/>
                <w:lang w:val="lt-LT"/>
              </w:rPr>
              <w:t>0</w:t>
            </w:r>
            <w:r w:rsidR="00AC606C" w:rsidRPr="000B2118">
              <w:rPr>
                <w:b/>
                <w:sz w:val="18"/>
                <w:szCs w:val="18"/>
                <w:lang w:val="lt-LT"/>
              </w:rPr>
              <w:t>,</w:t>
            </w:r>
            <w:r w:rsidRPr="000B2118">
              <w:rPr>
                <w:b/>
                <w:sz w:val="18"/>
                <w:szCs w:val="18"/>
                <w:lang w:val="lt-LT"/>
              </w:rPr>
              <w:t>83 (0</w:t>
            </w:r>
            <w:r w:rsidR="00AC606C" w:rsidRPr="000B2118">
              <w:rPr>
                <w:b/>
                <w:sz w:val="18"/>
                <w:szCs w:val="18"/>
                <w:lang w:val="lt-LT"/>
              </w:rPr>
              <w:t>,</w:t>
            </w:r>
            <w:r w:rsidRPr="000B2118">
              <w:rPr>
                <w:b/>
                <w:sz w:val="18"/>
                <w:szCs w:val="18"/>
                <w:lang w:val="lt-LT"/>
              </w:rPr>
              <w:t>75-0</w:t>
            </w:r>
            <w:r w:rsidR="00AC606C" w:rsidRPr="000B2118">
              <w:rPr>
                <w:b/>
                <w:sz w:val="18"/>
                <w:szCs w:val="18"/>
                <w:lang w:val="lt-LT"/>
              </w:rPr>
              <w:t>,</w:t>
            </w:r>
            <w:r w:rsidRPr="000B2118">
              <w:rPr>
                <w:b/>
                <w:sz w:val="18"/>
                <w:szCs w:val="18"/>
                <w:lang w:val="lt-LT"/>
              </w:rPr>
              <w:t>93)</w:t>
            </w:r>
          </w:p>
          <w:p w14:paraId="52FE0833" w14:textId="77777777" w:rsidR="00003957" w:rsidRPr="000B2118" w:rsidRDefault="00003957" w:rsidP="00A94563">
            <w:pPr>
              <w:jc w:val="right"/>
              <w:rPr>
                <w:sz w:val="18"/>
                <w:szCs w:val="18"/>
                <w:lang w:val="lt-LT"/>
              </w:rPr>
            </w:pPr>
            <w:r w:rsidRPr="000B2118">
              <w:rPr>
                <w:b/>
                <w:sz w:val="18"/>
                <w:szCs w:val="18"/>
                <w:lang w:val="lt-LT"/>
              </w:rPr>
              <w:t>p &lt;0</w:t>
            </w:r>
            <w:r w:rsidR="00AC606C" w:rsidRPr="000B2118">
              <w:rPr>
                <w:b/>
                <w:sz w:val="18"/>
                <w:szCs w:val="18"/>
                <w:lang w:val="lt-LT"/>
              </w:rPr>
              <w:t>,</w:t>
            </w:r>
            <w:r w:rsidRPr="000B2118">
              <w:rPr>
                <w:b/>
                <w:sz w:val="18"/>
                <w:szCs w:val="18"/>
                <w:lang w:val="lt-LT"/>
              </w:rPr>
              <w:t>001</w:t>
            </w:r>
          </w:p>
        </w:tc>
      </w:tr>
      <w:tr w:rsidR="00003957" w:rsidRPr="000B2118" w14:paraId="06E23153" w14:textId="77777777" w:rsidTr="00A94563">
        <w:tc>
          <w:tcPr>
            <w:tcW w:w="6946" w:type="dxa"/>
            <w:gridSpan w:val="4"/>
          </w:tcPr>
          <w:p w14:paraId="295DB8AB" w14:textId="77777777" w:rsidR="00003957" w:rsidRPr="00A94563" w:rsidRDefault="00003957" w:rsidP="00BB772F">
            <w:pPr>
              <w:jc w:val="right"/>
              <w:rPr>
                <w:sz w:val="18"/>
                <w:szCs w:val="18"/>
                <w:lang w:val="lt-LT"/>
              </w:rPr>
            </w:pPr>
            <w:r w:rsidRPr="00A94563">
              <w:rPr>
                <w:sz w:val="18"/>
                <w:szCs w:val="18"/>
                <w:lang w:val="lt-LT"/>
              </w:rPr>
              <w:t>Geriau deksametazonas</w:t>
            </w:r>
          </w:p>
          <w:p w14:paraId="0B823916" w14:textId="77777777" w:rsidR="00003957" w:rsidRPr="00A94563" w:rsidRDefault="00003957" w:rsidP="00BB772F">
            <w:pPr>
              <w:jc w:val="center"/>
              <w:rPr>
                <w:sz w:val="18"/>
                <w:szCs w:val="18"/>
                <w:lang w:val="lt-LT"/>
              </w:rPr>
            </w:pPr>
            <w:r w:rsidRPr="00A94563">
              <w:rPr>
                <w:sz w:val="18"/>
                <w:szCs w:val="18"/>
                <w:lang w:val="lt-LT"/>
              </w:rPr>
              <w:t xml:space="preserve">                                                                                                          </w:t>
            </w:r>
          </w:p>
        </w:tc>
        <w:tc>
          <w:tcPr>
            <w:tcW w:w="2552" w:type="dxa"/>
            <w:gridSpan w:val="2"/>
          </w:tcPr>
          <w:p w14:paraId="1DD4C6FA" w14:textId="77777777" w:rsidR="00003957" w:rsidRPr="00A94563" w:rsidRDefault="00003957" w:rsidP="00EB554B">
            <w:pPr>
              <w:rPr>
                <w:sz w:val="18"/>
                <w:szCs w:val="18"/>
                <w:lang w:val="lt-LT"/>
              </w:rPr>
            </w:pPr>
            <w:r w:rsidRPr="00A94563">
              <w:rPr>
                <w:sz w:val="18"/>
                <w:szCs w:val="18"/>
                <w:lang w:val="lt-LT"/>
              </w:rPr>
              <w:t xml:space="preserve">Geriau </w:t>
            </w:r>
            <w:r w:rsidR="00EB554B" w:rsidRPr="00A94563">
              <w:rPr>
                <w:sz w:val="18"/>
                <w:szCs w:val="18"/>
                <w:lang w:val="lt-LT"/>
              </w:rPr>
              <w:t>įprastinė</w:t>
            </w:r>
            <w:r w:rsidRPr="00A94563">
              <w:rPr>
                <w:sz w:val="18"/>
                <w:szCs w:val="18"/>
                <w:lang w:val="lt-LT"/>
              </w:rPr>
              <w:t xml:space="preserve"> priežiūra</w:t>
            </w:r>
          </w:p>
        </w:tc>
      </w:tr>
    </w:tbl>
    <w:p w14:paraId="2E8B0216" w14:textId="77777777" w:rsidR="00A16F40" w:rsidRPr="002E7B89" w:rsidRDefault="00A16F40" w:rsidP="002D4A26">
      <w:pPr>
        <w:pStyle w:val="Betarp"/>
        <w:rPr>
          <w:lang w:val="lt-LT"/>
        </w:rPr>
      </w:pPr>
    </w:p>
    <w:p w14:paraId="25DBE407" w14:textId="77777777" w:rsidR="00A16F40" w:rsidRPr="002E7B89" w:rsidRDefault="00A1794C" w:rsidP="002D4A26">
      <w:pPr>
        <w:pStyle w:val="Betarp"/>
        <w:rPr>
          <w:b/>
          <w:lang w:val="lt-LT"/>
        </w:rPr>
      </w:pPr>
      <w:bookmarkStart w:id="15" w:name="5.2_Pharmakokinetische_Eigenschaften"/>
      <w:bookmarkEnd w:id="15"/>
      <w:r w:rsidRPr="002E7B89">
        <w:rPr>
          <w:b/>
          <w:lang w:val="lt-LT" w:bidi="lt-LT"/>
        </w:rPr>
        <w:t>5.2</w:t>
      </w:r>
      <w:r w:rsidRPr="002E7B89">
        <w:rPr>
          <w:b/>
          <w:lang w:val="lt-LT" w:bidi="lt-LT"/>
        </w:rPr>
        <w:tab/>
        <w:t>Farmakokinetinės savybės</w:t>
      </w:r>
    </w:p>
    <w:p w14:paraId="7FC7B8CE" w14:textId="77777777" w:rsidR="00A16F40" w:rsidRPr="002E7B89" w:rsidRDefault="00A16F40" w:rsidP="002D4A26">
      <w:pPr>
        <w:pStyle w:val="Betarp"/>
        <w:rPr>
          <w:lang w:val="lt-LT"/>
        </w:rPr>
      </w:pPr>
    </w:p>
    <w:p w14:paraId="2C09B5FE" w14:textId="77777777" w:rsidR="00A16F40" w:rsidRPr="002E7B89" w:rsidRDefault="00716299" w:rsidP="002D4A26">
      <w:pPr>
        <w:pStyle w:val="Betarp"/>
        <w:rPr>
          <w:lang w:val="lt-LT"/>
        </w:rPr>
      </w:pPr>
      <w:r w:rsidRPr="002E7B89">
        <w:rPr>
          <w:u w:val="single"/>
          <w:lang w:val="lt-LT" w:bidi="lt-LT"/>
        </w:rPr>
        <w:t>Pasiskirstymas</w:t>
      </w:r>
    </w:p>
    <w:p w14:paraId="0B978E32" w14:textId="77777777" w:rsidR="00A16F40" w:rsidRPr="002E7B89" w:rsidRDefault="00716299" w:rsidP="002D4A26">
      <w:pPr>
        <w:pStyle w:val="Betarp"/>
        <w:rPr>
          <w:lang w:val="lt-LT"/>
        </w:rPr>
      </w:pPr>
      <w:r w:rsidRPr="002E7B89">
        <w:rPr>
          <w:lang w:val="lt-LT" w:bidi="lt-LT"/>
        </w:rPr>
        <w:t>Deksametazonas priklausomai nuo dozės daugiausia jungiasi su plazmos albuminais. Esant labai didelėms koncentracijoms, pagrindinė frakcija kraujyje yra laisva, t. y. nesusijungusi su baltymais. Esant hipoalbuminemijai, padidėja nesusijungusio (aktyvaus) kortikosteroido dalis.</w:t>
      </w:r>
    </w:p>
    <w:p w14:paraId="5036BB20" w14:textId="77777777" w:rsidR="00A16F40" w:rsidRPr="002E7B89" w:rsidRDefault="00A16F40" w:rsidP="002D4A26">
      <w:pPr>
        <w:pStyle w:val="Betarp"/>
        <w:rPr>
          <w:lang w:val="lt-LT"/>
        </w:rPr>
      </w:pPr>
    </w:p>
    <w:p w14:paraId="5EB5A5D9" w14:textId="77777777" w:rsidR="00A16F40" w:rsidRPr="002E7B89" w:rsidRDefault="004925F4" w:rsidP="002D4A26">
      <w:pPr>
        <w:pStyle w:val="Betarp"/>
        <w:rPr>
          <w:i/>
          <w:lang w:val="lt-LT"/>
        </w:rPr>
      </w:pPr>
      <w:r w:rsidRPr="002E7B89">
        <w:rPr>
          <w:i/>
          <w:lang w:val="lt-LT" w:bidi="lt-LT"/>
        </w:rPr>
        <w:t>Prasiskverbimas į cerebrospinalinį skystį (CSS)</w:t>
      </w:r>
    </w:p>
    <w:p w14:paraId="79A84CE5" w14:textId="77777777" w:rsidR="00A16F40" w:rsidRPr="002E7B89" w:rsidRDefault="00716299" w:rsidP="002D4A26">
      <w:pPr>
        <w:pStyle w:val="Betarp"/>
        <w:rPr>
          <w:lang w:val="lt-LT"/>
        </w:rPr>
      </w:pPr>
      <w:r w:rsidRPr="002E7B89">
        <w:rPr>
          <w:lang w:val="lt-LT" w:bidi="lt-LT"/>
        </w:rPr>
        <w:t>Žmonėms didžiausias deksametazono kiekis smegenų skilveliuose, sudarantis maždaug 1/6 koncentracijos plazmoje, nustatomas praėjus keturioms valandoms po radioaktyviaisiais izotopais žymėto deksametazono suleidimo į veną.</w:t>
      </w:r>
    </w:p>
    <w:p w14:paraId="489AEFF1" w14:textId="77777777" w:rsidR="00A16F40" w:rsidRPr="002E7B89" w:rsidRDefault="00A16F40" w:rsidP="002D4A26">
      <w:pPr>
        <w:pStyle w:val="Betarp"/>
        <w:rPr>
          <w:lang w:val="lt-LT"/>
        </w:rPr>
      </w:pPr>
    </w:p>
    <w:p w14:paraId="7AF3C90A" w14:textId="77777777" w:rsidR="00A16F40" w:rsidRPr="002E7B89" w:rsidRDefault="00716299" w:rsidP="002D4A26">
      <w:pPr>
        <w:pStyle w:val="Betarp"/>
        <w:rPr>
          <w:i/>
          <w:lang w:val="lt-LT"/>
        </w:rPr>
      </w:pPr>
      <w:r w:rsidRPr="002E7B89">
        <w:rPr>
          <w:i/>
          <w:lang w:val="lt-LT" w:bidi="lt-LT"/>
        </w:rPr>
        <w:t xml:space="preserve">Pernešimas </w:t>
      </w:r>
      <w:r w:rsidR="00CD0843">
        <w:rPr>
          <w:i/>
          <w:lang w:val="lt-LT" w:bidi="lt-LT"/>
        </w:rPr>
        <w:t>per</w:t>
      </w:r>
      <w:r w:rsidRPr="002E7B89">
        <w:rPr>
          <w:i/>
          <w:lang w:val="lt-LT" w:bidi="lt-LT"/>
        </w:rPr>
        <w:t xml:space="preserve"> placentą</w:t>
      </w:r>
    </w:p>
    <w:p w14:paraId="75747253" w14:textId="77777777" w:rsidR="00A16F40" w:rsidRPr="002E7B89" w:rsidRDefault="00716299" w:rsidP="002D4A26">
      <w:pPr>
        <w:pStyle w:val="Betarp"/>
        <w:rPr>
          <w:lang w:val="lt-LT"/>
        </w:rPr>
      </w:pPr>
      <w:r w:rsidRPr="002E7B89">
        <w:rPr>
          <w:lang w:val="lt-LT" w:bidi="lt-LT"/>
        </w:rPr>
        <w:t>Kaip ir visi gliukokortikoidai, deksametazonas gali prasiskverbti pro placentos barjerą, tačiau, priešingai nei dauguma kitų kortikosteroidų, nėra metabolizuojamas.</w:t>
      </w:r>
    </w:p>
    <w:p w14:paraId="0F52D75C" w14:textId="77777777" w:rsidR="00825B53" w:rsidRPr="002E7B89" w:rsidRDefault="00825B53" w:rsidP="002D4A26">
      <w:pPr>
        <w:pStyle w:val="Betarp"/>
        <w:rPr>
          <w:lang w:val="lt-LT"/>
        </w:rPr>
      </w:pPr>
    </w:p>
    <w:p w14:paraId="781CABFA" w14:textId="77777777" w:rsidR="00A16F40" w:rsidRPr="002E7B89" w:rsidRDefault="00716299" w:rsidP="002D4A26">
      <w:pPr>
        <w:pStyle w:val="Betarp"/>
        <w:rPr>
          <w:i/>
          <w:lang w:val="lt-LT"/>
        </w:rPr>
      </w:pPr>
      <w:r w:rsidRPr="002E7B89">
        <w:rPr>
          <w:i/>
          <w:lang w:val="lt-LT" w:bidi="lt-LT"/>
        </w:rPr>
        <w:t>Išsiskyrimas į</w:t>
      </w:r>
      <w:r w:rsidR="00CD0843">
        <w:rPr>
          <w:i/>
          <w:lang w:val="lt-LT" w:bidi="lt-LT"/>
        </w:rPr>
        <w:t xml:space="preserve"> gydomos moters</w:t>
      </w:r>
      <w:r w:rsidRPr="002E7B89">
        <w:rPr>
          <w:i/>
          <w:lang w:val="lt-LT" w:bidi="lt-LT"/>
        </w:rPr>
        <w:t xml:space="preserve"> pieną</w:t>
      </w:r>
    </w:p>
    <w:p w14:paraId="7EFE8190" w14:textId="77777777" w:rsidR="00A16F40" w:rsidRPr="002E7B89" w:rsidRDefault="00716299" w:rsidP="002D4A26">
      <w:pPr>
        <w:pStyle w:val="Betarp"/>
        <w:rPr>
          <w:lang w:val="lt-LT"/>
        </w:rPr>
      </w:pPr>
      <w:r w:rsidRPr="002E7B89">
        <w:rPr>
          <w:lang w:val="lt-LT" w:bidi="lt-LT"/>
        </w:rPr>
        <w:t>Duomenų apie deksametazoną nėra. Nedideli gliukokortikoidų kiekiai išsiskiria į motinos pieną, o poveikis kūdikiui paprastai yra mažesnis nei 1/100 žindančios motinos sistemiškai gaunamos dozės. Vis dėlto, vartojant didesnes dozes arba ilgalaikio gydymo metu, žindymą reikėtų nutraukti.</w:t>
      </w:r>
    </w:p>
    <w:p w14:paraId="04BD7950" w14:textId="77777777" w:rsidR="00A16F40" w:rsidRPr="002E7B89" w:rsidRDefault="00A16F40" w:rsidP="002D4A26">
      <w:pPr>
        <w:pStyle w:val="Betarp"/>
        <w:rPr>
          <w:lang w:val="lt-LT"/>
        </w:rPr>
      </w:pPr>
    </w:p>
    <w:p w14:paraId="73E3993F" w14:textId="77777777" w:rsidR="00A16F40" w:rsidRPr="002E7B89" w:rsidRDefault="00716299" w:rsidP="002D4A26">
      <w:pPr>
        <w:pStyle w:val="Betarp"/>
        <w:rPr>
          <w:lang w:val="lt-LT"/>
        </w:rPr>
      </w:pPr>
      <w:r w:rsidRPr="002E7B89">
        <w:rPr>
          <w:u w:val="single"/>
          <w:lang w:val="lt-LT" w:bidi="lt-LT"/>
        </w:rPr>
        <w:t>Biotransformacija</w:t>
      </w:r>
    </w:p>
    <w:p w14:paraId="7D7B0603" w14:textId="0A4590D2" w:rsidR="00A16F40" w:rsidRPr="002E7B89" w:rsidRDefault="00716299" w:rsidP="002D4A26">
      <w:pPr>
        <w:pStyle w:val="Betarp"/>
        <w:rPr>
          <w:lang w:val="lt-LT"/>
        </w:rPr>
      </w:pPr>
      <w:r w:rsidRPr="002E7B89">
        <w:rPr>
          <w:lang w:val="lt-LT" w:bidi="lt-LT"/>
        </w:rPr>
        <w:t>Į veną su</w:t>
      </w:r>
      <w:r w:rsidR="001D55EC">
        <w:rPr>
          <w:lang w:val="lt-LT" w:bidi="lt-LT"/>
        </w:rPr>
        <w:t>leidus</w:t>
      </w:r>
      <w:r w:rsidRPr="002E7B89">
        <w:rPr>
          <w:lang w:val="lt-LT" w:bidi="lt-LT"/>
        </w:rPr>
        <w:t xml:space="preserve"> </w:t>
      </w:r>
      <w:proofErr w:type="spellStart"/>
      <w:r w:rsidRPr="002E7B89">
        <w:rPr>
          <w:lang w:val="lt-LT" w:bidi="lt-LT"/>
        </w:rPr>
        <w:t>deksametazono</w:t>
      </w:r>
      <w:proofErr w:type="spellEnd"/>
      <w:r w:rsidRPr="002E7B89">
        <w:rPr>
          <w:lang w:val="lt-LT" w:bidi="lt-LT"/>
        </w:rPr>
        <w:t xml:space="preserve"> fosfato, esteris skyla labai greitai. Didžiausios laisvojo deksametazono alkoholio vertės </w:t>
      </w:r>
      <w:r w:rsidR="00CD0843">
        <w:rPr>
          <w:lang w:val="lt-LT" w:bidi="lt-LT"/>
        </w:rPr>
        <w:t>nustato</w:t>
      </w:r>
      <w:r w:rsidRPr="002E7B89">
        <w:rPr>
          <w:lang w:val="lt-LT" w:bidi="lt-LT"/>
        </w:rPr>
        <w:t>mos po 10 minučių.</w:t>
      </w:r>
    </w:p>
    <w:p w14:paraId="73A2924E" w14:textId="77777777" w:rsidR="00A16F40" w:rsidRPr="002E7B89" w:rsidRDefault="00716299" w:rsidP="002D4A26">
      <w:pPr>
        <w:pStyle w:val="Betarp"/>
        <w:rPr>
          <w:lang w:val="lt-LT"/>
        </w:rPr>
      </w:pPr>
      <w:r w:rsidRPr="002E7B89">
        <w:rPr>
          <w:lang w:val="lt-LT" w:bidi="lt-LT"/>
        </w:rPr>
        <w:t>Jis iš dalies metabolizuojamas kepenyse konjuguojant su gliukurono arba sieros rūgštimi, o vėliau pasišalina daugiausia per inkstus.</w:t>
      </w:r>
    </w:p>
    <w:p w14:paraId="3ED3A5DC" w14:textId="77777777" w:rsidR="00FA786C" w:rsidRPr="002E7B89" w:rsidRDefault="00FA786C" w:rsidP="002D4A26">
      <w:pPr>
        <w:pStyle w:val="Betarp"/>
        <w:rPr>
          <w:lang w:val="lt-LT"/>
        </w:rPr>
      </w:pPr>
    </w:p>
    <w:p w14:paraId="588EB593" w14:textId="77777777" w:rsidR="00A16F40" w:rsidRPr="002E7B89" w:rsidRDefault="00716299" w:rsidP="002D4A26">
      <w:pPr>
        <w:pStyle w:val="Betarp"/>
        <w:rPr>
          <w:lang w:val="lt-LT"/>
        </w:rPr>
      </w:pPr>
      <w:r w:rsidRPr="002E7B89">
        <w:rPr>
          <w:u w:val="single"/>
          <w:lang w:val="lt-LT" w:bidi="lt-LT"/>
        </w:rPr>
        <w:t>Eliminacija</w:t>
      </w:r>
    </w:p>
    <w:p w14:paraId="75D89B45" w14:textId="77777777" w:rsidR="00A16F40" w:rsidRPr="002E7B89" w:rsidRDefault="00716299" w:rsidP="002D4A26">
      <w:pPr>
        <w:pStyle w:val="Betarp"/>
        <w:rPr>
          <w:lang w:val="lt-LT"/>
        </w:rPr>
      </w:pPr>
      <w:r w:rsidRPr="002E7B89">
        <w:rPr>
          <w:lang w:val="lt-LT" w:bidi="lt-LT"/>
        </w:rPr>
        <w:t xml:space="preserve">Vidutinis deksametazono pusinės eliminacijos </w:t>
      </w:r>
      <w:r w:rsidR="00CD0843">
        <w:rPr>
          <w:lang w:val="lt-LT" w:bidi="lt-LT"/>
        </w:rPr>
        <w:t>laikas</w:t>
      </w:r>
      <w:r w:rsidRPr="002E7B89">
        <w:rPr>
          <w:lang w:val="lt-LT" w:bidi="lt-LT"/>
        </w:rPr>
        <w:t xml:space="preserve"> suaugusių žmonių serume yra 4,1</w:t>
      </w:r>
      <w:r w:rsidR="00231252">
        <w:rPr>
          <w:lang w:val="lt-LT" w:bidi="lt-LT"/>
        </w:rPr>
        <w:t> </w:t>
      </w:r>
      <w:r w:rsidRPr="002E7B89">
        <w:rPr>
          <w:lang w:val="lt-LT" w:bidi="lt-LT"/>
        </w:rPr>
        <w:t>±</w:t>
      </w:r>
      <w:r w:rsidR="00231252">
        <w:rPr>
          <w:lang w:val="lt-LT" w:bidi="lt-LT"/>
        </w:rPr>
        <w:t> </w:t>
      </w:r>
      <w:r w:rsidRPr="002E7B89">
        <w:rPr>
          <w:lang w:val="lt-LT" w:bidi="lt-LT"/>
        </w:rPr>
        <w:t>1,3</w:t>
      </w:r>
      <w:r w:rsidR="00231252">
        <w:rPr>
          <w:lang w:val="lt-LT" w:bidi="lt-LT"/>
        </w:rPr>
        <w:t> </w:t>
      </w:r>
      <w:r w:rsidRPr="002E7B89">
        <w:rPr>
          <w:lang w:val="lt-LT" w:bidi="lt-LT"/>
        </w:rPr>
        <w:t>valandos. Deksametazonas daugiausia pasišalina per inkstus su šlapimu kaip laisvas deksametazono alkoholis. Inkstų pažeidimas neturi didelės įtakos deksametazono eliminacijai. Sergant sunkiomis kepenų ligomis, pvz., hepatitu, kepenų ciroze, taip pat nėštumo metu ir vartojant estrogenus, gliukokortikoidų eliminacijos pusperiodis pailgėja.</w:t>
      </w:r>
    </w:p>
    <w:p w14:paraId="11C9A23A" w14:textId="77777777" w:rsidR="00A16F40" w:rsidRPr="002E7B89" w:rsidRDefault="00716299" w:rsidP="002D4A26">
      <w:pPr>
        <w:pStyle w:val="Betarp"/>
        <w:rPr>
          <w:lang w:val="lt-LT"/>
        </w:rPr>
      </w:pPr>
      <w:r w:rsidRPr="002E7B89">
        <w:rPr>
          <w:lang w:val="lt-LT" w:bidi="lt-LT"/>
        </w:rPr>
        <w:t>Žmonių organizme deksametazono fosfatas daugiausia išsiskiria kaip deksametazonas. Nedideliu kiekiu molekulės hidrinamos arba hidroksilinamos, todėl susidaro pagrindiniai metabolitai 6</w:t>
      </w:r>
      <w:r w:rsidR="00096A72" w:rsidRPr="002E7B89">
        <w:rPr>
          <w:lang w:val="lt-LT" w:bidi="lt-LT"/>
        </w:rPr>
        <w:noBreakHyphen/>
      </w:r>
      <w:r w:rsidRPr="002E7B89">
        <w:rPr>
          <w:lang w:val="lt-LT" w:bidi="lt-LT"/>
        </w:rPr>
        <w:t>hidroksid</w:t>
      </w:r>
      <w:r w:rsidR="009101C8">
        <w:rPr>
          <w:lang w:val="lt-LT" w:bidi="lt-LT"/>
        </w:rPr>
        <w:t>e</w:t>
      </w:r>
      <w:r w:rsidRPr="002E7B89">
        <w:rPr>
          <w:lang w:val="lt-LT" w:bidi="lt-LT"/>
        </w:rPr>
        <w:t>ksametazonas ir 20-dihidro</w:t>
      </w:r>
      <w:r w:rsidR="00CD0843">
        <w:rPr>
          <w:lang w:val="lt-LT" w:bidi="lt-LT"/>
        </w:rPr>
        <w:t>de</w:t>
      </w:r>
      <w:r w:rsidRPr="002E7B89">
        <w:rPr>
          <w:lang w:val="lt-LT" w:bidi="lt-LT"/>
        </w:rPr>
        <w:t>ksametazonas. Žmonių organizme 30–40 % su šlapimu išskiriamo kiekio yra susij</w:t>
      </w:r>
      <w:r w:rsidR="00CD0843">
        <w:rPr>
          <w:lang w:val="lt-LT" w:bidi="lt-LT"/>
        </w:rPr>
        <w:t>ungę</w:t>
      </w:r>
      <w:r w:rsidRPr="002E7B89">
        <w:rPr>
          <w:lang w:val="lt-LT" w:bidi="lt-LT"/>
        </w:rPr>
        <w:t xml:space="preserve"> su gliukurono rūgštimi arba sieros rūgštimi.</w:t>
      </w:r>
    </w:p>
    <w:p w14:paraId="7F613DCB" w14:textId="77777777" w:rsidR="00A16F40" w:rsidRPr="002E7B89" w:rsidRDefault="00A16F40" w:rsidP="002D4A26">
      <w:pPr>
        <w:pStyle w:val="Betarp"/>
        <w:rPr>
          <w:lang w:val="lt-LT"/>
        </w:rPr>
      </w:pPr>
    </w:p>
    <w:p w14:paraId="508C93D3" w14:textId="77777777" w:rsidR="00A16F40" w:rsidRPr="002E7B89" w:rsidRDefault="00A1794C" w:rsidP="002D4A26">
      <w:pPr>
        <w:pStyle w:val="Betarp"/>
        <w:rPr>
          <w:b/>
          <w:lang w:val="lt-LT"/>
        </w:rPr>
      </w:pPr>
      <w:bookmarkStart w:id="16" w:name="5.3_Präklinische_Daten_zur_Sicherheit"/>
      <w:bookmarkEnd w:id="16"/>
      <w:r w:rsidRPr="002E7B89">
        <w:rPr>
          <w:b/>
          <w:lang w:val="lt-LT" w:bidi="lt-LT"/>
        </w:rPr>
        <w:lastRenderedPageBreak/>
        <w:t>5.3</w:t>
      </w:r>
      <w:r w:rsidRPr="002E7B89">
        <w:rPr>
          <w:b/>
          <w:lang w:val="lt-LT" w:bidi="lt-LT"/>
        </w:rPr>
        <w:tab/>
        <w:t>Ikiklinikinių saugumo tyrimų duomenys</w:t>
      </w:r>
    </w:p>
    <w:p w14:paraId="3C0FE1E4" w14:textId="77777777" w:rsidR="00A16F40" w:rsidRPr="002E7B89" w:rsidRDefault="00A16F40" w:rsidP="002D4A26">
      <w:pPr>
        <w:pStyle w:val="Betarp"/>
        <w:rPr>
          <w:lang w:val="lt-LT"/>
        </w:rPr>
      </w:pPr>
    </w:p>
    <w:p w14:paraId="4859B24F" w14:textId="77777777" w:rsidR="0084758C" w:rsidRPr="002E7B89" w:rsidRDefault="0084758C" w:rsidP="0084758C">
      <w:pPr>
        <w:pStyle w:val="Betarp"/>
        <w:rPr>
          <w:lang w:val="lt-LT"/>
        </w:rPr>
      </w:pPr>
      <w:r w:rsidRPr="002E7B89">
        <w:rPr>
          <w:i/>
          <w:lang w:val="lt-LT" w:bidi="lt-LT"/>
        </w:rPr>
        <w:t>Ūm</w:t>
      </w:r>
      <w:r w:rsidR="00BB772F" w:rsidRPr="002E7B89">
        <w:rPr>
          <w:i/>
          <w:lang w:val="lt-LT" w:bidi="lt-LT"/>
        </w:rPr>
        <w:t>inis</w:t>
      </w:r>
      <w:r w:rsidRPr="002E7B89">
        <w:rPr>
          <w:i/>
          <w:lang w:val="lt-LT" w:bidi="lt-LT"/>
        </w:rPr>
        <w:t xml:space="preserve"> toks</w:t>
      </w:r>
      <w:r w:rsidR="00BB772F" w:rsidRPr="002E7B89">
        <w:rPr>
          <w:i/>
          <w:lang w:val="lt-LT" w:bidi="lt-LT"/>
        </w:rPr>
        <w:t>inis poveikis</w:t>
      </w:r>
    </w:p>
    <w:p w14:paraId="341A494E" w14:textId="6734E0F7" w:rsidR="0084758C" w:rsidRPr="002E7B89" w:rsidRDefault="0084758C" w:rsidP="0084758C">
      <w:pPr>
        <w:pStyle w:val="Betarp"/>
        <w:rPr>
          <w:lang w:val="lt-LT"/>
        </w:rPr>
      </w:pPr>
      <w:r w:rsidRPr="002E7B89">
        <w:rPr>
          <w:lang w:val="lt-LT" w:bidi="lt-LT"/>
        </w:rPr>
        <w:t>Pelėms ir žiurkėms deksametazono LD</w:t>
      </w:r>
      <w:r w:rsidRPr="002E7B89">
        <w:rPr>
          <w:vertAlign w:val="subscript"/>
          <w:lang w:val="lt-LT" w:bidi="lt-LT"/>
        </w:rPr>
        <w:t>50</w:t>
      </w:r>
      <w:r w:rsidRPr="002E7B89">
        <w:rPr>
          <w:lang w:val="lt-LT" w:bidi="lt-LT"/>
        </w:rPr>
        <w:t xml:space="preserve"> po vienkartinės geriamosios dozės yra atitinkamai 16 g/kg kūno svorio ir daugiau kaip 3 g/kg kūno svorio per pirmąsias 7</w:t>
      </w:r>
      <w:r w:rsidR="008B5C86">
        <w:rPr>
          <w:lang w:val="lt-LT" w:bidi="lt-LT"/>
        </w:rPr>
        <w:t> </w:t>
      </w:r>
      <w:r w:rsidRPr="002E7B89">
        <w:rPr>
          <w:lang w:val="lt-LT" w:bidi="lt-LT"/>
        </w:rPr>
        <w:t>dienas. Po vienkartinės poodinės dozės per pirmąsias 7</w:t>
      </w:r>
      <w:r w:rsidR="008B5C86">
        <w:rPr>
          <w:lang w:val="lt-LT" w:bidi="lt-LT"/>
        </w:rPr>
        <w:t> </w:t>
      </w:r>
      <w:r w:rsidRPr="002E7B89">
        <w:rPr>
          <w:lang w:val="lt-LT" w:bidi="lt-LT"/>
        </w:rPr>
        <w:t>dienas pelių LD</w:t>
      </w:r>
      <w:r w:rsidRPr="002E7B89">
        <w:rPr>
          <w:vertAlign w:val="subscript"/>
          <w:lang w:val="lt-LT" w:bidi="lt-LT"/>
        </w:rPr>
        <w:t>50</w:t>
      </w:r>
      <w:r w:rsidRPr="002E7B89">
        <w:rPr>
          <w:lang w:val="lt-LT" w:bidi="lt-LT"/>
        </w:rPr>
        <w:t xml:space="preserve"> yra daugiau kaip 700 mg/kg kūno svorio, o žiurkių – apie 120 mg/kg kūno svorio.</w:t>
      </w:r>
    </w:p>
    <w:p w14:paraId="6F7B0F8C" w14:textId="72A749A1" w:rsidR="0084758C" w:rsidRPr="002E7B89" w:rsidRDefault="0084758C" w:rsidP="0084758C">
      <w:pPr>
        <w:pStyle w:val="Betarp"/>
        <w:rPr>
          <w:lang w:val="lt-LT"/>
        </w:rPr>
      </w:pPr>
      <w:r w:rsidRPr="002E7B89">
        <w:rPr>
          <w:lang w:val="lt-LT" w:bidi="lt-LT"/>
        </w:rPr>
        <w:t>Per 21</w:t>
      </w:r>
      <w:r w:rsidR="008B5C86">
        <w:rPr>
          <w:lang w:val="lt-LT" w:bidi="lt-LT"/>
        </w:rPr>
        <w:t> </w:t>
      </w:r>
      <w:r w:rsidRPr="002E7B89">
        <w:rPr>
          <w:lang w:val="lt-LT" w:bidi="lt-LT"/>
        </w:rPr>
        <w:t>dieną šios vertės tampa mažesnės, o tai aiškinama kaip sunkių infekcinių ligų, kurias sukelia hormonų sukelta imunosupresija, pasekmė.</w:t>
      </w:r>
    </w:p>
    <w:p w14:paraId="5F10625F" w14:textId="77777777" w:rsidR="0084758C" w:rsidRPr="002E7B89" w:rsidRDefault="0084758C" w:rsidP="0084758C">
      <w:pPr>
        <w:pStyle w:val="Betarp"/>
        <w:rPr>
          <w:lang w:val="lt-LT"/>
        </w:rPr>
      </w:pPr>
    </w:p>
    <w:p w14:paraId="129AC1BD" w14:textId="77777777" w:rsidR="0084758C" w:rsidRPr="002E7B89" w:rsidRDefault="0084758C" w:rsidP="0084758C">
      <w:pPr>
        <w:pStyle w:val="Betarp"/>
        <w:rPr>
          <w:lang w:val="lt-LT"/>
        </w:rPr>
      </w:pPr>
      <w:r w:rsidRPr="002E7B89">
        <w:rPr>
          <w:i/>
          <w:lang w:val="lt-LT" w:bidi="lt-LT"/>
        </w:rPr>
        <w:t>Lėtinis toksi</w:t>
      </w:r>
      <w:r w:rsidR="00BB772F" w:rsidRPr="002E7B89">
        <w:rPr>
          <w:i/>
          <w:lang w:val="lt-LT" w:bidi="lt-LT"/>
        </w:rPr>
        <w:t>nis poveikis</w:t>
      </w:r>
    </w:p>
    <w:p w14:paraId="5607205D" w14:textId="16C0A6E4" w:rsidR="0084758C" w:rsidRPr="002E7B89" w:rsidRDefault="0084758C" w:rsidP="0084758C">
      <w:pPr>
        <w:pStyle w:val="Betarp"/>
        <w:rPr>
          <w:lang w:val="lt-LT"/>
        </w:rPr>
      </w:pPr>
      <w:r w:rsidRPr="002E7B89">
        <w:rPr>
          <w:lang w:val="lt-LT" w:bidi="lt-LT"/>
        </w:rPr>
        <w:t>Duomenų apie lėtinį toksiškumą žmonėms ir gyvūnams nėra. Kortikoidų sukeliamų intoksikacijų nėra žinoma. Ilgesnį laiką gydant didesnėmis nei 1,5 mg per parą dozėmis, galima tikėtis aiškaus nepageidaujamo poveikio (žr. 4.8</w:t>
      </w:r>
      <w:r w:rsidR="008B5C86">
        <w:rPr>
          <w:lang w:val="lt-LT" w:bidi="lt-LT"/>
        </w:rPr>
        <w:t> </w:t>
      </w:r>
      <w:r w:rsidRPr="002E7B89">
        <w:rPr>
          <w:lang w:val="lt-LT" w:bidi="lt-LT"/>
        </w:rPr>
        <w:t>skyrių).</w:t>
      </w:r>
    </w:p>
    <w:p w14:paraId="6A716C2B" w14:textId="77777777" w:rsidR="0084758C" w:rsidRPr="002E7B89" w:rsidRDefault="0084758C" w:rsidP="0084758C">
      <w:pPr>
        <w:pStyle w:val="Betarp"/>
        <w:rPr>
          <w:lang w:val="lt-LT"/>
        </w:rPr>
      </w:pPr>
    </w:p>
    <w:p w14:paraId="1C4FAC67" w14:textId="77777777" w:rsidR="0084758C" w:rsidRPr="002E7B89" w:rsidRDefault="0084758C" w:rsidP="0084758C">
      <w:pPr>
        <w:pStyle w:val="Betarp"/>
        <w:rPr>
          <w:lang w:val="lt-LT"/>
        </w:rPr>
      </w:pPr>
      <w:r w:rsidRPr="002E7B89">
        <w:rPr>
          <w:i/>
          <w:lang w:val="lt-LT" w:bidi="lt-LT"/>
        </w:rPr>
        <w:t>Galimas mutageninis ir kancerogeninis poveikis</w:t>
      </w:r>
    </w:p>
    <w:p w14:paraId="3795ABC8" w14:textId="77777777" w:rsidR="0084758C" w:rsidRPr="002E7B89" w:rsidRDefault="0084758C" w:rsidP="0084758C">
      <w:pPr>
        <w:pStyle w:val="Betarp"/>
        <w:rPr>
          <w:lang w:val="lt-LT"/>
        </w:rPr>
      </w:pPr>
      <w:r w:rsidRPr="002E7B89">
        <w:rPr>
          <w:lang w:val="lt-LT" w:bidi="lt-LT"/>
        </w:rPr>
        <w:t>Turimi gliukokortikoidų tyrimų rezultatai nerodo kliniškai svarbių genotoksinių savybių.</w:t>
      </w:r>
    </w:p>
    <w:p w14:paraId="03EBF2A0" w14:textId="77777777" w:rsidR="0084758C" w:rsidRPr="002E7B89" w:rsidRDefault="0084758C" w:rsidP="0084758C">
      <w:pPr>
        <w:pStyle w:val="Betarp"/>
        <w:rPr>
          <w:lang w:val="lt-LT"/>
        </w:rPr>
      </w:pPr>
    </w:p>
    <w:p w14:paraId="0DC784DF" w14:textId="77777777" w:rsidR="0084758C" w:rsidRPr="002E7B89" w:rsidRDefault="0084758C" w:rsidP="0084758C">
      <w:pPr>
        <w:pStyle w:val="Betarp"/>
        <w:rPr>
          <w:lang w:val="lt-LT"/>
        </w:rPr>
      </w:pPr>
      <w:r w:rsidRPr="002E7B89">
        <w:rPr>
          <w:i/>
          <w:lang w:val="lt-LT" w:bidi="lt-LT"/>
        </w:rPr>
        <w:t>Toksinis poveikis reprodukcijai</w:t>
      </w:r>
    </w:p>
    <w:p w14:paraId="3A4120F3" w14:textId="77777777" w:rsidR="0084758C" w:rsidRPr="002E7B89" w:rsidRDefault="0084758C" w:rsidP="0084758C">
      <w:pPr>
        <w:pStyle w:val="Betarp"/>
        <w:rPr>
          <w:lang w:val="lt-LT"/>
        </w:rPr>
      </w:pPr>
      <w:r w:rsidRPr="002E7B89">
        <w:rPr>
          <w:lang w:val="lt-LT" w:bidi="lt-LT"/>
        </w:rPr>
        <w:t>Tyrimų su gyvūnais metu vilko gomurys pastebėtas žiurkėms, pelėms, žiurkėnams, triušiams, šunims ir primatams; arkliams ir avims – ne. Kai kuriais atvejais ši</w:t>
      </w:r>
      <w:r w:rsidR="00CD0843">
        <w:rPr>
          <w:lang w:val="lt-LT" w:bidi="lt-LT"/>
        </w:rPr>
        <w:t>os įgimtos ydos</w:t>
      </w:r>
      <w:r w:rsidRPr="002E7B89">
        <w:rPr>
          <w:lang w:val="lt-LT" w:bidi="lt-LT"/>
        </w:rPr>
        <w:t xml:space="preserve"> pasireiškė kartu su centrinės nervų sistemos ir širdies ligomis. Primatų smegenyse poveikis pasireiškė po </w:t>
      </w:r>
      <w:r w:rsidR="00CD0843">
        <w:rPr>
          <w:lang w:val="lt-LT" w:bidi="lt-LT"/>
        </w:rPr>
        <w:t>deksametazono vartojimo</w:t>
      </w:r>
      <w:r w:rsidRPr="002E7B89">
        <w:rPr>
          <w:lang w:val="lt-LT" w:bidi="lt-LT"/>
        </w:rPr>
        <w:t>. Be to, gali vėluoti intrauterinis vaisiaus augimas. Visas šis poveikis pasireiškė vartojant dideles dozes.</w:t>
      </w:r>
    </w:p>
    <w:p w14:paraId="6F99DE1F" w14:textId="77777777" w:rsidR="00A16F40" w:rsidRPr="002E7B89" w:rsidRDefault="00A16F40" w:rsidP="002D4A26">
      <w:pPr>
        <w:pStyle w:val="Betarp"/>
        <w:rPr>
          <w:lang w:val="lt-LT"/>
        </w:rPr>
      </w:pPr>
    </w:p>
    <w:p w14:paraId="7CEB2EEA" w14:textId="77777777" w:rsidR="00A16F40" w:rsidRPr="002E7B89" w:rsidRDefault="00A16F40" w:rsidP="002D4A26">
      <w:pPr>
        <w:pStyle w:val="Betarp"/>
        <w:rPr>
          <w:lang w:val="lt-LT"/>
        </w:rPr>
      </w:pPr>
    </w:p>
    <w:p w14:paraId="6573B753" w14:textId="77777777" w:rsidR="00A16F40" w:rsidRPr="002E7B89" w:rsidRDefault="00A1794C" w:rsidP="002D4A26">
      <w:pPr>
        <w:pStyle w:val="Betarp"/>
        <w:rPr>
          <w:b/>
          <w:lang w:val="lt-LT"/>
        </w:rPr>
      </w:pPr>
      <w:bookmarkStart w:id="17" w:name="6._PHARMAZEUTISCHE_ANGABEN"/>
      <w:bookmarkEnd w:id="17"/>
      <w:r w:rsidRPr="002E7B89">
        <w:rPr>
          <w:b/>
          <w:lang w:val="lt-LT" w:bidi="lt-LT"/>
        </w:rPr>
        <w:t>6.</w:t>
      </w:r>
      <w:r w:rsidRPr="002E7B89">
        <w:rPr>
          <w:b/>
          <w:lang w:val="lt-LT" w:bidi="lt-LT"/>
        </w:rPr>
        <w:tab/>
        <w:t>FARMACINĖ INFORMACIJA</w:t>
      </w:r>
    </w:p>
    <w:p w14:paraId="234CCFC8" w14:textId="77777777" w:rsidR="00A16F40" w:rsidRPr="002E7B89" w:rsidRDefault="00A16F40" w:rsidP="002D4A26">
      <w:pPr>
        <w:pStyle w:val="Betarp"/>
        <w:rPr>
          <w:lang w:val="lt-LT"/>
        </w:rPr>
      </w:pPr>
    </w:p>
    <w:p w14:paraId="54CC0352" w14:textId="77777777" w:rsidR="00A16F40" w:rsidRPr="002E7B89" w:rsidRDefault="00A1794C" w:rsidP="002D4A26">
      <w:pPr>
        <w:pStyle w:val="Betarp"/>
        <w:rPr>
          <w:b/>
          <w:lang w:val="lt-LT"/>
        </w:rPr>
      </w:pPr>
      <w:r w:rsidRPr="002E7B89">
        <w:rPr>
          <w:b/>
          <w:lang w:val="lt-LT" w:bidi="lt-LT"/>
        </w:rPr>
        <w:t>6.1</w:t>
      </w:r>
      <w:r w:rsidRPr="002E7B89">
        <w:rPr>
          <w:b/>
          <w:lang w:val="lt-LT" w:bidi="lt-LT"/>
        </w:rPr>
        <w:tab/>
        <w:t>Pagalbinių medžiagų sąrašas</w:t>
      </w:r>
    </w:p>
    <w:p w14:paraId="31A84E8F" w14:textId="77777777" w:rsidR="00A16F40" w:rsidRPr="002E7B89" w:rsidRDefault="00A16F40" w:rsidP="002D4A26">
      <w:pPr>
        <w:pStyle w:val="Betarp"/>
        <w:rPr>
          <w:lang w:val="lt-LT"/>
        </w:rPr>
      </w:pPr>
    </w:p>
    <w:p w14:paraId="20DAA1C3" w14:textId="77777777" w:rsidR="0055287B" w:rsidRPr="002E7B89" w:rsidRDefault="0055287B" w:rsidP="0055287B">
      <w:pPr>
        <w:pStyle w:val="Betarp"/>
        <w:rPr>
          <w:lang w:val="lt-LT"/>
        </w:rPr>
      </w:pPr>
      <w:r w:rsidRPr="002E7B89">
        <w:rPr>
          <w:lang w:val="lt-LT" w:bidi="lt-LT"/>
        </w:rPr>
        <w:t>Kreatininas</w:t>
      </w:r>
    </w:p>
    <w:p w14:paraId="7E7C7932" w14:textId="77777777" w:rsidR="0055287B" w:rsidRPr="002E7B89" w:rsidRDefault="0055287B" w:rsidP="0055287B">
      <w:pPr>
        <w:pStyle w:val="Betarp"/>
        <w:rPr>
          <w:lang w:val="lt-LT"/>
        </w:rPr>
      </w:pPr>
      <w:r w:rsidRPr="002E7B89">
        <w:rPr>
          <w:lang w:val="lt-LT" w:bidi="lt-LT"/>
        </w:rPr>
        <w:t xml:space="preserve">Natrio citratas (pH </w:t>
      </w:r>
      <w:r w:rsidR="00BB772F" w:rsidRPr="002E7B89">
        <w:rPr>
          <w:lang w:val="lt-LT" w:bidi="lt-LT"/>
        </w:rPr>
        <w:t>koreguoti</w:t>
      </w:r>
      <w:r w:rsidRPr="002E7B89">
        <w:rPr>
          <w:lang w:val="lt-LT" w:bidi="lt-LT"/>
        </w:rPr>
        <w:t>)</w:t>
      </w:r>
    </w:p>
    <w:p w14:paraId="08427EAF" w14:textId="77777777" w:rsidR="0055287B" w:rsidRPr="002E7B89" w:rsidRDefault="0055287B" w:rsidP="0055287B">
      <w:pPr>
        <w:pStyle w:val="Betarp"/>
        <w:rPr>
          <w:lang w:val="lt-LT"/>
        </w:rPr>
      </w:pPr>
      <w:r w:rsidRPr="002E7B89">
        <w:rPr>
          <w:lang w:val="lt-LT" w:bidi="lt-LT"/>
        </w:rPr>
        <w:t>Dinatrio edetatas</w:t>
      </w:r>
    </w:p>
    <w:p w14:paraId="7A02BB70" w14:textId="77777777" w:rsidR="0055287B" w:rsidRPr="002E7B89" w:rsidRDefault="0055287B" w:rsidP="0055287B">
      <w:pPr>
        <w:pStyle w:val="Betarp"/>
        <w:rPr>
          <w:lang w:val="lt-LT"/>
        </w:rPr>
      </w:pPr>
      <w:r w:rsidRPr="002E7B89">
        <w:rPr>
          <w:lang w:val="lt-LT" w:bidi="lt-LT"/>
        </w:rPr>
        <w:t xml:space="preserve">Natrio hidroksidas (pH </w:t>
      </w:r>
      <w:r w:rsidR="00BB772F" w:rsidRPr="002E7B89">
        <w:rPr>
          <w:lang w:val="lt-LT" w:bidi="lt-LT"/>
        </w:rPr>
        <w:t>koreguoti</w:t>
      </w:r>
      <w:r w:rsidRPr="002E7B89">
        <w:rPr>
          <w:lang w:val="lt-LT" w:bidi="lt-LT"/>
        </w:rPr>
        <w:t>)</w:t>
      </w:r>
    </w:p>
    <w:p w14:paraId="55DDBCE9" w14:textId="77777777" w:rsidR="0055287B" w:rsidRPr="002E7B89" w:rsidRDefault="00F521DC" w:rsidP="0055287B">
      <w:pPr>
        <w:pStyle w:val="Betarp"/>
        <w:rPr>
          <w:lang w:val="lt-LT"/>
        </w:rPr>
      </w:pPr>
      <w:r w:rsidRPr="002E7B89">
        <w:rPr>
          <w:lang w:val="lt-LT" w:bidi="lt-LT"/>
        </w:rPr>
        <w:t>Injekcinis vanduo</w:t>
      </w:r>
    </w:p>
    <w:p w14:paraId="36A50EFC" w14:textId="77777777" w:rsidR="00A16F40" w:rsidRPr="002E7B89" w:rsidRDefault="00A16F40" w:rsidP="002D4A26">
      <w:pPr>
        <w:pStyle w:val="Betarp"/>
        <w:rPr>
          <w:lang w:val="lt-LT"/>
        </w:rPr>
      </w:pPr>
    </w:p>
    <w:p w14:paraId="753CB94D" w14:textId="77777777" w:rsidR="00A16F40" w:rsidRPr="002E7B89" w:rsidRDefault="00A1794C" w:rsidP="002D4A26">
      <w:pPr>
        <w:pStyle w:val="Betarp"/>
        <w:rPr>
          <w:b/>
          <w:lang w:val="lt-LT"/>
        </w:rPr>
      </w:pPr>
      <w:bookmarkStart w:id="18" w:name="6.2_Inkompatibilitäten"/>
      <w:bookmarkEnd w:id="18"/>
      <w:r w:rsidRPr="002E7B89">
        <w:rPr>
          <w:b/>
          <w:lang w:val="lt-LT" w:bidi="lt-LT"/>
        </w:rPr>
        <w:t>6.2</w:t>
      </w:r>
      <w:r w:rsidRPr="002E7B89">
        <w:rPr>
          <w:b/>
          <w:lang w:val="lt-LT" w:bidi="lt-LT"/>
        </w:rPr>
        <w:tab/>
        <w:t>Nesuderinamumas</w:t>
      </w:r>
    </w:p>
    <w:p w14:paraId="359DC46C" w14:textId="77777777" w:rsidR="00A16F40" w:rsidRPr="002E7B89" w:rsidRDefault="00A16F40" w:rsidP="002D4A26">
      <w:pPr>
        <w:pStyle w:val="Betarp"/>
        <w:rPr>
          <w:lang w:val="lt-LT"/>
        </w:rPr>
      </w:pPr>
    </w:p>
    <w:p w14:paraId="00852A0C" w14:textId="77CF46FA" w:rsidR="00A16F40" w:rsidRPr="002E7B89" w:rsidRDefault="00716299" w:rsidP="002D4A26">
      <w:pPr>
        <w:pStyle w:val="Betarp"/>
        <w:rPr>
          <w:lang w:val="lt-LT"/>
        </w:rPr>
      </w:pPr>
      <w:r w:rsidRPr="002E7B89">
        <w:rPr>
          <w:lang w:val="lt-LT" w:bidi="lt-LT"/>
        </w:rPr>
        <w:t>Šio vaistinio preparato negalima maišyti su kitais, išskyrus nurodytus 6.6</w:t>
      </w:r>
      <w:r w:rsidR="008B5C86">
        <w:rPr>
          <w:lang w:val="lt-LT" w:bidi="lt-LT"/>
        </w:rPr>
        <w:t> </w:t>
      </w:r>
      <w:r w:rsidRPr="002E7B89">
        <w:rPr>
          <w:lang w:val="lt-LT" w:bidi="lt-LT"/>
        </w:rPr>
        <w:t>skyriuje.</w:t>
      </w:r>
    </w:p>
    <w:p w14:paraId="0FAAB46D" w14:textId="77777777" w:rsidR="00A16F40" w:rsidRPr="002E7B89" w:rsidRDefault="00A16F40" w:rsidP="002D4A26">
      <w:pPr>
        <w:pStyle w:val="Betarp"/>
        <w:rPr>
          <w:lang w:val="lt-LT"/>
        </w:rPr>
      </w:pPr>
    </w:p>
    <w:p w14:paraId="22D87791" w14:textId="77777777" w:rsidR="00A16F40" w:rsidRPr="002E7B89" w:rsidRDefault="00A1794C" w:rsidP="002D4A26">
      <w:pPr>
        <w:pStyle w:val="Betarp"/>
        <w:rPr>
          <w:b/>
          <w:lang w:val="lt-LT"/>
        </w:rPr>
      </w:pPr>
      <w:bookmarkStart w:id="19" w:name="6.3_Dauer_der_Haltbarkeit"/>
      <w:bookmarkEnd w:id="19"/>
      <w:r w:rsidRPr="002E7B89">
        <w:rPr>
          <w:b/>
          <w:lang w:val="lt-LT" w:bidi="lt-LT"/>
        </w:rPr>
        <w:t>6.3</w:t>
      </w:r>
      <w:r w:rsidRPr="002E7B89">
        <w:rPr>
          <w:b/>
          <w:lang w:val="lt-LT" w:bidi="lt-LT"/>
        </w:rPr>
        <w:tab/>
        <w:t>Tinkamumo laikas</w:t>
      </w:r>
    </w:p>
    <w:p w14:paraId="656FBCF8" w14:textId="77777777" w:rsidR="00A16F40" w:rsidRPr="002E7B89" w:rsidRDefault="00A16F40" w:rsidP="002D4A26">
      <w:pPr>
        <w:pStyle w:val="Betarp"/>
        <w:rPr>
          <w:lang w:val="lt-LT"/>
        </w:rPr>
      </w:pPr>
    </w:p>
    <w:p w14:paraId="0AB15CA3" w14:textId="6B74ED53" w:rsidR="00A16F40" w:rsidRPr="002E7B89" w:rsidRDefault="00401DBD" w:rsidP="002D4A26">
      <w:pPr>
        <w:pStyle w:val="Betarp"/>
        <w:rPr>
          <w:lang w:val="lt-LT"/>
        </w:rPr>
      </w:pPr>
      <w:r>
        <w:rPr>
          <w:lang w:val="lt-LT" w:bidi="lt-LT"/>
        </w:rPr>
        <w:t>2 metai</w:t>
      </w:r>
    </w:p>
    <w:p w14:paraId="513B8F9D" w14:textId="77777777" w:rsidR="005143E0" w:rsidRPr="002E7B89" w:rsidRDefault="005143E0" w:rsidP="005143E0">
      <w:pPr>
        <w:pStyle w:val="Betarp"/>
        <w:rPr>
          <w:iCs/>
          <w:u w:val="single"/>
          <w:lang w:val="lt-LT"/>
        </w:rPr>
      </w:pPr>
    </w:p>
    <w:p w14:paraId="75014EED" w14:textId="77777777" w:rsidR="005143E0" w:rsidRPr="002E7B89" w:rsidRDefault="006B33C8" w:rsidP="005143E0">
      <w:pPr>
        <w:pStyle w:val="Betarp"/>
        <w:rPr>
          <w:lang w:val="lt-LT"/>
        </w:rPr>
      </w:pPr>
      <w:r w:rsidRPr="002E7B89">
        <w:rPr>
          <w:u w:val="single"/>
          <w:lang w:val="lt-LT" w:bidi="lt-LT"/>
        </w:rPr>
        <w:t>Po ampulės atidarymo:</w:t>
      </w:r>
      <w:r w:rsidR="005143E0" w:rsidRPr="002E7B89">
        <w:rPr>
          <w:lang w:val="lt-LT" w:bidi="lt-LT"/>
        </w:rPr>
        <w:t xml:space="preserve"> atidarius vaistinį preparatą reikia vartoti nedelsiant.</w:t>
      </w:r>
    </w:p>
    <w:p w14:paraId="4E3DD295" w14:textId="77777777" w:rsidR="00D0125D" w:rsidRPr="002E7B89" w:rsidRDefault="00D0125D" w:rsidP="006B33C8">
      <w:pPr>
        <w:rPr>
          <w:u w:val="single"/>
          <w:lang w:val="lt-LT"/>
        </w:rPr>
      </w:pPr>
    </w:p>
    <w:p w14:paraId="34C47AF7" w14:textId="77777777" w:rsidR="006B33C8" w:rsidRPr="002E7B89" w:rsidRDefault="006B33C8" w:rsidP="006B33C8">
      <w:pPr>
        <w:rPr>
          <w:lang w:val="lt-LT" w:eastAsia="lt-LT"/>
        </w:rPr>
      </w:pPr>
      <w:r w:rsidRPr="002E7B89">
        <w:rPr>
          <w:u w:val="single"/>
          <w:lang w:val="lt-LT"/>
        </w:rPr>
        <w:t>Praskiesto tirpalo tinkamumo laikas</w:t>
      </w:r>
    </w:p>
    <w:p w14:paraId="70AE3197" w14:textId="77777777" w:rsidR="00FA72B6" w:rsidRPr="002E7B89" w:rsidRDefault="004C2AFF" w:rsidP="006B33C8">
      <w:pPr>
        <w:rPr>
          <w:lang w:val="lt-LT"/>
        </w:rPr>
      </w:pPr>
      <w:r w:rsidRPr="002E7B89">
        <w:rPr>
          <w:lang w:val="lt-LT"/>
        </w:rPr>
        <w:t>Nustatyta</w:t>
      </w:r>
      <w:r w:rsidR="00FA72B6" w:rsidRPr="002E7B89">
        <w:rPr>
          <w:lang w:val="lt-LT"/>
        </w:rPr>
        <w:t>, kad p</w:t>
      </w:r>
      <w:r w:rsidR="006B33C8" w:rsidRPr="002E7B89">
        <w:rPr>
          <w:lang w:val="lt-LT"/>
        </w:rPr>
        <w:t>raskiesto tirpalo, laikomo 25 </w:t>
      </w:r>
      <w:r w:rsidR="006B33C8" w:rsidRPr="002E7B89">
        <w:rPr>
          <w:lang w:val="lt-LT"/>
        </w:rPr>
        <w:sym w:font="Symbol" w:char="F0B0"/>
      </w:r>
      <w:r w:rsidR="006B33C8" w:rsidRPr="002E7B89">
        <w:rPr>
          <w:lang w:val="lt-LT"/>
        </w:rPr>
        <w:t>C temperatūroje</w:t>
      </w:r>
      <w:r w:rsidR="00FA72B6" w:rsidRPr="002E7B89">
        <w:rPr>
          <w:lang w:val="lt-LT"/>
        </w:rPr>
        <w:t xml:space="preserve"> (apsaugot</w:t>
      </w:r>
      <w:r w:rsidRPr="002E7B89">
        <w:rPr>
          <w:lang w:val="lt-LT"/>
        </w:rPr>
        <w:t>o</w:t>
      </w:r>
      <w:r w:rsidR="00FA72B6" w:rsidRPr="002E7B89">
        <w:rPr>
          <w:lang w:val="lt-LT"/>
        </w:rPr>
        <w:t xml:space="preserve"> nuo šviesos) ir laikomo 2 </w:t>
      </w:r>
      <w:r w:rsidR="00FA72B6" w:rsidRPr="002E7B89">
        <w:rPr>
          <w:lang w:val="lt-LT"/>
        </w:rPr>
        <w:sym w:font="Symbol" w:char="F0B0"/>
      </w:r>
      <w:r w:rsidR="00FA72B6" w:rsidRPr="002E7B89">
        <w:rPr>
          <w:lang w:val="lt-LT"/>
        </w:rPr>
        <w:t>C</w:t>
      </w:r>
      <w:r w:rsidR="00231252">
        <w:rPr>
          <w:lang w:val="lt-LT"/>
        </w:rPr>
        <w:t> </w:t>
      </w:r>
      <w:r w:rsidR="00231252">
        <w:rPr>
          <w:lang w:val="lt-LT"/>
        </w:rPr>
        <w:noBreakHyphen/>
        <w:t> </w:t>
      </w:r>
      <w:r w:rsidR="00FA72B6" w:rsidRPr="002E7B89">
        <w:rPr>
          <w:lang w:val="lt-LT"/>
        </w:rPr>
        <w:t>8 </w:t>
      </w:r>
      <w:r w:rsidR="00FA72B6" w:rsidRPr="002E7B89">
        <w:rPr>
          <w:lang w:val="lt-LT"/>
        </w:rPr>
        <w:sym w:font="Symbol" w:char="F0B0"/>
      </w:r>
      <w:r w:rsidR="00FA72B6" w:rsidRPr="002E7B89">
        <w:rPr>
          <w:lang w:val="lt-LT"/>
        </w:rPr>
        <w:t>C temperatūroje</w:t>
      </w:r>
      <w:r w:rsidR="006B33C8" w:rsidRPr="002E7B89">
        <w:rPr>
          <w:lang w:val="lt-LT"/>
        </w:rPr>
        <w:t xml:space="preserve">, fizinis ir cheminis stabilumas nekinta </w:t>
      </w:r>
      <w:r w:rsidR="00FA72B6" w:rsidRPr="002E7B89">
        <w:rPr>
          <w:lang w:val="lt-LT"/>
        </w:rPr>
        <w:t>48</w:t>
      </w:r>
      <w:r w:rsidR="006B33C8" w:rsidRPr="002E7B89">
        <w:rPr>
          <w:lang w:val="lt-LT"/>
        </w:rPr>
        <w:t> valandas</w:t>
      </w:r>
      <w:r w:rsidR="00FA72B6" w:rsidRPr="002E7B89">
        <w:rPr>
          <w:lang w:val="lt-LT"/>
        </w:rPr>
        <w:t>.</w:t>
      </w:r>
    </w:p>
    <w:p w14:paraId="65B16238" w14:textId="77777777" w:rsidR="004C2AFF" w:rsidRPr="002E7B89" w:rsidRDefault="004C2AFF" w:rsidP="004C2AFF">
      <w:pPr>
        <w:tabs>
          <w:tab w:val="left" w:pos="720"/>
        </w:tabs>
        <w:rPr>
          <w:lang w:val="lt-LT"/>
        </w:rPr>
      </w:pPr>
      <w:r w:rsidRPr="002E7B89">
        <w:rPr>
          <w:lang w:val="lt-LT"/>
        </w:rPr>
        <w:t>Mikrobiologiniu požiūriu praskiestą tirpalą reikia suvartoti nedelsiant. Jeigu jis tuoj pat nevartojamas, už laikymo trukmę ir sąlygas prieš vartojimą atsako vartojantis asmuo, tačiau ilgiau negu 24 valandas 2 </w:t>
      </w:r>
      <w:r w:rsidRPr="002E7B89">
        <w:rPr>
          <w:lang w:val="lt-LT"/>
        </w:rPr>
        <w:sym w:font="Symbol" w:char="F0B0"/>
      </w:r>
      <w:r w:rsidRPr="002E7B89">
        <w:rPr>
          <w:lang w:val="lt-LT"/>
        </w:rPr>
        <w:t>C</w:t>
      </w:r>
      <w:r w:rsidR="00231252">
        <w:rPr>
          <w:lang w:val="lt-LT"/>
        </w:rPr>
        <w:t> </w:t>
      </w:r>
      <w:r w:rsidR="00231252">
        <w:rPr>
          <w:lang w:val="lt-LT"/>
        </w:rPr>
        <w:noBreakHyphen/>
        <w:t> </w:t>
      </w:r>
      <w:r w:rsidRPr="002E7B89">
        <w:rPr>
          <w:lang w:val="lt-LT"/>
        </w:rPr>
        <w:t>8 </w:t>
      </w:r>
      <w:r w:rsidRPr="002E7B89">
        <w:rPr>
          <w:lang w:val="lt-LT"/>
        </w:rPr>
        <w:sym w:font="Symbol" w:char="F0B0"/>
      </w:r>
      <w:r w:rsidRPr="002E7B89">
        <w:rPr>
          <w:lang w:val="lt-LT"/>
        </w:rPr>
        <w:t>C temperatūroje laikyti negalima, nebent vaistinis preparatas būtų skiestas kontroliuojamomis ir patvirtintomis aseptinėmis sąlygomis.</w:t>
      </w:r>
    </w:p>
    <w:p w14:paraId="6111DBA1" w14:textId="77777777" w:rsidR="00D0125D" w:rsidRPr="002472CD" w:rsidRDefault="00D0125D" w:rsidP="002D4A26">
      <w:pPr>
        <w:pStyle w:val="Betarp"/>
        <w:rPr>
          <w:lang w:val="lt-LT"/>
        </w:rPr>
      </w:pPr>
      <w:bookmarkStart w:id="20" w:name="6.4_Besondere_Vorsichtsmaßnahmen_für_die"/>
      <w:bookmarkEnd w:id="20"/>
    </w:p>
    <w:p w14:paraId="05238ECD" w14:textId="77777777" w:rsidR="00A16F40" w:rsidRPr="002E7B89" w:rsidRDefault="00A1794C" w:rsidP="002D4A26">
      <w:pPr>
        <w:pStyle w:val="Betarp"/>
        <w:rPr>
          <w:b/>
          <w:lang w:val="lt-LT"/>
        </w:rPr>
      </w:pPr>
      <w:r w:rsidRPr="002E7B89">
        <w:rPr>
          <w:b/>
          <w:lang w:val="lt-LT" w:bidi="lt-LT"/>
        </w:rPr>
        <w:t>6.4</w:t>
      </w:r>
      <w:r w:rsidRPr="002E7B89">
        <w:rPr>
          <w:b/>
          <w:lang w:val="lt-LT" w:bidi="lt-LT"/>
        </w:rPr>
        <w:tab/>
        <w:t>Specialios laikymo sąlygos</w:t>
      </w:r>
    </w:p>
    <w:p w14:paraId="402A03BF" w14:textId="77777777" w:rsidR="00A16F40" w:rsidRPr="002E7B89" w:rsidRDefault="00A16F40" w:rsidP="002D4A26">
      <w:pPr>
        <w:pStyle w:val="Betarp"/>
        <w:rPr>
          <w:lang w:val="lt-LT"/>
        </w:rPr>
      </w:pPr>
    </w:p>
    <w:p w14:paraId="26DE95D9" w14:textId="77777777" w:rsidR="00C045A9" w:rsidRPr="002E7B89" w:rsidRDefault="006B33C8" w:rsidP="002D4A26">
      <w:pPr>
        <w:pStyle w:val="Betarp"/>
        <w:rPr>
          <w:lang w:val="lt-LT"/>
        </w:rPr>
      </w:pPr>
      <w:r w:rsidRPr="002E7B89">
        <w:rPr>
          <w:lang w:val="lt-LT" w:bidi="lt-LT"/>
        </w:rPr>
        <w:t xml:space="preserve">Laikyti ne </w:t>
      </w:r>
      <w:r w:rsidR="00C045A9" w:rsidRPr="002E7B89">
        <w:rPr>
          <w:lang w:val="lt-LT" w:bidi="lt-LT"/>
        </w:rPr>
        <w:t xml:space="preserve">aukštesnėje </w:t>
      </w:r>
      <w:r w:rsidRPr="002E7B89">
        <w:rPr>
          <w:lang w:val="lt-LT" w:bidi="lt-LT"/>
        </w:rPr>
        <w:t xml:space="preserve">kaip </w:t>
      </w:r>
      <w:r w:rsidR="00C045A9" w:rsidRPr="002E7B89">
        <w:rPr>
          <w:lang w:val="lt-LT" w:bidi="lt-LT"/>
        </w:rPr>
        <w:t>30 °C temperatūroje.</w:t>
      </w:r>
    </w:p>
    <w:p w14:paraId="4427690B" w14:textId="77777777" w:rsidR="00A16F40" w:rsidRPr="002E7B89" w:rsidRDefault="00716299" w:rsidP="002D4A26">
      <w:pPr>
        <w:pStyle w:val="Betarp"/>
        <w:rPr>
          <w:lang w:val="lt-LT"/>
        </w:rPr>
      </w:pPr>
      <w:r w:rsidRPr="002E7B89">
        <w:rPr>
          <w:lang w:val="lt-LT" w:bidi="lt-LT"/>
        </w:rPr>
        <w:lastRenderedPageBreak/>
        <w:t>Ampules laiky</w:t>
      </w:r>
      <w:r w:rsidR="006B33C8" w:rsidRPr="002E7B89">
        <w:rPr>
          <w:lang w:val="lt-LT" w:bidi="lt-LT"/>
        </w:rPr>
        <w:t>ti</w:t>
      </w:r>
      <w:r w:rsidRPr="002E7B89">
        <w:rPr>
          <w:lang w:val="lt-LT" w:bidi="lt-LT"/>
        </w:rPr>
        <w:t xml:space="preserve"> išorinėje dėžutėje, kad </w:t>
      </w:r>
      <w:r w:rsidR="006B33C8" w:rsidRPr="002E7B89">
        <w:rPr>
          <w:lang w:val="lt-LT" w:bidi="lt-LT"/>
        </w:rPr>
        <w:t xml:space="preserve">vaistinis preparatas </w:t>
      </w:r>
      <w:r w:rsidRPr="002E7B89">
        <w:rPr>
          <w:lang w:val="lt-LT" w:bidi="lt-LT"/>
        </w:rPr>
        <w:t>būtų apsaugotos nuo šviesos.</w:t>
      </w:r>
    </w:p>
    <w:p w14:paraId="36F5A237" w14:textId="77777777" w:rsidR="00A16F40" w:rsidRPr="002E7B89" w:rsidRDefault="00A16F40" w:rsidP="002D4A26">
      <w:pPr>
        <w:pStyle w:val="Betarp"/>
        <w:rPr>
          <w:lang w:val="lt-LT"/>
        </w:rPr>
      </w:pPr>
    </w:p>
    <w:p w14:paraId="085CDBF2" w14:textId="65E2CFF7" w:rsidR="008512E0" w:rsidRPr="002E7B89" w:rsidRDefault="008512E0" w:rsidP="002D4A26">
      <w:pPr>
        <w:pStyle w:val="Betarp"/>
        <w:rPr>
          <w:lang w:val="lt-LT"/>
        </w:rPr>
      </w:pPr>
      <w:r w:rsidRPr="002E7B89">
        <w:rPr>
          <w:lang w:val="lt-LT" w:bidi="lt-LT"/>
        </w:rPr>
        <w:t>Apie laikymo sąlygas po ampulės atidarymo žr. 6.3</w:t>
      </w:r>
      <w:r w:rsidR="008B5C86">
        <w:rPr>
          <w:lang w:val="lt-LT" w:bidi="lt-LT"/>
        </w:rPr>
        <w:t> </w:t>
      </w:r>
      <w:r w:rsidRPr="002E7B89">
        <w:rPr>
          <w:lang w:val="lt-LT" w:bidi="lt-LT"/>
        </w:rPr>
        <w:t>skyriuje.</w:t>
      </w:r>
    </w:p>
    <w:p w14:paraId="6D6E7CB9" w14:textId="77777777" w:rsidR="008512E0" w:rsidRPr="002E7B89" w:rsidRDefault="008512E0" w:rsidP="002D4A26">
      <w:pPr>
        <w:pStyle w:val="Betarp"/>
        <w:rPr>
          <w:lang w:val="lt-LT"/>
        </w:rPr>
      </w:pPr>
    </w:p>
    <w:p w14:paraId="42B3ACAF" w14:textId="77777777" w:rsidR="00A16F40" w:rsidRPr="002E7B89" w:rsidRDefault="00A1794C" w:rsidP="002D4A26">
      <w:pPr>
        <w:pStyle w:val="Betarp"/>
        <w:rPr>
          <w:b/>
          <w:lang w:val="lt-LT"/>
        </w:rPr>
      </w:pPr>
      <w:bookmarkStart w:id="21" w:name="6.5_Art_und_Inhalt_des_Behältnisses"/>
      <w:bookmarkEnd w:id="21"/>
      <w:r w:rsidRPr="002E7B89">
        <w:rPr>
          <w:b/>
          <w:lang w:val="lt-LT" w:bidi="lt-LT"/>
        </w:rPr>
        <w:t>6.5</w:t>
      </w:r>
      <w:r w:rsidRPr="002E7B89">
        <w:rPr>
          <w:b/>
          <w:lang w:val="lt-LT" w:bidi="lt-LT"/>
        </w:rPr>
        <w:tab/>
        <w:t>Talpyklės pobūdis ir jos turinys</w:t>
      </w:r>
    </w:p>
    <w:p w14:paraId="01F48993" w14:textId="77777777" w:rsidR="00A16F40" w:rsidRPr="002E7B89" w:rsidRDefault="00A16F40" w:rsidP="002D4A26">
      <w:pPr>
        <w:pStyle w:val="Betarp"/>
        <w:rPr>
          <w:lang w:val="lt-LT"/>
        </w:rPr>
      </w:pPr>
    </w:p>
    <w:p w14:paraId="1D4E7145" w14:textId="77777777" w:rsidR="00FA72B6" w:rsidRPr="002E7B89" w:rsidRDefault="00FA72B6" w:rsidP="00FA72B6">
      <w:pPr>
        <w:tabs>
          <w:tab w:val="left" w:pos="720"/>
        </w:tabs>
        <w:rPr>
          <w:lang w:val="lt-LT" w:eastAsia="lt-LT"/>
        </w:rPr>
      </w:pPr>
      <w:r w:rsidRPr="002E7B89">
        <w:rPr>
          <w:lang w:val="lt-LT"/>
        </w:rPr>
        <w:t xml:space="preserve">1 ml </w:t>
      </w:r>
      <w:r w:rsidRPr="00A94563">
        <w:rPr>
          <w:lang w:val="lt-LT"/>
        </w:rPr>
        <w:t>arba 2 ml</w:t>
      </w:r>
      <w:r w:rsidRPr="002E7B89">
        <w:rPr>
          <w:lang w:val="lt-LT"/>
        </w:rPr>
        <w:t xml:space="preserve"> injekcinio tirpalo</w:t>
      </w:r>
      <w:r w:rsidR="004C2AFF" w:rsidRPr="002E7B89">
        <w:rPr>
          <w:lang w:val="lt-LT"/>
        </w:rPr>
        <w:t xml:space="preserve"> pripildytos </w:t>
      </w:r>
      <w:r w:rsidRPr="002E7B89">
        <w:rPr>
          <w:lang w:val="lt-LT"/>
        </w:rPr>
        <w:t>I tipo bespalvio stiklo ampulė</w:t>
      </w:r>
      <w:r w:rsidR="004C2AFF" w:rsidRPr="002E7B89">
        <w:rPr>
          <w:lang w:val="lt-LT"/>
        </w:rPr>
        <w:t>s</w:t>
      </w:r>
      <w:r w:rsidRPr="002E7B89">
        <w:rPr>
          <w:lang w:val="lt-LT"/>
        </w:rPr>
        <w:t xml:space="preserve"> su laužimo tašku.</w:t>
      </w:r>
    </w:p>
    <w:p w14:paraId="655C25A1" w14:textId="77777777" w:rsidR="0045078A" w:rsidRPr="002E7B89" w:rsidRDefault="004C2AFF" w:rsidP="0045078A">
      <w:pPr>
        <w:pStyle w:val="Betarp"/>
        <w:rPr>
          <w:lang w:val="lt-LT"/>
        </w:rPr>
      </w:pPr>
      <w:r w:rsidRPr="002E7B89">
        <w:rPr>
          <w:lang w:val="lt-LT"/>
        </w:rPr>
        <w:t>Ampulės paženklintos specialios spalvos žiedo kodu.</w:t>
      </w:r>
    </w:p>
    <w:p w14:paraId="1B1C7FDC" w14:textId="77777777" w:rsidR="00833BC7" w:rsidRPr="002E7B89" w:rsidRDefault="00833BC7" w:rsidP="00833BC7">
      <w:pPr>
        <w:pStyle w:val="Betarp"/>
        <w:rPr>
          <w:lang w:val="lt-LT"/>
        </w:rPr>
      </w:pPr>
      <w:r w:rsidRPr="002E7B89">
        <w:rPr>
          <w:lang w:val="lt-LT" w:bidi="lt-LT"/>
        </w:rPr>
        <w:t>Ampulės supakuotos į įdėklus. Įdėklai pakuojami į karton</w:t>
      </w:r>
      <w:r w:rsidR="0051016D" w:rsidRPr="002E7B89">
        <w:rPr>
          <w:lang w:val="lt-LT" w:bidi="lt-LT"/>
        </w:rPr>
        <w:t>o</w:t>
      </w:r>
      <w:r w:rsidRPr="002E7B89">
        <w:rPr>
          <w:lang w:val="lt-LT" w:bidi="lt-LT"/>
        </w:rPr>
        <w:t xml:space="preserve"> dėžutes.</w:t>
      </w:r>
    </w:p>
    <w:p w14:paraId="2F61E3C1" w14:textId="77777777" w:rsidR="004D1764" w:rsidRPr="002E7B89" w:rsidRDefault="004D1764" w:rsidP="002D4A26">
      <w:pPr>
        <w:pStyle w:val="Betarp"/>
        <w:rPr>
          <w:lang w:val="lt-LT"/>
        </w:rPr>
      </w:pPr>
    </w:p>
    <w:p w14:paraId="596B2BDE" w14:textId="77777777" w:rsidR="004D1764" w:rsidRPr="002E7B89" w:rsidRDefault="004D1764" w:rsidP="002D4A26">
      <w:pPr>
        <w:pStyle w:val="Betarp"/>
        <w:rPr>
          <w:lang w:val="lt-LT"/>
        </w:rPr>
      </w:pPr>
      <w:r w:rsidRPr="002E7B89">
        <w:rPr>
          <w:lang w:val="lt-LT" w:bidi="lt-LT"/>
        </w:rPr>
        <w:t>Pakuotės dyd</w:t>
      </w:r>
      <w:r w:rsidR="004C2AFF" w:rsidRPr="002E7B89">
        <w:rPr>
          <w:lang w:val="lt-LT" w:bidi="lt-LT"/>
        </w:rPr>
        <w:t>is:</w:t>
      </w:r>
    </w:p>
    <w:p w14:paraId="7F7ECBCC" w14:textId="77777777" w:rsidR="004D1764" w:rsidRPr="002E7B89" w:rsidRDefault="004D1764" w:rsidP="00322D98">
      <w:pPr>
        <w:pStyle w:val="Betarp"/>
        <w:rPr>
          <w:lang w:val="lt-LT"/>
        </w:rPr>
      </w:pPr>
      <w:r w:rsidRPr="002E7B89">
        <w:rPr>
          <w:lang w:val="lt-LT" w:bidi="lt-LT"/>
        </w:rPr>
        <w:t>3, 10, 25, 50 arba 100 ampulių po 1 ml</w:t>
      </w:r>
    </w:p>
    <w:p w14:paraId="3E5D3D62" w14:textId="77777777" w:rsidR="004D1764" w:rsidRPr="002E7B89" w:rsidRDefault="004D1764" w:rsidP="002D4A26">
      <w:pPr>
        <w:pStyle w:val="Betarp"/>
        <w:rPr>
          <w:lang w:val="lt-LT"/>
        </w:rPr>
      </w:pPr>
      <w:r w:rsidRPr="002E7B89">
        <w:rPr>
          <w:lang w:val="lt-LT" w:bidi="lt-LT"/>
        </w:rPr>
        <w:t>5, 10, 25, 50 arba 100 ampulių po 2 ml</w:t>
      </w:r>
    </w:p>
    <w:p w14:paraId="1A089E36" w14:textId="77777777" w:rsidR="00322D98" w:rsidRPr="002E7B89" w:rsidRDefault="00322D98" w:rsidP="002D4A26">
      <w:pPr>
        <w:pStyle w:val="Betarp"/>
        <w:rPr>
          <w:lang w:val="lt-LT"/>
        </w:rPr>
      </w:pPr>
    </w:p>
    <w:p w14:paraId="57AA4DA4" w14:textId="77777777" w:rsidR="00322D98" w:rsidRPr="002E7B89" w:rsidRDefault="00322D98" w:rsidP="00322D98">
      <w:pPr>
        <w:rPr>
          <w:lang w:val="lt-LT"/>
        </w:rPr>
      </w:pPr>
      <w:r w:rsidRPr="002E7B89">
        <w:rPr>
          <w:lang w:val="lt-LT" w:bidi="lt-LT"/>
        </w:rPr>
        <w:t>Gali būti tiekiamos ne visų dydžių pakuotės.</w:t>
      </w:r>
    </w:p>
    <w:p w14:paraId="3B71661E" w14:textId="77777777" w:rsidR="00A16F40" w:rsidRPr="002E7B89" w:rsidRDefault="00A16F40" w:rsidP="002D4A26">
      <w:pPr>
        <w:pStyle w:val="Betarp"/>
        <w:rPr>
          <w:lang w:val="lt-LT"/>
        </w:rPr>
      </w:pPr>
    </w:p>
    <w:p w14:paraId="08676910" w14:textId="77777777" w:rsidR="00A16F40" w:rsidRPr="002E7B89" w:rsidRDefault="00A1794C" w:rsidP="002D4A26">
      <w:pPr>
        <w:pStyle w:val="Betarp"/>
        <w:rPr>
          <w:b/>
          <w:lang w:val="lt-LT"/>
        </w:rPr>
      </w:pPr>
      <w:bookmarkStart w:id="22" w:name="6.6_Besondere_Vorsichtsmaßnahmen_für_die"/>
      <w:bookmarkEnd w:id="22"/>
      <w:r w:rsidRPr="002E7B89">
        <w:rPr>
          <w:b/>
          <w:lang w:val="lt-LT" w:bidi="lt-LT"/>
        </w:rPr>
        <w:t>6.6</w:t>
      </w:r>
      <w:r w:rsidRPr="002E7B89">
        <w:rPr>
          <w:b/>
          <w:lang w:val="lt-LT" w:bidi="lt-LT"/>
        </w:rPr>
        <w:tab/>
        <w:t>Specialūs reikalavimai atliekoms tvarkyti ir vaistiniam preparatui ruošti</w:t>
      </w:r>
    </w:p>
    <w:p w14:paraId="02364E54" w14:textId="77777777" w:rsidR="00A16F40" w:rsidRPr="002E7B89" w:rsidRDefault="00A16F40" w:rsidP="002D4A26">
      <w:pPr>
        <w:pStyle w:val="Betarp"/>
        <w:rPr>
          <w:lang w:val="lt-LT"/>
        </w:rPr>
      </w:pPr>
    </w:p>
    <w:p w14:paraId="786792E0" w14:textId="77777777" w:rsidR="00522566" w:rsidRPr="002E7B89" w:rsidRDefault="00D02524" w:rsidP="000D3760">
      <w:pPr>
        <w:pStyle w:val="Betarp"/>
        <w:rPr>
          <w:lang w:val="lt-LT"/>
        </w:rPr>
      </w:pPr>
      <w:r>
        <w:rPr>
          <w:lang w:val="lt-LT" w:bidi="lt-LT"/>
        </w:rPr>
        <w:t>T</w:t>
      </w:r>
      <w:r w:rsidR="003E43B8" w:rsidRPr="002E7B89">
        <w:rPr>
          <w:lang w:val="lt-LT" w:bidi="lt-LT"/>
        </w:rPr>
        <w:t>ik</w:t>
      </w:r>
      <w:r w:rsidR="004C2AFF" w:rsidRPr="002E7B89">
        <w:rPr>
          <w:lang w:val="lt-LT" w:bidi="lt-LT"/>
        </w:rPr>
        <w:t xml:space="preserve"> vienkartiniam vartojimui.</w:t>
      </w:r>
      <w:r w:rsidR="000D3760" w:rsidRPr="002E7B89">
        <w:rPr>
          <w:lang w:val="lt-LT" w:bidi="lt-LT"/>
        </w:rPr>
        <w:t xml:space="preserve"> </w:t>
      </w:r>
    </w:p>
    <w:p w14:paraId="387A9B95" w14:textId="77777777" w:rsidR="00522566" w:rsidRPr="002E7B89" w:rsidRDefault="00522566" w:rsidP="000D3760">
      <w:pPr>
        <w:pStyle w:val="Betarp"/>
        <w:rPr>
          <w:lang w:val="lt-LT"/>
        </w:rPr>
      </w:pPr>
    </w:p>
    <w:p w14:paraId="52AF6571" w14:textId="77777777" w:rsidR="00522566" w:rsidRPr="002E7B89" w:rsidRDefault="003A1251" w:rsidP="00522566">
      <w:pPr>
        <w:pStyle w:val="Betarp"/>
        <w:rPr>
          <w:lang w:val="lt-LT"/>
        </w:rPr>
      </w:pPr>
      <w:r w:rsidRPr="002E7B89">
        <w:rPr>
          <w:lang w:val="lt-LT" w:bidi="lt-LT"/>
        </w:rPr>
        <w:t xml:space="preserve">Atidarius vaistinį preparatą reikia vartoti nedelsiant. Likusį turinį reikia </w:t>
      </w:r>
      <w:r w:rsidR="00281669" w:rsidRPr="002E7B89">
        <w:rPr>
          <w:lang w:val="lt-LT" w:bidi="lt-LT"/>
        </w:rPr>
        <w:t>išpilti</w:t>
      </w:r>
      <w:r w:rsidRPr="002E7B89">
        <w:rPr>
          <w:lang w:val="lt-LT" w:bidi="lt-LT"/>
        </w:rPr>
        <w:t>.</w:t>
      </w:r>
    </w:p>
    <w:p w14:paraId="2DD37060" w14:textId="77777777" w:rsidR="000D3760" w:rsidRPr="002E7B89" w:rsidRDefault="000D3760" w:rsidP="000D3760">
      <w:pPr>
        <w:pStyle w:val="Betarp"/>
        <w:rPr>
          <w:lang w:val="lt-LT"/>
        </w:rPr>
      </w:pPr>
    </w:p>
    <w:p w14:paraId="238AE1ED" w14:textId="77777777" w:rsidR="003E43B8" w:rsidRPr="002E7B89" w:rsidRDefault="003E43B8" w:rsidP="003E43B8">
      <w:pPr>
        <w:pStyle w:val="Pagrindinistekstas"/>
        <w:rPr>
          <w:lang w:val="lt-LT"/>
        </w:rPr>
      </w:pPr>
      <w:r w:rsidRPr="002E7B89">
        <w:rPr>
          <w:lang w:val="lt-LT"/>
        </w:rPr>
        <w:t xml:space="preserve">Prieš vartojant vaistinį preparatą būtina apžiūrėti. Galima vartoti tik skaidrų tirpalą, be nuosėdų. </w:t>
      </w:r>
    </w:p>
    <w:p w14:paraId="220A0CC7" w14:textId="77777777" w:rsidR="00A16F40" w:rsidRPr="002E7B89" w:rsidRDefault="00A16F40" w:rsidP="002D4A26">
      <w:pPr>
        <w:pStyle w:val="Betarp"/>
        <w:rPr>
          <w:lang w:val="lt-LT"/>
        </w:rPr>
      </w:pPr>
    </w:p>
    <w:p w14:paraId="7698F34D" w14:textId="77777777" w:rsidR="00A16F40" w:rsidRPr="002E7B89" w:rsidRDefault="008765BB" w:rsidP="002D4A26">
      <w:pPr>
        <w:pStyle w:val="Betarp"/>
        <w:rPr>
          <w:lang w:val="lt-LT"/>
        </w:rPr>
      </w:pPr>
      <w:r>
        <w:rPr>
          <w:lang w:val="lt-LT" w:bidi="lt-LT"/>
        </w:rPr>
        <w:t>Dexamethasone Kalceks</w:t>
      </w:r>
      <w:r w:rsidR="00F80D11" w:rsidRPr="002E7B89">
        <w:rPr>
          <w:lang w:val="lt-LT" w:bidi="lt-LT"/>
        </w:rPr>
        <w:t xml:space="preserve"> </w:t>
      </w:r>
      <w:r w:rsidR="003E43B8" w:rsidRPr="002E7B89">
        <w:rPr>
          <w:lang w:val="lt-LT" w:bidi="lt-LT"/>
        </w:rPr>
        <w:t>injekcinį ar infuzinį</w:t>
      </w:r>
      <w:r w:rsidR="00810087" w:rsidRPr="002E7B89">
        <w:rPr>
          <w:lang w:val="lt-LT" w:bidi="lt-LT"/>
        </w:rPr>
        <w:t xml:space="preserve"> galima</w:t>
      </w:r>
      <w:r w:rsidR="003E43B8" w:rsidRPr="002E7B89">
        <w:rPr>
          <w:lang w:val="lt-LT" w:bidi="lt-LT"/>
        </w:rPr>
        <w:t xml:space="preserve"> leist</w:t>
      </w:r>
      <w:r w:rsidR="00F80D11" w:rsidRPr="002E7B89">
        <w:rPr>
          <w:lang w:val="lt-LT" w:bidi="lt-LT"/>
        </w:rPr>
        <w:t xml:space="preserve">i </w:t>
      </w:r>
      <w:r w:rsidR="003E43B8" w:rsidRPr="002E7B89">
        <w:rPr>
          <w:lang w:val="lt-LT" w:bidi="lt-LT"/>
        </w:rPr>
        <w:t xml:space="preserve">tiesiogiai </w:t>
      </w:r>
      <w:r w:rsidR="00F80D11" w:rsidRPr="002E7B89">
        <w:rPr>
          <w:lang w:val="lt-LT" w:bidi="lt-LT"/>
        </w:rPr>
        <w:t xml:space="preserve">į veną arba </w:t>
      </w:r>
      <w:r w:rsidR="003E43B8" w:rsidRPr="002E7B89">
        <w:rPr>
          <w:lang w:val="lt-LT" w:bidi="lt-LT"/>
        </w:rPr>
        <w:t>leisti</w:t>
      </w:r>
      <w:r w:rsidR="00F80D11" w:rsidRPr="002E7B89">
        <w:rPr>
          <w:lang w:val="lt-LT" w:bidi="lt-LT"/>
        </w:rPr>
        <w:t xml:space="preserve"> per infuzinį vamzdelį. </w:t>
      </w:r>
      <w:r w:rsidR="003E43B8" w:rsidRPr="002E7B89">
        <w:rPr>
          <w:lang w:val="lt-LT" w:bidi="lt-LT"/>
        </w:rPr>
        <w:t>I</w:t>
      </w:r>
      <w:r w:rsidR="00F80D11" w:rsidRPr="002E7B89">
        <w:rPr>
          <w:lang w:val="lt-LT" w:bidi="lt-LT"/>
        </w:rPr>
        <w:t>njekciniai tirpalai yra suderinami su šiais infuziniais tirpalais (250 ml ir 500 ml):</w:t>
      </w:r>
    </w:p>
    <w:p w14:paraId="64BAB5F9" w14:textId="77777777" w:rsidR="00A16F40" w:rsidRPr="002E7B89" w:rsidRDefault="00F673D1" w:rsidP="00522566">
      <w:pPr>
        <w:pStyle w:val="Sraopastraipa"/>
        <w:widowControl/>
        <w:numPr>
          <w:ilvl w:val="0"/>
          <w:numId w:val="16"/>
        </w:numPr>
        <w:autoSpaceDE/>
        <w:autoSpaceDN/>
        <w:ind w:left="567" w:hanging="567"/>
        <w:contextualSpacing/>
        <w:rPr>
          <w:lang w:val="lt-LT"/>
        </w:rPr>
      </w:pPr>
      <w:r w:rsidRPr="002E7B89">
        <w:rPr>
          <w:lang w:val="lt-LT" w:bidi="lt-LT"/>
        </w:rPr>
        <w:t>9 mg/ml (0,9 %) natrio chlorido tirpalu;</w:t>
      </w:r>
    </w:p>
    <w:p w14:paraId="69E40BF6" w14:textId="77777777" w:rsidR="00F673D1" w:rsidRPr="002E7B89" w:rsidRDefault="00F673D1" w:rsidP="00522566">
      <w:pPr>
        <w:pStyle w:val="Sraopastraipa"/>
        <w:widowControl/>
        <w:numPr>
          <w:ilvl w:val="0"/>
          <w:numId w:val="16"/>
        </w:numPr>
        <w:autoSpaceDE/>
        <w:autoSpaceDN/>
        <w:ind w:left="567" w:hanging="567"/>
        <w:contextualSpacing/>
        <w:rPr>
          <w:lang w:val="lt-LT"/>
        </w:rPr>
      </w:pPr>
      <w:r w:rsidRPr="002E7B89">
        <w:rPr>
          <w:lang w:val="lt-LT" w:bidi="lt-LT"/>
        </w:rPr>
        <w:t>50 mg/ml (5 %) gliukozės tirpalu;</w:t>
      </w:r>
    </w:p>
    <w:p w14:paraId="6CABDBE5" w14:textId="77777777" w:rsidR="00A16F40" w:rsidRPr="002E7B89" w:rsidRDefault="00716299" w:rsidP="00522566">
      <w:pPr>
        <w:pStyle w:val="Betarp"/>
        <w:numPr>
          <w:ilvl w:val="0"/>
          <w:numId w:val="16"/>
        </w:numPr>
        <w:ind w:left="567" w:hanging="567"/>
        <w:rPr>
          <w:lang w:val="lt-LT"/>
        </w:rPr>
      </w:pPr>
      <w:r w:rsidRPr="002E7B89">
        <w:rPr>
          <w:lang w:val="lt-LT" w:bidi="lt-LT"/>
        </w:rPr>
        <w:t>Ringerio tirpalu.</w:t>
      </w:r>
    </w:p>
    <w:p w14:paraId="181FBFE1" w14:textId="77777777" w:rsidR="00A16F40" w:rsidRPr="002E7B89" w:rsidRDefault="00A16F40" w:rsidP="00AC143D">
      <w:pPr>
        <w:pStyle w:val="Betarp"/>
        <w:ind w:left="567" w:hanging="567"/>
        <w:rPr>
          <w:lang w:val="lt-LT"/>
        </w:rPr>
      </w:pPr>
    </w:p>
    <w:p w14:paraId="1510CC92" w14:textId="77777777" w:rsidR="00A16F40" w:rsidRPr="002E7B89" w:rsidRDefault="00716299" w:rsidP="002D4A26">
      <w:pPr>
        <w:pStyle w:val="Betarp"/>
        <w:rPr>
          <w:lang w:val="lt-LT"/>
        </w:rPr>
      </w:pPr>
      <w:r w:rsidRPr="002E7B89">
        <w:rPr>
          <w:lang w:val="lt-LT" w:bidi="lt-LT"/>
        </w:rPr>
        <w:t>Derinant su infuziniais tirpalais, reikia atsižvelgti į atitinkamų gamintojų informaciją apie jų infuzinius tirpalus, įskaitant duomenis apie suderinamumą, kontraindikacijas, nepageidaujamą poveikį ir sąveiką.</w:t>
      </w:r>
    </w:p>
    <w:p w14:paraId="4084A87F" w14:textId="77777777" w:rsidR="00A16F40" w:rsidRPr="002E7B89" w:rsidRDefault="00A16F40" w:rsidP="002D4A26">
      <w:pPr>
        <w:pStyle w:val="Betarp"/>
        <w:rPr>
          <w:lang w:val="lt-LT"/>
        </w:rPr>
      </w:pPr>
    </w:p>
    <w:p w14:paraId="3C40F777" w14:textId="77777777" w:rsidR="00A16F40" w:rsidRPr="002E7B89" w:rsidRDefault="00716299" w:rsidP="002D4A26">
      <w:pPr>
        <w:pStyle w:val="Betarp"/>
        <w:rPr>
          <w:lang w:val="lt-LT"/>
        </w:rPr>
      </w:pPr>
      <w:r w:rsidRPr="002E7B89">
        <w:rPr>
          <w:lang w:val="lt-LT" w:bidi="lt-LT"/>
        </w:rPr>
        <w:t>Nesuvartotą vaistinį preparatą ar atliekas reikia tvarkyti laikantis vietinių reikalavimų.</w:t>
      </w:r>
    </w:p>
    <w:p w14:paraId="23625637" w14:textId="77777777" w:rsidR="00A16F40" w:rsidRPr="002E7B89" w:rsidRDefault="00A16F40" w:rsidP="002D4A26">
      <w:pPr>
        <w:pStyle w:val="Betarp"/>
        <w:rPr>
          <w:lang w:val="lt-LT"/>
        </w:rPr>
      </w:pPr>
    </w:p>
    <w:p w14:paraId="0E92487C" w14:textId="77777777" w:rsidR="00771E47" w:rsidRPr="002E7B89" w:rsidRDefault="00771E47" w:rsidP="002D4A26">
      <w:pPr>
        <w:pStyle w:val="Betarp"/>
        <w:rPr>
          <w:lang w:val="lt-LT"/>
        </w:rPr>
      </w:pPr>
    </w:p>
    <w:p w14:paraId="1CF381FC" w14:textId="77777777" w:rsidR="00A16F40" w:rsidRPr="002E7B89" w:rsidRDefault="00A1794C" w:rsidP="002D4A26">
      <w:pPr>
        <w:pStyle w:val="Betarp"/>
        <w:rPr>
          <w:b/>
          <w:lang w:val="lt-LT"/>
        </w:rPr>
      </w:pPr>
      <w:bookmarkStart w:id="23" w:name="7._INHABER_DER_ZULASSUNG"/>
      <w:bookmarkEnd w:id="23"/>
      <w:r w:rsidRPr="002E7B89">
        <w:rPr>
          <w:b/>
          <w:lang w:val="lt-LT" w:bidi="lt-LT"/>
        </w:rPr>
        <w:t>7.</w:t>
      </w:r>
      <w:r w:rsidRPr="002E7B89">
        <w:rPr>
          <w:b/>
          <w:lang w:val="lt-LT" w:bidi="lt-LT"/>
        </w:rPr>
        <w:tab/>
        <w:t>REGISTRUOTOJAS</w:t>
      </w:r>
    </w:p>
    <w:p w14:paraId="44CE5838" w14:textId="77777777" w:rsidR="00050191" w:rsidRPr="002E7B89" w:rsidRDefault="00050191" w:rsidP="00050191">
      <w:pPr>
        <w:pStyle w:val="Betarp"/>
        <w:rPr>
          <w:lang w:val="lt-LT"/>
        </w:rPr>
      </w:pPr>
    </w:p>
    <w:p w14:paraId="3B1B349C" w14:textId="77777777" w:rsidR="00E25694" w:rsidRPr="002E7B89" w:rsidRDefault="00E25694" w:rsidP="00E25694">
      <w:pPr>
        <w:tabs>
          <w:tab w:val="left" w:pos="567"/>
        </w:tabs>
        <w:adjustRightInd w:val="0"/>
        <w:spacing w:line="240" w:lineRule="atLeast"/>
        <w:rPr>
          <w:rFonts w:eastAsia="Calibri"/>
          <w:color w:val="000000"/>
          <w:lang w:val="lt-LT"/>
        </w:rPr>
      </w:pPr>
      <w:r w:rsidRPr="002E7B89">
        <w:rPr>
          <w:color w:val="000000"/>
          <w:lang w:val="lt-LT"/>
        </w:rPr>
        <w:t>AS KALCEKS</w:t>
      </w:r>
    </w:p>
    <w:p w14:paraId="1DBE1D77" w14:textId="060FD1FD" w:rsidR="00E25694" w:rsidRPr="002E7B89" w:rsidRDefault="00E25694" w:rsidP="00E25694">
      <w:pPr>
        <w:tabs>
          <w:tab w:val="left" w:pos="567"/>
        </w:tabs>
        <w:adjustRightInd w:val="0"/>
        <w:spacing w:line="240" w:lineRule="atLeast"/>
        <w:rPr>
          <w:rFonts w:eastAsia="Calibri"/>
          <w:color w:val="000000"/>
          <w:lang w:val="lt-LT"/>
        </w:rPr>
      </w:pPr>
      <w:r w:rsidRPr="002E7B89">
        <w:rPr>
          <w:color w:val="000000"/>
          <w:lang w:val="lt-LT"/>
        </w:rPr>
        <w:t xml:space="preserve">Krustpils iela </w:t>
      </w:r>
      <w:r w:rsidR="003C6853">
        <w:rPr>
          <w:color w:val="000000"/>
          <w:lang w:val="lt-LT"/>
        </w:rPr>
        <w:t>71E</w:t>
      </w:r>
      <w:r w:rsidRPr="002E7B89">
        <w:rPr>
          <w:color w:val="000000"/>
          <w:lang w:val="lt-LT"/>
        </w:rPr>
        <w:t>, Rīga, LV</w:t>
      </w:r>
      <w:r w:rsidRPr="002E7B89">
        <w:rPr>
          <w:color w:val="000000"/>
          <w:lang w:val="lt-LT"/>
        </w:rPr>
        <w:noBreakHyphen/>
        <w:t>1057, Latvija</w:t>
      </w:r>
    </w:p>
    <w:p w14:paraId="217D1B13" w14:textId="77777777" w:rsidR="00E25694" w:rsidRPr="002E7B89" w:rsidRDefault="00E25694" w:rsidP="00E25694">
      <w:pPr>
        <w:tabs>
          <w:tab w:val="left" w:pos="567"/>
        </w:tabs>
        <w:spacing w:line="260" w:lineRule="exact"/>
        <w:rPr>
          <w:rFonts w:eastAsia="Calibri"/>
          <w:lang w:val="lt-LT"/>
        </w:rPr>
      </w:pPr>
      <w:r w:rsidRPr="002E7B89">
        <w:rPr>
          <w:lang w:val="lt-LT"/>
        </w:rPr>
        <w:t>Tel. +371 67083320</w:t>
      </w:r>
    </w:p>
    <w:p w14:paraId="57846E42" w14:textId="77777777" w:rsidR="00E25694" w:rsidRPr="002E7B89" w:rsidRDefault="00E25694" w:rsidP="00E25694">
      <w:pPr>
        <w:tabs>
          <w:tab w:val="left" w:pos="567"/>
        </w:tabs>
        <w:spacing w:line="260" w:lineRule="exact"/>
        <w:rPr>
          <w:rFonts w:eastAsia="Calibri"/>
          <w:lang w:val="lt-LT"/>
        </w:rPr>
      </w:pPr>
      <w:r w:rsidRPr="002E7B89">
        <w:rPr>
          <w:lang w:val="lt-LT"/>
        </w:rPr>
        <w:t>El. paštas kalceks@kalceks.lv</w:t>
      </w:r>
    </w:p>
    <w:p w14:paraId="0E86C953" w14:textId="77777777" w:rsidR="00A16F40" w:rsidRPr="002E7B89" w:rsidRDefault="00A16F40" w:rsidP="002D4A26">
      <w:pPr>
        <w:pStyle w:val="Betarp"/>
        <w:rPr>
          <w:lang w:val="lt-LT"/>
        </w:rPr>
      </w:pPr>
    </w:p>
    <w:p w14:paraId="63E6257B" w14:textId="77777777" w:rsidR="00A16F40" w:rsidRPr="002E7B89" w:rsidRDefault="00A16F40" w:rsidP="002D4A26">
      <w:pPr>
        <w:pStyle w:val="Betarp"/>
        <w:rPr>
          <w:lang w:val="lt-LT"/>
        </w:rPr>
      </w:pPr>
    </w:p>
    <w:p w14:paraId="0F38BF98" w14:textId="3F948918" w:rsidR="00A16F40" w:rsidRPr="002E7B89" w:rsidRDefault="00A1794C" w:rsidP="002D4A26">
      <w:pPr>
        <w:pStyle w:val="Betarp"/>
        <w:rPr>
          <w:b/>
          <w:lang w:val="lt-LT"/>
        </w:rPr>
      </w:pPr>
      <w:bookmarkStart w:id="24" w:name="8._ZULASSUNGSNUMMER"/>
      <w:bookmarkEnd w:id="24"/>
      <w:r w:rsidRPr="002E7B89">
        <w:rPr>
          <w:b/>
          <w:lang w:val="lt-LT" w:bidi="lt-LT"/>
        </w:rPr>
        <w:t>8.</w:t>
      </w:r>
      <w:r w:rsidRPr="002E7B89">
        <w:rPr>
          <w:b/>
          <w:lang w:val="lt-LT" w:bidi="lt-LT"/>
        </w:rPr>
        <w:tab/>
        <w:t>REGISTRACIJOS PAŽYMĖJIMO NUMERIS</w:t>
      </w:r>
      <w:r w:rsidR="008F6711">
        <w:rPr>
          <w:b/>
          <w:lang w:val="lt-LT" w:bidi="lt-LT"/>
        </w:rPr>
        <w:t xml:space="preserve"> (-IAI)</w:t>
      </w:r>
    </w:p>
    <w:p w14:paraId="0F1AF0E1" w14:textId="77777777" w:rsidR="00A16F40" w:rsidRPr="002E7B89" w:rsidRDefault="00A16F40" w:rsidP="002D4A26">
      <w:pPr>
        <w:pStyle w:val="Betarp"/>
        <w:rPr>
          <w:lang w:val="lt-LT"/>
        </w:rPr>
      </w:pPr>
    </w:p>
    <w:p w14:paraId="1797A63B" w14:textId="77777777" w:rsidR="006B7A88" w:rsidRPr="006B7A88" w:rsidRDefault="006B7A88" w:rsidP="006B7A88">
      <w:pPr>
        <w:pStyle w:val="Betarp"/>
        <w:rPr>
          <w:lang w:val="lt-LT"/>
        </w:rPr>
      </w:pPr>
      <w:r w:rsidRPr="006B7A88">
        <w:rPr>
          <w:lang w:val="lt-LT"/>
        </w:rPr>
        <w:t>LT/1/21/4858/001 – 1 ml, N3</w:t>
      </w:r>
    </w:p>
    <w:p w14:paraId="2FD0EBA5" w14:textId="77777777" w:rsidR="006B7A88" w:rsidRPr="006B7A88" w:rsidRDefault="006B7A88" w:rsidP="006B7A88">
      <w:pPr>
        <w:pStyle w:val="Betarp"/>
        <w:rPr>
          <w:lang w:val="lt-LT"/>
        </w:rPr>
      </w:pPr>
      <w:r w:rsidRPr="006B7A88">
        <w:rPr>
          <w:lang w:val="lt-LT"/>
        </w:rPr>
        <w:t>LT/1/21/4858/002 – 1 ml, N10</w:t>
      </w:r>
    </w:p>
    <w:p w14:paraId="7CECD3FB" w14:textId="77777777" w:rsidR="006B7A88" w:rsidRPr="006B7A88" w:rsidRDefault="006B7A88" w:rsidP="006B7A88">
      <w:pPr>
        <w:pStyle w:val="Betarp"/>
        <w:rPr>
          <w:lang w:val="lt-LT"/>
        </w:rPr>
      </w:pPr>
      <w:r w:rsidRPr="006B7A88">
        <w:rPr>
          <w:lang w:val="lt-LT"/>
        </w:rPr>
        <w:t>LT/1/21/4858/003 – 1 ml, N25</w:t>
      </w:r>
    </w:p>
    <w:p w14:paraId="248D497C" w14:textId="77777777" w:rsidR="006B7A88" w:rsidRPr="006B7A88" w:rsidRDefault="006B7A88" w:rsidP="006B7A88">
      <w:pPr>
        <w:pStyle w:val="Betarp"/>
        <w:rPr>
          <w:lang w:val="lt-LT"/>
        </w:rPr>
      </w:pPr>
      <w:r w:rsidRPr="006B7A88">
        <w:rPr>
          <w:lang w:val="lt-LT"/>
        </w:rPr>
        <w:t>LT/1/21/4858/004 – 1 ml, N50</w:t>
      </w:r>
    </w:p>
    <w:p w14:paraId="5B48D2EB" w14:textId="77777777" w:rsidR="006B7A88" w:rsidRPr="006B7A88" w:rsidRDefault="006B7A88" w:rsidP="006B7A88">
      <w:pPr>
        <w:pStyle w:val="Betarp"/>
        <w:rPr>
          <w:lang w:val="lt-LT"/>
        </w:rPr>
      </w:pPr>
      <w:r w:rsidRPr="006B7A88">
        <w:rPr>
          <w:lang w:val="lt-LT"/>
        </w:rPr>
        <w:t>LT/1/21/4858/005 – 1 ml, N100</w:t>
      </w:r>
    </w:p>
    <w:p w14:paraId="13D0560B" w14:textId="77777777" w:rsidR="006B7A88" w:rsidRPr="006B7A88" w:rsidRDefault="006B7A88" w:rsidP="006B7A88">
      <w:pPr>
        <w:pStyle w:val="Betarp"/>
        <w:rPr>
          <w:lang w:val="lt-LT"/>
        </w:rPr>
      </w:pPr>
      <w:r w:rsidRPr="006B7A88">
        <w:rPr>
          <w:lang w:val="lt-LT"/>
        </w:rPr>
        <w:t>LT/1/21/4858/006 – 2 ml, N5</w:t>
      </w:r>
    </w:p>
    <w:p w14:paraId="3A81A137" w14:textId="77777777" w:rsidR="006B7A88" w:rsidRPr="006B7A88" w:rsidRDefault="006B7A88" w:rsidP="006B7A88">
      <w:pPr>
        <w:pStyle w:val="Betarp"/>
        <w:rPr>
          <w:lang w:val="lt-LT"/>
        </w:rPr>
      </w:pPr>
      <w:r w:rsidRPr="006B7A88">
        <w:rPr>
          <w:lang w:val="lt-LT"/>
        </w:rPr>
        <w:t>LT/1/21/4858/007 – 2 ml, N10</w:t>
      </w:r>
    </w:p>
    <w:p w14:paraId="1A127DD2" w14:textId="77777777" w:rsidR="006B7A88" w:rsidRPr="006B7A88" w:rsidRDefault="006B7A88" w:rsidP="006B7A88">
      <w:pPr>
        <w:pStyle w:val="Betarp"/>
        <w:rPr>
          <w:lang w:val="lt-LT"/>
        </w:rPr>
      </w:pPr>
      <w:r w:rsidRPr="006B7A88">
        <w:rPr>
          <w:lang w:val="lt-LT"/>
        </w:rPr>
        <w:t>LT/1/21/4858/008 – 2 ml, N25</w:t>
      </w:r>
    </w:p>
    <w:p w14:paraId="527195AA" w14:textId="77777777" w:rsidR="006B7A88" w:rsidRPr="006B7A88" w:rsidRDefault="006B7A88" w:rsidP="006B7A88">
      <w:pPr>
        <w:pStyle w:val="Betarp"/>
        <w:rPr>
          <w:lang w:val="lt-LT"/>
        </w:rPr>
      </w:pPr>
      <w:r w:rsidRPr="006B7A88">
        <w:rPr>
          <w:lang w:val="lt-LT"/>
        </w:rPr>
        <w:t>LT/1/21/4858/009 – 2 ml, N50</w:t>
      </w:r>
    </w:p>
    <w:p w14:paraId="6A877352" w14:textId="77777777" w:rsidR="00771E47" w:rsidRDefault="006B7A88" w:rsidP="006B7A88">
      <w:pPr>
        <w:pStyle w:val="Betarp"/>
        <w:rPr>
          <w:lang w:val="lt-LT"/>
        </w:rPr>
      </w:pPr>
      <w:r w:rsidRPr="006B7A88">
        <w:rPr>
          <w:lang w:val="lt-LT"/>
        </w:rPr>
        <w:t>LT/1/21/4858/010 – 2 ml, N100</w:t>
      </w:r>
    </w:p>
    <w:p w14:paraId="69600573" w14:textId="77777777" w:rsidR="006B7A88" w:rsidRPr="002E7B89" w:rsidRDefault="006B7A88" w:rsidP="006B7A88">
      <w:pPr>
        <w:pStyle w:val="Betarp"/>
        <w:rPr>
          <w:lang w:val="lt-LT"/>
        </w:rPr>
      </w:pPr>
    </w:p>
    <w:p w14:paraId="23BE05DD" w14:textId="77777777" w:rsidR="00742A57" w:rsidRPr="002E7B89" w:rsidRDefault="00742A57" w:rsidP="002D4A26">
      <w:pPr>
        <w:pStyle w:val="Betarp"/>
        <w:rPr>
          <w:lang w:val="lt-LT"/>
        </w:rPr>
      </w:pPr>
    </w:p>
    <w:p w14:paraId="4BF3B724" w14:textId="77777777" w:rsidR="00A16F40" w:rsidRPr="002E7B89" w:rsidRDefault="00A1794C" w:rsidP="002D4A26">
      <w:pPr>
        <w:pStyle w:val="Betarp"/>
        <w:rPr>
          <w:b/>
          <w:lang w:val="lt-LT"/>
        </w:rPr>
      </w:pPr>
      <w:bookmarkStart w:id="25" w:name="9._DATUM_DER_ERTEILUNG_DER_ZULASSUNG/VER"/>
      <w:bookmarkEnd w:id="25"/>
      <w:r w:rsidRPr="002E7B89">
        <w:rPr>
          <w:b/>
          <w:lang w:val="lt-LT" w:bidi="lt-LT"/>
        </w:rPr>
        <w:t>9.</w:t>
      </w:r>
      <w:r w:rsidRPr="002E7B89">
        <w:rPr>
          <w:b/>
          <w:lang w:val="lt-LT" w:bidi="lt-LT"/>
        </w:rPr>
        <w:tab/>
        <w:t>REGISTRAVIMO / PERREGISTRAVIMO DATA</w:t>
      </w:r>
    </w:p>
    <w:p w14:paraId="5FC5C155" w14:textId="77777777" w:rsidR="00A16F40" w:rsidRPr="002E7B89" w:rsidRDefault="00A16F40" w:rsidP="002D4A26">
      <w:pPr>
        <w:pStyle w:val="Betarp"/>
        <w:rPr>
          <w:lang w:val="lt-LT"/>
        </w:rPr>
      </w:pPr>
    </w:p>
    <w:p w14:paraId="4096D13D" w14:textId="77777777" w:rsidR="0033231A" w:rsidRPr="002E7B89" w:rsidRDefault="0033231A" w:rsidP="0033231A">
      <w:pPr>
        <w:tabs>
          <w:tab w:val="left" w:pos="720"/>
        </w:tabs>
        <w:rPr>
          <w:szCs w:val="24"/>
          <w:lang w:val="lt-LT"/>
        </w:rPr>
      </w:pPr>
      <w:r w:rsidRPr="002E7B89">
        <w:rPr>
          <w:szCs w:val="24"/>
          <w:lang w:val="lt-LT"/>
        </w:rPr>
        <w:t xml:space="preserve">Registravimo data </w:t>
      </w:r>
      <w:r w:rsidR="006B7A88">
        <w:rPr>
          <w:szCs w:val="24"/>
          <w:lang w:val="lt-LT"/>
        </w:rPr>
        <w:t>2021 m. gruodžio 2 d.</w:t>
      </w:r>
    </w:p>
    <w:p w14:paraId="74E5F88F" w14:textId="15931B60" w:rsidR="00A16F40" w:rsidRPr="009749E3" w:rsidRDefault="008F6711" w:rsidP="002D4A26">
      <w:pPr>
        <w:pStyle w:val="Betarp"/>
        <w:rPr>
          <w:lang w:val="lt-LT"/>
        </w:rPr>
      </w:pPr>
      <w:r w:rsidRPr="009749E3">
        <w:rPr>
          <w:lang w:val="lt-LT"/>
        </w:rPr>
        <w:t xml:space="preserve">Paskutinio perregistravimo data </w:t>
      </w:r>
      <w:r w:rsidR="001B60F2">
        <w:rPr>
          <w:lang w:val="lt-LT"/>
        </w:rPr>
        <w:t>2026 m. gegužės 13 d.</w:t>
      </w:r>
    </w:p>
    <w:p w14:paraId="6385A4BA" w14:textId="77777777" w:rsidR="008F6711" w:rsidRPr="002E7B89" w:rsidRDefault="008F6711" w:rsidP="002D4A26">
      <w:pPr>
        <w:pStyle w:val="Betarp"/>
        <w:rPr>
          <w:lang w:val="lt-LT"/>
        </w:rPr>
      </w:pPr>
    </w:p>
    <w:p w14:paraId="357D7944" w14:textId="77777777" w:rsidR="00742A57" w:rsidRPr="002E7B89" w:rsidRDefault="00742A57" w:rsidP="002D4A26">
      <w:pPr>
        <w:pStyle w:val="Betarp"/>
        <w:rPr>
          <w:lang w:val="lt-LT"/>
        </w:rPr>
      </w:pPr>
    </w:p>
    <w:p w14:paraId="29A1EE29" w14:textId="77777777" w:rsidR="00A16F40" w:rsidRPr="002E7B89" w:rsidRDefault="00A1794C" w:rsidP="002D4A26">
      <w:pPr>
        <w:pStyle w:val="Betarp"/>
        <w:rPr>
          <w:b/>
          <w:lang w:val="lt-LT"/>
        </w:rPr>
      </w:pPr>
      <w:bookmarkStart w:id="26" w:name="10._STAND_DER_INFORMATION"/>
      <w:bookmarkEnd w:id="26"/>
      <w:r w:rsidRPr="002E7B89">
        <w:rPr>
          <w:b/>
          <w:lang w:val="lt-LT" w:bidi="lt-LT"/>
        </w:rPr>
        <w:t>10.</w:t>
      </w:r>
      <w:r w:rsidRPr="002E7B89">
        <w:rPr>
          <w:b/>
          <w:lang w:val="lt-LT" w:bidi="lt-LT"/>
        </w:rPr>
        <w:tab/>
        <w:t>TEKSTO PERŽIŪROS DATA</w:t>
      </w:r>
    </w:p>
    <w:p w14:paraId="443A672C" w14:textId="77777777" w:rsidR="00A16F40" w:rsidRPr="002E7B89" w:rsidRDefault="00A16F40" w:rsidP="002D4A26">
      <w:pPr>
        <w:pStyle w:val="Betarp"/>
        <w:rPr>
          <w:lang w:val="lt-LT"/>
        </w:rPr>
      </w:pPr>
    </w:p>
    <w:p w14:paraId="5C642246" w14:textId="095B15AE" w:rsidR="00A16F40" w:rsidRPr="002E7B89" w:rsidRDefault="001B60F2" w:rsidP="002D4A26">
      <w:pPr>
        <w:pStyle w:val="Betarp"/>
        <w:rPr>
          <w:lang w:val="lt-LT" w:bidi="lt-LT"/>
        </w:rPr>
      </w:pPr>
      <w:r>
        <w:rPr>
          <w:lang w:val="lt-LT"/>
        </w:rPr>
        <w:t>2026 m. gegužės 13 d.</w:t>
      </w:r>
    </w:p>
    <w:p w14:paraId="0883AE93" w14:textId="77777777" w:rsidR="00E25694" w:rsidRPr="002E7B89" w:rsidRDefault="00E25694" w:rsidP="002D4A26">
      <w:pPr>
        <w:pStyle w:val="Betarp"/>
        <w:rPr>
          <w:lang w:val="lt-LT" w:bidi="lt-LT"/>
        </w:rPr>
      </w:pPr>
    </w:p>
    <w:p w14:paraId="195644B2" w14:textId="60432F85" w:rsidR="005B14F4" w:rsidRPr="002472CD" w:rsidRDefault="00E25694" w:rsidP="00E25694">
      <w:pPr>
        <w:tabs>
          <w:tab w:val="left" w:pos="5954"/>
          <w:tab w:val="left" w:pos="6237"/>
          <w:tab w:val="left" w:pos="6663"/>
          <w:tab w:val="left" w:pos="6946"/>
        </w:tabs>
        <w:contextualSpacing/>
        <w:rPr>
          <w:lang w:val="lt-LT"/>
        </w:rPr>
      </w:pPr>
      <w:r w:rsidRPr="002E7B89">
        <w:rPr>
          <w:lang w:val="lt-LT"/>
        </w:rPr>
        <w:t>Išsami informacija apie šį vaistinį preparatą pateikiama Valstybinės vaistų kontrolės tarnybos prie Lietuvos Respublikos sveikatos apsaugos ministerijos tinklalapyje</w:t>
      </w:r>
      <w:r w:rsidR="008F6711" w:rsidRPr="002472CD">
        <w:rPr>
          <w:lang w:val="lt-LT"/>
        </w:rPr>
        <w:t xml:space="preserve"> </w:t>
      </w:r>
      <w:r w:rsidR="009E352A" w:rsidRPr="008F6711">
        <w:rPr>
          <w:lang w:val="lt-LT"/>
        </w:rPr>
        <w:t>https://vvkt.lrv.lt/lt/.</w:t>
      </w:r>
    </w:p>
    <w:p w14:paraId="446152A6" w14:textId="0C82EC51" w:rsidR="002472CD" w:rsidRDefault="002472CD">
      <w:pPr>
        <w:widowControl/>
        <w:autoSpaceDE/>
        <w:autoSpaceDN/>
        <w:rPr>
          <w:lang w:val="lt-LT"/>
        </w:rPr>
      </w:pPr>
      <w:r>
        <w:rPr>
          <w:lang w:val="lt-LT"/>
        </w:rPr>
        <w:br w:type="page"/>
      </w:r>
    </w:p>
    <w:p w14:paraId="0479C8D5" w14:textId="77777777" w:rsidR="005B14F4" w:rsidRDefault="005B14F4" w:rsidP="002472CD">
      <w:pPr>
        <w:rPr>
          <w:b/>
          <w:lang w:val="lt-LT"/>
        </w:rPr>
      </w:pPr>
    </w:p>
    <w:p w14:paraId="7BC2D2A4" w14:textId="77777777" w:rsidR="005B14F4" w:rsidRDefault="005B14F4" w:rsidP="0051016D">
      <w:pPr>
        <w:jc w:val="center"/>
        <w:rPr>
          <w:b/>
          <w:lang w:val="lt-LT"/>
        </w:rPr>
      </w:pPr>
    </w:p>
    <w:p w14:paraId="44B24A70" w14:textId="77777777" w:rsidR="005B14F4" w:rsidRDefault="005B14F4" w:rsidP="0051016D">
      <w:pPr>
        <w:jc w:val="center"/>
        <w:rPr>
          <w:b/>
          <w:lang w:val="lt-LT"/>
        </w:rPr>
      </w:pPr>
    </w:p>
    <w:p w14:paraId="4A60C077" w14:textId="77777777" w:rsidR="005B14F4" w:rsidRDefault="005B14F4" w:rsidP="0051016D">
      <w:pPr>
        <w:jc w:val="center"/>
        <w:rPr>
          <w:b/>
          <w:lang w:val="lt-LT"/>
        </w:rPr>
      </w:pPr>
    </w:p>
    <w:p w14:paraId="5ABD5164" w14:textId="77777777" w:rsidR="005B14F4" w:rsidRDefault="005B14F4" w:rsidP="0051016D">
      <w:pPr>
        <w:jc w:val="center"/>
        <w:rPr>
          <w:b/>
          <w:lang w:val="lt-LT"/>
        </w:rPr>
      </w:pPr>
    </w:p>
    <w:p w14:paraId="0FBFBEC8" w14:textId="77777777" w:rsidR="005B14F4" w:rsidRDefault="005B14F4" w:rsidP="0051016D">
      <w:pPr>
        <w:jc w:val="center"/>
        <w:rPr>
          <w:b/>
          <w:lang w:val="lt-LT"/>
        </w:rPr>
      </w:pPr>
    </w:p>
    <w:p w14:paraId="21DD0208" w14:textId="77777777" w:rsidR="005B14F4" w:rsidRDefault="005B14F4" w:rsidP="0051016D">
      <w:pPr>
        <w:jc w:val="center"/>
        <w:rPr>
          <w:b/>
          <w:lang w:val="lt-LT"/>
        </w:rPr>
      </w:pPr>
    </w:p>
    <w:p w14:paraId="63B6B924" w14:textId="77777777" w:rsidR="005B14F4" w:rsidRDefault="005B14F4" w:rsidP="0051016D">
      <w:pPr>
        <w:jc w:val="center"/>
        <w:rPr>
          <w:b/>
          <w:lang w:val="lt-LT"/>
        </w:rPr>
      </w:pPr>
    </w:p>
    <w:p w14:paraId="36594AE1" w14:textId="77777777" w:rsidR="005B14F4" w:rsidRDefault="005B14F4" w:rsidP="0051016D">
      <w:pPr>
        <w:jc w:val="center"/>
        <w:rPr>
          <w:b/>
          <w:lang w:val="lt-LT"/>
        </w:rPr>
      </w:pPr>
    </w:p>
    <w:p w14:paraId="46800097" w14:textId="77777777" w:rsidR="005B14F4" w:rsidRDefault="005B14F4" w:rsidP="0051016D">
      <w:pPr>
        <w:jc w:val="center"/>
        <w:rPr>
          <w:b/>
          <w:lang w:val="lt-LT"/>
        </w:rPr>
      </w:pPr>
    </w:p>
    <w:p w14:paraId="450C19FF" w14:textId="77777777" w:rsidR="005B14F4" w:rsidRDefault="005B14F4" w:rsidP="0051016D">
      <w:pPr>
        <w:jc w:val="center"/>
        <w:rPr>
          <w:b/>
          <w:lang w:val="lt-LT"/>
        </w:rPr>
      </w:pPr>
    </w:p>
    <w:p w14:paraId="3DCB3126" w14:textId="77777777" w:rsidR="005B14F4" w:rsidRDefault="005B14F4" w:rsidP="0051016D">
      <w:pPr>
        <w:jc w:val="center"/>
        <w:rPr>
          <w:b/>
          <w:lang w:val="lt-LT"/>
        </w:rPr>
      </w:pPr>
    </w:p>
    <w:p w14:paraId="5BE61553" w14:textId="77777777" w:rsidR="005B14F4" w:rsidRDefault="005B14F4" w:rsidP="0051016D">
      <w:pPr>
        <w:jc w:val="center"/>
        <w:rPr>
          <w:b/>
          <w:lang w:val="lt-LT"/>
        </w:rPr>
      </w:pPr>
    </w:p>
    <w:p w14:paraId="08BE5EE7" w14:textId="77777777" w:rsidR="005B14F4" w:rsidRDefault="005B14F4" w:rsidP="0051016D">
      <w:pPr>
        <w:jc w:val="center"/>
        <w:rPr>
          <w:b/>
          <w:lang w:val="lt-LT"/>
        </w:rPr>
      </w:pPr>
    </w:p>
    <w:p w14:paraId="5835A3C5" w14:textId="77777777" w:rsidR="005B14F4" w:rsidRDefault="005B14F4" w:rsidP="0051016D">
      <w:pPr>
        <w:jc w:val="center"/>
        <w:rPr>
          <w:b/>
          <w:lang w:val="lt-LT"/>
        </w:rPr>
      </w:pPr>
    </w:p>
    <w:p w14:paraId="5A018997" w14:textId="77777777" w:rsidR="005B14F4" w:rsidRDefault="005B14F4" w:rsidP="0051016D">
      <w:pPr>
        <w:jc w:val="center"/>
        <w:rPr>
          <w:b/>
          <w:lang w:val="lt-LT"/>
        </w:rPr>
      </w:pPr>
    </w:p>
    <w:p w14:paraId="4134AE96" w14:textId="77777777" w:rsidR="005B14F4" w:rsidRDefault="005B14F4" w:rsidP="0051016D">
      <w:pPr>
        <w:jc w:val="center"/>
        <w:rPr>
          <w:b/>
          <w:lang w:val="lt-LT"/>
        </w:rPr>
      </w:pPr>
    </w:p>
    <w:p w14:paraId="0EA651FE" w14:textId="77777777" w:rsidR="005B14F4" w:rsidRDefault="005B14F4" w:rsidP="0051016D">
      <w:pPr>
        <w:jc w:val="center"/>
        <w:rPr>
          <w:b/>
          <w:lang w:val="lt-LT"/>
        </w:rPr>
      </w:pPr>
    </w:p>
    <w:p w14:paraId="1110D8F8" w14:textId="77777777" w:rsidR="005B14F4" w:rsidRDefault="005B14F4" w:rsidP="0051016D">
      <w:pPr>
        <w:jc w:val="center"/>
        <w:rPr>
          <w:b/>
          <w:lang w:val="lt-LT"/>
        </w:rPr>
      </w:pPr>
    </w:p>
    <w:p w14:paraId="0F635879" w14:textId="77777777" w:rsidR="005B14F4" w:rsidRDefault="005B14F4" w:rsidP="0051016D">
      <w:pPr>
        <w:jc w:val="center"/>
        <w:rPr>
          <w:b/>
          <w:lang w:val="lt-LT"/>
        </w:rPr>
      </w:pPr>
    </w:p>
    <w:p w14:paraId="23905058" w14:textId="77777777" w:rsidR="005B14F4" w:rsidRDefault="005B14F4" w:rsidP="0051016D">
      <w:pPr>
        <w:jc w:val="center"/>
        <w:rPr>
          <w:b/>
          <w:lang w:val="lt-LT"/>
        </w:rPr>
      </w:pPr>
    </w:p>
    <w:p w14:paraId="667CE84B" w14:textId="77777777" w:rsidR="005B14F4" w:rsidRDefault="005B14F4" w:rsidP="0051016D">
      <w:pPr>
        <w:jc w:val="center"/>
        <w:rPr>
          <w:b/>
          <w:lang w:val="lt-LT"/>
        </w:rPr>
      </w:pPr>
    </w:p>
    <w:p w14:paraId="7F6415C1" w14:textId="77777777" w:rsidR="005B14F4" w:rsidRDefault="005B14F4" w:rsidP="0051016D">
      <w:pPr>
        <w:jc w:val="center"/>
        <w:rPr>
          <w:b/>
          <w:lang w:val="lt-LT"/>
        </w:rPr>
      </w:pPr>
    </w:p>
    <w:p w14:paraId="4AC0914F" w14:textId="75740801" w:rsidR="0051016D" w:rsidRPr="002E7B89" w:rsidRDefault="0051016D" w:rsidP="0051016D">
      <w:pPr>
        <w:jc w:val="center"/>
        <w:rPr>
          <w:b/>
          <w:lang w:val="lt-LT"/>
        </w:rPr>
      </w:pPr>
      <w:r w:rsidRPr="002E7B89">
        <w:rPr>
          <w:b/>
          <w:lang w:val="lt-LT"/>
        </w:rPr>
        <w:t>II PRIEDAS</w:t>
      </w:r>
    </w:p>
    <w:p w14:paraId="58934EED" w14:textId="77777777" w:rsidR="0051016D" w:rsidRPr="002E7B89" w:rsidRDefault="0051016D" w:rsidP="0051016D">
      <w:pPr>
        <w:ind w:left="1701" w:right="1416" w:hanging="567"/>
        <w:rPr>
          <w:lang w:val="lt-LT"/>
        </w:rPr>
      </w:pPr>
    </w:p>
    <w:p w14:paraId="2647C206" w14:textId="77777777" w:rsidR="0051016D" w:rsidRPr="002E7B89" w:rsidRDefault="0051016D" w:rsidP="0051016D">
      <w:pPr>
        <w:jc w:val="center"/>
        <w:rPr>
          <w:i/>
          <w:lang w:val="lt-LT"/>
        </w:rPr>
      </w:pPr>
      <w:r w:rsidRPr="002E7B89">
        <w:rPr>
          <w:b/>
          <w:lang w:val="lt-LT"/>
        </w:rPr>
        <w:t>REGISTRACIJOS SĄLYGOS</w:t>
      </w:r>
    </w:p>
    <w:p w14:paraId="29EB378C" w14:textId="77777777" w:rsidR="0051016D" w:rsidRPr="002E7B89" w:rsidRDefault="0051016D" w:rsidP="0051016D">
      <w:pPr>
        <w:rPr>
          <w:lang w:val="lt-LT"/>
        </w:rPr>
      </w:pPr>
    </w:p>
    <w:p w14:paraId="3FBEC7C2" w14:textId="77777777" w:rsidR="0051016D" w:rsidRPr="002E7B89" w:rsidRDefault="0051016D" w:rsidP="0051016D">
      <w:pPr>
        <w:tabs>
          <w:tab w:val="left" w:pos="1701"/>
        </w:tabs>
        <w:ind w:left="1701" w:right="567" w:hanging="567"/>
        <w:rPr>
          <w:b/>
          <w:szCs w:val="24"/>
          <w:lang w:val="lt-LT"/>
        </w:rPr>
      </w:pPr>
      <w:r w:rsidRPr="002E7B89">
        <w:rPr>
          <w:b/>
          <w:szCs w:val="24"/>
          <w:lang w:val="lt-LT"/>
        </w:rPr>
        <w:t>A.</w:t>
      </w:r>
      <w:r w:rsidRPr="002E7B89">
        <w:rPr>
          <w:b/>
          <w:szCs w:val="24"/>
          <w:lang w:val="lt-LT"/>
        </w:rPr>
        <w:tab/>
        <w:t>GAMINTOJAS (-AI), ATSAKINGAS (-I) UŽ SERIJŲ IŠLEIDIMĄ</w:t>
      </w:r>
    </w:p>
    <w:p w14:paraId="15022569" w14:textId="77777777" w:rsidR="0051016D" w:rsidRPr="002E7B89" w:rsidRDefault="0051016D" w:rsidP="0051016D">
      <w:pPr>
        <w:tabs>
          <w:tab w:val="left" w:pos="1701"/>
        </w:tabs>
        <w:ind w:left="567" w:right="567" w:hanging="567"/>
        <w:rPr>
          <w:szCs w:val="24"/>
          <w:lang w:val="lt-LT"/>
        </w:rPr>
      </w:pPr>
    </w:p>
    <w:p w14:paraId="0E61EF03" w14:textId="77777777" w:rsidR="0051016D" w:rsidRPr="002E7B89" w:rsidRDefault="0051016D" w:rsidP="0051016D">
      <w:pPr>
        <w:tabs>
          <w:tab w:val="left" w:pos="1701"/>
        </w:tabs>
        <w:ind w:left="1701" w:right="567" w:hanging="567"/>
        <w:rPr>
          <w:b/>
          <w:szCs w:val="20"/>
          <w:lang w:val="lt-LT"/>
        </w:rPr>
      </w:pPr>
      <w:r w:rsidRPr="002E7B89">
        <w:rPr>
          <w:b/>
          <w:lang w:val="lt-LT"/>
        </w:rPr>
        <w:t>B.</w:t>
      </w:r>
      <w:r w:rsidRPr="002E7B89">
        <w:rPr>
          <w:b/>
          <w:lang w:val="lt-LT"/>
        </w:rPr>
        <w:tab/>
        <w:t>TIEKIMO IR VARTOJIMO SĄLYGOS AR APRIBOJIMAI</w:t>
      </w:r>
    </w:p>
    <w:p w14:paraId="5E1AEC9A" w14:textId="77777777" w:rsidR="0051016D" w:rsidRPr="002E7B89" w:rsidRDefault="0051016D" w:rsidP="0051016D">
      <w:pPr>
        <w:tabs>
          <w:tab w:val="left" w:pos="1701"/>
        </w:tabs>
        <w:ind w:left="567" w:right="567" w:hanging="567"/>
        <w:rPr>
          <w:lang w:val="lt-LT"/>
        </w:rPr>
      </w:pPr>
    </w:p>
    <w:p w14:paraId="49F3B7B9" w14:textId="77777777" w:rsidR="0051016D" w:rsidRPr="002472CD" w:rsidRDefault="0051016D" w:rsidP="002472CD">
      <w:pPr>
        <w:tabs>
          <w:tab w:val="left" w:pos="1701"/>
        </w:tabs>
        <w:ind w:left="567" w:right="567" w:hanging="567"/>
        <w:rPr>
          <w:lang w:val="lt-LT"/>
        </w:rPr>
      </w:pPr>
    </w:p>
    <w:p w14:paraId="25DBFDA4" w14:textId="77777777" w:rsidR="0051016D" w:rsidRPr="002472CD" w:rsidRDefault="0051016D" w:rsidP="002472CD">
      <w:pPr>
        <w:tabs>
          <w:tab w:val="left" w:pos="1701"/>
        </w:tabs>
        <w:ind w:left="567" w:right="567" w:hanging="567"/>
        <w:rPr>
          <w:lang w:val="lt-LT"/>
        </w:rPr>
      </w:pPr>
    </w:p>
    <w:p w14:paraId="039E305C" w14:textId="77777777" w:rsidR="0051016D" w:rsidRPr="002E7B89" w:rsidRDefault="0051016D" w:rsidP="0051016D">
      <w:pPr>
        <w:ind w:left="567" w:hanging="567"/>
        <w:rPr>
          <w:lang w:val="lt-LT"/>
        </w:rPr>
      </w:pPr>
    </w:p>
    <w:p w14:paraId="66B1DA3D" w14:textId="77777777" w:rsidR="0051016D" w:rsidRPr="002E7B89" w:rsidRDefault="0051016D" w:rsidP="0051016D">
      <w:pPr>
        <w:ind w:right="-1"/>
        <w:rPr>
          <w:lang w:val="lt-LT"/>
        </w:rPr>
      </w:pPr>
    </w:p>
    <w:p w14:paraId="500E456E" w14:textId="77777777" w:rsidR="0051016D" w:rsidRPr="002E7B89" w:rsidRDefault="0051016D" w:rsidP="0051016D">
      <w:pPr>
        <w:ind w:left="567" w:hanging="567"/>
        <w:rPr>
          <w:b/>
          <w:szCs w:val="24"/>
          <w:lang w:val="lt-LT"/>
        </w:rPr>
      </w:pPr>
      <w:r w:rsidRPr="002E7B89">
        <w:rPr>
          <w:snapToGrid w:val="0"/>
          <w:lang w:val="lt-LT"/>
        </w:rPr>
        <w:br w:type="page"/>
      </w:r>
      <w:r w:rsidRPr="002E7B89">
        <w:rPr>
          <w:b/>
          <w:lang w:val="lt-LT"/>
        </w:rPr>
        <w:lastRenderedPageBreak/>
        <w:t>A.</w:t>
      </w:r>
      <w:r w:rsidRPr="002E7B89">
        <w:rPr>
          <w:b/>
          <w:szCs w:val="24"/>
          <w:lang w:val="lt-LT"/>
        </w:rPr>
        <w:tab/>
      </w:r>
      <w:r w:rsidRPr="002E7B89">
        <w:rPr>
          <w:b/>
          <w:lang w:val="lt-LT"/>
        </w:rPr>
        <w:t>GAMINTOJAS (-AI), ATSAKINGAS (-I) UŽ SERIJŲ IŠLEIDIMĄ</w:t>
      </w:r>
    </w:p>
    <w:p w14:paraId="4E8A5CAF" w14:textId="77777777" w:rsidR="0051016D" w:rsidRPr="002E7B89" w:rsidRDefault="0051016D" w:rsidP="0051016D">
      <w:pPr>
        <w:rPr>
          <w:szCs w:val="24"/>
          <w:lang w:val="lt-LT"/>
        </w:rPr>
      </w:pPr>
    </w:p>
    <w:p w14:paraId="2D12899B" w14:textId="77777777" w:rsidR="0051016D" w:rsidRPr="002E7B89" w:rsidRDefault="0051016D" w:rsidP="0051016D">
      <w:pPr>
        <w:jc w:val="both"/>
        <w:rPr>
          <w:szCs w:val="24"/>
          <w:lang w:val="lt-LT"/>
        </w:rPr>
      </w:pPr>
      <w:r w:rsidRPr="002E7B89">
        <w:rPr>
          <w:szCs w:val="24"/>
          <w:u w:val="single"/>
          <w:lang w:val="lt-LT"/>
        </w:rPr>
        <w:t>Gamintojo (-ų), atsakingo (-ų) už serijų išleidimą, pavadinimas (-ai) ir adresas (-ai)</w:t>
      </w:r>
    </w:p>
    <w:p w14:paraId="3B35C598" w14:textId="77777777" w:rsidR="0051016D" w:rsidRPr="002E7B89" w:rsidRDefault="0051016D" w:rsidP="0051016D">
      <w:pPr>
        <w:rPr>
          <w:szCs w:val="24"/>
          <w:lang w:val="lt-LT"/>
        </w:rPr>
      </w:pPr>
    </w:p>
    <w:p w14:paraId="18EA1A3C" w14:textId="77777777" w:rsidR="0051016D" w:rsidRPr="002E7B89" w:rsidRDefault="0051016D" w:rsidP="0051016D">
      <w:pPr>
        <w:tabs>
          <w:tab w:val="left" w:pos="567"/>
        </w:tabs>
        <w:adjustRightInd w:val="0"/>
        <w:spacing w:line="240" w:lineRule="atLeast"/>
        <w:rPr>
          <w:rFonts w:eastAsia="Calibri"/>
          <w:color w:val="000000"/>
          <w:lang w:val="lt-LT"/>
        </w:rPr>
      </w:pPr>
      <w:r w:rsidRPr="002E7B89">
        <w:rPr>
          <w:color w:val="000000"/>
          <w:lang w:val="lt-LT"/>
        </w:rPr>
        <w:t>AS KALCEKS</w:t>
      </w:r>
    </w:p>
    <w:p w14:paraId="67FD243F" w14:textId="77777777" w:rsidR="0051016D" w:rsidRPr="002E7B89" w:rsidRDefault="0051016D" w:rsidP="0051016D">
      <w:pPr>
        <w:tabs>
          <w:tab w:val="left" w:pos="567"/>
        </w:tabs>
        <w:adjustRightInd w:val="0"/>
        <w:spacing w:line="240" w:lineRule="atLeast"/>
        <w:rPr>
          <w:rFonts w:eastAsia="Calibri"/>
          <w:color w:val="000000"/>
          <w:lang w:val="lt-LT"/>
        </w:rPr>
      </w:pPr>
      <w:r w:rsidRPr="002E7B89">
        <w:rPr>
          <w:color w:val="000000"/>
          <w:lang w:val="lt-LT"/>
        </w:rPr>
        <w:t xml:space="preserve">Krustpils iela </w:t>
      </w:r>
      <w:r w:rsidR="002E7B89" w:rsidRPr="002E7B89">
        <w:rPr>
          <w:color w:val="000000"/>
          <w:lang w:val="lt-LT"/>
        </w:rPr>
        <w:t>71E</w:t>
      </w:r>
      <w:r w:rsidRPr="002E7B89">
        <w:rPr>
          <w:color w:val="000000"/>
          <w:lang w:val="lt-LT"/>
        </w:rPr>
        <w:t>, Rīga, LV</w:t>
      </w:r>
      <w:r w:rsidRPr="002E7B89">
        <w:rPr>
          <w:color w:val="000000"/>
          <w:lang w:val="lt-LT"/>
        </w:rPr>
        <w:noBreakHyphen/>
        <w:t>1057, Latvija</w:t>
      </w:r>
    </w:p>
    <w:p w14:paraId="7564646B" w14:textId="77777777" w:rsidR="0051016D" w:rsidRPr="002E7B89" w:rsidRDefault="0051016D" w:rsidP="0051016D">
      <w:pPr>
        <w:rPr>
          <w:szCs w:val="24"/>
          <w:lang w:val="lt-LT"/>
        </w:rPr>
      </w:pPr>
    </w:p>
    <w:p w14:paraId="276D4D6A" w14:textId="77777777" w:rsidR="0051016D" w:rsidRPr="002E7B89" w:rsidRDefault="0051016D" w:rsidP="0051016D">
      <w:pPr>
        <w:rPr>
          <w:szCs w:val="24"/>
          <w:lang w:val="lt-LT"/>
        </w:rPr>
      </w:pPr>
    </w:p>
    <w:p w14:paraId="273FAEC1" w14:textId="77777777" w:rsidR="0051016D" w:rsidRPr="002E7B89" w:rsidRDefault="0051016D" w:rsidP="0051016D">
      <w:pPr>
        <w:rPr>
          <w:szCs w:val="24"/>
          <w:lang w:val="lt-LT"/>
        </w:rPr>
      </w:pPr>
    </w:p>
    <w:p w14:paraId="511FF462" w14:textId="77777777" w:rsidR="0051016D" w:rsidRPr="002E7B89" w:rsidRDefault="0051016D" w:rsidP="0051016D">
      <w:pPr>
        <w:ind w:left="567" w:hanging="567"/>
        <w:rPr>
          <w:szCs w:val="24"/>
          <w:lang w:val="lt-LT"/>
        </w:rPr>
      </w:pPr>
      <w:r w:rsidRPr="002E7B89">
        <w:rPr>
          <w:b/>
          <w:szCs w:val="24"/>
          <w:lang w:val="lt-LT"/>
        </w:rPr>
        <w:t>B.</w:t>
      </w:r>
      <w:r w:rsidRPr="002E7B89">
        <w:rPr>
          <w:b/>
          <w:szCs w:val="24"/>
          <w:lang w:val="lt-LT"/>
        </w:rPr>
        <w:tab/>
        <w:t>TIEKIMO IR VARTOJIMO SĄLYGOS AR APRIBOJIMAI</w:t>
      </w:r>
    </w:p>
    <w:p w14:paraId="51EF3E60" w14:textId="77777777" w:rsidR="0051016D" w:rsidRPr="002E7B89" w:rsidRDefault="0051016D" w:rsidP="0051016D">
      <w:pPr>
        <w:rPr>
          <w:szCs w:val="24"/>
          <w:lang w:val="lt-LT"/>
        </w:rPr>
      </w:pPr>
    </w:p>
    <w:p w14:paraId="6238BC7E" w14:textId="77777777" w:rsidR="0051016D" w:rsidRPr="002E7B89" w:rsidRDefault="0051016D" w:rsidP="0051016D">
      <w:pPr>
        <w:rPr>
          <w:szCs w:val="24"/>
          <w:lang w:val="lt-LT"/>
        </w:rPr>
      </w:pPr>
      <w:r w:rsidRPr="002E7B89">
        <w:rPr>
          <w:lang w:val="lt-LT"/>
        </w:rPr>
        <w:t>Receptinis vaistinis preparatas.</w:t>
      </w:r>
    </w:p>
    <w:p w14:paraId="35A422E3" w14:textId="77777777" w:rsidR="0051016D" w:rsidRPr="00713CEC" w:rsidRDefault="0051016D" w:rsidP="002472CD">
      <w:pPr>
        <w:rPr>
          <w:lang w:val="lt-LT"/>
        </w:rPr>
      </w:pPr>
    </w:p>
    <w:p w14:paraId="74DB34A1" w14:textId="77777777" w:rsidR="0051016D" w:rsidRPr="002E7B89" w:rsidRDefault="0051016D" w:rsidP="0051016D">
      <w:pPr>
        <w:rPr>
          <w:lang w:val="lt-LT"/>
        </w:rPr>
      </w:pPr>
    </w:p>
    <w:p w14:paraId="187F0059" w14:textId="77777777" w:rsidR="0051016D" w:rsidRPr="002E7B89" w:rsidRDefault="0051016D" w:rsidP="0051016D">
      <w:pPr>
        <w:rPr>
          <w:lang w:val="lt-LT"/>
        </w:rPr>
      </w:pPr>
    </w:p>
    <w:p w14:paraId="5B3D138C" w14:textId="77777777" w:rsidR="0051016D" w:rsidRPr="002E7B89" w:rsidRDefault="0051016D" w:rsidP="0051016D">
      <w:pPr>
        <w:rPr>
          <w:lang w:val="lt-LT"/>
        </w:rPr>
      </w:pPr>
    </w:p>
    <w:p w14:paraId="5123CB0F" w14:textId="77777777" w:rsidR="0051016D" w:rsidRPr="002E7B89" w:rsidRDefault="0051016D" w:rsidP="0051016D">
      <w:pPr>
        <w:rPr>
          <w:lang w:val="lt-LT"/>
        </w:rPr>
      </w:pPr>
    </w:p>
    <w:p w14:paraId="6531D92F" w14:textId="77777777" w:rsidR="0051016D" w:rsidRPr="002E7B89" w:rsidRDefault="0051016D" w:rsidP="0051016D">
      <w:pPr>
        <w:rPr>
          <w:lang w:val="lt-LT"/>
        </w:rPr>
      </w:pPr>
    </w:p>
    <w:p w14:paraId="4465DF01" w14:textId="77777777" w:rsidR="0051016D" w:rsidRPr="002E7B89" w:rsidRDefault="0051016D" w:rsidP="0051016D">
      <w:pPr>
        <w:rPr>
          <w:lang w:val="lt-LT"/>
        </w:rPr>
      </w:pPr>
    </w:p>
    <w:p w14:paraId="1328F7AB" w14:textId="77777777" w:rsidR="0051016D" w:rsidRPr="002E7B89" w:rsidRDefault="0051016D" w:rsidP="0051016D">
      <w:pPr>
        <w:rPr>
          <w:lang w:val="lt-LT"/>
        </w:rPr>
      </w:pPr>
    </w:p>
    <w:p w14:paraId="25B2077B" w14:textId="77777777" w:rsidR="0051016D" w:rsidRPr="002E7B89" w:rsidRDefault="0051016D" w:rsidP="0051016D">
      <w:pPr>
        <w:rPr>
          <w:lang w:val="lt-LT"/>
        </w:rPr>
      </w:pPr>
    </w:p>
    <w:p w14:paraId="39D5C18A" w14:textId="77777777" w:rsidR="0051016D" w:rsidRPr="002E7B89" w:rsidRDefault="0051016D" w:rsidP="0051016D">
      <w:pPr>
        <w:rPr>
          <w:lang w:val="lt-LT"/>
        </w:rPr>
      </w:pPr>
    </w:p>
    <w:p w14:paraId="586EAC63" w14:textId="77777777" w:rsidR="0051016D" w:rsidRPr="002E7B89" w:rsidRDefault="0051016D" w:rsidP="0051016D">
      <w:pPr>
        <w:rPr>
          <w:lang w:val="lt-LT"/>
        </w:rPr>
      </w:pPr>
    </w:p>
    <w:p w14:paraId="28D84954" w14:textId="77777777" w:rsidR="0051016D" w:rsidRPr="002E7B89" w:rsidRDefault="0051016D" w:rsidP="0051016D">
      <w:pPr>
        <w:rPr>
          <w:lang w:val="lt-LT"/>
        </w:rPr>
      </w:pPr>
    </w:p>
    <w:p w14:paraId="0C81DC8F" w14:textId="77777777" w:rsidR="0051016D" w:rsidRPr="002E7B89" w:rsidRDefault="0051016D" w:rsidP="0051016D">
      <w:pPr>
        <w:rPr>
          <w:lang w:val="lt-LT"/>
        </w:rPr>
      </w:pPr>
    </w:p>
    <w:p w14:paraId="6CF70089" w14:textId="77777777" w:rsidR="0051016D" w:rsidRPr="002E7B89" w:rsidRDefault="0051016D" w:rsidP="0051016D">
      <w:pPr>
        <w:rPr>
          <w:lang w:val="lt-LT"/>
        </w:rPr>
      </w:pPr>
    </w:p>
    <w:p w14:paraId="5ADC7683" w14:textId="77777777" w:rsidR="0051016D" w:rsidRPr="002E7B89" w:rsidRDefault="0051016D" w:rsidP="0051016D">
      <w:pPr>
        <w:rPr>
          <w:lang w:val="lt-LT"/>
        </w:rPr>
      </w:pPr>
    </w:p>
    <w:p w14:paraId="56BB6B69" w14:textId="77777777" w:rsidR="0051016D" w:rsidRPr="002E7B89" w:rsidRDefault="0051016D" w:rsidP="0051016D">
      <w:pPr>
        <w:rPr>
          <w:lang w:val="lt-LT"/>
        </w:rPr>
      </w:pPr>
    </w:p>
    <w:p w14:paraId="6F148398" w14:textId="77777777" w:rsidR="0051016D" w:rsidRPr="002E7B89" w:rsidRDefault="0051016D" w:rsidP="0051016D">
      <w:pPr>
        <w:rPr>
          <w:lang w:val="lt-LT"/>
        </w:rPr>
      </w:pPr>
    </w:p>
    <w:p w14:paraId="01094001" w14:textId="77777777" w:rsidR="0051016D" w:rsidRPr="002E7B89" w:rsidRDefault="0051016D" w:rsidP="0051016D">
      <w:pPr>
        <w:rPr>
          <w:lang w:val="lt-LT"/>
        </w:rPr>
      </w:pPr>
    </w:p>
    <w:p w14:paraId="5AE91B7C" w14:textId="77777777" w:rsidR="0051016D" w:rsidRPr="002E7B89" w:rsidRDefault="0051016D" w:rsidP="0051016D">
      <w:pPr>
        <w:rPr>
          <w:lang w:val="lt-LT"/>
        </w:rPr>
      </w:pPr>
    </w:p>
    <w:p w14:paraId="3BD05BEF" w14:textId="77777777" w:rsidR="0051016D" w:rsidRPr="002E7B89" w:rsidRDefault="0051016D" w:rsidP="0051016D">
      <w:pPr>
        <w:rPr>
          <w:lang w:val="lt-LT"/>
        </w:rPr>
      </w:pPr>
    </w:p>
    <w:p w14:paraId="4363B6BE" w14:textId="77777777" w:rsidR="0051016D" w:rsidRPr="002E7B89" w:rsidRDefault="0051016D" w:rsidP="0051016D">
      <w:pPr>
        <w:rPr>
          <w:lang w:val="lt-LT"/>
        </w:rPr>
      </w:pPr>
    </w:p>
    <w:p w14:paraId="63666579" w14:textId="77777777" w:rsidR="0051016D" w:rsidRPr="002E7B89" w:rsidRDefault="0051016D" w:rsidP="0051016D">
      <w:pPr>
        <w:rPr>
          <w:lang w:val="lt-LT"/>
        </w:rPr>
      </w:pPr>
    </w:p>
    <w:p w14:paraId="6A4FB39D" w14:textId="77777777" w:rsidR="0051016D" w:rsidRPr="002E7B89" w:rsidRDefault="0051016D" w:rsidP="0051016D">
      <w:pPr>
        <w:rPr>
          <w:lang w:val="lt-LT"/>
        </w:rPr>
      </w:pPr>
    </w:p>
    <w:p w14:paraId="0EAA7404" w14:textId="77777777" w:rsidR="0051016D" w:rsidRPr="002E7B89" w:rsidRDefault="0051016D" w:rsidP="0051016D">
      <w:pPr>
        <w:rPr>
          <w:lang w:val="lt-LT"/>
        </w:rPr>
      </w:pPr>
    </w:p>
    <w:p w14:paraId="3C317919" w14:textId="77777777" w:rsidR="0051016D" w:rsidRPr="002E7B89" w:rsidRDefault="0051016D" w:rsidP="0051016D">
      <w:pPr>
        <w:rPr>
          <w:lang w:val="lt-LT"/>
        </w:rPr>
      </w:pPr>
    </w:p>
    <w:p w14:paraId="50FF7E09" w14:textId="77777777" w:rsidR="0051016D" w:rsidRPr="002E7B89" w:rsidRDefault="0051016D" w:rsidP="0051016D">
      <w:pPr>
        <w:rPr>
          <w:lang w:val="lt-LT"/>
        </w:rPr>
      </w:pPr>
    </w:p>
    <w:p w14:paraId="749303D2" w14:textId="77777777" w:rsidR="0051016D" w:rsidRPr="002E7B89" w:rsidRDefault="0051016D" w:rsidP="0051016D">
      <w:pPr>
        <w:rPr>
          <w:lang w:val="lt-LT"/>
        </w:rPr>
      </w:pPr>
    </w:p>
    <w:p w14:paraId="4706865A" w14:textId="77777777" w:rsidR="0051016D" w:rsidRPr="002E7B89" w:rsidRDefault="0051016D" w:rsidP="0051016D">
      <w:pPr>
        <w:rPr>
          <w:lang w:val="lt-LT"/>
        </w:rPr>
      </w:pPr>
    </w:p>
    <w:p w14:paraId="605CF64C" w14:textId="77777777" w:rsidR="0051016D" w:rsidRPr="002E7B89" w:rsidRDefault="0051016D" w:rsidP="0051016D">
      <w:pPr>
        <w:rPr>
          <w:lang w:val="lt-LT"/>
        </w:rPr>
      </w:pPr>
    </w:p>
    <w:p w14:paraId="6961A603" w14:textId="77777777" w:rsidR="0051016D" w:rsidRPr="002E7B89" w:rsidRDefault="0051016D" w:rsidP="0051016D">
      <w:pPr>
        <w:rPr>
          <w:lang w:val="lt-LT"/>
        </w:rPr>
      </w:pPr>
    </w:p>
    <w:p w14:paraId="622AAA36" w14:textId="77777777" w:rsidR="0051016D" w:rsidRPr="002E7B89" w:rsidRDefault="0051016D" w:rsidP="0051016D">
      <w:pPr>
        <w:rPr>
          <w:lang w:val="lt-LT"/>
        </w:rPr>
      </w:pPr>
    </w:p>
    <w:p w14:paraId="19D0D3C1" w14:textId="77777777" w:rsidR="0051016D" w:rsidRPr="002E7B89" w:rsidRDefault="0051016D" w:rsidP="0051016D">
      <w:pPr>
        <w:rPr>
          <w:lang w:val="lt-LT"/>
        </w:rPr>
      </w:pPr>
    </w:p>
    <w:p w14:paraId="7B58496F" w14:textId="77777777" w:rsidR="0051016D" w:rsidRPr="002E7B89" w:rsidRDefault="0051016D" w:rsidP="0051016D">
      <w:pPr>
        <w:rPr>
          <w:lang w:val="lt-LT"/>
        </w:rPr>
      </w:pPr>
    </w:p>
    <w:p w14:paraId="05061B9E" w14:textId="77777777" w:rsidR="0051016D" w:rsidRPr="002E7B89" w:rsidRDefault="0051016D" w:rsidP="0051016D">
      <w:pPr>
        <w:rPr>
          <w:lang w:val="lt-LT"/>
        </w:rPr>
      </w:pPr>
    </w:p>
    <w:p w14:paraId="565E2C47" w14:textId="77777777" w:rsidR="0051016D" w:rsidRPr="002E7B89" w:rsidRDefault="0051016D" w:rsidP="0051016D">
      <w:pPr>
        <w:rPr>
          <w:lang w:val="lt-LT"/>
        </w:rPr>
      </w:pPr>
    </w:p>
    <w:p w14:paraId="75D57C40" w14:textId="77777777" w:rsidR="0051016D" w:rsidRPr="002E7B89" w:rsidRDefault="0051016D" w:rsidP="0051016D">
      <w:pPr>
        <w:rPr>
          <w:lang w:val="lt-LT"/>
        </w:rPr>
      </w:pPr>
    </w:p>
    <w:p w14:paraId="1A0CA900" w14:textId="77777777" w:rsidR="0051016D" w:rsidRPr="002E7B89" w:rsidRDefault="0051016D" w:rsidP="0051016D">
      <w:pPr>
        <w:rPr>
          <w:lang w:val="lt-LT"/>
        </w:rPr>
      </w:pPr>
    </w:p>
    <w:p w14:paraId="72BC2151" w14:textId="77777777" w:rsidR="0051016D" w:rsidRPr="002E7B89" w:rsidRDefault="0051016D" w:rsidP="0051016D">
      <w:pPr>
        <w:rPr>
          <w:lang w:val="lt-LT"/>
        </w:rPr>
      </w:pPr>
    </w:p>
    <w:p w14:paraId="365702BC" w14:textId="77777777" w:rsidR="0051016D" w:rsidRPr="002E7B89" w:rsidRDefault="0051016D" w:rsidP="0051016D">
      <w:pPr>
        <w:rPr>
          <w:lang w:val="lt-LT"/>
        </w:rPr>
      </w:pPr>
    </w:p>
    <w:p w14:paraId="4310A5C3" w14:textId="77777777" w:rsidR="0051016D" w:rsidRPr="002E7B89" w:rsidRDefault="0051016D" w:rsidP="0051016D">
      <w:pPr>
        <w:rPr>
          <w:lang w:val="lt-LT"/>
        </w:rPr>
      </w:pPr>
    </w:p>
    <w:p w14:paraId="70B3FDE8" w14:textId="77777777" w:rsidR="0051016D" w:rsidRPr="002E7B89" w:rsidRDefault="0051016D" w:rsidP="0051016D">
      <w:pPr>
        <w:rPr>
          <w:lang w:val="lt-LT"/>
        </w:rPr>
      </w:pPr>
    </w:p>
    <w:p w14:paraId="4420A5D7" w14:textId="77777777" w:rsidR="0051016D" w:rsidRPr="002E7B89" w:rsidRDefault="0051016D" w:rsidP="0051016D">
      <w:pPr>
        <w:rPr>
          <w:lang w:val="lt-LT"/>
        </w:rPr>
      </w:pPr>
    </w:p>
    <w:p w14:paraId="33870CFC" w14:textId="77777777" w:rsidR="0051016D" w:rsidRPr="002E7B89" w:rsidRDefault="0051016D" w:rsidP="0051016D">
      <w:pPr>
        <w:rPr>
          <w:lang w:val="lt-LT"/>
        </w:rPr>
      </w:pPr>
    </w:p>
    <w:p w14:paraId="5F09FE41" w14:textId="77777777" w:rsidR="0051016D" w:rsidRPr="002E7B89" w:rsidRDefault="0051016D" w:rsidP="0051016D">
      <w:pPr>
        <w:rPr>
          <w:lang w:val="lt-LT"/>
        </w:rPr>
      </w:pPr>
    </w:p>
    <w:p w14:paraId="1D6BF43C" w14:textId="77777777" w:rsidR="0051016D" w:rsidRPr="002E7B89" w:rsidRDefault="0051016D" w:rsidP="0051016D">
      <w:pPr>
        <w:rPr>
          <w:lang w:val="lt-LT"/>
        </w:rPr>
      </w:pPr>
    </w:p>
    <w:p w14:paraId="5185557F" w14:textId="77777777" w:rsidR="0051016D" w:rsidRPr="002E7B89" w:rsidRDefault="0051016D" w:rsidP="0051016D">
      <w:pPr>
        <w:rPr>
          <w:lang w:val="lt-LT"/>
        </w:rPr>
      </w:pPr>
    </w:p>
    <w:p w14:paraId="032DCFB8" w14:textId="77777777" w:rsidR="0051016D" w:rsidRPr="002E7B89" w:rsidRDefault="0051016D" w:rsidP="0051016D">
      <w:pPr>
        <w:rPr>
          <w:lang w:val="lt-LT"/>
        </w:rPr>
      </w:pPr>
    </w:p>
    <w:p w14:paraId="0F866C83" w14:textId="77777777" w:rsidR="0051016D" w:rsidRPr="002E7B89" w:rsidRDefault="0051016D" w:rsidP="0051016D">
      <w:pPr>
        <w:rPr>
          <w:lang w:val="lt-LT"/>
        </w:rPr>
      </w:pPr>
    </w:p>
    <w:p w14:paraId="32FD8694" w14:textId="77777777" w:rsidR="0051016D" w:rsidRPr="002E7B89" w:rsidRDefault="0051016D" w:rsidP="0051016D">
      <w:pPr>
        <w:rPr>
          <w:lang w:val="lt-LT"/>
        </w:rPr>
      </w:pPr>
    </w:p>
    <w:p w14:paraId="4320B3F5" w14:textId="77777777" w:rsidR="0051016D" w:rsidRPr="002E7B89" w:rsidRDefault="0051016D" w:rsidP="0051016D">
      <w:pPr>
        <w:rPr>
          <w:lang w:val="lt-LT"/>
        </w:rPr>
      </w:pPr>
    </w:p>
    <w:p w14:paraId="58A48FD3" w14:textId="77777777" w:rsidR="0051016D" w:rsidRPr="002E7B89" w:rsidRDefault="0051016D" w:rsidP="0051016D">
      <w:pPr>
        <w:rPr>
          <w:lang w:val="lt-LT"/>
        </w:rPr>
      </w:pPr>
    </w:p>
    <w:p w14:paraId="3C2E78FB" w14:textId="77777777" w:rsidR="0051016D" w:rsidRPr="002E7B89" w:rsidRDefault="0051016D" w:rsidP="0051016D">
      <w:pPr>
        <w:rPr>
          <w:lang w:val="lt-LT"/>
        </w:rPr>
      </w:pPr>
    </w:p>
    <w:p w14:paraId="5DE3FB2A" w14:textId="77777777" w:rsidR="0051016D" w:rsidRPr="002E7B89" w:rsidRDefault="0051016D" w:rsidP="0051016D">
      <w:pPr>
        <w:rPr>
          <w:lang w:val="lt-LT"/>
        </w:rPr>
      </w:pPr>
    </w:p>
    <w:p w14:paraId="0E276D20" w14:textId="77777777" w:rsidR="0051016D" w:rsidRPr="002E7B89" w:rsidRDefault="0051016D" w:rsidP="0051016D">
      <w:pPr>
        <w:rPr>
          <w:lang w:val="lt-LT"/>
        </w:rPr>
      </w:pPr>
    </w:p>
    <w:p w14:paraId="19922990" w14:textId="77777777" w:rsidR="0051016D" w:rsidRPr="002E7B89" w:rsidRDefault="0051016D" w:rsidP="0051016D">
      <w:pPr>
        <w:rPr>
          <w:lang w:val="lt-LT"/>
        </w:rPr>
      </w:pPr>
    </w:p>
    <w:p w14:paraId="175130FD" w14:textId="77777777" w:rsidR="0051016D" w:rsidRPr="002E7B89" w:rsidRDefault="0051016D" w:rsidP="0051016D">
      <w:pPr>
        <w:rPr>
          <w:lang w:val="lt-LT"/>
        </w:rPr>
      </w:pPr>
    </w:p>
    <w:p w14:paraId="20D10BD1" w14:textId="77777777" w:rsidR="0051016D" w:rsidRPr="002E7B89" w:rsidRDefault="0051016D" w:rsidP="0051016D">
      <w:pPr>
        <w:rPr>
          <w:lang w:val="lt-LT"/>
        </w:rPr>
      </w:pPr>
    </w:p>
    <w:p w14:paraId="0EBF035B" w14:textId="77777777" w:rsidR="0051016D" w:rsidRPr="002E7B89" w:rsidRDefault="0051016D" w:rsidP="0051016D">
      <w:pPr>
        <w:rPr>
          <w:lang w:val="lt-LT"/>
        </w:rPr>
      </w:pPr>
    </w:p>
    <w:p w14:paraId="50F076E6" w14:textId="77777777" w:rsidR="0051016D" w:rsidRPr="002E7B89" w:rsidRDefault="0051016D" w:rsidP="0051016D">
      <w:pPr>
        <w:rPr>
          <w:lang w:val="lt-LT"/>
        </w:rPr>
      </w:pPr>
    </w:p>
    <w:p w14:paraId="340E4247" w14:textId="77777777" w:rsidR="0051016D" w:rsidRPr="002E7B89" w:rsidRDefault="0051016D" w:rsidP="0051016D">
      <w:pPr>
        <w:rPr>
          <w:lang w:val="lt-LT"/>
        </w:rPr>
      </w:pPr>
    </w:p>
    <w:p w14:paraId="221166C6" w14:textId="77777777" w:rsidR="0051016D" w:rsidRPr="002E7B89" w:rsidRDefault="0051016D" w:rsidP="0051016D">
      <w:pPr>
        <w:rPr>
          <w:lang w:val="lt-LT"/>
        </w:rPr>
      </w:pPr>
    </w:p>
    <w:p w14:paraId="10A090A0" w14:textId="77777777" w:rsidR="0051016D" w:rsidRPr="002E7B89" w:rsidRDefault="0051016D" w:rsidP="0051016D">
      <w:pPr>
        <w:outlineLvl w:val="0"/>
        <w:rPr>
          <w:b/>
          <w:lang w:val="lt-LT"/>
        </w:rPr>
      </w:pPr>
    </w:p>
    <w:p w14:paraId="7AD903AB" w14:textId="77777777" w:rsidR="0051016D" w:rsidRPr="002E7B89" w:rsidRDefault="0051016D" w:rsidP="0051016D">
      <w:pPr>
        <w:outlineLvl w:val="0"/>
        <w:rPr>
          <w:b/>
          <w:lang w:val="lt-LT"/>
        </w:rPr>
      </w:pPr>
    </w:p>
    <w:p w14:paraId="726EA424" w14:textId="77777777" w:rsidR="0051016D" w:rsidRPr="002E7B89" w:rsidRDefault="0051016D" w:rsidP="0051016D">
      <w:pPr>
        <w:outlineLvl w:val="0"/>
        <w:rPr>
          <w:b/>
          <w:lang w:val="lt-LT"/>
        </w:rPr>
      </w:pPr>
    </w:p>
    <w:p w14:paraId="199BDE02" w14:textId="77777777" w:rsidR="0051016D" w:rsidRPr="002E7B89" w:rsidRDefault="0051016D" w:rsidP="0051016D">
      <w:pPr>
        <w:outlineLvl w:val="0"/>
        <w:rPr>
          <w:b/>
          <w:lang w:val="lt-LT"/>
        </w:rPr>
      </w:pPr>
    </w:p>
    <w:p w14:paraId="0BA0BFFB" w14:textId="77777777" w:rsidR="0051016D" w:rsidRPr="002E7B89" w:rsidRDefault="0051016D" w:rsidP="0051016D">
      <w:pPr>
        <w:outlineLvl w:val="0"/>
        <w:rPr>
          <w:b/>
          <w:lang w:val="lt-LT"/>
        </w:rPr>
      </w:pPr>
    </w:p>
    <w:p w14:paraId="30F1BE13" w14:textId="77777777" w:rsidR="0051016D" w:rsidRDefault="0051016D" w:rsidP="0051016D">
      <w:pPr>
        <w:outlineLvl w:val="0"/>
        <w:rPr>
          <w:b/>
          <w:lang w:val="lt-LT"/>
        </w:rPr>
      </w:pPr>
    </w:p>
    <w:p w14:paraId="452E81D1" w14:textId="77777777" w:rsidR="002472CD" w:rsidRPr="002E7B89" w:rsidRDefault="002472CD" w:rsidP="0051016D">
      <w:pPr>
        <w:outlineLvl w:val="0"/>
        <w:rPr>
          <w:b/>
          <w:lang w:val="lt-LT"/>
        </w:rPr>
      </w:pPr>
    </w:p>
    <w:p w14:paraId="4515BA17" w14:textId="77777777" w:rsidR="0051016D" w:rsidRPr="002E7B89" w:rsidRDefault="0051016D" w:rsidP="0051016D">
      <w:pPr>
        <w:pStyle w:val="Antrat2"/>
        <w:spacing w:before="0" w:after="0"/>
        <w:jc w:val="center"/>
        <w:rPr>
          <w:rFonts w:ascii="Times New Roman" w:hAnsi="Times New Roman"/>
          <w:bCs w:val="0"/>
          <w:i w:val="0"/>
          <w:iCs w:val="0"/>
          <w:sz w:val="22"/>
          <w:szCs w:val="24"/>
          <w:lang w:val="lt-LT"/>
        </w:rPr>
      </w:pPr>
      <w:r w:rsidRPr="002E7B89">
        <w:rPr>
          <w:rFonts w:ascii="Times New Roman" w:hAnsi="Times New Roman"/>
          <w:i w:val="0"/>
          <w:sz w:val="22"/>
          <w:lang w:val="lt-LT"/>
        </w:rPr>
        <w:t>III PRIEDAS</w:t>
      </w:r>
    </w:p>
    <w:p w14:paraId="6D90E05D" w14:textId="77777777" w:rsidR="0051016D" w:rsidRPr="002E7B89" w:rsidRDefault="0051016D" w:rsidP="0051016D">
      <w:pPr>
        <w:rPr>
          <w:szCs w:val="24"/>
          <w:lang w:val="lt-LT"/>
        </w:rPr>
      </w:pPr>
    </w:p>
    <w:p w14:paraId="69FC5215" w14:textId="77777777" w:rsidR="0051016D" w:rsidRPr="002E7B89" w:rsidRDefault="0051016D" w:rsidP="0051016D">
      <w:pPr>
        <w:pStyle w:val="Antrat2"/>
        <w:spacing w:before="0" w:after="0"/>
        <w:jc w:val="center"/>
        <w:rPr>
          <w:rFonts w:ascii="Times New Roman" w:hAnsi="Times New Roman"/>
          <w:bCs w:val="0"/>
          <w:i w:val="0"/>
          <w:iCs w:val="0"/>
          <w:sz w:val="22"/>
          <w:szCs w:val="24"/>
          <w:lang w:val="lt-LT"/>
        </w:rPr>
      </w:pPr>
      <w:r w:rsidRPr="002E7B89">
        <w:rPr>
          <w:rFonts w:ascii="Times New Roman" w:hAnsi="Times New Roman"/>
          <w:i w:val="0"/>
          <w:sz w:val="22"/>
          <w:lang w:val="lt-LT"/>
        </w:rPr>
        <w:t>ŽENKLINIMAS IR PAKUOTĖS LAPELIS</w:t>
      </w:r>
    </w:p>
    <w:p w14:paraId="0FE5EB0A" w14:textId="77777777" w:rsidR="0051016D" w:rsidRPr="002E7B89" w:rsidRDefault="0051016D" w:rsidP="0051016D">
      <w:pPr>
        <w:rPr>
          <w:szCs w:val="24"/>
          <w:lang w:val="lt-LT"/>
        </w:rPr>
      </w:pPr>
      <w:r w:rsidRPr="002E7B89">
        <w:rPr>
          <w:snapToGrid w:val="0"/>
          <w:szCs w:val="24"/>
          <w:lang w:val="lt-LT"/>
        </w:rPr>
        <w:br w:type="page"/>
      </w:r>
    </w:p>
    <w:p w14:paraId="02769855" w14:textId="77777777" w:rsidR="0051016D" w:rsidRPr="002E7B89" w:rsidRDefault="0051016D" w:rsidP="0051016D">
      <w:pPr>
        <w:rPr>
          <w:szCs w:val="24"/>
          <w:lang w:val="lt-LT"/>
        </w:rPr>
      </w:pPr>
    </w:p>
    <w:p w14:paraId="1ABEA31D" w14:textId="77777777" w:rsidR="0051016D" w:rsidRPr="002E7B89" w:rsidRDefault="0051016D" w:rsidP="0051016D">
      <w:pPr>
        <w:rPr>
          <w:szCs w:val="24"/>
          <w:lang w:val="lt-LT"/>
        </w:rPr>
      </w:pPr>
    </w:p>
    <w:p w14:paraId="1E8445CA" w14:textId="77777777" w:rsidR="0051016D" w:rsidRPr="002E7B89" w:rsidRDefault="0051016D" w:rsidP="0051016D">
      <w:pPr>
        <w:rPr>
          <w:szCs w:val="24"/>
          <w:lang w:val="lt-LT"/>
        </w:rPr>
      </w:pPr>
    </w:p>
    <w:p w14:paraId="53760DFB" w14:textId="77777777" w:rsidR="0051016D" w:rsidRPr="002E7B89" w:rsidRDefault="0051016D" w:rsidP="0051016D">
      <w:pPr>
        <w:rPr>
          <w:szCs w:val="24"/>
          <w:lang w:val="lt-LT"/>
        </w:rPr>
      </w:pPr>
    </w:p>
    <w:p w14:paraId="7303277A" w14:textId="77777777" w:rsidR="0051016D" w:rsidRPr="002E7B89" w:rsidRDefault="0051016D" w:rsidP="0051016D">
      <w:pPr>
        <w:rPr>
          <w:szCs w:val="24"/>
          <w:lang w:val="lt-LT"/>
        </w:rPr>
      </w:pPr>
    </w:p>
    <w:p w14:paraId="5B0E7698" w14:textId="77777777" w:rsidR="0051016D" w:rsidRPr="002E7B89" w:rsidRDefault="0051016D" w:rsidP="0051016D">
      <w:pPr>
        <w:rPr>
          <w:szCs w:val="24"/>
          <w:lang w:val="lt-LT"/>
        </w:rPr>
      </w:pPr>
    </w:p>
    <w:p w14:paraId="54E8880C" w14:textId="77777777" w:rsidR="0051016D" w:rsidRPr="002E7B89" w:rsidRDefault="0051016D" w:rsidP="0051016D">
      <w:pPr>
        <w:rPr>
          <w:szCs w:val="24"/>
          <w:lang w:val="lt-LT"/>
        </w:rPr>
      </w:pPr>
    </w:p>
    <w:p w14:paraId="77B82499" w14:textId="77777777" w:rsidR="0051016D" w:rsidRPr="002E7B89" w:rsidRDefault="0051016D" w:rsidP="0051016D">
      <w:pPr>
        <w:rPr>
          <w:szCs w:val="24"/>
          <w:lang w:val="lt-LT"/>
        </w:rPr>
      </w:pPr>
    </w:p>
    <w:p w14:paraId="6E610587" w14:textId="77777777" w:rsidR="0051016D" w:rsidRPr="002E7B89" w:rsidRDefault="0051016D" w:rsidP="0051016D">
      <w:pPr>
        <w:rPr>
          <w:szCs w:val="24"/>
          <w:lang w:val="lt-LT"/>
        </w:rPr>
      </w:pPr>
    </w:p>
    <w:p w14:paraId="1B1E074D" w14:textId="77777777" w:rsidR="0051016D" w:rsidRPr="002E7B89" w:rsidRDefault="0051016D" w:rsidP="0051016D">
      <w:pPr>
        <w:rPr>
          <w:szCs w:val="24"/>
          <w:lang w:val="lt-LT"/>
        </w:rPr>
      </w:pPr>
    </w:p>
    <w:p w14:paraId="6A0AE72B" w14:textId="77777777" w:rsidR="0051016D" w:rsidRPr="002E7B89" w:rsidRDefault="0051016D" w:rsidP="0051016D">
      <w:pPr>
        <w:rPr>
          <w:szCs w:val="24"/>
          <w:lang w:val="lt-LT"/>
        </w:rPr>
      </w:pPr>
    </w:p>
    <w:p w14:paraId="3F53406D" w14:textId="77777777" w:rsidR="0051016D" w:rsidRPr="002E7B89" w:rsidRDefault="0051016D" w:rsidP="0051016D">
      <w:pPr>
        <w:rPr>
          <w:szCs w:val="24"/>
          <w:lang w:val="lt-LT"/>
        </w:rPr>
      </w:pPr>
    </w:p>
    <w:p w14:paraId="77DB6D56" w14:textId="77777777" w:rsidR="0051016D" w:rsidRPr="002E7B89" w:rsidRDefault="0051016D" w:rsidP="0051016D">
      <w:pPr>
        <w:rPr>
          <w:szCs w:val="24"/>
          <w:lang w:val="lt-LT"/>
        </w:rPr>
      </w:pPr>
    </w:p>
    <w:p w14:paraId="37FE70FB" w14:textId="77777777" w:rsidR="0051016D" w:rsidRPr="002E7B89" w:rsidRDefault="0051016D" w:rsidP="0051016D">
      <w:pPr>
        <w:rPr>
          <w:szCs w:val="24"/>
          <w:lang w:val="lt-LT"/>
        </w:rPr>
      </w:pPr>
    </w:p>
    <w:p w14:paraId="37412706" w14:textId="77777777" w:rsidR="0051016D" w:rsidRPr="002E7B89" w:rsidRDefault="0051016D" w:rsidP="0051016D">
      <w:pPr>
        <w:rPr>
          <w:szCs w:val="24"/>
          <w:lang w:val="lt-LT"/>
        </w:rPr>
      </w:pPr>
    </w:p>
    <w:p w14:paraId="5982E2DA" w14:textId="77777777" w:rsidR="0051016D" w:rsidRPr="002E7B89" w:rsidRDefault="0051016D" w:rsidP="0051016D">
      <w:pPr>
        <w:rPr>
          <w:szCs w:val="24"/>
          <w:lang w:val="lt-LT"/>
        </w:rPr>
      </w:pPr>
    </w:p>
    <w:p w14:paraId="0D459E97" w14:textId="77777777" w:rsidR="0051016D" w:rsidRPr="002E7B89" w:rsidRDefault="0051016D" w:rsidP="0051016D">
      <w:pPr>
        <w:rPr>
          <w:szCs w:val="24"/>
          <w:lang w:val="lt-LT"/>
        </w:rPr>
      </w:pPr>
    </w:p>
    <w:p w14:paraId="42E1AEB8" w14:textId="77777777" w:rsidR="0051016D" w:rsidRPr="002E7B89" w:rsidRDefault="0051016D" w:rsidP="0051016D">
      <w:pPr>
        <w:rPr>
          <w:szCs w:val="24"/>
          <w:lang w:val="lt-LT"/>
        </w:rPr>
      </w:pPr>
    </w:p>
    <w:p w14:paraId="66F89498" w14:textId="77777777" w:rsidR="0051016D" w:rsidRPr="002E7B89" w:rsidRDefault="0051016D" w:rsidP="0051016D">
      <w:pPr>
        <w:rPr>
          <w:szCs w:val="24"/>
          <w:lang w:val="lt-LT"/>
        </w:rPr>
      </w:pPr>
    </w:p>
    <w:p w14:paraId="69697D8F" w14:textId="77777777" w:rsidR="0051016D" w:rsidRPr="002E7B89" w:rsidRDefault="0051016D" w:rsidP="0051016D">
      <w:pPr>
        <w:rPr>
          <w:szCs w:val="24"/>
          <w:lang w:val="lt-LT"/>
        </w:rPr>
      </w:pPr>
    </w:p>
    <w:p w14:paraId="0F02B7D6" w14:textId="77777777" w:rsidR="0051016D" w:rsidRDefault="0051016D" w:rsidP="0051016D">
      <w:pPr>
        <w:rPr>
          <w:szCs w:val="24"/>
          <w:lang w:val="lt-LT"/>
        </w:rPr>
      </w:pPr>
    </w:p>
    <w:p w14:paraId="6C1C129C" w14:textId="77777777" w:rsidR="002472CD" w:rsidRPr="002E7B89" w:rsidRDefault="002472CD" w:rsidP="0051016D">
      <w:pPr>
        <w:rPr>
          <w:szCs w:val="24"/>
          <w:lang w:val="lt-LT"/>
        </w:rPr>
      </w:pPr>
    </w:p>
    <w:p w14:paraId="76533AE5" w14:textId="77777777" w:rsidR="0051016D" w:rsidRPr="002E7B89" w:rsidRDefault="0051016D" w:rsidP="0051016D">
      <w:pPr>
        <w:rPr>
          <w:szCs w:val="24"/>
          <w:lang w:val="lt-LT"/>
        </w:rPr>
      </w:pPr>
    </w:p>
    <w:p w14:paraId="72075F32" w14:textId="77777777" w:rsidR="0051016D" w:rsidRPr="002E7B89" w:rsidRDefault="0051016D" w:rsidP="0051016D">
      <w:pPr>
        <w:pStyle w:val="Antrat2"/>
        <w:spacing w:before="0" w:after="0"/>
        <w:jc w:val="center"/>
        <w:rPr>
          <w:rFonts w:ascii="Times New Roman" w:hAnsi="Times New Roman"/>
          <w:bCs w:val="0"/>
          <w:i w:val="0"/>
          <w:iCs w:val="0"/>
          <w:sz w:val="22"/>
          <w:szCs w:val="24"/>
          <w:lang w:val="lt-LT"/>
        </w:rPr>
      </w:pPr>
      <w:r w:rsidRPr="002E7B89">
        <w:rPr>
          <w:rFonts w:ascii="Times New Roman" w:hAnsi="Times New Roman"/>
          <w:i w:val="0"/>
          <w:sz w:val="22"/>
          <w:lang w:val="lt-LT"/>
        </w:rPr>
        <w:t>A. ŽENKLINIMAS</w:t>
      </w:r>
    </w:p>
    <w:p w14:paraId="1FDBF2AF" w14:textId="77777777" w:rsidR="0051016D" w:rsidRPr="002E7B89" w:rsidRDefault="0051016D" w:rsidP="0051016D">
      <w:pPr>
        <w:rPr>
          <w:szCs w:val="24"/>
          <w:lang w:val="lt-LT"/>
        </w:rPr>
      </w:pPr>
      <w:r w:rsidRPr="002E7B89">
        <w:rPr>
          <w:snapToGrid w:val="0"/>
          <w:szCs w:val="24"/>
          <w:lang w:val="lt-LT"/>
        </w:rPr>
        <w:br w:type="page"/>
      </w:r>
    </w:p>
    <w:p w14:paraId="53F9DE3E" w14:textId="77777777" w:rsidR="0051016D" w:rsidRPr="002E7B89" w:rsidRDefault="0051016D" w:rsidP="0051016D">
      <w:pPr>
        <w:pBdr>
          <w:top w:val="single" w:sz="4" w:space="1" w:color="auto"/>
          <w:left w:val="single" w:sz="4" w:space="4" w:color="auto"/>
          <w:bottom w:val="single" w:sz="4" w:space="1" w:color="auto"/>
          <w:right w:val="single" w:sz="4" w:space="4" w:color="auto"/>
        </w:pBdr>
        <w:rPr>
          <w:b/>
          <w:szCs w:val="24"/>
          <w:lang w:val="lt-LT"/>
        </w:rPr>
      </w:pPr>
      <w:r w:rsidRPr="002E7B89">
        <w:rPr>
          <w:b/>
          <w:szCs w:val="24"/>
          <w:lang w:val="lt-LT"/>
        </w:rPr>
        <w:lastRenderedPageBreak/>
        <w:t>INFORMACIJA ANT IŠORINĖS PAKUOTĖS</w:t>
      </w:r>
    </w:p>
    <w:p w14:paraId="33CFD2FB" w14:textId="77777777" w:rsidR="0051016D" w:rsidRPr="002E7B89" w:rsidRDefault="0051016D" w:rsidP="0051016D">
      <w:pPr>
        <w:pBdr>
          <w:top w:val="single" w:sz="4" w:space="1" w:color="auto"/>
          <w:left w:val="single" w:sz="4" w:space="4" w:color="auto"/>
          <w:bottom w:val="single" w:sz="4" w:space="1" w:color="auto"/>
          <w:right w:val="single" w:sz="4" w:space="4" w:color="auto"/>
        </w:pBdr>
        <w:ind w:left="567" w:hanging="567"/>
        <w:rPr>
          <w:b/>
          <w:szCs w:val="24"/>
          <w:lang w:val="lt-LT"/>
        </w:rPr>
      </w:pPr>
    </w:p>
    <w:p w14:paraId="46DDB496" w14:textId="77777777" w:rsidR="0051016D" w:rsidRPr="002E7B89" w:rsidRDefault="009E13A2" w:rsidP="0051016D">
      <w:pPr>
        <w:pBdr>
          <w:top w:val="single" w:sz="4" w:space="1" w:color="auto"/>
          <w:left w:val="single" w:sz="4" w:space="4" w:color="auto"/>
          <w:bottom w:val="single" w:sz="4" w:space="1" w:color="auto"/>
          <w:right w:val="single" w:sz="4" w:space="4" w:color="auto"/>
        </w:pBdr>
        <w:rPr>
          <w:b/>
          <w:szCs w:val="24"/>
          <w:lang w:val="lt-LT"/>
        </w:rPr>
      </w:pPr>
      <w:r w:rsidRPr="009E13A2">
        <w:rPr>
          <w:b/>
          <w:szCs w:val="24"/>
          <w:lang w:val="lt-LT"/>
        </w:rPr>
        <w:t>Kartono dėžutė</w:t>
      </w:r>
    </w:p>
    <w:p w14:paraId="4265AA52" w14:textId="77777777" w:rsidR="0051016D" w:rsidRPr="002E7B89" w:rsidRDefault="0051016D" w:rsidP="0051016D">
      <w:pPr>
        <w:rPr>
          <w:szCs w:val="24"/>
          <w:lang w:val="lt-LT"/>
        </w:rPr>
      </w:pPr>
    </w:p>
    <w:p w14:paraId="5143DEBC" w14:textId="77777777" w:rsidR="0051016D" w:rsidRPr="002E7B89" w:rsidRDefault="0051016D" w:rsidP="0051016D">
      <w:pPr>
        <w:rPr>
          <w:szCs w:val="24"/>
          <w:lang w:val="lt-LT"/>
        </w:rPr>
      </w:pPr>
    </w:p>
    <w:p w14:paraId="33C4AF0F" w14:textId="77777777" w:rsidR="0051016D" w:rsidRPr="002E7B89" w:rsidRDefault="0051016D" w:rsidP="0051016D">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2E7B89">
        <w:rPr>
          <w:b/>
          <w:szCs w:val="24"/>
          <w:lang w:val="lt-LT"/>
        </w:rPr>
        <w:t>1.</w:t>
      </w:r>
      <w:r w:rsidRPr="002E7B89">
        <w:rPr>
          <w:b/>
          <w:szCs w:val="24"/>
          <w:lang w:val="lt-LT"/>
        </w:rPr>
        <w:tab/>
      </w:r>
      <w:r w:rsidRPr="002E7B89">
        <w:rPr>
          <w:b/>
          <w:caps/>
          <w:szCs w:val="24"/>
          <w:lang w:val="lt-LT"/>
        </w:rPr>
        <w:t>VAISTINIO</w:t>
      </w:r>
      <w:r w:rsidRPr="002E7B89">
        <w:rPr>
          <w:b/>
          <w:szCs w:val="24"/>
          <w:lang w:val="lt-LT"/>
        </w:rPr>
        <w:t xml:space="preserve"> PREPARATO PAVADINIMAS</w:t>
      </w:r>
    </w:p>
    <w:p w14:paraId="1B7CA758" w14:textId="77777777" w:rsidR="0051016D" w:rsidRPr="002E7B89" w:rsidRDefault="0051016D" w:rsidP="0051016D">
      <w:pPr>
        <w:rPr>
          <w:szCs w:val="24"/>
          <w:lang w:val="lt-LT"/>
        </w:rPr>
      </w:pPr>
    </w:p>
    <w:p w14:paraId="182CAD18" w14:textId="77777777" w:rsidR="006A3D94" w:rsidRPr="002E7B89" w:rsidRDefault="008765BB" w:rsidP="0051016D">
      <w:pPr>
        <w:rPr>
          <w:lang w:val="lt-LT" w:bidi="lt-LT"/>
        </w:rPr>
      </w:pPr>
      <w:r>
        <w:rPr>
          <w:lang w:val="lt-LT"/>
        </w:rPr>
        <w:t>Dexamethasone Kalceks</w:t>
      </w:r>
      <w:r w:rsidR="006A3D94" w:rsidRPr="002E7B89">
        <w:rPr>
          <w:szCs w:val="24"/>
          <w:lang w:val="lt-LT"/>
        </w:rPr>
        <w:t xml:space="preserve"> </w:t>
      </w:r>
      <w:r w:rsidR="006A3D94" w:rsidRPr="002E7B89">
        <w:rPr>
          <w:lang w:val="lt-LT" w:bidi="lt-LT"/>
        </w:rPr>
        <w:t>4 mg/ml injekcinis ar infuzinis tirpalas</w:t>
      </w:r>
    </w:p>
    <w:p w14:paraId="04F92832" w14:textId="77777777" w:rsidR="006A3D94" w:rsidRPr="002E7B89" w:rsidRDefault="006A3D94" w:rsidP="0051016D">
      <w:pPr>
        <w:rPr>
          <w:lang w:val="lt-LT" w:bidi="lt-LT"/>
        </w:rPr>
      </w:pPr>
    </w:p>
    <w:p w14:paraId="6587BBA9" w14:textId="77777777" w:rsidR="0051016D" w:rsidRPr="002E7B89" w:rsidRDefault="006A3D94" w:rsidP="0051016D">
      <w:pPr>
        <w:rPr>
          <w:szCs w:val="24"/>
          <w:lang w:val="lt-LT"/>
        </w:rPr>
      </w:pPr>
      <w:r w:rsidRPr="002E7B89">
        <w:rPr>
          <w:lang w:val="lt-LT" w:bidi="lt-LT"/>
        </w:rPr>
        <w:t>deksametazono fosfatas</w:t>
      </w:r>
      <w:r w:rsidR="0051016D" w:rsidRPr="002E7B89">
        <w:rPr>
          <w:szCs w:val="24"/>
          <w:lang w:val="lt-LT"/>
        </w:rPr>
        <w:t xml:space="preserve"> </w:t>
      </w:r>
    </w:p>
    <w:p w14:paraId="233736C3" w14:textId="77777777" w:rsidR="0051016D" w:rsidRPr="002E7B89" w:rsidRDefault="0051016D" w:rsidP="0051016D">
      <w:pPr>
        <w:rPr>
          <w:szCs w:val="24"/>
          <w:lang w:val="lt-LT"/>
        </w:rPr>
      </w:pPr>
    </w:p>
    <w:p w14:paraId="183C8DB1" w14:textId="77777777" w:rsidR="0051016D" w:rsidRPr="002E7B89" w:rsidRDefault="0051016D" w:rsidP="0051016D">
      <w:pPr>
        <w:rPr>
          <w:szCs w:val="24"/>
          <w:lang w:val="lt-LT"/>
        </w:rPr>
      </w:pPr>
    </w:p>
    <w:p w14:paraId="66147147" w14:textId="77777777" w:rsidR="0051016D" w:rsidRPr="002E7B89" w:rsidRDefault="0051016D" w:rsidP="0051016D">
      <w:pPr>
        <w:pBdr>
          <w:top w:val="single" w:sz="4" w:space="1" w:color="auto"/>
          <w:left w:val="single" w:sz="4" w:space="4" w:color="auto"/>
          <w:bottom w:val="single" w:sz="4" w:space="1" w:color="auto"/>
          <w:right w:val="single" w:sz="4" w:space="4" w:color="auto"/>
        </w:pBdr>
        <w:ind w:left="567" w:hanging="567"/>
        <w:outlineLvl w:val="0"/>
        <w:rPr>
          <w:b/>
          <w:szCs w:val="24"/>
          <w:lang w:val="lt-LT"/>
        </w:rPr>
      </w:pPr>
      <w:r w:rsidRPr="002E7B89">
        <w:rPr>
          <w:b/>
          <w:szCs w:val="24"/>
          <w:lang w:val="lt-LT"/>
        </w:rPr>
        <w:t>2.</w:t>
      </w:r>
      <w:r w:rsidRPr="002E7B89">
        <w:rPr>
          <w:b/>
          <w:szCs w:val="24"/>
          <w:lang w:val="lt-LT"/>
        </w:rPr>
        <w:tab/>
        <w:t>VEIKLIOJI (-IOS) MEDŽIAGA (-OS) IR JOS (-Ų) KIEKIS (-IAI)</w:t>
      </w:r>
    </w:p>
    <w:p w14:paraId="394A908D" w14:textId="77777777" w:rsidR="0051016D" w:rsidRPr="002E7B89" w:rsidRDefault="0051016D" w:rsidP="0051016D">
      <w:pPr>
        <w:rPr>
          <w:szCs w:val="24"/>
          <w:lang w:val="lt-LT"/>
        </w:rPr>
      </w:pPr>
    </w:p>
    <w:p w14:paraId="7C98504E" w14:textId="77777777" w:rsidR="006A3D94" w:rsidRPr="002E7B89" w:rsidRDefault="006A3D94" w:rsidP="006A3D94">
      <w:pPr>
        <w:pStyle w:val="Betarp"/>
        <w:rPr>
          <w:lang w:val="lt-LT"/>
        </w:rPr>
      </w:pPr>
      <w:r w:rsidRPr="002E7B89">
        <w:rPr>
          <w:lang w:val="lt-LT" w:bidi="lt-LT"/>
        </w:rPr>
        <w:t>Kiekvienoje 1 ml ampulėje yra deksametazono natrio fosfato, atitinkančio 4 mg deksametazono fosfato.</w:t>
      </w:r>
    </w:p>
    <w:p w14:paraId="7A4DAD6E" w14:textId="77777777" w:rsidR="006A3D94" w:rsidRPr="002E7B89" w:rsidRDefault="006A3D94" w:rsidP="006A3D94">
      <w:pPr>
        <w:pStyle w:val="Betarp"/>
        <w:rPr>
          <w:lang w:val="lt-LT"/>
        </w:rPr>
      </w:pPr>
      <w:r w:rsidRPr="002E7B89">
        <w:rPr>
          <w:highlight w:val="lightGray"/>
          <w:lang w:val="lt-LT" w:bidi="lt-LT"/>
        </w:rPr>
        <w:t>Kiekvienoje 2 ml ampulėje yra deksametazono natrio fosfato, atitinkančio 8 mg deksametazono fosfato.</w:t>
      </w:r>
    </w:p>
    <w:p w14:paraId="110340C9" w14:textId="77777777" w:rsidR="0051016D" w:rsidRPr="002E7B89" w:rsidRDefault="0051016D" w:rsidP="0051016D">
      <w:pPr>
        <w:rPr>
          <w:szCs w:val="24"/>
          <w:lang w:val="lt-LT"/>
        </w:rPr>
      </w:pPr>
    </w:p>
    <w:p w14:paraId="44D9212E" w14:textId="77777777" w:rsidR="0051016D" w:rsidRPr="002E7B89" w:rsidRDefault="0051016D" w:rsidP="0051016D">
      <w:pPr>
        <w:rPr>
          <w:szCs w:val="24"/>
          <w:lang w:val="lt-LT"/>
        </w:rPr>
      </w:pPr>
    </w:p>
    <w:p w14:paraId="58DACA76" w14:textId="77777777" w:rsidR="0051016D" w:rsidRPr="002E7B89" w:rsidRDefault="0051016D" w:rsidP="0051016D">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2E7B89">
        <w:rPr>
          <w:b/>
          <w:szCs w:val="24"/>
          <w:lang w:val="lt-LT"/>
        </w:rPr>
        <w:t>3.</w:t>
      </w:r>
      <w:r w:rsidRPr="002E7B89">
        <w:rPr>
          <w:b/>
          <w:szCs w:val="24"/>
          <w:lang w:val="lt-LT"/>
        </w:rPr>
        <w:tab/>
        <w:t>PAGALBINIŲ MEDŽIAGŲ SĄRAŠAS</w:t>
      </w:r>
    </w:p>
    <w:p w14:paraId="5C95E828" w14:textId="77777777" w:rsidR="0051016D" w:rsidRPr="002E7B89" w:rsidRDefault="0051016D" w:rsidP="0051016D">
      <w:pPr>
        <w:rPr>
          <w:szCs w:val="24"/>
          <w:lang w:val="lt-LT"/>
        </w:rPr>
      </w:pPr>
    </w:p>
    <w:p w14:paraId="7DF837D2" w14:textId="77777777" w:rsidR="006A3D94" w:rsidRPr="002E7B89" w:rsidRDefault="006A3D94" w:rsidP="006A3D94">
      <w:pPr>
        <w:pStyle w:val="Betarp"/>
        <w:rPr>
          <w:lang w:val="lt-LT"/>
        </w:rPr>
      </w:pPr>
      <w:r w:rsidRPr="002E7B89">
        <w:rPr>
          <w:lang w:val="lt-LT" w:bidi="lt-LT"/>
        </w:rPr>
        <w:t>Pagalbinės medžiagos: kreatininas, natrio citratas, dinatrio edetatas, natrio hidroksidas, injekcinis vanduo.</w:t>
      </w:r>
    </w:p>
    <w:p w14:paraId="368265B5" w14:textId="77777777" w:rsidR="0051016D" w:rsidRPr="002E7B89" w:rsidRDefault="006A3D94" w:rsidP="0051016D">
      <w:pPr>
        <w:rPr>
          <w:szCs w:val="24"/>
          <w:lang w:val="lt-LT"/>
        </w:rPr>
      </w:pPr>
      <w:r w:rsidRPr="002E7B89">
        <w:rPr>
          <w:szCs w:val="24"/>
          <w:lang w:val="lt-LT"/>
        </w:rPr>
        <w:t>Daugiau informacijos žr. pakuotės lapelyje.</w:t>
      </w:r>
    </w:p>
    <w:p w14:paraId="43849251" w14:textId="77777777" w:rsidR="006A3D94" w:rsidRDefault="006A3D94" w:rsidP="0051016D">
      <w:pPr>
        <w:rPr>
          <w:szCs w:val="24"/>
          <w:lang w:val="lt-LT"/>
        </w:rPr>
      </w:pPr>
    </w:p>
    <w:p w14:paraId="4FEE04CB" w14:textId="77777777" w:rsidR="00231252" w:rsidRPr="002E7B89" w:rsidRDefault="00231252" w:rsidP="0051016D">
      <w:pPr>
        <w:rPr>
          <w:szCs w:val="24"/>
          <w:lang w:val="lt-LT"/>
        </w:rPr>
      </w:pPr>
    </w:p>
    <w:p w14:paraId="793AB1A4" w14:textId="77777777" w:rsidR="0051016D" w:rsidRPr="002E7B89" w:rsidRDefault="0051016D" w:rsidP="0051016D">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2E7B89">
        <w:rPr>
          <w:b/>
          <w:szCs w:val="24"/>
          <w:lang w:val="lt-LT"/>
        </w:rPr>
        <w:t>4.</w:t>
      </w:r>
      <w:r w:rsidRPr="002E7B89">
        <w:rPr>
          <w:b/>
          <w:szCs w:val="24"/>
          <w:lang w:val="lt-LT"/>
        </w:rPr>
        <w:tab/>
        <w:t>FARMACINĖ FORMA IR KIEKIS PAKUOTĖJE</w:t>
      </w:r>
    </w:p>
    <w:p w14:paraId="5BBDCEDF" w14:textId="77777777" w:rsidR="0051016D" w:rsidRPr="002E7B89" w:rsidRDefault="0051016D" w:rsidP="0051016D">
      <w:pPr>
        <w:rPr>
          <w:szCs w:val="24"/>
          <w:lang w:val="lt-LT"/>
        </w:rPr>
      </w:pPr>
    </w:p>
    <w:p w14:paraId="1BB6293D" w14:textId="77777777" w:rsidR="006A3D94" w:rsidRPr="002E7B89" w:rsidRDefault="006A3D94" w:rsidP="0051016D">
      <w:pPr>
        <w:rPr>
          <w:lang w:val="lt-LT" w:bidi="lt-LT"/>
        </w:rPr>
      </w:pPr>
      <w:r w:rsidRPr="002E7B89">
        <w:rPr>
          <w:highlight w:val="lightGray"/>
          <w:lang w:val="lt-LT" w:bidi="lt-LT"/>
        </w:rPr>
        <w:t>injekcinis ar infuzinis tirpalas</w:t>
      </w:r>
    </w:p>
    <w:p w14:paraId="3658D60A" w14:textId="77777777" w:rsidR="006A3D94" w:rsidRPr="002E7B89" w:rsidRDefault="006A3D94" w:rsidP="0051016D">
      <w:pPr>
        <w:rPr>
          <w:lang w:val="lt-LT" w:bidi="lt-LT"/>
        </w:rPr>
      </w:pPr>
    </w:p>
    <w:p w14:paraId="0917FF0D" w14:textId="77777777" w:rsidR="006A3D94" w:rsidRPr="002E7B89" w:rsidRDefault="006A3D94" w:rsidP="006A3D94">
      <w:pPr>
        <w:rPr>
          <w:lang w:val="lt-LT"/>
        </w:rPr>
      </w:pPr>
      <w:r w:rsidRPr="002E7B89">
        <w:rPr>
          <w:lang w:val="lt-LT"/>
        </w:rPr>
        <w:t>3 ampulės po 1 ml</w:t>
      </w:r>
    </w:p>
    <w:p w14:paraId="78A038C9" w14:textId="77777777" w:rsidR="006A3D94" w:rsidRPr="002E7B89" w:rsidRDefault="006A3D94" w:rsidP="006A3D94">
      <w:pPr>
        <w:rPr>
          <w:highlight w:val="lightGray"/>
          <w:lang w:val="lt-LT"/>
        </w:rPr>
      </w:pPr>
      <w:r w:rsidRPr="002E7B89">
        <w:rPr>
          <w:highlight w:val="lightGray"/>
          <w:lang w:val="lt-LT"/>
        </w:rPr>
        <w:t>10 ampulių po 1 ml</w:t>
      </w:r>
    </w:p>
    <w:p w14:paraId="35AF7786" w14:textId="77777777" w:rsidR="006A3D94" w:rsidRPr="002E7B89" w:rsidRDefault="006A3D94" w:rsidP="006A3D94">
      <w:pPr>
        <w:rPr>
          <w:highlight w:val="lightGray"/>
          <w:lang w:val="lt-LT"/>
        </w:rPr>
      </w:pPr>
      <w:r w:rsidRPr="002E7B89">
        <w:rPr>
          <w:highlight w:val="lightGray"/>
          <w:lang w:val="lt-LT"/>
        </w:rPr>
        <w:t>25 ampulės po 1 ml</w:t>
      </w:r>
    </w:p>
    <w:p w14:paraId="278916F0" w14:textId="77777777" w:rsidR="006A3D94" w:rsidRPr="002E7B89" w:rsidRDefault="006A3D94" w:rsidP="006A3D94">
      <w:pPr>
        <w:rPr>
          <w:highlight w:val="lightGray"/>
          <w:lang w:val="lt-LT"/>
        </w:rPr>
      </w:pPr>
      <w:r w:rsidRPr="002E7B89">
        <w:rPr>
          <w:highlight w:val="lightGray"/>
          <w:lang w:val="lt-LT"/>
        </w:rPr>
        <w:t>50 ampulių po 1 ml</w:t>
      </w:r>
    </w:p>
    <w:p w14:paraId="5141C50F" w14:textId="77777777" w:rsidR="006A3D94" w:rsidRPr="002E7B89" w:rsidRDefault="006A3D94" w:rsidP="006A3D94">
      <w:pPr>
        <w:rPr>
          <w:highlight w:val="lightGray"/>
          <w:lang w:val="lt-LT"/>
        </w:rPr>
      </w:pPr>
      <w:r w:rsidRPr="002E7B89">
        <w:rPr>
          <w:highlight w:val="lightGray"/>
          <w:lang w:val="lt-LT"/>
        </w:rPr>
        <w:t>100 ampulių po 1 ml</w:t>
      </w:r>
    </w:p>
    <w:p w14:paraId="6331C26A" w14:textId="77777777" w:rsidR="006A3D94" w:rsidRPr="002E7B89" w:rsidRDefault="006A3D94" w:rsidP="006A3D94">
      <w:pPr>
        <w:rPr>
          <w:lang w:val="lt-LT"/>
        </w:rPr>
      </w:pPr>
    </w:p>
    <w:p w14:paraId="06FC40EA" w14:textId="77777777" w:rsidR="006A3D94" w:rsidRPr="002E7B89" w:rsidRDefault="006A3D94" w:rsidP="006A3D94">
      <w:pPr>
        <w:rPr>
          <w:lang w:val="lt-LT"/>
        </w:rPr>
      </w:pPr>
      <w:r w:rsidRPr="002E7B89">
        <w:rPr>
          <w:highlight w:val="lightGray"/>
          <w:lang w:val="lt-LT"/>
        </w:rPr>
        <w:t>5 ampulės po 2 ml</w:t>
      </w:r>
    </w:p>
    <w:p w14:paraId="165313C6" w14:textId="77777777" w:rsidR="006A3D94" w:rsidRPr="002E7B89" w:rsidRDefault="006A3D94" w:rsidP="006A3D94">
      <w:pPr>
        <w:rPr>
          <w:highlight w:val="lightGray"/>
          <w:lang w:val="lt-LT"/>
        </w:rPr>
      </w:pPr>
      <w:r w:rsidRPr="002E7B89">
        <w:rPr>
          <w:highlight w:val="lightGray"/>
          <w:lang w:val="lt-LT"/>
        </w:rPr>
        <w:t>10 ampulių po 2 ml</w:t>
      </w:r>
    </w:p>
    <w:p w14:paraId="0C2A4057" w14:textId="77777777" w:rsidR="006A3D94" w:rsidRPr="002E7B89" w:rsidRDefault="006A3D94" w:rsidP="006A3D94">
      <w:pPr>
        <w:rPr>
          <w:highlight w:val="lightGray"/>
          <w:lang w:val="lt-LT"/>
        </w:rPr>
      </w:pPr>
      <w:r w:rsidRPr="002E7B89">
        <w:rPr>
          <w:highlight w:val="lightGray"/>
          <w:lang w:val="lt-LT"/>
        </w:rPr>
        <w:t>25 ampulės po 2 ml</w:t>
      </w:r>
    </w:p>
    <w:p w14:paraId="4BF2FFEE" w14:textId="77777777" w:rsidR="006A3D94" w:rsidRPr="002E7B89" w:rsidRDefault="006A3D94" w:rsidP="006A3D94">
      <w:pPr>
        <w:rPr>
          <w:highlight w:val="lightGray"/>
          <w:lang w:val="lt-LT"/>
        </w:rPr>
      </w:pPr>
      <w:r w:rsidRPr="002E7B89">
        <w:rPr>
          <w:highlight w:val="lightGray"/>
          <w:lang w:val="lt-LT"/>
        </w:rPr>
        <w:t>50 ampulių po 2 ml</w:t>
      </w:r>
    </w:p>
    <w:p w14:paraId="44511B63" w14:textId="77777777" w:rsidR="006A3D94" w:rsidRPr="002E7B89" w:rsidRDefault="006A3D94" w:rsidP="006A3D94">
      <w:pPr>
        <w:rPr>
          <w:highlight w:val="lightGray"/>
          <w:lang w:val="lt-LT"/>
        </w:rPr>
      </w:pPr>
      <w:r w:rsidRPr="002E7B89">
        <w:rPr>
          <w:highlight w:val="lightGray"/>
          <w:lang w:val="lt-LT"/>
        </w:rPr>
        <w:t>100 ampulių po 2 ml</w:t>
      </w:r>
    </w:p>
    <w:p w14:paraId="76947B34" w14:textId="77777777" w:rsidR="006A3D94" w:rsidRPr="002E7B89" w:rsidRDefault="006A3D94" w:rsidP="006A3D94">
      <w:pPr>
        <w:rPr>
          <w:lang w:val="lt-LT"/>
        </w:rPr>
      </w:pPr>
    </w:p>
    <w:p w14:paraId="39477CB7" w14:textId="77777777" w:rsidR="006A3D94" w:rsidRPr="002E7B89" w:rsidRDefault="006A3D94" w:rsidP="006A3D94">
      <w:pPr>
        <w:tabs>
          <w:tab w:val="left" w:pos="720"/>
        </w:tabs>
        <w:ind w:left="567" w:hanging="567"/>
        <w:rPr>
          <w:lang w:val="lt-LT"/>
        </w:rPr>
      </w:pPr>
      <w:r w:rsidRPr="002E7B89">
        <w:rPr>
          <w:lang w:val="lt-LT"/>
        </w:rPr>
        <w:t>4 mg/1 ml</w:t>
      </w:r>
    </w:p>
    <w:p w14:paraId="06885805" w14:textId="77777777" w:rsidR="006A3D94" w:rsidRPr="00A94563" w:rsidRDefault="006A3D94" w:rsidP="006A3D94">
      <w:pPr>
        <w:tabs>
          <w:tab w:val="left" w:pos="720"/>
        </w:tabs>
        <w:ind w:left="567" w:hanging="567"/>
        <w:rPr>
          <w:lang w:val="lt-LT"/>
        </w:rPr>
      </w:pPr>
      <w:r w:rsidRPr="00A94563">
        <w:rPr>
          <w:highlight w:val="lightGray"/>
          <w:lang w:val="lt-LT"/>
        </w:rPr>
        <w:t>8 mg/2 ml</w:t>
      </w:r>
    </w:p>
    <w:p w14:paraId="37A55BA2" w14:textId="77777777" w:rsidR="006A3D94" w:rsidRPr="002E7B89" w:rsidRDefault="006A3D94" w:rsidP="0051016D">
      <w:pPr>
        <w:rPr>
          <w:szCs w:val="24"/>
          <w:lang w:val="lt-LT"/>
        </w:rPr>
      </w:pPr>
    </w:p>
    <w:p w14:paraId="5DB928F2" w14:textId="77777777" w:rsidR="0051016D" w:rsidRPr="002E7B89" w:rsidRDefault="0051016D" w:rsidP="0051016D">
      <w:pPr>
        <w:rPr>
          <w:szCs w:val="24"/>
          <w:lang w:val="lt-LT"/>
        </w:rPr>
      </w:pPr>
    </w:p>
    <w:p w14:paraId="2364B69D" w14:textId="77777777" w:rsidR="0051016D" w:rsidRPr="002E7B89" w:rsidRDefault="0051016D" w:rsidP="0051016D">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2E7B89">
        <w:rPr>
          <w:b/>
          <w:szCs w:val="24"/>
          <w:lang w:val="lt-LT"/>
        </w:rPr>
        <w:t>5.</w:t>
      </w:r>
      <w:r w:rsidRPr="002E7B89">
        <w:rPr>
          <w:b/>
          <w:szCs w:val="24"/>
          <w:lang w:val="lt-LT"/>
        </w:rPr>
        <w:tab/>
        <w:t>VARTOJIMO METODAS IR BŪDAS (-AI)</w:t>
      </w:r>
    </w:p>
    <w:p w14:paraId="69BE71AF" w14:textId="77777777" w:rsidR="0051016D" w:rsidRPr="002E7B89" w:rsidRDefault="0051016D" w:rsidP="0051016D">
      <w:pPr>
        <w:rPr>
          <w:szCs w:val="24"/>
          <w:lang w:val="lt-LT"/>
        </w:rPr>
      </w:pPr>
    </w:p>
    <w:p w14:paraId="4A1C3FCF" w14:textId="77777777" w:rsidR="00E00E3D" w:rsidRPr="002E7B89" w:rsidRDefault="00E00E3D" w:rsidP="00E00E3D">
      <w:pPr>
        <w:rPr>
          <w:lang w:val="lt-LT" w:eastAsia="lt-LT"/>
        </w:rPr>
      </w:pPr>
      <w:r w:rsidRPr="002E7B89">
        <w:rPr>
          <w:lang w:val="lt-LT" w:eastAsia="lt-LT"/>
        </w:rPr>
        <w:t>Leisti į veną, į raumenis, į sąnarį ar vartoti lokaliai (infiltracija).</w:t>
      </w:r>
    </w:p>
    <w:p w14:paraId="38C8BDFE" w14:textId="77777777" w:rsidR="0051016D" w:rsidRPr="002E7B89" w:rsidRDefault="0051016D" w:rsidP="0051016D">
      <w:pPr>
        <w:rPr>
          <w:szCs w:val="24"/>
          <w:lang w:val="lt-LT"/>
        </w:rPr>
      </w:pPr>
      <w:r w:rsidRPr="002E7B89">
        <w:rPr>
          <w:szCs w:val="24"/>
          <w:lang w:val="lt-LT"/>
        </w:rPr>
        <w:t>Prieš vartojimą perskaitykite pakuotės lapelį.</w:t>
      </w:r>
    </w:p>
    <w:p w14:paraId="082D924B" w14:textId="77777777" w:rsidR="0051016D" w:rsidRPr="002E7B89" w:rsidRDefault="0051016D" w:rsidP="0051016D">
      <w:pPr>
        <w:rPr>
          <w:szCs w:val="24"/>
          <w:lang w:val="lt-LT"/>
        </w:rPr>
      </w:pPr>
    </w:p>
    <w:p w14:paraId="5751F2A1" w14:textId="77777777" w:rsidR="0051016D" w:rsidRPr="002E7B89" w:rsidRDefault="0051016D" w:rsidP="0051016D">
      <w:pPr>
        <w:rPr>
          <w:szCs w:val="24"/>
          <w:lang w:val="lt-LT"/>
        </w:rPr>
      </w:pPr>
    </w:p>
    <w:p w14:paraId="7DD5EAD8" w14:textId="77777777" w:rsidR="0051016D" w:rsidRPr="002E7B89" w:rsidRDefault="0051016D" w:rsidP="0051016D">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2E7B89">
        <w:rPr>
          <w:b/>
          <w:szCs w:val="24"/>
          <w:lang w:val="lt-LT"/>
        </w:rPr>
        <w:t>6.</w:t>
      </w:r>
      <w:r w:rsidRPr="002E7B89">
        <w:rPr>
          <w:b/>
          <w:szCs w:val="24"/>
          <w:lang w:val="lt-LT"/>
        </w:rPr>
        <w:tab/>
        <w:t>SPECIALUS ĮSPĖJIMAS, KAD VAISTINĮ PREPARATĄ BŪTINA LAIKYTI VAIKAMS NEPASTEBIMOJE IR  NEPASIEKIAMOJE VIETOJE</w:t>
      </w:r>
    </w:p>
    <w:p w14:paraId="129F50F0" w14:textId="77777777" w:rsidR="0051016D" w:rsidRPr="002E7B89" w:rsidRDefault="0051016D" w:rsidP="0051016D">
      <w:pPr>
        <w:rPr>
          <w:szCs w:val="24"/>
          <w:lang w:val="lt-LT"/>
        </w:rPr>
      </w:pPr>
    </w:p>
    <w:p w14:paraId="04F0D365" w14:textId="77777777" w:rsidR="0051016D" w:rsidRPr="002E7B89" w:rsidRDefault="0051016D" w:rsidP="0051016D">
      <w:pPr>
        <w:rPr>
          <w:szCs w:val="24"/>
          <w:lang w:val="lt-LT"/>
        </w:rPr>
      </w:pPr>
      <w:r w:rsidRPr="002E7B89">
        <w:rPr>
          <w:szCs w:val="24"/>
          <w:lang w:val="lt-LT"/>
        </w:rPr>
        <w:t>Laikyti vaikams nepastebimoje ir nepasiekiamoje vietoje.</w:t>
      </w:r>
    </w:p>
    <w:p w14:paraId="25EA72C1" w14:textId="77777777" w:rsidR="0051016D" w:rsidRPr="002E7B89" w:rsidRDefault="0051016D" w:rsidP="0051016D">
      <w:pPr>
        <w:rPr>
          <w:szCs w:val="24"/>
          <w:lang w:val="lt-LT"/>
        </w:rPr>
      </w:pPr>
    </w:p>
    <w:p w14:paraId="2E411E45" w14:textId="77777777" w:rsidR="0051016D" w:rsidRPr="002E7B89" w:rsidRDefault="0051016D" w:rsidP="0051016D">
      <w:pPr>
        <w:rPr>
          <w:szCs w:val="24"/>
          <w:lang w:val="lt-LT"/>
        </w:rPr>
      </w:pPr>
    </w:p>
    <w:p w14:paraId="133313D6" w14:textId="77777777" w:rsidR="0051016D" w:rsidRPr="002E7B89" w:rsidRDefault="0051016D" w:rsidP="0051016D">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2E7B89">
        <w:rPr>
          <w:b/>
          <w:szCs w:val="24"/>
          <w:lang w:val="lt-LT"/>
        </w:rPr>
        <w:t>7.</w:t>
      </w:r>
      <w:r w:rsidRPr="002E7B89">
        <w:rPr>
          <w:b/>
          <w:szCs w:val="24"/>
          <w:lang w:val="lt-LT"/>
        </w:rPr>
        <w:tab/>
        <w:t>KITAS (-I) SPECIALUS (-ŪS) ĮSPĖJIMAS (-AI) (JEI REIKIA)</w:t>
      </w:r>
    </w:p>
    <w:p w14:paraId="298CB942" w14:textId="77777777" w:rsidR="0051016D" w:rsidRPr="002E7B89" w:rsidRDefault="0051016D" w:rsidP="0051016D">
      <w:pPr>
        <w:rPr>
          <w:szCs w:val="24"/>
          <w:lang w:val="lt-LT"/>
        </w:rPr>
      </w:pPr>
    </w:p>
    <w:p w14:paraId="16ABDB84" w14:textId="77777777" w:rsidR="0051016D" w:rsidRPr="002E7B89" w:rsidRDefault="0051016D" w:rsidP="0051016D">
      <w:pPr>
        <w:rPr>
          <w:szCs w:val="24"/>
          <w:lang w:val="lt-LT"/>
        </w:rPr>
      </w:pPr>
    </w:p>
    <w:p w14:paraId="5A1115D1" w14:textId="77777777" w:rsidR="0051016D" w:rsidRPr="002E7B89" w:rsidRDefault="0051016D" w:rsidP="0051016D">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2E7B89">
        <w:rPr>
          <w:b/>
          <w:szCs w:val="24"/>
          <w:lang w:val="lt-LT"/>
        </w:rPr>
        <w:t>8.</w:t>
      </w:r>
      <w:r w:rsidRPr="002E7B89">
        <w:rPr>
          <w:b/>
          <w:szCs w:val="24"/>
          <w:lang w:val="lt-LT"/>
        </w:rPr>
        <w:tab/>
        <w:t>TINKAMUMO LAIKAS</w:t>
      </w:r>
    </w:p>
    <w:p w14:paraId="5C7EDBF9" w14:textId="77777777" w:rsidR="0051016D" w:rsidRPr="002E7B89" w:rsidRDefault="0051016D" w:rsidP="0051016D">
      <w:pPr>
        <w:rPr>
          <w:szCs w:val="24"/>
          <w:lang w:val="lt-LT"/>
        </w:rPr>
      </w:pPr>
    </w:p>
    <w:p w14:paraId="09C9D2A0" w14:textId="77777777" w:rsidR="0051016D" w:rsidRPr="002E7B89" w:rsidRDefault="0051016D" w:rsidP="0051016D">
      <w:pPr>
        <w:rPr>
          <w:szCs w:val="20"/>
          <w:lang w:val="lt-LT"/>
        </w:rPr>
      </w:pPr>
      <w:r w:rsidRPr="002E7B89">
        <w:rPr>
          <w:lang w:val="lt-LT"/>
        </w:rPr>
        <w:t xml:space="preserve">Tinka iki </w:t>
      </w:r>
      <w:r w:rsidR="00E00E3D" w:rsidRPr="002E7B89">
        <w:rPr>
          <w:lang w:val="lt-LT"/>
        </w:rPr>
        <w:t>{mm MMMM}</w:t>
      </w:r>
    </w:p>
    <w:p w14:paraId="1EA1FE92" w14:textId="77777777" w:rsidR="0051016D" w:rsidRPr="002E7B89" w:rsidRDefault="0051016D" w:rsidP="0051016D">
      <w:pPr>
        <w:rPr>
          <w:szCs w:val="24"/>
          <w:lang w:val="lt-LT"/>
        </w:rPr>
      </w:pPr>
    </w:p>
    <w:p w14:paraId="47AFF497" w14:textId="77777777" w:rsidR="0051016D" w:rsidRPr="002E7B89" w:rsidRDefault="0051016D" w:rsidP="0051016D">
      <w:pPr>
        <w:rPr>
          <w:szCs w:val="24"/>
          <w:lang w:val="lt-LT"/>
        </w:rPr>
      </w:pPr>
    </w:p>
    <w:p w14:paraId="44471E9F" w14:textId="77777777" w:rsidR="0051016D" w:rsidRPr="002E7B89" w:rsidRDefault="0051016D" w:rsidP="0051016D">
      <w:pPr>
        <w:keepNext/>
        <w:pBdr>
          <w:top w:val="single" w:sz="4" w:space="1" w:color="auto"/>
          <w:left w:val="single" w:sz="4" w:space="4" w:color="auto"/>
          <w:bottom w:val="single" w:sz="4" w:space="1" w:color="auto"/>
          <w:right w:val="single" w:sz="4" w:space="4" w:color="auto"/>
        </w:pBdr>
        <w:ind w:left="567" w:hanging="567"/>
        <w:outlineLvl w:val="0"/>
        <w:rPr>
          <w:szCs w:val="24"/>
          <w:lang w:val="lt-LT"/>
        </w:rPr>
      </w:pPr>
      <w:r w:rsidRPr="002E7B89">
        <w:rPr>
          <w:b/>
          <w:szCs w:val="24"/>
          <w:lang w:val="lt-LT"/>
        </w:rPr>
        <w:t>9.</w:t>
      </w:r>
      <w:r w:rsidRPr="002E7B89">
        <w:rPr>
          <w:b/>
          <w:szCs w:val="24"/>
          <w:lang w:val="lt-LT"/>
        </w:rPr>
        <w:tab/>
        <w:t>SPECIALIOS LAIKYMO SĄLYGOS</w:t>
      </w:r>
    </w:p>
    <w:p w14:paraId="776E8476" w14:textId="77777777" w:rsidR="0051016D" w:rsidRPr="002E7B89" w:rsidRDefault="0051016D" w:rsidP="0051016D">
      <w:pPr>
        <w:rPr>
          <w:szCs w:val="24"/>
          <w:lang w:val="lt-LT"/>
        </w:rPr>
      </w:pPr>
    </w:p>
    <w:p w14:paraId="65DCA6BD" w14:textId="77777777" w:rsidR="00107587" w:rsidRPr="002E7B89" w:rsidRDefault="00107587" w:rsidP="00107587">
      <w:pPr>
        <w:pStyle w:val="Betarp"/>
        <w:rPr>
          <w:lang w:val="lt-LT"/>
        </w:rPr>
      </w:pPr>
      <w:r w:rsidRPr="002E7B89">
        <w:rPr>
          <w:lang w:val="lt-LT" w:bidi="lt-LT"/>
        </w:rPr>
        <w:t>Laikyti ne aukštesnėje kaip 30 °C temperatūroje.</w:t>
      </w:r>
    </w:p>
    <w:p w14:paraId="5CF594DF" w14:textId="77777777" w:rsidR="00107587" w:rsidRPr="002E7B89" w:rsidRDefault="00107587" w:rsidP="00107587">
      <w:pPr>
        <w:pStyle w:val="Betarp"/>
        <w:rPr>
          <w:lang w:val="lt-LT"/>
        </w:rPr>
      </w:pPr>
      <w:r w:rsidRPr="002E7B89">
        <w:rPr>
          <w:lang w:val="lt-LT" w:bidi="lt-LT"/>
        </w:rPr>
        <w:t>Ampules laikyti išorinėje dėžutėje, kad vaist</w:t>
      </w:r>
      <w:r w:rsidR="00834C33" w:rsidRPr="002E7B89">
        <w:rPr>
          <w:lang w:val="lt-LT" w:bidi="lt-LT"/>
        </w:rPr>
        <w:t>as</w:t>
      </w:r>
      <w:r w:rsidRPr="002E7B89">
        <w:rPr>
          <w:lang w:val="lt-LT" w:bidi="lt-LT"/>
        </w:rPr>
        <w:t xml:space="preserve"> būtų apsaugotos nuo šviesos.</w:t>
      </w:r>
    </w:p>
    <w:p w14:paraId="545D24A6" w14:textId="77777777" w:rsidR="00107587" w:rsidRPr="002E7B89" w:rsidRDefault="00107587" w:rsidP="0051016D">
      <w:pPr>
        <w:rPr>
          <w:szCs w:val="24"/>
          <w:lang w:val="lt-LT"/>
        </w:rPr>
      </w:pPr>
    </w:p>
    <w:p w14:paraId="1453D4E4" w14:textId="77777777" w:rsidR="0051016D" w:rsidRPr="002E7B89" w:rsidRDefault="0051016D" w:rsidP="0051016D">
      <w:pPr>
        <w:rPr>
          <w:szCs w:val="24"/>
          <w:lang w:val="lt-LT"/>
        </w:rPr>
      </w:pPr>
    </w:p>
    <w:p w14:paraId="6F1AE779" w14:textId="77777777" w:rsidR="0051016D" w:rsidRPr="002E7B89" w:rsidRDefault="0051016D" w:rsidP="0051016D">
      <w:pPr>
        <w:pBdr>
          <w:top w:val="single" w:sz="4" w:space="1" w:color="auto"/>
          <w:left w:val="single" w:sz="4" w:space="4" w:color="auto"/>
          <w:bottom w:val="single" w:sz="4" w:space="1" w:color="auto"/>
          <w:right w:val="single" w:sz="4" w:space="4" w:color="auto"/>
        </w:pBdr>
        <w:outlineLvl w:val="0"/>
        <w:rPr>
          <w:b/>
          <w:szCs w:val="24"/>
          <w:lang w:val="lt-LT"/>
        </w:rPr>
      </w:pPr>
      <w:r w:rsidRPr="002E7B89">
        <w:rPr>
          <w:b/>
          <w:szCs w:val="24"/>
          <w:lang w:val="lt-LT"/>
        </w:rPr>
        <w:t>10.</w:t>
      </w:r>
      <w:r w:rsidRPr="002E7B89">
        <w:rPr>
          <w:b/>
          <w:szCs w:val="24"/>
          <w:lang w:val="lt-LT"/>
        </w:rPr>
        <w:tab/>
        <w:t>SPECIALIOS ATSARGUMO PRIEMONĖS DĖL NESUVARTOTO VAISTINIO PREPARATO AR JO ATLIEKŲ TVARKYMO (JEI REIKIA)</w:t>
      </w:r>
    </w:p>
    <w:p w14:paraId="762EF315" w14:textId="77777777" w:rsidR="0051016D" w:rsidRPr="002E7B89" w:rsidRDefault="0051016D" w:rsidP="0051016D">
      <w:pPr>
        <w:rPr>
          <w:szCs w:val="24"/>
          <w:lang w:val="lt-LT"/>
        </w:rPr>
      </w:pPr>
    </w:p>
    <w:p w14:paraId="02305CA7" w14:textId="77777777" w:rsidR="0051016D" w:rsidRPr="002E7B89" w:rsidRDefault="00107587" w:rsidP="0051016D">
      <w:pPr>
        <w:rPr>
          <w:szCs w:val="24"/>
          <w:lang w:val="lt-LT"/>
        </w:rPr>
      </w:pPr>
      <w:r w:rsidRPr="002E7B89">
        <w:rPr>
          <w:szCs w:val="24"/>
          <w:lang w:val="lt-LT"/>
        </w:rPr>
        <w:t>Nesuvartotą vaisto likutį po pavartojimo reikia nedelsiant iš</w:t>
      </w:r>
      <w:r w:rsidR="00281669" w:rsidRPr="002E7B89">
        <w:rPr>
          <w:szCs w:val="24"/>
          <w:lang w:val="lt-LT"/>
        </w:rPr>
        <w:t>pilti.</w:t>
      </w:r>
    </w:p>
    <w:p w14:paraId="145F1510" w14:textId="77777777" w:rsidR="00107587" w:rsidRPr="002E7B89" w:rsidRDefault="00107587" w:rsidP="0051016D">
      <w:pPr>
        <w:rPr>
          <w:szCs w:val="24"/>
          <w:lang w:val="lt-LT"/>
        </w:rPr>
      </w:pPr>
    </w:p>
    <w:p w14:paraId="1EB7C89B" w14:textId="77777777" w:rsidR="00107587" w:rsidRPr="002E7B89" w:rsidRDefault="00107587" w:rsidP="0051016D">
      <w:pPr>
        <w:rPr>
          <w:szCs w:val="24"/>
          <w:lang w:val="lt-LT"/>
        </w:rPr>
      </w:pPr>
    </w:p>
    <w:p w14:paraId="0B9798DC" w14:textId="77777777" w:rsidR="0051016D" w:rsidRPr="002E7B89" w:rsidRDefault="0051016D" w:rsidP="0051016D">
      <w:pPr>
        <w:pBdr>
          <w:top w:val="single" w:sz="4" w:space="1" w:color="auto"/>
          <w:left w:val="single" w:sz="4" w:space="4" w:color="auto"/>
          <w:bottom w:val="single" w:sz="4" w:space="1" w:color="auto"/>
          <w:right w:val="single" w:sz="4" w:space="4" w:color="auto"/>
        </w:pBdr>
        <w:outlineLvl w:val="0"/>
        <w:rPr>
          <w:b/>
          <w:szCs w:val="24"/>
          <w:lang w:val="lt-LT"/>
        </w:rPr>
      </w:pPr>
      <w:r w:rsidRPr="002E7B89">
        <w:rPr>
          <w:b/>
          <w:szCs w:val="24"/>
          <w:lang w:val="lt-LT"/>
        </w:rPr>
        <w:t>11.</w:t>
      </w:r>
      <w:r w:rsidRPr="002E7B89">
        <w:rPr>
          <w:b/>
          <w:szCs w:val="24"/>
          <w:lang w:val="lt-LT"/>
        </w:rPr>
        <w:tab/>
      </w:r>
      <w:r w:rsidRPr="002E7B89">
        <w:rPr>
          <w:b/>
          <w:caps/>
          <w:szCs w:val="24"/>
          <w:lang w:val="lt-LT"/>
        </w:rPr>
        <w:t xml:space="preserve"> REGISTRUOTOJO PAVADINIMAS IR ADRESAS</w:t>
      </w:r>
    </w:p>
    <w:p w14:paraId="51CFEC63" w14:textId="77777777" w:rsidR="0051016D" w:rsidRPr="002E7B89" w:rsidRDefault="0051016D" w:rsidP="0051016D">
      <w:pPr>
        <w:rPr>
          <w:szCs w:val="24"/>
          <w:lang w:val="lt-LT"/>
        </w:rPr>
      </w:pPr>
    </w:p>
    <w:p w14:paraId="30AC8235" w14:textId="77777777" w:rsidR="00107587" w:rsidRPr="002E7B89" w:rsidRDefault="00107587" w:rsidP="00107587">
      <w:pPr>
        <w:rPr>
          <w:lang w:val="lt-LT"/>
        </w:rPr>
      </w:pPr>
      <w:r w:rsidRPr="002E7B89">
        <w:rPr>
          <w:lang w:val="lt-LT"/>
        </w:rPr>
        <w:t xml:space="preserve">&lt;Logotipas&gt;  </w:t>
      </w:r>
    </w:p>
    <w:p w14:paraId="650C08D6" w14:textId="77777777" w:rsidR="00107587" w:rsidRPr="002E7B89" w:rsidRDefault="00107587" w:rsidP="00107587">
      <w:pPr>
        <w:adjustRightInd w:val="0"/>
        <w:spacing w:line="240" w:lineRule="atLeast"/>
        <w:rPr>
          <w:color w:val="000000"/>
          <w:lang w:val="lt-LT"/>
        </w:rPr>
      </w:pPr>
      <w:r w:rsidRPr="002E7B89">
        <w:rPr>
          <w:color w:val="000000"/>
          <w:lang w:val="lt-LT"/>
        </w:rPr>
        <w:t>AS KALCEKS</w:t>
      </w:r>
    </w:p>
    <w:p w14:paraId="19BBF4ED" w14:textId="6D676474" w:rsidR="00107587" w:rsidRPr="002E7B89" w:rsidRDefault="00107587" w:rsidP="00107587">
      <w:pPr>
        <w:adjustRightInd w:val="0"/>
        <w:spacing w:line="240" w:lineRule="atLeast"/>
        <w:rPr>
          <w:color w:val="000000"/>
          <w:lang w:val="lt-LT"/>
        </w:rPr>
      </w:pPr>
      <w:r w:rsidRPr="002E7B89">
        <w:rPr>
          <w:color w:val="000000"/>
          <w:lang w:val="lt-LT"/>
        </w:rPr>
        <w:t xml:space="preserve">Krustpils iela </w:t>
      </w:r>
      <w:r w:rsidR="001073A8">
        <w:rPr>
          <w:color w:val="000000"/>
          <w:lang w:val="lt-LT"/>
        </w:rPr>
        <w:t>71E</w:t>
      </w:r>
      <w:r w:rsidRPr="002E7B89">
        <w:rPr>
          <w:color w:val="000000"/>
          <w:lang w:val="lt-LT"/>
        </w:rPr>
        <w:t>, Rīga, LV</w:t>
      </w:r>
      <w:r w:rsidRPr="002E7B89">
        <w:rPr>
          <w:color w:val="000000"/>
          <w:lang w:val="lt-LT"/>
        </w:rPr>
        <w:noBreakHyphen/>
        <w:t>1057, Latvija</w:t>
      </w:r>
    </w:p>
    <w:p w14:paraId="5AAFF340" w14:textId="77777777" w:rsidR="0051016D" w:rsidRPr="002E7B89" w:rsidRDefault="0051016D" w:rsidP="0051016D">
      <w:pPr>
        <w:rPr>
          <w:szCs w:val="24"/>
          <w:lang w:val="lt-LT"/>
        </w:rPr>
      </w:pPr>
    </w:p>
    <w:p w14:paraId="2B13BF35" w14:textId="77777777" w:rsidR="0051016D" w:rsidRPr="002E7B89" w:rsidRDefault="0051016D" w:rsidP="0051016D">
      <w:pPr>
        <w:rPr>
          <w:szCs w:val="24"/>
          <w:lang w:val="lt-LT"/>
        </w:rPr>
      </w:pPr>
    </w:p>
    <w:p w14:paraId="2F9B2FBE" w14:textId="77777777" w:rsidR="0051016D" w:rsidRPr="002E7B89" w:rsidRDefault="0051016D" w:rsidP="0051016D">
      <w:pPr>
        <w:pBdr>
          <w:top w:val="single" w:sz="4" w:space="1" w:color="auto"/>
          <w:left w:val="single" w:sz="4" w:space="4" w:color="auto"/>
          <w:bottom w:val="single" w:sz="4" w:space="1" w:color="auto"/>
          <w:right w:val="single" w:sz="4" w:space="4" w:color="auto"/>
        </w:pBdr>
        <w:outlineLvl w:val="0"/>
        <w:rPr>
          <w:szCs w:val="24"/>
          <w:lang w:val="lt-LT"/>
        </w:rPr>
      </w:pPr>
      <w:r w:rsidRPr="002E7B89">
        <w:rPr>
          <w:b/>
          <w:szCs w:val="24"/>
          <w:lang w:val="lt-LT"/>
        </w:rPr>
        <w:t>12.</w:t>
      </w:r>
      <w:r w:rsidRPr="002E7B89">
        <w:rPr>
          <w:b/>
          <w:szCs w:val="24"/>
          <w:lang w:val="lt-LT"/>
        </w:rPr>
        <w:tab/>
        <w:t xml:space="preserve">REGISTRACIJOS PAŽYMĖJIMO NUMERIS (-IAI) </w:t>
      </w:r>
    </w:p>
    <w:p w14:paraId="6F835D8B" w14:textId="77777777" w:rsidR="0051016D" w:rsidRPr="002E7B89" w:rsidRDefault="0051016D" w:rsidP="0051016D">
      <w:pPr>
        <w:rPr>
          <w:szCs w:val="24"/>
          <w:lang w:val="lt-LT"/>
        </w:rPr>
      </w:pPr>
    </w:p>
    <w:p w14:paraId="1DA88F51" w14:textId="77777777" w:rsidR="006B7A88" w:rsidRPr="006B7A88" w:rsidRDefault="006B7A88" w:rsidP="006B7A88">
      <w:pPr>
        <w:rPr>
          <w:shd w:val="clear" w:color="auto" w:fill="D9D9D9" w:themeFill="background1" w:themeFillShade="D9"/>
          <w:lang w:val="lt-LT"/>
        </w:rPr>
      </w:pPr>
      <w:r w:rsidRPr="006B7A88">
        <w:rPr>
          <w:lang w:val="lt-LT"/>
        </w:rPr>
        <w:t xml:space="preserve">LT/1/21/4858/001 </w:t>
      </w:r>
      <w:r w:rsidRPr="006B7A88">
        <w:rPr>
          <w:shd w:val="clear" w:color="auto" w:fill="D9D9D9" w:themeFill="background1" w:themeFillShade="D9"/>
          <w:lang w:val="lt-LT"/>
        </w:rPr>
        <w:t>– 1 ml, N3</w:t>
      </w:r>
    </w:p>
    <w:p w14:paraId="668EC69A" w14:textId="77777777" w:rsidR="006B7A88" w:rsidRPr="006B7A88" w:rsidRDefault="006B7A88" w:rsidP="006B7A88">
      <w:pPr>
        <w:rPr>
          <w:shd w:val="clear" w:color="auto" w:fill="D9D9D9" w:themeFill="background1" w:themeFillShade="D9"/>
          <w:lang w:val="lt-LT"/>
        </w:rPr>
      </w:pPr>
      <w:r w:rsidRPr="006B7A88">
        <w:rPr>
          <w:shd w:val="clear" w:color="auto" w:fill="D9D9D9" w:themeFill="background1" w:themeFillShade="D9"/>
          <w:lang w:val="lt-LT"/>
        </w:rPr>
        <w:t>LT/1/21/4858/002 – 1 ml, N10</w:t>
      </w:r>
    </w:p>
    <w:p w14:paraId="0E65FA49" w14:textId="77777777" w:rsidR="006B7A88" w:rsidRPr="006B7A88" w:rsidRDefault="006B7A88" w:rsidP="006B7A88">
      <w:pPr>
        <w:rPr>
          <w:shd w:val="clear" w:color="auto" w:fill="D9D9D9" w:themeFill="background1" w:themeFillShade="D9"/>
          <w:lang w:val="lt-LT"/>
        </w:rPr>
      </w:pPr>
      <w:r w:rsidRPr="006B7A88">
        <w:rPr>
          <w:shd w:val="clear" w:color="auto" w:fill="D9D9D9" w:themeFill="background1" w:themeFillShade="D9"/>
          <w:lang w:val="lt-LT"/>
        </w:rPr>
        <w:t>LT/1/21/4858/003 – 1 ml, N25</w:t>
      </w:r>
    </w:p>
    <w:p w14:paraId="793F6B0D" w14:textId="77777777" w:rsidR="006B7A88" w:rsidRPr="006B7A88" w:rsidRDefault="006B7A88" w:rsidP="006B7A88">
      <w:pPr>
        <w:rPr>
          <w:shd w:val="clear" w:color="auto" w:fill="D9D9D9" w:themeFill="background1" w:themeFillShade="D9"/>
          <w:lang w:val="lt-LT"/>
        </w:rPr>
      </w:pPr>
      <w:r w:rsidRPr="006B7A88">
        <w:rPr>
          <w:shd w:val="clear" w:color="auto" w:fill="D9D9D9" w:themeFill="background1" w:themeFillShade="D9"/>
          <w:lang w:val="lt-LT"/>
        </w:rPr>
        <w:t>LT/1/21/4858/004 – 1 ml, N50</w:t>
      </w:r>
    </w:p>
    <w:p w14:paraId="10FADC31" w14:textId="77777777" w:rsidR="006B7A88" w:rsidRPr="006B7A88" w:rsidRDefault="006B7A88" w:rsidP="006B7A88">
      <w:pPr>
        <w:rPr>
          <w:shd w:val="clear" w:color="auto" w:fill="D9D9D9" w:themeFill="background1" w:themeFillShade="D9"/>
          <w:lang w:val="lt-LT"/>
        </w:rPr>
      </w:pPr>
      <w:r w:rsidRPr="006B7A88">
        <w:rPr>
          <w:shd w:val="clear" w:color="auto" w:fill="D9D9D9" w:themeFill="background1" w:themeFillShade="D9"/>
          <w:lang w:val="lt-LT"/>
        </w:rPr>
        <w:t>LT/1/21/4858/005 – 1 ml, N100</w:t>
      </w:r>
    </w:p>
    <w:p w14:paraId="02DE110E" w14:textId="77777777" w:rsidR="006B7A88" w:rsidRPr="006B7A88" w:rsidRDefault="006B7A88" w:rsidP="006B7A88">
      <w:pPr>
        <w:rPr>
          <w:shd w:val="clear" w:color="auto" w:fill="D9D9D9" w:themeFill="background1" w:themeFillShade="D9"/>
          <w:lang w:val="lt-LT"/>
        </w:rPr>
      </w:pPr>
    </w:p>
    <w:p w14:paraId="1C4103FB" w14:textId="77777777" w:rsidR="006B7A88" w:rsidRPr="006B7A88" w:rsidRDefault="006B7A88" w:rsidP="006B7A88">
      <w:pPr>
        <w:rPr>
          <w:shd w:val="clear" w:color="auto" w:fill="D9D9D9" w:themeFill="background1" w:themeFillShade="D9"/>
          <w:lang w:val="lt-LT"/>
        </w:rPr>
      </w:pPr>
      <w:r w:rsidRPr="006B7A88">
        <w:rPr>
          <w:shd w:val="clear" w:color="auto" w:fill="D9D9D9" w:themeFill="background1" w:themeFillShade="D9"/>
          <w:lang w:val="lt-LT"/>
        </w:rPr>
        <w:t>LT/1/21/4858/006 – 2 ml, N5</w:t>
      </w:r>
    </w:p>
    <w:p w14:paraId="05426904" w14:textId="77777777" w:rsidR="006B7A88" w:rsidRPr="006B7A88" w:rsidRDefault="006B7A88" w:rsidP="006B7A88">
      <w:pPr>
        <w:rPr>
          <w:shd w:val="clear" w:color="auto" w:fill="D9D9D9" w:themeFill="background1" w:themeFillShade="D9"/>
          <w:lang w:val="lt-LT"/>
        </w:rPr>
      </w:pPr>
      <w:r w:rsidRPr="006B7A88">
        <w:rPr>
          <w:shd w:val="clear" w:color="auto" w:fill="D9D9D9" w:themeFill="background1" w:themeFillShade="D9"/>
          <w:lang w:val="lt-LT"/>
        </w:rPr>
        <w:t>LT/1/21/4858/007 – 2 ml, N10</w:t>
      </w:r>
    </w:p>
    <w:p w14:paraId="5FC364BD" w14:textId="77777777" w:rsidR="006B7A88" w:rsidRPr="006B7A88" w:rsidRDefault="006B7A88" w:rsidP="006B7A88">
      <w:pPr>
        <w:rPr>
          <w:shd w:val="clear" w:color="auto" w:fill="D9D9D9" w:themeFill="background1" w:themeFillShade="D9"/>
          <w:lang w:val="lt-LT"/>
        </w:rPr>
      </w:pPr>
      <w:r w:rsidRPr="006B7A88">
        <w:rPr>
          <w:shd w:val="clear" w:color="auto" w:fill="D9D9D9" w:themeFill="background1" w:themeFillShade="D9"/>
          <w:lang w:val="lt-LT"/>
        </w:rPr>
        <w:t>LT/1/21/4858/008 – 2 ml, N25</w:t>
      </w:r>
    </w:p>
    <w:p w14:paraId="65FC9FE4" w14:textId="77777777" w:rsidR="006B7A88" w:rsidRPr="006B7A88" w:rsidRDefault="006B7A88" w:rsidP="006B7A88">
      <w:pPr>
        <w:rPr>
          <w:shd w:val="clear" w:color="auto" w:fill="D9D9D9" w:themeFill="background1" w:themeFillShade="D9"/>
          <w:lang w:val="lt-LT"/>
        </w:rPr>
      </w:pPr>
      <w:r w:rsidRPr="006B7A88">
        <w:rPr>
          <w:shd w:val="clear" w:color="auto" w:fill="D9D9D9" w:themeFill="background1" w:themeFillShade="D9"/>
          <w:lang w:val="lt-LT"/>
        </w:rPr>
        <w:t>LT/1/21/4858/009 – 2 ml, N50</w:t>
      </w:r>
    </w:p>
    <w:p w14:paraId="278EE9FC" w14:textId="77777777" w:rsidR="0051016D" w:rsidRPr="006B7A88" w:rsidRDefault="006B7A88" w:rsidP="006B7A88">
      <w:pPr>
        <w:rPr>
          <w:shd w:val="clear" w:color="auto" w:fill="D9D9D9" w:themeFill="background1" w:themeFillShade="D9"/>
          <w:lang w:val="lt-LT"/>
        </w:rPr>
      </w:pPr>
      <w:r w:rsidRPr="006B7A88">
        <w:rPr>
          <w:shd w:val="clear" w:color="auto" w:fill="D9D9D9" w:themeFill="background1" w:themeFillShade="D9"/>
          <w:lang w:val="lt-LT"/>
        </w:rPr>
        <w:t>LT/1/21/4858/010 – 2 ml, N100</w:t>
      </w:r>
    </w:p>
    <w:p w14:paraId="30B34190" w14:textId="77777777" w:rsidR="006B7A88" w:rsidRPr="002E7B89" w:rsidRDefault="006B7A88" w:rsidP="006B7A88">
      <w:pPr>
        <w:rPr>
          <w:szCs w:val="24"/>
          <w:lang w:val="lt-LT"/>
        </w:rPr>
      </w:pPr>
    </w:p>
    <w:p w14:paraId="67E7030F" w14:textId="77777777" w:rsidR="0051016D" w:rsidRPr="002E7B89" w:rsidRDefault="0051016D" w:rsidP="0051016D">
      <w:pPr>
        <w:rPr>
          <w:szCs w:val="24"/>
          <w:lang w:val="lt-LT"/>
        </w:rPr>
      </w:pPr>
    </w:p>
    <w:p w14:paraId="246D36CF" w14:textId="77777777" w:rsidR="0051016D" w:rsidRPr="002E7B89" w:rsidRDefault="0051016D" w:rsidP="0051016D">
      <w:pPr>
        <w:pBdr>
          <w:top w:val="single" w:sz="4" w:space="1" w:color="auto"/>
          <w:left w:val="single" w:sz="4" w:space="4" w:color="auto"/>
          <w:bottom w:val="single" w:sz="4" w:space="1" w:color="auto"/>
          <w:right w:val="single" w:sz="4" w:space="4" w:color="auto"/>
        </w:pBdr>
        <w:outlineLvl w:val="0"/>
        <w:rPr>
          <w:szCs w:val="24"/>
          <w:lang w:val="lt-LT"/>
        </w:rPr>
      </w:pPr>
      <w:r w:rsidRPr="002E7B89">
        <w:rPr>
          <w:b/>
          <w:szCs w:val="24"/>
          <w:lang w:val="lt-LT"/>
        </w:rPr>
        <w:t>13.</w:t>
      </w:r>
      <w:r w:rsidRPr="002E7B89">
        <w:rPr>
          <w:b/>
          <w:szCs w:val="24"/>
          <w:lang w:val="lt-LT"/>
        </w:rPr>
        <w:tab/>
        <w:t xml:space="preserve">SERIJOS NUMERIS </w:t>
      </w:r>
    </w:p>
    <w:p w14:paraId="0CDC6D4F" w14:textId="77777777" w:rsidR="0051016D" w:rsidRPr="002E7B89" w:rsidRDefault="0051016D" w:rsidP="0051016D">
      <w:pPr>
        <w:rPr>
          <w:szCs w:val="20"/>
          <w:lang w:val="lt-LT"/>
        </w:rPr>
      </w:pPr>
    </w:p>
    <w:p w14:paraId="7F5A1576" w14:textId="77777777" w:rsidR="0051016D" w:rsidRPr="002E7B89" w:rsidRDefault="0051016D" w:rsidP="0051016D">
      <w:pPr>
        <w:rPr>
          <w:lang w:val="lt-LT"/>
        </w:rPr>
      </w:pPr>
      <w:r w:rsidRPr="002E7B89">
        <w:rPr>
          <w:lang w:val="lt-LT"/>
        </w:rPr>
        <w:t>Serija</w:t>
      </w:r>
    </w:p>
    <w:p w14:paraId="3DF63EB0" w14:textId="77777777" w:rsidR="0051016D" w:rsidRPr="002E7B89" w:rsidRDefault="0051016D" w:rsidP="0051016D">
      <w:pPr>
        <w:rPr>
          <w:szCs w:val="24"/>
          <w:lang w:val="lt-LT"/>
        </w:rPr>
      </w:pPr>
    </w:p>
    <w:p w14:paraId="2ACFB24B" w14:textId="77777777" w:rsidR="0051016D" w:rsidRPr="002E7B89" w:rsidRDefault="0051016D" w:rsidP="0051016D">
      <w:pPr>
        <w:rPr>
          <w:szCs w:val="24"/>
          <w:lang w:val="lt-LT"/>
        </w:rPr>
      </w:pPr>
    </w:p>
    <w:p w14:paraId="7CF79E3D" w14:textId="77777777" w:rsidR="0051016D" w:rsidRPr="002E7B89" w:rsidRDefault="0051016D" w:rsidP="0051016D">
      <w:pPr>
        <w:pBdr>
          <w:top w:val="single" w:sz="4" w:space="1" w:color="auto"/>
          <w:left w:val="single" w:sz="4" w:space="4" w:color="auto"/>
          <w:bottom w:val="single" w:sz="4" w:space="1" w:color="auto"/>
          <w:right w:val="single" w:sz="4" w:space="4" w:color="auto"/>
        </w:pBdr>
        <w:outlineLvl w:val="0"/>
        <w:rPr>
          <w:szCs w:val="24"/>
          <w:lang w:val="lt-LT"/>
        </w:rPr>
      </w:pPr>
      <w:r w:rsidRPr="002E7B89">
        <w:rPr>
          <w:b/>
          <w:szCs w:val="24"/>
          <w:lang w:val="lt-LT"/>
        </w:rPr>
        <w:t>14.</w:t>
      </w:r>
      <w:r w:rsidRPr="002E7B89">
        <w:rPr>
          <w:b/>
          <w:szCs w:val="24"/>
          <w:lang w:val="lt-LT"/>
        </w:rPr>
        <w:tab/>
        <w:t>PARDAVIMO (IŠDAVIMO) TVARKA</w:t>
      </w:r>
    </w:p>
    <w:p w14:paraId="427E96CD" w14:textId="77777777" w:rsidR="0051016D" w:rsidRPr="002E7B89" w:rsidRDefault="0051016D" w:rsidP="0051016D">
      <w:pPr>
        <w:rPr>
          <w:szCs w:val="24"/>
          <w:lang w:val="lt-LT"/>
        </w:rPr>
      </w:pPr>
    </w:p>
    <w:p w14:paraId="0D6C0E11" w14:textId="77777777" w:rsidR="0051016D" w:rsidRPr="002E7B89" w:rsidRDefault="0051016D" w:rsidP="0051016D">
      <w:pPr>
        <w:rPr>
          <w:szCs w:val="24"/>
          <w:lang w:val="lt-LT"/>
        </w:rPr>
      </w:pPr>
      <w:r w:rsidRPr="002E7B89">
        <w:rPr>
          <w:lang w:val="lt-LT"/>
        </w:rPr>
        <w:t>Receptinis vaistas</w:t>
      </w:r>
      <w:r w:rsidR="00107587" w:rsidRPr="002E7B89">
        <w:rPr>
          <w:lang w:val="lt-LT"/>
        </w:rPr>
        <w:t>.</w:t>
      </w:r>
    </w:p>
    <w:p w14:paraId="0564629E" w14:textId="77777777" w:rsidR="0051016D" w:rsidRPr="002E7B89" w:rsidRDefault="0051016D" w:rsidP="0051016D">
      <w:pPr>
        <w:rPr>
          <w:szCs w:val="24"/>
          <w:lang w:val="lt-LT"/>
        </w:rPr>
      </w:pPr>
    </w:p>
    <w:p w14:paraId="772802F7" w14:textId="77777777" w:rsidR="0051016D" w:rsidRPr="002E7B89" w:rsidRDefault="0051016D" w:rsidP="0051016D">
      <w:pPr>
        <w:rPr>
          <w:szCs w:val="24"/>
          <w:lang w:val="lt-LT"/>
        </w:rPr>
      </w:pPr>
    </w:p>
    <w:p w14:paraId="5506A714" w14:textId="77777777" w:rsidR="0051016D" w:rsidRPr="002E7B89" w:rsidRDefault="0051016D" w:rsidP="0051016D">
      <w:pPr>
        <w:pBdr>
          <w:top w:val="single" w:sz="4" w:space="2" w:color="auto"/>
          <w:left w:val="single" w:sz="4" w:space="4" w:color="auto"/>
          <w:bottom w:val="single" w:sz="4" w:space="1" w:color="auto"/>
          <w:right w:val="single" w:sz="4" w:space="4" w:color="auto"/>
        </w:pBdr>
        <w:outlineLvl w:val="0"/>
        <w:rPr>
          <w:szCs w:val="24"/>
          <w:lang w:val="lt-LT"/>
        </w:rPr>
      </w:pPr>
      <w:r w:rsidRPr="002E7B89">
        <w:rPr>
          <w:b/>
          <w:szCs w:val="24"/>
          <w:lang w:val="lt-LT"/>
        </w:rPr>
        <w:t>15.</w:t>
      </w:r>
      <w:r w:rsidRPr="002E7B89">
        <w:rPr>
          <w:b/>
          <w:szCs w:val="24"/>
          <w:lang w:val="lt-LT"/>
        </w:rPr>
        <w:tab/>
        <w:t>VARTOJIMO INSTRUKCIJA</w:t>
      </w:r>
    </w:p>
    <w:p w14:paraId="7B449316" w14:textId="77777777" w:rsidR="0051016D" w:rsidRPr="002E7B89" w:rsidRDefault="0051016D" w:rsidP="0051016D">
      <w:pPr>
        <w:rPr>
          <w:szCs w:val="24"/>
          <w:lang w:val="lt-LT"/>
        </w:rPr>
      </w:pPr>
    </w:p>
    <w:p w14:paraId="10CBB79E" w14:textId="77777777" w:rsidR="0051016D" w:rsidRPr="002E7B89" w:rsidRDefault="0051016D" w:rsidP="0051016D">
      <w:pPr>
        <w:rPr>
          <w:szCs w:val="24"/>
          <w:lang w:val="lt-LT"/>
        </w:rPr>
      </w:pPr>
    </w:p>
    <w:p w14:paraId="724FEF5A" w14:textId="77777777" w:rsidR="0051016D" w:rsidRPr="002E7B89" w:rsidRDefault="0051016D" w:rsidP="0051016D">
      <w:pPr>
        <w:pBdr>
          <w:top w:val="single" w:sz="4" w:space="1" w:color="auto"/>
          <w:left w:val="single" w:sz="4" w:space="4" w:color="auto"/>
          <w:bottom w:val="single" w:sz="4" w:space="0" w:color="auto"/>
          <w:right w:val="single" w:sz="4" w:space="4" w:color="auto"/>
        </w:pBdr>
        <w:rPr>
          <w:color w:val="008000"/>
          <w:szCs w:val="24"/>
          <w:lang w:val="lt-LT"/>
        </w:rPr>
      </w:pPr>
      <w:r w:rsidRPr="002E7B89">
        <w:rPr>
          <w:b/>
          <w:szCs w:val="24"/>
          <w:lang w:val="lt-LT"/>
        </w:rPr>
        <w:t>16.</w:t>
      </w:r>
      <w:r w:rsidRPr="002E7B89">
        <w:rPr>
          <w:b/>
          <w:szCs w:val="24"/>
          <w:lang w:val="lt-LT"/>
        </w:rPr>
        <w:tab/>
        <w:t>INFORMACIJA BRAILIO RAŠTU</w:t>
      </w:r>
    </w:p>
    <w:p w14:paraId="7F9E506B" w14:textId="77777777" w:rsidR="0051016D" w:rsidRPr="002E7B89" w:rsidRDefault="0051016D" w:rsidP="0051016D">
      <w:pPr>
        <w:rPr>
          <w:szCs w:val="24"/>
          <w:lang w:val="lt-LT"/>
        </w:rPr>
      </w:pPr>
    </w:p>
    <w:p w14:paraId="77801B78" w14:textId="77777777" w:rsidR="0051016D" w:rsidRPr="002E7B89" w:rsidRDefault="0051016D" w:rsidP="0051016D">
      <w:pPr>
        <w:rPr>
          <w:szCs w:val="24"/>
          <w:lang w:val="lt-LT"/>
        </w:rPr>
      </w:pPr>
      <w:r w:rsidRPr="002E7B89">
        <w:rPr>
          <w:szCs w:val="24"/>
          <w:highlight w:val="lightGray"/>
          <w:lang w:val="lt-LT"/>
        </w:rPr>
        <w:t>Priimtas pagrindimas informacijos Brailio raštu nepateikti.</w:t>
      </w:r>
    </w:p>
    <w:p w14:paraId="08AABB84" w14:textId="77777777" w:rsidR="0051016D" w:rsidRPr="002E7B89" w:rsidRDefault="0051016D" w:rsidP="0051016D">
      <w:pPr>
        <w:rPr>
          <w:szCs w:val="24"/>
          <w:lang w:val="lt-LT"/>
        </w:rPr>
      </w:pPr>
    </w:p>
    <w:p w14:paraId="18E8603E" w14:textId="77777777" w:rsidR="0051016D" w:rsidRPr="002E7B89" w:rsidRDefault="0051016D" w:rsidP="0051016D">
      <w:pPr>
        <w:rPr>
          <w:shd w:val="clear" w:color="auto" w:fill="CCCCCC"/>
          <w:lang w:val="lt-LT"/>
        </w:rPr>
      </w:pPr>
    </w:p>
    <w:p w14:paraId="25C0E139" w14:textId="77777777" w:rsidR="0051016D" w:rsidRPr="002E7B89" w:rsidRDefault="0051016D" w:rsidP="0051016D">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sidRPr="002E7B89">
        <w:rPr>
          <w:b/>
          <w:lang w:val="lt-LT"/>
        </w:rPr>
        <w:t>17.</w:t>
      </w:r>
      <w:r w:rsidRPr="002E7B89">
        <w:rPr>
          <w:b/>
          <w:lang w:val="lt-LT"/>
        </w:rPr>
        <w:tab/>
        <w:t>UNIKALUS IDENTIFIKATORIUS – 2D BRŪKŠNINIS KODAS</w:t>
      </w:r>
    </w:p>
    <w:p w14:paraId="738D121C" w14:textId="77777777" w:rsidR="0051016D" w:rsidRPr="002E7B89" w:rsidRDefault="0051016D" w:rsidP="0051016D">
      <w:pPr>
        <w:rPr>
          <w:szCs w:val="20"/>
          <w:lang w:val="lt-LT"/>
        </w:rPr>
      </w:pPr>
    </w:p>
    <w:p w14:paraId="05FCA42D" w14:textId="77777777" w:rsidR="0051016D" w:rsidRPr="002E7B89" w:rsidRDefault="0051016D" w:rsidP="0051016D">
      <w:pPr>
        <w:rPr>
          <w:shd w:val="clear" w:color="auto" w:fill="CCCCCC"/>
          <w:lang w:val="lt-LT"/>
        </w:rPr>
      </w:pPr>
      <w:r w:rsidRPr="002E7B89">
        <w:rPr>
          <w:highlight w:val="lightGray"/>
          <w:lang w:val="lt-LT"/>
        </w:rPr>
        <w:t>2D brūkšninis kodas su nurodytu unikaliu identifikatoriumi.</w:t>
      </w:r>
    </w:p>
    <w:p w14:paraId="48330A52" w14:textId="77777777" w:rsidR="0051016D" w:rsidRPr="002E7B89" w:rsidRDefault="0051016D" w:rsidP="0051016D">
      <w:pPr>
        <w:rPr>
          <w:shd w:val="clear" w:color="auto" w:fill="CCCCCC"/>
          <w:lang w:val="lt-LT"/>
        </w:rPr>
      </w:pPr>
    </w:p>
    <w:p w14:paraId="691FB990" w14:textId="77777777" w:rsidR="0051016D" w:rsidRPr="002E7B89" w:rsidRDefault="0051016D" w:rsidP="0051016D">
      <w:pPr>
        <w:rPr>
          <w:lang w:val="lt-LT"/>
        </w:rPr>
      </w:pPr>
    </w:p>
    <w:p w14:paraId="011EB7FC" w14:textId="77777777" w:rsidR="0051016D" w:rsidRPr="002E7B89" w:rsidRDefault="0051016D" w:rsidP="0051016D">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2E7B89">
        <w:rPr>
          <w:b/>
          <w:lang w:val="lt-LT"/>
        </w:rPr>
        <w:t>18.</w:t>
      </w:r>
      <w:r w:rsidRPr="002E7B89">
        <w:rPr>
          <w:b/>
          <w:lang w:val="lt-LT"/>
        </w:rPr>
        <w:tab/>
        <w:t>UNIKALUS IDENTIFIKATORIUS – ŽMONĖMS SUPRANTAMI DUOMENYS</w:t>
      </w:r>
    </w:p>
    <w:p w14:paraId="1284FCE4" w14:textId="77777777" w:rsidR="0051016D" w:rsidRPr="002E7B89" w:rsidRDefault="0051016D" w:rsidP="0051016D">
      <w:pPr>
        <w:rPr>
          <w:lang w:val="lt-LT"/>
        </w:rPr>
      </w:pPr>
    </w:p>
    <w:p w14:paraId="12E66F1B" w14:textId="63532F3A" w:rsidR="00107587" w:rsidRPr="002E7B89" w:rsidRDefault="0051016D" w:rsidP="0051016D">
      <w:pPr>
        <w:rPr>
          <w:lang w:val="lt-LT"/>
        </w:rPr>
      </w:pPr>
      <w:r w:rsidRPr="002E7B89">
        <w:rPr>
          <w:lang w:val="lt-LT"/>
        </w:rPr>
        <w:t>PC {numeris}</w:t>
      </w:r>
    </w:p>
    <w:p w14:paraId="2D41073C" w14:textId="1D05D3DC" w:rsidR="0051016D" w:rsidRPr="002E7B89" w:rsidRDefault="0051016D" w:rsidP="0051016D">
      <w:pPr>
        <w:rPr>
          <w:lang w:val="lt-LT"/>
        </w:rPr>
      </w:pPr>
      <w:r w:rsidRPr="002E7B89">
        <w:rPr>
          <w:lang w:val="lt-LT"/>
        </w:rPr>
        <w:t>SN {numeris}</w:t>
      </w:r>
    </w:p>
    <w:p w14:paraId="32BF4F45" w14:textId="483AA486" w:rsidR="0051016D" w:rsidRPr="002E7B89" w:rsidRDefault="0051016D" w:rsidP="003F0448">
      <w:pPr>
        <w:rPr>
          <w:b/>
          <w:szCs w:val="24"/>
          <w:lang w:val="lt-LT"/>
        </w:rPr>
      </w:pPr>
      <w:r w:rsidRPr="002E7B89">
        <w:rPr>
          <w:highlight w:val="lightGray"/>
          <w:lang w:val="lt-LT"/>
        </w:rPr>
        <w:t>NN {numeris}</w:t>
      </w:r>
      <w:r w:rsidRPr="002E7B89">
        <w:rPr>
          <w:b/>
          <w:snapToGrid w:val="0"/>
          <w:szCs w:val="24"/>
          <w:lang w:val="lt-LT"/>
        </w:rPr>
        <w:br w:type="page"/>
      </w:r>
    </w:p>
    <w:p w14:paraId="7050CA51" w14:textId="77777777" w:rsidR="0051016D" w:rsidRPr="002E7B89" w:rsidRDefault="007254C4" w:rsidP="002472CD">
      <w:pPr>
        <w:pBdr>
          <w:top w:val="single" w:sz="4" w:space="0" w:color="auto"/>
          <w:left w:val="single" w:sz="4" w:space="4" w:color="auto"/>
          <w:bottom w:val="single" w:sz="4" w:space="1" w:color="auto"/>
          <w:right w:val="single" w:sz="4" w:space="4" w:color="auto"/>
        </w:pBdr>
        <w:rPr>
          <w:b/>
          <w:szCs w:val="24"/>
          <w:lang w:val="lt-LT"/>
        </w:rPr>
      </w:pPr>
      <w:r w:rsidRPr="002E7B89">
        <w:rPr>
          <w:b/>
          <w:szCs w:val="24"/>
          <w:lang w:val="lt-LT"/>
        </w:rPr>
        <w:lastRenderedPageBreak/>
        <w:t>MINIMALI INFORMACIJA ANT MAŽŲ VIDINIŲ PAKUOČIŲ</w:t>
      </w:r>
    </w:p>
    <w:p w14:paraId="666E691E" w14:textId="77777777" w:rsidR="007254C4" w:rsidRPr="002E7B89" w:rsidRDefault="007254C4" w:rsidP="002472CD">
      <w:pPr>
        <w:pBdr>
          <w:top w:val="single" w:sz="4" w:space="0" w:color="auto"/>
          <w:left w:val="single" w:sz="4" w:space="4" w:color="auto"/>
          <w:bottom w:val="single" w:sz="4" w:space="1" w:color="auto"/>
          <w:right w:val="single" w:sz="4" w:space="4" w:color="auto"/>
        </w:pBdr>
        <w:rPr>
          <w:b/>
          <w:szCs w:val="24"/>
          <w:lang w:val="lt-LT"/>
        </w:rPr>
      </w:pPr>
    </w:p>
    <w:p w14:paraId="34C3847B" w14:textId="0CC68BBD" w:rsidR="0051016D" w:rsidRPr="002E7B89" w:rsidRDefault="009E13A2" w:rsidP="002472CD">
      <w:pPr>
        <w:pBdr>
          <w:top w:val="single" w:sz="4" w:space="0" w:color="auto"/>
          <w:left w:val="single" w:sz="4" w:space="4" w:color="auto"/>
          <w:bottom w:val="single" w:sz="4" w:space="1" w:color="auto"/>
          <w:right w:val="single" w:sz="4" w:space="4" w:color="auto"/>
        </w:pBdr>
        <w:rPr>
          <w:szCs w:val="24"/>
          <w:lang w:val="lt-LT"/>
        </w:rPr>
      </w:pPr>
      <w:r w:rsidRPr="009E13A2">
        <w:rPr>
          <w:b/>
          <w:szCs w:val="24"/>
          <w:lang w:val="lt-LT"/>
        </w:rPr>
        <w:t>Ampulė</w:t>
      </w:r>
    </w:p>
    <w:p w14:paraId="4BBE41B1" w14:textId="77777777" w:rsidR="0051016D" w:rsidRPr="002E7B89" w:rsidRDefault="0051016D" w:rsidP="0051016D">
      <w:pPr>
        <w:rPr>
          <w:szCs w:val="24"/>
          <w:lang w:val="lt-LT"/>
        </w:rPr>
      </w:pPr>
    </w:p>
    <w:p w14:paraId="5CEB096D" w14:textId="77777777" w:rsidR="0051016D" w:rsidRPr="002E7B89" w:rsidRDefault="0051016D" w:rsidP="0051016D">
      <w:pPr>
        <w:rPr>
          <w:szCs w:val="24"/>
          <w:lang w:val="lt-LT"/>
        </w:rPr>
      </w:pPr>
    </w:p>
    <w:p w14:paraId="3FD58A8A" w14:textId="77777777" w:rsidR="0051016D" w:rsidRPr="002E7B89" w:rsidRDefault="0051016D" w:rsidP="0051016D">
      <w:pPr>
        <w:pBdr>
          <w:top w:val="single" w:sz="4" w:space="1" w:color="auto"/>
          <w:left w:val="single" w:sz="4" w:space="4" w:color="auto"/>
          <w:bottom w:val="single" w:sz="4" w:space="1" w:color="auto"/>
          <w:right w:val="single" w:sz="4" w:space="4" w:color="auto"/>
        </w:pBdr>
        <w:outlineLvl w:val="0"/>
        <w:rPr>
          <w:b/>
          <w:szCs w:val="24"/>
          <w:lang w:val="lt-LT"/>
        </w:rPr>
      </w:pPr>
      <w:r w:rsidRPr="002E7B89">
        <w:rPr>
          <w:b/>
          <w:szCs w:val="24"/>
          <w:lang w:val="lt-LT"/>
        </w:rPr>
        <w:t>1.</w:t>
      </w:r>
      <w:r w:rsidRPr="002E7B89">
        <w:rPr>
          <w:b/>
          <w:szCs w:val="24"/>
          <w:lang w:val="lt-LT"/>
        </w:rPr>
        <w:tab/>
      </w:r>
      <w:r w:rsidRPr="002E7B89">
        <w:rPr>
          <w:b/>
          <w:caps/>
          <w:szCs w:val="24"/>
          <w:lang w:val="lt-LT"/>
        </w:rPr>
        <w:t>Vaistinio preparato pavadinimas ir vartojimo būdas (-ai)</w:t>
      </w:r>
    </w:p>
    <w:p w14:paraId="7E30B834" w14:textId="77777777" w:rsidR="0051016D" w:rsidRPr="002E7B89" w:rsidRDefault="0051016D" w:rsidP="0051016D">
      <w:pPr>
        <w:rPr>
          <w:szCs w:val="24"/>
          <w:lang w:val="lt-LT"/>
        </w:rPr>
      </w:pPr>
    </w:p>
    <w:p w14:paraId="2E17AE8F" w14:textId="77777777" w:rsidR="00271E9C" w:rsidRPr="002E7B89" w:rsidRDefault="008765BB" w:rsidP="00271E9C">
      <w:pPr>
        <w:rPr>
          <w:lang w:val="lt-LT" w:bidi="lt-LT"/>
        </w:rPr>
      </w:pPr>
      <w:r>
        <w:rPr>
          <w:lang w:val="lt-LT"/>
        </w:rPr>
        <w:t>Dexamethasone Kalceks</w:t>
      </w:r>
      <w:r w:rsidR="00271E9C" w:rsidRPr="002E7B89">
        <w:rPr>
          <w:szCs w:val="24"/>
          <w:lang w:val="lt-LT"/>
        </w:rPr>
        <w:t xml:space="preserve"> </w:t>
      </w:r>
      <w:r w:rsidR="00271E9C" w:rsidRPr="002E7B89">
        <w:rPr>
          <w:lang w:val="lt-LT" w:bidi="lt-LT"/>
        </w:rPr>
        <w:t>4 mg/ml injekcinis ar infuzinis tirpalas</w:t>
      </w:r>
    </w:p>
    <w:p w14:paraId="5D906D9A" w14:textId="77777777" w:rsidR="00394043" w:rsidRDefault="00394043" w:rsidP="00271E9C">
      <w:pPr>
        <w:rPr>
          <w:highlight w:val="lightGray"/>
          <w:lang w:val="lt-LT" w:bidi="lt-LT"/>
        </w:rPr>
      </w:pPr>
    </w:p>
    <w:p w14:paraId="08C99BFE" w14:textId="77777777" w:rsidR="00271E9C" w:rsidRPr="002E7B89" w:rsidRDefault="00271E9C" w:rsidP="00271E9C">
      <w:pPr>
        <w:rPr>
          <w:szCs w:val="24"/>
          <w:lang w:val="lt-LT"/>
        </w:rPr>
      </w:pPr>
      <w:r w:rsidRPr="00A94563">
        <w:rPr>
          <w:highlight w:val="lightGray"/>
          <w:lang w:val="lt-LT" w:bidi="lt-LT"/>
        </w:rPr>
        <w:t>deksametazono fosfatas</w:t>
      </w:r>
      <w:r w:rsidRPr="002E7B89">
        <w:rPr>
          <w:szCs w:val="24"/>
          <w:lang w:val="lt-LT"/>
        </w:rPr>
        <w:t xml:space="preserve"> </w:t>
      </w:r>
    </w:p>
    <w:p w14:paraId="39721A18" w14:textId="77777777" w:rsidR="0051016D" w:rsidRPr="002E7B89" w:rsidRDefault="0051016D" w:rsidP="0051016D">
      <w:pPr>
        <w:rPr>
          <w:szCs w:val="24"/>
          <w:lang w:val="lt-LT"/>
        </w:rPr>
      </w:pPr>
    </w:p>
    <w:p w14:paraId="695FD4BF" w14:textId="77777777" w:rsidR="00271E9C" w:rsidRPr="002E7B89" w:rsidRDefault="00271E9C" w:rsidP="00271E9C">
      <w:pPr>
        <w:rPr>
          <w:lang w:val="lt-LT" w:eastAsia="lt-LT"/>
        </w:rPr>
      </w:pPr>
      <w:r w:rsidRPr="002E7B89">
        <w:rPr>
          <w:lang w:val="lt-LT" w:eastAsia="lt-LT"/>
        </w:rPr>
        <w:t>i.v</w:t>
      </w:r>
      <w:r w:rsidR="00487E23">
        <w:rPr>
          <w:lang w:val="lt-LT" w:eastAsia="lt-LT"/>
        </w:rPr>
        <w:t>.</w:t>
      </w:r>
      <w:r w:rsidRPr="002E7B89">
        <w:rPr>
          <w:lang w:val="lt-LT" w:eastAsia="lt-LT"/>
        </w:rPr>
        <w:t>, i.m</w:t>
      </w:r>
      <w:r w:rsidR="00487E23">
        <w:rPr>
          <w:lang w:val="lt-LT" w:eastAsia="lt-LT"/>
        </w:rPr>
        <w:t>.</w:t>
      </w:r>
      <w:r w:rsidRPr="002E7B89">
        <w:rPr>
          <w:lang w:val="lt-LT" w:eastAsia="lt-LT"/>
        </w:rPr>
        <w:t>, į sąnarį ar vartoti lokaliai (infiltracija).</w:t>
      </w:r>
    </w:p>
    <w:p w14:paraId="1C718EE9" w14:textId="77777777" w:rsidR="00271E9C" w:rsidRPr="002E7B89" w:rsidRDefault="00271E9C" w:rsidP="0051016D">
      <w:pPr>
        <w:rPr>
          <w:szCs w:val="24"/>
          <w:lang w:val="lt-LT"/>
        </w:rPr>
      </w:pPr>
    </w:p>
    <w:p w14:paraId="4B844D39" w14:textId="77777777" w:rsidR="0051016D" w:rsidRPr="002E7B89" w:rsidRDefault="0051016D" w:rsidP="0051016D">
      <w:pPr>
        <w:rPr>
          <w:szCs w:val="24"/>
          <w:lang w:val="lt-LT"/>
        </w:rPr>
      </w:pPr>
    </w:p>
    <w:p w14:paraId="2D934F9C" w14:textId="77777777" w:rsidR="0051016D" w:rsidRPr="002E7B89" w:rsidRDefault="0051016D" w:rsidP="0051016D">
      <w:pPr>
        <w:pBdr>
          <w:top w:val="single" w:sz="4" w:space="1" w:color="auto"/>
          <w:left w:val="single" w:sz="4" w:space="4" w:color="auto"/>
          <w:bottom w:val="single" w:sz="4" w:space="1" w:color="auto"/>
          <w:right w:val="single" w:sz="4" w:space="4" w:color="auto"/>
        </w:pBdr>
        <w:outlineLvl w:val="0"/>
        <w:rPr>
          <w:b/>
          <w:szCs w:val="24"/>
          <w:lang w:val="lt-LT"/>
        </w:rPr>
      </w:pPr>
      <w:r w:rsidRPr="002E7B89">
        <w:rPr>
          <w:b/>
          <w:szCs w:val="24"/>
          <w:lang w:val="lt-LT"/>
        </w:rPr>
        <w:t>2.</w:t>
      </w:r>
      <w:r w:rsidRPr="002E7B89">
        <w:rPr>
          <w:b/>
          <w:szCs w:val="24"/>
          <w:lang w:val="lt-LT"/>
        </w:rPr>
        <w:tab/>
        <w:t>VARTOJIMO METODAS</w:t>
      </w:r>
    </w:p>
    <w:p w14:paraId="0761ED97" w14:textId="77777777" w:rsidR="0051016D" w:rsidRPr="002E7B89" w:rsidRDefault="0051016D" w:rsidP="0051016D">
      <w:pPr>
        <w:rPr>
          <w:szCs w:val="24"/>
          <w:lang w:val="lt-LT"/>
        </w:rPr>
      </w:pPr>
    </w:p>
    <w:p w14:paraId="52E46C22" w14:textId="77777777" w:rsidR="0051016D" w:rsidRPr="002E7B89" w:rsidRDefault="0051016D" w:rsidP="0051016D">
      <w:pPr>
        <w:rPr>
          <w:szCs w:val="24"/>
          <w:lang w:val="lt-LT"/>
        </w:rPr>
      </w:pPr>
    </w:p>
    <w:p w14:paraId="2015299F" w14:textId="77777777" w:rsidR="0051016D" w:rsidRPr="002E7B89" w:rsidRDefault="0051016D" w:rsidP="0051016D">
      <w:pPr>
        <w:pBdr>
          <w:top w:val="single" w:sz="4" w:space="1" w:color="auto"/>
          <w:left w:val="single" w:sz="4" w:space="4" w:color="auto"/>
          <w:bottom w:val="single" w:sz="4" w:space="1" w:color="auto"/>
          <w:right w:val="single" w:sz="4" w:space="4" w:color="auto"/>
        </w:pBdr>
        <w:outlineLvl w:val="0"/>
        <w:rPr>
          <w:b/>
          <w:szCs w:val="24"/>
          <w:lang w:val="lt-LT"/>
        </w:rPr>
      </w:pPr>
      <w:r w:rsidRPr="002E7B89">
        <w:rPr>
          <w:b/>
          <w:szCs w:val="24"/>
          <w:lang w:val="lt-LT"/>
        </w:rPr>
        <w:t>3.</w:t>
      </w:r>
      <w:r w:rsidRPr="002E7B89">
        <w:rPr>
          <w:b/>
          <w:szCs w:val="24"/>
          <w:lang w:val="lt-LT"/>
        </w:rPr>
        <w:tab/>
        <w:t>TINKAMUMO LAIKAS</w:t>
      </w:r>
    </w:p>
    <w:p w14:paraId="66EA875C" w14:textId="77777777" w:rsidR="0051016D" w:rsidRPr="002E7B89" w:rsidRDefault="0051016D" w:rsidP="0051016D">
      <w:pPr>
        <w:rPr>
          <w:szCs w:val="24"/>
          <w:lang w:val="lt-LT"/>
        </w:rPr>
      </w:pPr>
    </w:p>
    <w:p w14:paraId="4E57C304" w14:textId="77777777" w:rsidR="0051016D" w:rsidRPr="002E7B89" w:rsidRDefault="0051016D" w:rsidP="0051016D">
      <w:pPr>
        <w:rPr>
          <w:szCs w:val="20"/>
          <w:lang w:val="lt-LT"/>
        </w:rPr>
      </w:pPr>
      <w:r w:rsidRPr="002E7B89">
        <w:rPr>
          <w:lang w:val="lt-LT"/>
        </w:rPr>
        <w:t>EXP</w:t>
      </w:r>
      <w:r w:rsidR="00271E9C" w:rsidRPr="002E7B89">
        <w:rPr>
          <w:lang w:val="lt-LT"/>
        </w:rPr>
        <w:t xml:space="preserve"> {mm MMMM}</w:t>
      </w:r>
    </w:p>
    <w:p w14:paraId="17E14E31" w14:textId="77777777" w:rsidR="0051016D" w:rsidRPr="002E7B89" w:rsidRDefault="0051016D" w:rsidP="0051016D">
      <w:pPr>
        <w:rPr>
          <w:szCs w:val="24"/>
          <w:lang w:val="lt-LT"/>
        </w:rPr>
      </w:pPr>
    </w:p>
    <w:p w14:paraId="39816A32" w14:textId="77777777" w:rsidR="0051016D" w:rsidRPr="002E7B89" w:rsidRDefault="0051016D" w:rsidP="0051016D">
      <w:pPr>
        <w:rPr>
          <w:szCs w:val="24"/>
          <w:lang w:val="lt-LT"/>
        </w:rPr>
      </w:pPr>
    </w:p>
    <w:p w14:paraId="34D3C313" w14:textId="77777777" w:rsidR="0051016D" w:rsidRPr="002E7B89" w:rsidRDefault="0051016D" w:rsidP="0051016D">
      <w:pPr>
        <w:suppressLineNumbers/>
        <w:pBdr>
          <w:top w:val="single" w:sz="4" w:space="1" w:color="auto"/>
          <w:left w:val="single" w:sz="4" w:space="4" w:color="auto"/>
          <w:bottom w:val="single" w:sz="4" w:space="1" w:color="auto"/>
          <w:right w:val="single" w:sz="4" w:space="4" w:color="auto"/>
        </w:pBdr>
        <w:outlineLvl w:val="0"/>
        <w:rPr>
          <w:b/>
          <w:szCs w:val="20"/>
          <w:lang w:val="lt-LT"/>
        </w:rPr>
      </w:pPr>
      <w:r w:rsidRPr="002E7B89">
        <w:rPr>
          <w:b/>
          <w:szCs w:val="24"/>
          <w:lang w:val="lt-LT"/>
        </w:rPr>
        <w:t>4.</w:t>
      </w:r>
      <w:r w:rsidRPr="002E7B89">
        <w:rPr>
          <w:b/>
          <w:szCs w:val="24"/>
          <w:lang w:val="lt-LT"/>
        </w:rPr>
        <w:tab/>
        <w:t xml:space="preserve">SERIJOS NUMERIS </w:t>
      </w:r>
    </w:p>
    <w:p w14:paraId="3AEF919C" w14:textId="77777777" w:rsidR="0051016D" w:rsidRPr="002E7B89" w:rsidRDefault="0051016D" w:rsidP="0051016D">
      <w:pPr>
        <w:rPr>
          <w:lang w:val="lt-LT"/>
        </w:rPr>
      </w:pPr>
    </w:p>
    <w:p w14:paraId="13B1E21E" w14:textId="77777777" w:rsidR="0051016D" w:rsidRPr="002E7B89" w:rsidRDefault="0051016D" w:rsidP="0051016D">
      <w:pPr>
        <w:outlineLvl w:val="0"/>
        <w:rPr>
          <w:b/>
          <w:lang w:val="lt-LT"/>
        </w:rPr>
      </w:pPr>
      <w:r w:rsidRPr="002E7B89">
        <w:rPr>
          <w:lang w:val="lt-LT"/>
        </w:rPr>
        <w:t>Lot</w:t>
      </w:r>
    </w:p>
    <w:p w14:paraId="2A3C6793" w14:textId="77777777" w:rsidR="0051016D" w:rsidRPr="002E7B89" w:rsidRDefault="0051016D" w:rsidP="0051016D">
      <w:pPr>
        <w:rPr>
          <w:szCs w:val="24"/>
          <w:lang w:val="lt-LT"/>
        </w:rPr>
      </w:pPr>
    </w:p>
    <w:p w14:paraId="6A5E4199" w14:textId="77777777" w:rsidR="0051016D" w:rsidRPr="002E7B89" w:rsidRDefault="0051016D" w:rsidP="0051016D">
      <w:pPr>
        <w:rPr>
          <w:szCs w:val="24"/>
          <w:lang w:val="lt-LT"/>
        </w:rPr>
      </w:pPr>
    </w:p>
    <w:p w14:paraId="3D078A8F" w14:textId="77777777" w:rsidR="0051016D" w:rsidRPr="002E7B89" w:rsidRDefault="0051016D" w:rsidP="0051016D">
      <w:pPr>
        <w:pBdr>
          <w:top w:val="single" w:sz="4" w:space="1" w:color="auto"/>
          <w:left w:val="single" w:sz="4" w:space="4" w:color="auto"/>
          <w:bottom w:val="single" w:sz="4" w:space="1" w:color="auto"/>
          <w:right w:val="single" w:sz="4" w:space="4" w:color="auto"/>
        </w:pBdr>
        <w:outlineLvl w:val="0"/>
        <w:rPr>
          <w:b/>
          <w:szCs w:val="24"/>
          <w:lang w:val="lt-LT"/>
        </w:rPr>
      </w:pPr>
      <w:r w:rsidRPr="002E7B89">
        <w:rPr>
          <w:b/>
          <w:szCs w:val="24"/>
          <w:lang w:val="lt-LT"/>
        </w:rPr>
        <w:t>5.</w:t>
      </w:r>
      <w:r w:rsidRPr="002E7B89">
        <w:rPr>
          <w:b/>
          <w:szCs w:val="24"/>
          <w:lang w:val="lt-LT"/>
        </w:rPr>
        <w:tab/>
      </w:r>
      <w:r w:rsidRPr="002E7B89">
        <w:rPr>
          <w:b/>
          <w:lang w:val="lt-LT"/>
        </w:rPr>
        <w:t>KIEKIS (MASĖ, TŪRIS ARBA VIENETAI)</w:t>
      </w:r>
    </w:p>
    <w:p w14:paraId="655B7314" w14:textId="77777777" w:rsidR="0051016D" w:rsidRPr="002E7B89" w:rsidRDefault="0051016D" w:rsidP="0051016D">
      <w:pPr>
        <w:rPr>
          <w:szCs w:val="24"/>
          <w:lang w:val="lt-LT"/>
        </w:rPr>
      </w:pPr>
    </w:p>
    <w:p w14:paraId="005AAC06" w14:textId="77777777" w:rsidR="00271E9C" w:rsidRPr="002E7B89" w:rsidRDefault="00271E9C" w:rsidP="00271E9C">
      <w:pPr>
        <w:tabs>
          <w:tab w:val="left" w:pos="720"/>
        </w:tabs>
        <w:ind w:left="567" w:hanging="567"/>
        <w:rPr>
          <w:lang w:val="lt-LT"/>
        </w:rPr>
      </w:pPr>
      <w:r w:rsidRPr="002E7B89">
        <w:rPr>
          <w:lang w:val="lt-LT"/>
        </w:rPr>
        <w:t>4 mg/1 ml</w:t>
      </w:r>
    </w:p>
    <w:p w14:paraId="318608EB" w14:textId="77777777" w:rsidR="00271E9C" w:rsidRPr="002E7B89" w:rsidRDefault="00271E9C" w:rsidP="00271E9C">
      <w:pPr>
        <w:tabs>
          <w:tab w:val="left" w:pos="720"/>
        </w:tabs>
        <w:ind w:left="567" w:hanging="567"/>
        <w:rPr>
          <w:lang w:val="lt-LT"/>
        </w:rPr>
      </w:pPr>
      <w:r w:rsidRPr="002E7B89">
        <w:rPr>
          <w:highlight w:val="lightGray"/>
          <w:lang w:val="lt-LT"/>
        </w:rPr>
        <w:t>8 mg/2 ml</w:t>
      </w:r>
    </w:p>
    <w:p w14:paraId="7E10F5B0" w14:textId="77777777" w:rsidR="0051016D" w:rsidRPr="002E7B89" w:rsidRDefault="0051016D" w:rsidP="0051016D">
      <w:pPr>
        <w:rPr>
          <w:szCs w:val="24"/>
          <w:lang w:val="lt-LT"/>
        </w:rPr>
      </w:pPr>
    </w:p>
    <w:p w14:paraId="6BAE52C0" w14:textId="77777777" w:rsidR="00271E9C" w:rsidRPr="002E7B89" w:rsidRDefault="00271E9C" w:rsidP="0051016D">
      <w:pPr>
        <w:rPr>
          <w:szCs w:val="24"/>
          <w:lang w:val="lt-LT"/>
        </w:rPr>
      </w:pPr>
    </w:p>
    <w:p w14:paraId="19A98CA8" w14:textId="77777777" w:rsidR="0051016D" w:rsidRPr="002E7B89" w:rsidRDefault="0051016D" w:rsidP="0051016D">
      <w:pPr>
        <w:pBdr>
          <w:top w:val="single" w:sz="4" w:space="1" w:color="auto"/>
          <w:left w:val="single" w:sz="4" w:space="4" w:color="auto"/>
          <w:bottom w:val="single" w:sz="4" w:space="1" w:color="auto"/>
          <w:right w:val="single" w:sz="4" w:space="4" w:color="auto"/>
        </w:pBdr>
        <w:outlineLvl w:val="0"/>
        <w:rPr>
          <w:b/>
          <w:szCs w:val="24"/>
          <w:lang w:val="lt-LT"/>
        </w:rPr>
      </w:pPr>
      <w:r w:rsidRPr="002E7B89">
        <w:rPr>
          <w:b/>
          <w:szCs w:val="24"/>
          <w:lang w:val="lt-LT"/>
        </w:rPr>
        <w:t>6.</w:t>
      </w:r>
      <w:r w:rsidRPr="002E7B89">
        <w:rPr>
          <w:b/>
          <w:szCs w:val="24"/>
          <w:lang w:val="lt-LT"/>
        </w:rPr>
        <w:tab/>
      </w:r>
      <w:r w:rsidRPr="002E7B89">
        <w:rPr>
          <w:b/>
          <w:lang w:val="lt-LT"/>
        </w:rPr>
        <w:t>KITA</w:t>
      </w:r>
    </w:p>
    <w:p w14:paraId="1885DB15" w14:textId="77777777" w:rsidR="0051016D" w:rsidRPr="002E7B89" w:rsidRDefault="0051016D" w:rsidP="0051016D">
      <w:pPr>
        <w:rPr>
          <w:szCs w:val="24"/>
          <w:lang w:val="lt-LT"/>
        </w:rPr>
      </w:pPr>
    </w:p>
    <w:p w14:paraId="62326422" w14:textId="77777777" w:rsidR="0051016D" w:rsidRPr="002E7B89" w:rsidRDefault="00271E9C" w:rsidP="0051016D">
      <w:pPr>
        <w:tabs>
          <w:tab w:val="left" w:pos="5954"/>
          <w:tab w:val="left" w:pos="6237"/>
          <w:tab w:val="left" w:pos="6663"/>
          <w:tab w:val="left" w:pos="6946"/>
        </w:tabs>
        <w:contextualSpacing/>
        <w:rPr>
          <w:rFonts w:eastAsia="Calibri"/>
          <w:lang w:val="lt-LT"/>
        </w:rPr>
      </w:pPr>
      <w:r w:rsidRPr="002E7B89">
        <w:rPr>
          <w:snapToGrid w:val="0"/>
          <w:lang w:val="lt-LT"/>
        </w:rPr>
        <w:t>&lt;Logotipas&gt;</w:t>
      </w:r>
      <w:r w:rsidR="0051016D" w:rsidRPr="002E7B89">
        <w:rPr>
          <w:snapToGrid w:val="0"/>
          <w:lang w:val="lt-LT"/>
        </w:rPr>
        <w:br w:type="page"/>
      </w:r>
    </w:p>
    <w:p w14:paraId="42384C56" w14:textId="77777777" w:rsidR="00271E9C" w:rsidRPr="002E7B89" w:rsidRDefault="00271E9C" w:rsidP="00271E9C">
      <w:pPr>
        <w:jc w:val="center"/>
        <w:outlineLvl w:val="0"/>
        <w:rPr>
          <w:b/>
          <w:lang w:val="lt-LT"/>
        </w:rPr>
      </w:pPr>
    </w:p>
    <w:p w14:paraId="04D54CDF" w14:textId="77777777" w:rsidR="00271E9C" w:rsidRPr="002E7B89" w:rsidRDefault="00271E9C" w:rsidP="00271E9C">
      <w:pPr>
        <w:jc w:val="center"/>
        <w:outlineLvl w:val="0"/>
        <w:rPr>
          <w:b/>
          <w:lang w:val="lt-LT"/>
        </w:rPr>
      </w:pPr>
    </w:p>
    <w:p w14:paraId="05F2C162" w14:textId="77777777" w:rsidR="00271E9C" w:rsidRPr="002E7B89" w:rsidRDefault="00271E9C" w:rsidP="00271E9C">
      <w:pPr>
        <w:jc w:val="center"/>
        <w:outlineLvl w:val="0"/>
        <w:rPr>
          <w:b/>
          <w:lang w:val="lt-LT"/>
        </w:rPr>
      </w:pPr>
    </w:p>
    <w:p w14:paraId="4CF1932F" w14:textId="77777777" w:rsidR="00271E9C" w:rsidRPr="002E7B89" w:rsidRDefault="00271E9C" w:rsidP="00271E9C">
      <w:pPr>
        <w:jc w:val="center"/>
        <w:outlineLvl w:val="0"/>
        <w:rPr>
          <w:b/>
          <w:lang w:val="lt-LT"/>
        </w:rPr>
      </w:pPr>
    </w:p>
    <w:p w14:paraId="6AA84FF5" w14:textId="77777777" w:rsidR="00271E9C" w:rsidRPr="002E7B89" w:rsidRDefault="00271E9C" w:rsidP="00271E9C">
      <w:pPr>
        <w:jc w:val="center"/>
        <w:outlineLvl w:val="0"/>
        <w:rPr>
          <w:b/>
          <w:lang w:val="lt-LT"/>
        </w:rPr>
      </w:pPr>
    </w:p>
    <w:p w14:paraId="56105AB2" w14:textId="77777777" w:rsidR="00271E9C" w:rsidRPr="002E7B89" w:rsidRDefault="00271E9C" w:rsidP="00271E9C">
      <w:pPr>
        <w:jc w:val="center"/>
        <w:outlineLvl w:val="0"/>
        <w:rPr>
          <w:b/>
          <w:lang w:val="lt-LT"/>
        </w:rPr>
      </w:pPr>
    </w:p>
    <w:p w14:paraId="4C743FB2" w14:textId="77777777" w:rsidR="00271E9C" w:rsidRPr="002E7B89" w:rsidRDefault="00271E9C" w:rsidP="00271E9C">
      <w:pPr>
        <w:jc w:val="center"/>
        <w:outlineLvl w:val="0"/>
        <w:rPr>
          <w:b/>
          <w:lang w:val="lt-LT"/>
        </w:rPr>
      </w:pPr>
    </w:p>
    <w:p w14:paraId="22BC721F" w14:textId="77777777" w:rsidR="00271E9C" w:rsidRPr="002E7B89" w:rsidRDefault="00271E9C" w:rsidP="00271E9C">
      <w:pPr>
        <w:jc w:val="center"/>
        <w:outlineLvl w:val="0"/>
        <w:rPr>
          <w:b/>
          <w:lang w:val="lt-LT"/>
        </w:rPr>
      </w:pPr>
    </w:p>
    <w:p w14:paraId="3272DCAA" w14:textId="77777777" w:rsidR="00271E9C" w:rsidRPr="002E7B89" w:rsidRDefault="00271E9C" w:rsidP="00271E9C">
      <w:pPr>
        <w:jc w:val="center"/>
        <w:outlineLvl w:val="0"/>
        <w:rPr>
          <w:b/>
          <w:lang w:val="lt-LT"/>
        </w:rPr>
      </w:pPr>
    </w:p>
    <w:p w14:paraId="7B883195" w14:textId="77777777" w:rsidR="00271E9C" w:rsidRPr="002E7B89" w:rsidRDefault="00271E9C" w:rsidP="00271E9C">
      <w:pPr>
        <w:jc w:val="center"/>
        <w:outlineLvl w:val="0"/>
        <w:rPr>
          <w:b/>
          <w:lang w:val="lt-LT"/>
        </w:rPr>
      </w:pPr>
    </w:p>
    <w:p w14:paraId="32E31A70" w14:textId="77777777" w:rsidR="00271E9C" w:rsidRPr="002E7B89" w:rsidRDefault="00271E9C" w:rsidP="00271E9C">
      <w:pPr>
        <w:jc w:val="center"/>
        <w:outlineLvl w:val="0"/>
        <w:rPr>
          <w:b/>
          <w:lang w:val="lt-LT"/>
        </w:rPr>
      </w:pPr>
    </w:p>
    <w:p w14:paraId="4D7A1786" w14:textId="77777777" w:rsidR="00271E9C" w:rsidRPr="002E7B89" w:rsidRDefault="00271E9C" w:rsidP="00271E9C">
      <w:pPr>
        <w:jc w:val="center"/>
        <w:outlineLvl w:val="0"/>
        <w:rPr>
          <w:b/>
          <w:lang w:val="lt-LT"/>
        </w:rPr>
      </w:pPr>
    </w:p>
    <w:p w14:paraId="5FE54B8A" w14:textId="77777777" w:rsidR="00271E9C" w:rsidRPr="002E7B89" w:rsidRDefault="00271E9C" w:rsidP="00271E9C">
      <w:pPr>
        <w:jc w:val="center"/>
        <w:outlineLvl w:val="0"/>
        <w:rPr>
          <w:b/>
          <w:lang w:val="lt-LT"/>
        </w:rPr>
      </w:pPr>
    </w:p>
    <w:p w14:paraId="7A8FE17E" w14:textId="77777777" w:rsidR="00271E9C" w:rsidRPr="002E7B89" w:rsidRDefault="00271E9C" w:rsidP="00271E9C">
      <w:pPr>
        <w:jc w:val="center"/>
        <w:outlineLvl w:val="0"/>
        <w:rPr>
          <w:b/>
          <w:lang w:val="lt-LT"/>
        </w:rPr>
      </w:pPr>
    </w:p>
    <w:p w14:paraId="7CCAA258" w14:textId="77777777" w:rsidR="00271E9C" w:rsidRPr="002E7B89" w:rsidRDefault="00271E9C" w:rsidP="00271E9C">
      <w:pPr>
        <w:jc w:val="center"/>
        <w:outlineLvl w:val="0"/>
        <w:rPr>
          <w:b/>
          <w:lang w:val="lt-LT"/>
        </w:rPr>
      </w:pPr>
    </w:p>
    <w:p w14:paraId="04C308AD" w14:textId="77777777" w:rsidR="00271E9C" w:rsidRPr="002E7B89" w:rsidRDefault="00271E9C" w:rsidP="00271E9C">
      <w:pPr>
        <w:jc w:val="center"/>
        <w:outlineLvl w:val="0"/>
        <w:rPr>
          <w:b/>
          <w:lang w:val="lt-LT"/>
        </w:rPr>
      </w:pPr>
    </w:p>
    <w:p w14:paraId="49308E51" w14:textId="77777777" w:rsidR="00271E9C" w:rsidRPr="002E7B89" w:rsidRDefault="00271E9C" w:rsidP="00271E9C">
      <w:pPr>
        <w:jc w:val="center"/>
        <w:outlineLvl w:val="0"/>
        <w:rPr>
          <w:b/>
          <w:lang w:val="lt-LT"/>
        </w:rPr>
      </w:pPr>
    </w:p>
    <w:p w14:paraId="66D09F7A" w14:textId="77777777" w:rsidR="00271E9C" w:rsidRPr="002E7B89" w:rsidRDefault="00271E9C" w:rsidP="00271E9C">
      <w:pPr>
        <w:jc w:val="center"/>
        <w:outlineLvl w:val="0"/>
        <w:rPr>
          <w:b/>
          <w:lang w:val="lt-LT"/>
        </w:rPr>
      </w:pPr>
    </w:p>
    <w:p w14:paraId="6C82F44B" w14:textId="77777777" w:rsidR="00271E9C" w:rsidRPr="002E7B89" w:rsidRDefault="00271E9C" w:rsidP="00271E9C">
      <w:pPr>
        <w:jc w:val="center"/>
        <w:outlineLvl w:val="0"/>
        <w:rPr>
          <w:b/>
          <w:lang w:val="lt-LT"/>
        </w:rPr>
      </w:pPr>
    </w:p>
    <w:p w14:paraId="76E2CD71" w14:textId="77777777" w:rsidR="00271E9C" w:rsidRPr="002E7B89" w:rsidRDefault="00271E9C" w:rsidP="00271E9C">
      <w:pPr>
        <w:jc w:val="center"/>
        <w:outlineLvl w:val="0"/>
        <w:rPr>
          <w:b/>
          <w:lang w:val="lt-LT"/>
        </w:rPr>
      </w:pPr>
    </w:p>
    <w:p w14:paraId="75F04CFA" w14:textId="77777777" w:rsidR="00271E9C" w:rsidRPr="002E7B89" w:rsidRDefault="00271E9C" w:rsidP="00271E9C">
      <w:pPr>
        <w:jc w:val="center"/>
        <w:outlineLvl w:val="0"/>
        <w:rPr>
          <w:b/>
          <w:lang w:val="lt-LT"/>
        </w:rPr>
      </w:pPr>
    </w:p>
    <w:p w14:paraId="1EC60670" w14:textId="77777777" w:rsidR="00271E9C" w:rsidRDefault="00271E9C" w:rsidP="00271E9C">
      <w:pPr>
        <w:jc w:val="center"/>
        <w:outlineLvl w:val="0"/>
        <w:rPr>
          <w:b/>
          <w:lang w:val="lt-LT"/>
        </w:rPr>
      </w:pPr>
    </w:p>
    <w:p w14:paraId="621D18D9" w14:textId="77777777" w:rsidR="002472CD" w:rsidRPr="002E7B89" w:rsidRDefault="002472CD" w:rsidP="00271E9C">
      <w:pPr>
        <w:jc w:val="center"/>
        <w:outlineLvl w:val="0"/>
        <w:rPr>
          <w:b/>
          <w:lang w:val="lt-LT"/>
        </w:rPr>
      </w:pPr>
    </w:p>
    <w:p w14:paraId="2DF1B4A8" w14:textId="77777777" w:rsidR="00271E9C" w:rsidRPr="002E7B89" w:rsidRDefault="00271E9C" w:rsidP="00271E9C">
      <w:pPr>
        <w:jc w:val="center"/>
        <w:outlineLvl w:val="0"/>
        <w:rPr>
          <w:b/>
          <w:lang w:val="lt-LT"/>
        </w:rPr>
      </w:pPr>
      <w:r w:rsidRPr="002E7B89">
        <w:rPr>
          <w:b/>
          <w:lang w:val="lt-LT"/>
        </w:rPr>
        <w:t>B. PAKUOTĖS LAPELIS</w:t>
      </w:r>
    </w:p>
    <w:p w14:paraId="2CAC4CD3" w14:textId="77777777" w:rsidR="00271E9C" w:rsidRPr="002E7B89" w:rsidRDefault="00271E9C" w:rsidP="00271E9C">
      <w:pPr>
        <w:pStyle w:val="Betarp"/>
        <w:jc w:val="center"/>
        <w:rPr>
          <w:b/>
          <w:lang w:val="lt-LT"/>
        </w:rPr>
      </w:pPr>
      <w:r w:rsidRPr="002E7B89">
        <w:rPr>
          <w:i/>
          <w:snapToGrid w:val="0"/>
          <w:lang w:val="lt-LT"/>
        </w:rPr>
        <w:br w:type="page"/>
      </w:r>
      <w:r w:rsidRPr="002E7B89">
        <w:rPr>
          <w:b/>
          <w:lang w:val="lt-LT" w:bidi="lt-LT"/>
        </w:rPr>
        <w:lastRenderedPageBreak/>
        <w:t>Pakuotės lapelis: informacija vartotojui</w:t>
      </w:r>
    </w:p>
    <w:p w14:paraId="690C128B" w14:textId="77777777" w:rsidR="00271E9C" w:rsidRPr="002E7B89" w:rsidRDefault="00271E9C" w:rsidP="00271E9C">
      <w:pPr>
        <w:pStyle w:val="Betarp"/>
        <w:jc w:val="center"/>
        <w:rPr>
          <w:lang w:val="lt-LT"/>
        </w:rPr>
      </w:pPr>
    </w:p>
    <w:p w14:paraId="0F303AD0" w14:textId="77777777" w:rsidR="00271E9C" w:rsidRPr="002E7B89" w:rsidRDefault="008765BB" w:rsidP="00271E9C">
      <w:pPr>
        <w:pStyle w:val="Betarp"/>
        <w:jc w:val="center"/>
        <w:rPr>
          <w:b/>
          <w:lang w:val="lt-LT"/>
        </w:rPr>
      </w:pPr>
      <w:bookmarkStart w:id="27" w:name="Fortecortin_4_mg_–_Ampullen_"/>
      <w:bookmarkEnd w:id="27"/>
      <w:r>
        <w:rPr>
          <w:b/>
          <w:lang w:val="lt-LT" w:bidi="lt-LT"/>
        </w:rPr>
        <w:t>Dexamethasone Kalceks</w:t>
      </w:r>
      <w:r w:rsidR="00271E9C" w:rsidRPr="002E7B89">
        <w:rPr>
          <w:b/>
          <w:lang w:val="lt-LT" w:bidi="lt-LT"/>
        </w:rPr>
        <w:t xml:space="preserve"> 4 mg/ml injekcinis ar infuzinis tirpalas</w:t>
      </w:r>
    </w:p>
    <w:p w14:paraId="484CE8A5" w14:textId="77777777" w:rsidR="00271E9C" w:rsidRPr="002E7B89" w:rsidRDefault="00271E9C" w:rsidP="00271E9C">
      <w:pPr>
        <w:pStyle w:val="Betarp"/>
        <w:jc w:val="center"/>
        <w:rPr>
          <w:lang w:val="lt-LT"/>
        </w:rPr>
      </w:pPr>
    </w:p>
    <w:p w14:paraId="4985ECCA" w14:textId="77777777" w:rsidR="00271E9C" w:rsidRPr="002E7B89" w:rsidRDefault="00271E9C" w:rsidP="00271E9C">
      <w:pPr>
        <w:pStyle w:val="Betarp"/>
        <w:jc w:val="center"/>
        <w:rPr>
          <w:lang w:val="lt-LT"/>
        </w:rPr>
      </w:pPr>
      <w:r w:rsidRPr="002E7B89">
        <w:rPr>
          <w:lang w:val="lt-LT" w:bidi="lt-LT"/>
        </w:rPr>
        <w:t>deksametazono fosfatas</w:t>
      </w:r>
    </w:p>
    <w:p w14:paraId="31D9DBF9" w14:textId="77777777" w:rsidR="00271E9C" w:rsidRPr="002E7B89" w:rsidRDefault="00271E9C" w:rsidP="00271E9C">
      <w:pPr>
        <w:pStyle w:val="Betarp"/>
        <w:jc w:val="center"/>
        <w:rPr>
          <w:lang w:val="lt-LT"/>
        </w:rPr>
      </w:pPr>
    </w:p>
    <w:p w14:paraId="0DD8AA17" w14:textId="114F3924" w:rsidR="00271E9C" w:rsidRPr="002E7B89" w:rsidRDefault="00271E9C" w:rsidP="00271E9C">
      <w:pPr>
        <w:pStyle w:val="Betarp"/>
        <w:rPr>
          <w:b/>
          <w:lang w:val="lt-LT"/>
        </w:rPr>
      </w:pPr>
      <w:r w:rsidRPr="002E7B89">
        <w:rPr>
          <w:b/>
          <w:lang w:val="lt-LT" w:bidi="lt-LT"/>
        </w:rPr>
        <w:t xml:space="preserve">Atidžiai perskaitykite visą šį lapelį, prieš pradėdami vartoti vaistą, nes jame pateikiama </w:t>
      </w:r>
      <w:r w:rsidR="00572BB3">
        <w:rPr>
          <w:b/>
          <w:lang w:val="lt-LT" w:bidi="lt-LT"/>
        </w:rPr>
        <w:t>J</w:t>
      </w:r>
      <w:r w:rsidRPr="002E7B89">
        <w:rPr>
          <w:b/>
          <w:lang w:val="lt-LT" w:bidi="lt-LT"/>
        </w:rPr>
        <w:t>ums svarbi informacija.</w:t>
      </w:r>
    </w:p>
    <w:p w14:paraId="4C01E489" w14:textId="77777777" w:rsidR="00271E9C" w:rsidRPr="002E7B89" w:rsidRDefault="00271E9C" w:rsidP="00271E9C">
      <w:pPr>
        <w:pStyle w:val="Betarp"/>
        <w:numPr>
          <w:ilvl w:val="0"/>
          <w:numId w:val="26"/>
        </w:numPr>
        <w:ind w:left="567" w:hanging="567"/>
        <w:rPr>
          <w:lang w:val="lt-LT"/>
        </w:rPr>
      </w:pPr>
      <w:r w:rsidRPr="002E7B89">
        <w:rPr>
          <w:lang w:val="lt-LT" w:bidi="lt-LT"/>
        </w:rPr>
        <w:t>Neišmeskite šio lapelio, nes vėl gali prireikti jį perskaityti.</w:t>
      </w:r>
    </w:p>
    <w:p w14:paraId="7FA92DBD" w14:textId="77777777" w:rsidR="00271E9C" w:rsidRPr="002E7B89" w:rsidRDefault="00271E9C" w:rsidP="00271E9C">
      <w:pPr>
        <w:pStyle w:val="Betarp"/>
        <w:numPr>
          <w:ilvl w:val="0"/>
          <w:numId w:val="26"/>
        </w:numPr>
        <w:ind w:left="567" w:hanging="567"/>
        <w:rPr>
          <w:lang w:val="lt-LT"/>
        </w:rPr>
      </w:pPr>
      <w:r w:rsidRPr="002E7B89">
        <w:rPr>
          <w:lang w:val="lt-LT" w:bidi="lt-LT"/>
        </w:rPr>
        <w:t>Jeigu kiltų daugiau klausimų, kreipkitės į gydytoją arba vaistininką.</w:t>
      </w:r>
    </w:p>
    <w:p w14:paraId="184CA0ED" w14:textId="77777777" w:rsidR="00271E9C" w:rsidRPr="002E7B89" w:rsidRDefault="00271E9C" w:rsidP="00271E9C">
      <w:pPr>
        <w:pStyle w:val="Betarp"/>
        <w:numPr>
          <w:ilvl w:val="0"/>
          <w:numId w:val="26"/>
        </w:numPr>
        <w:ind w:left="567" w:hanging="567"/>
        <w:rPr>
          <w:lang w:val="lt-LT"/>
        </w:rPr>
      </w:pPr>
      <w:r w:rsidRPr="002E7B89">
        <w:rPr>
          <w:lang w:val="lt-LT" w:bidi="lt-LT"/>
        </w:rPr>
        <w:t>Šis vaistas skirtas tik Jums, todėl kitiems žmonėms jo duoti negalima. Vaistas gali jiems pakenkti (net tiems, kurių ligos požymiai yra tokie patys kaip Jūsų).</w:t>
      </w:r>
    </w:p>
    <w:p w14:paraId="4EC661EA" w14:textId="274FDAAB" w:rsidR="00271E9C" w:rsidRPr="002E7B89" w:rsidRDefault="00271E9C" w:rsidP="00271E9C">
      <w:pPr>
        <w:pStyle w:val="Betarp"/>
        <w:numPr>
          <w:ilvl w:val="0"/>
          <w:numId w:val="26"/>
        </w:numPr>
        <w:ind w:left="567" w:hanging="567"/>
        <w:rPr>
          <w:lang w:val="lt-LT"/>
        </w:rPr>
      </w:pPr>
      <w:r w:rsidRPr="002E7B89">
        <w:rPr>
          <w:lang w:val="lt-LT" w:bidi="lt-LT"/>
        </w:rPr>
        <w:t>Jeigu pasireiškė šalutinis poveikis (net jeigu jis šiame lapelyje nenurodytas), kreipkitės į gydytoją arba vaistininką. Žr. 4</w:t>
      </w:r>
      <w:r w:rsidR="00572BB3">
        <w:rPr>
          <w:lang w:val="lt-LT" w:bidi="lt-LT"/>
        </w:rPr>
        <w:t> </w:t>
      </w:r>
      <w:r w:rsidRPr="002E7B89">
        <w:rPr>
          <w:lang w:val="lt-LT" w:bidi="lt-LT"/>
        </w:rPr>
        <w:t>skyrių.</w:t>
      </w:r>
    </w:p>
    <w:p w14:paraId="2BA7223B" w14:textId="77777777" w:rsidR="00271E9C" w:rsidRPr="002E7B89" w:rsidRDefault="00271E9C" w:rsidP="00271E9C">
      <w:pPr>
        <w:pStyle w:val="Betarp"/>
        <w:rPr>
          <w:lang w:val="lt-LT"/>
        </w:rPr>
      </w:pPr>
    </w:p>
    <w:p w14:paraId="45D8EB34" w14:textId="77777777" w:rsidR="00271E9C" w:rsidRPr="002E7B89" w:rsidRDefault="00271E9C" w:rsidP="00271E9C">
      <w:pPr>
        <w:pStyle w:val="Betarp"/>
        <w:rPr>
          <w:b/>
          <w:lang w:val="lt-LT"/>
        </w:rPr>
      </w:pPr>
      <w:bookmarkStart w:id="28" w:name="Was_in_dieser_Packungsbeilage_steht_"/>
      <w:bookmarkEnd w:id="28"/>
      <w:r w:rsidRPr="002E7B89">
        <w:rPr>
          <w:b/>
          <w:lang w:val="lt-LT" w:bidi="lt-LT"/>
        </w:rPr>
        <w:t>Apie ką rašoma šiame lapelyje?</w:t>
      </w:r>
    </w:p>
    <w:p w14:paraId="2DC40574" w14:textId="77777777" w:rsidR="00271E9C" w:rsidRPr="002E7B89" w:rsidRDefault="00271E9C" w:rsidP="00271E9C">
      <w:pPr>
        <w:pStyle w:val="Betarp"/>
        <w:rPr>
          <w:lang w:val="lt-LT"/>
        </w:rPr>
      </w:pPr>
      <w:r w:rsidRPr="002E7B89">
        <w:rPr>
          <w:lang w:val="lt-LT" w:bidi="lt-LT"/>
        </w:rPr>
        <w:t>1.</w:t>
      </w:r>
      <w:r w:rsidRPr="002E7B89">
        <w:rPr>
          <w:lang w:val="lt-LT" w:bidi="lt-LT"/>
        </w:rPr>
        <w:tab/>
        <w:t xml:space="preserve">Kas yra </w:t>
      </w:r>
      <w:r w:rsidR="008765BB">
        <w:rPr>
          <w:lang w:val="lt-LT" w:bidi="lt-LT"/>
        </w:rPr>
        <w:t>Dexamethasone Kalceks</w:t>
      </w:r>
      <w:r w:rsidRPr="002E7B89">
        <w:rPr>
          <w:lang w:val="lt-LT" w:bidi="lt-LT"/>
        </w:rPr>
        <w:t xml:space="preserve"> ir kam jis vartojamas</w:t>
      </w:r>
    </w:p>
    <w:p w14:paraId="54120BA1" w14:textId="77777777" w:rsidR="00271E9C" w:rsidRPr="002E7B89" w:rsidRDefault="00271E9C" w:rsidP="00271E9C">
      <w:pPr>
        <w:pStyle w:val="Betarp"/>
        <w:rPr>
          <w:lang w:val="lt-LT"/>
        </w:rPr>
      </w:pPr>
      <w:r w:rsidRPr="002E7B89">
        <w:rPr>
          <w:lang w:val="lt-LT" w:bidi="lt-LT"/>
        </w:rPr>
        <w:t>2.</w:t>
      </w:r>
      <w:r w:rsidRPr="002E7B89">
        <w:rPr>
          <w:lang w:val="lt-LT" w:bidi="lt-LT"/>
        </w:rPr>
        <w:tab/>
        <w:t xml:space="preserve">Kas žinotina prieš vartojant </w:t>
      </w:r>
      <w:r w:rsidR="008765BB">
        <w:rPr>
          <w:lang w:val="lt-LT" w:bidi="lt-LT"/>
        </w:rPr>
        <w:t>Dexamethasone Kalceks</w:t>
      </w:r>
    </w:p>
    <w:p w14:paraId="53550D2F" w14:textId="77777777" w:rsidR="00271E9C" w:rsidRPr="002E7B89" w:rsidRDefault="00271E9C" w:rsidP="00271E9C">
      <w:pPr>
        <w:pStyle w:val="Betarp"/>
        <w:rPr>
          <w:lang w:val="lt-LT"/>
        </w:rPr>
      </w:pPr>
      <w:r w:rsidRPr="002E7B89">
        <w:rPr>
          <w:lang w:val="lt-LT" w:bidi="lt-LT"/>
        </w:rPr>
        <w:t>3.</w:t>
      </w:r>
      <w:r w:rsidRPr="002E7B89">
        <w:rPr>
          <w:lang w:val="lt-LT" w:bidi="lt-LT"/>
        </w:rPr>
        <w:tab/>
        <w:t xml:space="preserve">Kaip vartoti </w:t>
      </w:r>
      <w:r w:rsidR="008765BB">
        <w:rPr>
          <w:lang w:val="lt-LT" w:bidi="lt-LT"/>
        </w:rPr>
        <w:t>Dexamethasone Kalceks</w:t>
      </w:r>
    </w:p>
    <w:p w14:paraId="00E79AEC" w14:textId="77777777" w:rsidR="00271E9C" w:rsidRPr="002E7B89" w:rsidRDefault="00271E9C" w:rsidP="00271E9C">
      <w:pPr>
        <w:pStyle w:val="Betarp"/>
        <w:rPr>
          <w:lang w:val="lt-LT"/>
        </w:rPr>
      </w:pPr>
      <w:r w:rsidRPr="002E7B89">
        <w:rPr>
          <w:lang w:val="lt-LT" w:bidi="lt-LT"/>
        </w:rPr>
        <w:t>4.</w:t>
      </w:r>
      <w:r w:rsidRPr="002E7B89">
        <w:rPr>
          <w:lang w:val="lt-LT" w:bidi="lt-LT"/>
        </w:rPr>
        <w:tab/>
        <w:t>Galimas šalutinis poveikis</w:t>
      </w:r>
    </w:p>
    <w:p w14:paraId="502EF0DA" w14:textId="77777777" w:rsidR="00271E9C" w:rsidRPr="002E7B89" w:rsidRDefault="00271E9C" w:rsidP="00271E9C">
      <w:pPr>
        <w:pStyle w:val="Betarp"/>
        <w:rPr>
          <w:lang w:val="lt-LT"/>
        </w:rPr>
      </w:pPr>
      <w:r w:rsidRPr="002E7B89">
        <w:rPr>
          <w:lang w:val="lt-LT" w:bidi="lt-LT"/>
        </w:rPr>
        <w:t>5.</w:t>
      </w:r>
      <w:r w:rsidRPr="002E7B89">
        <w:rPr>
          <w:lang w:val="lt-LT" w:bidi="lt-LT"/>
        </w:rPr>
        <w:tab/>
        <w:t xml:space="preserve">Kaip laikyti </w:t>
      </w:r>
      <w:r w:rsidR="008765BB">
        <w:rPr>
          <w:lang w:val="lt-LT" w:bidi="lt-LT"/>
        </w:rPr>
        <w:t>Dexamethasone Kalceks</w:t>
      </w:r>
    </w:p>
    <w:p w14:paraId="33DABFFA" w14:textId="77777777" w:rsidR="00271E9C" w:rsidRPr="002E7B89" w:rsidRDefault="00271E9C" w:rsidP="00271E9C">
      <w:pPr>
        <w:pStyle w:val="Betarp"/>
        <w:rPr>
          <w:lang w:val="lt-LT"/>
        </w:rPr>
      </w:pPr>
      <w:r w:rsidRPr="002E7B89">
        <w:rPr>
          <w:lang w:val="lt-LT" w:bidi="lt-LT"/>
        </w:rPr>
        <w:t>6.</w:t>
      </w:r>
      <w:r w:rsidRPr="002E7B89">
        <w:rPr>
          <w:lang w:val="lt-LT" w:bidi="lt-LT"/>
        </w:rPr>
        <w:tab/>
        <w:t>Pakuotės turinys ir kita informacija</w:t>
      </w:r>
    </w:p>
    <w:p w14:paraId="6A03A486" w14:textId="77777777" w:rsidR="00271E9C" w:rsidRPr="002E7B89" w:rsidRDefault="00271E9C" w:rsidP="00271E9C">
      <w:pPr>
        <w:pStyle w:val="Betarp"/>
        <w:rPr>
          <w:lang w:val="lt-LT"/>
        </w:rPr>
      </w:pPr>
    </w:p>
    <w:p w14:paraId="28CB8631" w14:textId="77777777" w:rsidR="00271E9C" w:rsidRPr="002E7B89" w:rsidRDefault="00271E9C" w:rsidP="00271E9C">
      <w:pPr>
        <w:pStyle w:val="Betarp"/>
        <w:rPr>
          <w:lang w:val="lt-LT"/>
        </w:rPr>
      </w:pPr>
    </w:p>
    <w:p w14:paraId="22E7D3A7" w14:textId="77777777" w:rsidR="00271E9C" w:rsidRPr="002E7B89" w:rsidRDefault="00271E9C" w:rsidP="00271E9C">
      <w:pPr>
        <w:pStyle w:val="Betarp"/>
        <w:rPr>
          <w:b/>
          <w:lang w:val="lt-LT"/>
        </w:rPr>
      </w:pPr>
      <w:bookmarkStart w:id="29" w:name="1._Was_ist_Fortecortin_und_wofür_wird_es"/>
      <w:bookmarkEnd w:id="29"/>
      <w:r w:rsidRPr="002E7B89">
        <w:rPr>
          <w:b/>
          <w:lang w:val="lt-LT" w:bidi="lt-LT"/>
        </w:rPr>
        <w:t>1.</w:t>
      </w:r>
      <w:r w:rsidRPr="002E7B89">
        <w:rPr>
          <w:b/>
          <w:lang w:val="lt-LT" w:bidi="lt-LT"/>
        </w:rPr>
        <w:tab/>
        <w:t xml:space="preserve">Kas yra </w:t>
      </w:r>
      <w:r w:rsidR="008765BB">
        <w:rPr>
          <w:b/>
          <w:lang w:val="lt-LT" w:bidi="lt-LT"/>
        </w:rPr>
        <w:t>Dexamethasone Kalceks</w:t>
      </w:r>
      <w:r w:rsidRPr="002E7B89">
        <w:rPr>
          <w:b/>
          <w:lang w:val="lt-LT" w:bidi="lt-LT"/>
        </w:rPr>
        <w:t xml:space="preserve"> ir kam jis vartojamas</w:t>
      </w:r>
    </w:p>
    <w:p w14:paraId="32AF7CF1" w14:textId="77777777" w:rsidR="00271E9C" w:rsidRPr="002E7B89" w:rsidRDefault="00271E9C" w:rsidP="00271E9C">
      <w:pPr>
        <w:pStyle w:val="Betarp"/>
        <w:rPr>
          <w:lang w:val="lt-LT"/>
        </w:rPr>
      </w:pPr>
    </w:p>
    <w:p w14:paraId="11590A23" w14:textId="77777777" w:rsidR="00271E9C" w:rsidRPr="002E7B89" w:rsidRDefault="008765BB" w:rsidP="00271E9C">
      <w:pPr>
        <w:pStyle w:val="Betarp"/>
        <w:rPr>
          <w:lang w:val="lt-LT"/>
        </w:rPr>
      </w:pPr>
      <w:r>
        <w:rPr>
          <w:lang w:val="lt-LT" w:bidi="lt-LT"/>
        </w:rPr>
        <w:t>Dexamethasone Kalceks</w:t>
      </w:r>
      <w:r w:rsidR="00271E9C" w:rsidRPr="002E7B89">
        <w:rPr>
          <w:lang w:val="lt-LT" w:bidi="lt-LT"/>
        </w:rPr>
        <w:t xml:space="preserve"> sudėtyje yra veikliosios medžiagos deksametazono fosfato (toliau – deksametazonas). Deksametazonas yra sintetinis gliukokortikoidas (antinksčių žievės hormonas). Jis mažina uždegimo simptomus ir veikia pagrindinius medžiagų apykaitos procesus.</w:t>
      </w:r>
    </w:p>
    <w:p w14:paraId="1FE6995D" w14:textId="77777777" w:rsidR="00271E9C" w:rsidRPr="002E7B89" w:rsidRDefault="00271E9C" w:rsidP="00271E9C">
      <w:pPr>
        <w:pStyle w:val="Betarp"/>
        <w:rPr>
          <w:lang w:val="lt-LT"/>
        </w:rPr>
      </w:pPr>
    </w:p>
    <w:p w14:paraId="6C96448C" w14:textId="77777777" w:rsidR="00271E9C" w:rsidRPr="002E7B89" w:rsidRDefault="00271E9C" w:rsidP="00271E9C">
      <w:pPr>
        <w:pStyle w:val="Betarp"/>
        <w:tabs>
          <w:tab w:val="left" w:pos="3009"/>
        </w:tabs>
        <w:rPr>
          <w:b/>
          <w:u w:val="single"/>
          <w:lang w:val="lt-LT"/>
        </w:rPr>
      </w:pPr>
      <w:r w:rsidRPr="002E7B89">
        <w:rPr>
          <w:b/>
          <w:u w:val="single"/>
          <w:lang w:val="lt-LT" w:bidi="lt-LT"/>
        </w:rPr>
        <w:t xml:space="preserve">Sisteminis </w:t>
      </w:r>
      <w:r w:rsidR="003F0448" w:rsidRPr="002E7B89">
        <w:rPr>
          <w:b/>
          <w:u w:val="single"/>
          <w:lang w:val="lt-LT" w:bidi="lt-LT"/>
        </w:rPr>
        <w:t>gydymas</w:t>
      </w:r>
      <w:r w:rsidRPr="002E7B89">
        <w:rPr>
          <w:b/>
          <w:u w:val="single"/>
          <w:lang w:val="lt-LT" w:bidi="lt-LT"/>
        </w:rPr>
        <w:t xml:space="preserve"> (veikia visą organizmą)</w:t>
      </w:r>
    </w:p>
    <w:p w14:paraId="5BD09ECD" w14:textId="77777777" w:rsidR="00271E9C" w:rsidRPr="002E7B89" w:rsidRDefault="00271E9C" w:rsidP="00271E9C">
      <w:pPr>
        <w:pStyle w:val="Betarp"/>
        <w:rPr>
          <w:lang w:val="lt-LT"/>
        </w:rPr>
      </w:pPr>
    </w:p>
    <w:p w14:paraId="6D6906B2" w14:textId="77777777" w:rsidR="00271E9C" w:rsidRPr="002E7B89" w:rsidRDefault="008765BB" w:rsidP="00271E9C">
      <w:pPr>
        <w:pStyle w:val="Betarp"/>
        <w:rPr>
          <w:lang w:val="lt-LT"/>
        </w:rPr>
      </w:pPr>
      <w:r>
        <w:rPr>
          <w:lang w:val="lt-LT" w:bidi="lt-LT"/>
        </w:rPr>
        <w:t>Dexamethasone Kalceks</w:t>
      </w:r>
      <w:r w:rsidR="00271E9C" w:rsidRPr="002E7B89">
        <w:rPr>
          <w:lang w:val="lt-LT" w:bidi="lt-LT"/>
        </w:rPr>
        <w:t xml:space="preserve"> dažnai vartojamas po skubiosios medicinos pagalbos, gydymą pradedant didele doze, šiais atvejais:</w:t>
      </w:r>
    </w:p>
    <w:p w14:paraId="7132CDE7" w14:textId="77777777" w:rsidR="00271E9C" w:rsidRPr="002E7B89" w:rsidRDefault="00271E9C" w:rsidP="00271E9C">
      <w:pPr>
        <w:pStyle w:val="Betarp"/>
        <w:numPr>
          <w:ilvl w:val="0"/>
          <w:numId w:val="25"/>
        </w:numPr>
        <w:ind w:left="567" w:hanging="567"/>
        <w:rPr>
          <w:lang w:val="lt-LT"/>
        </w:rPr>
      </w:pPr>
      <w:r w:rsidRPr="002E7B89">
        <w:rPr>
          <w:lang w:val="lt-LT" w:bidi="lt-LT"/>
        </w:rPr>
        <w:t>galvos smegenų edemos (smegenų pabrinkimo) gydymas ir profilaktika esant galvos smegenų navik</w:t>
      </w:r>
      <w:r w:rsidR="00273AC4" w:rsidRPr="002E7B89">
        <w:rPr>
          <w:lang w:val="lt-LT" w:bidi="lt-LT"/>
        </w:rPr>
        <w:t>ų</w:t>
      </w:r>
      <w:r w:rsidRPr="002E7B89">
        <w:rPr>
          <w:lang w:val="lt-LT" w:bidi="lt-LT"/>
        </w:rPr>
        <w:t xml:space="preserve"> (po operacijos ir po rentgeno spinduliuotės) ir po nugaros smegenų traumos;</w:t>
      </w:r>
    </w:p>
    <w:p w14:paraId="4511FED8" w14:textId="77777777" w:rsidR="00271E9C" w:rsidRPr="002E7B89" w:rsidRDefault="00271E9C" w:rsidP="00271E9C">
      <w:pPr>
        <w:pStyle w:val="Betarp"/>
        <w:numPr>
          <w:ilvl w:val="0"/>
          <w:numId w:val="25"/>
        </w:numPr>
        <w:ind w:left="567" w:hanging="567"/>
        <w:rPr>
          <w:lang w:val="lt-LT"/>
        </w:rPr>
      </w:pPr>
      <w:r w:rsidRPr="002E7B89">
        <w:rPr>
          <w:lang w:val="lt-LT" w:bidi="lt-LT"/>
        </w:rPr>
        <w:t>šoko būsena dėl sunkios alerginės reakcijos, vadinamos anafilaksiniu šoku (pvz., reakcija į kontrastinę medžiagą);</w:t>
      </w:r>
    </w:p>
    <w:p w14:paraId="5E6A7BE9" w14:textId="3D849BA0" w:rsidR="00271E9C" w:rsidRPr="002E7B89" w:rsidRDefault="00271E9C" w:rsidP="00271E9C">
      <w:pPr>
        <w:pStyle w:val="Betarp"/>
        <w:numPr>
          <w:ilvl w:val="0"/>
          <w:numId w:val="25"/>
        </w:numPr>
        <w:ind w:left="567" w:hanging="567"/>
        <w:rPr>
          <w:lang w:val="lt-LT"/>
        </w:rPr>
      </w:pPr>
      <w:r w:rsidRPr="002E7B89">
        <w:rPr>
          <w:lang w:val="lt-LT" w:bidi="lt-LT"/>
        </w:rPr>
        <w:t>šoko būsenos po sunkių sužalojimų, potrauminio plaučių šoko (ūminio kvėpavimo nepakankamumo) profilaktika;</w:t>
      </w:r>
    </w:p>
    <w:p w14:paraId="36207283" w14:textId="77777777" w:rsidR="00271E9C" w:rsidRPr="002E7B89" w:rsidRDefault="008543EF" w:rsidP="00271E9C">
      <w:pPr>
        <w:pStyle w:val="Betarp"/>
        <w:numPr>
          <w:ilvl w:val="0"/>
          <w:numId w:val="25"/>
        </w:numPr>
        <w:ind w:left="567" w:hanging="567"/>
        <w:rPr>
          <w:lang w:val="lt-LT"/>
        </w:rPr>
      </w:pPr>
      <w:r>
        <w:rPr>
          <w:lang w:val="lt-LT" w:bidi="lt-LT"/>
        </w:rPr>
        <w:t>išliekantys</w:t>
      </w:r>
      <w:r w:rsidR="00271E9C" w:rsidRPr="002E7B89">
        <w:rPr>
          <w:lang w:val="lt-LT" w:bidi="lt-LT"/>
        </w:rPr>
        <w:t xml:space="preserve"> sunkūs astmos priepuolio simptomai;</w:t>
      </w:r>
    </w:p>
    <w:p w14:paraId="15D5CF67" w14:textId="77777777" w:rsidR="00271E9C" w:rsidRPr="002E7B89" w:rsidRDefault="00271E9C" w:rsidP="00271E9C">
      <w:pPr>
        <w:pStyle w:val="Betarp"/>
        <w:numPr>
          <w:ilvl w:val="0"/>
          <w:numId w:val="25"/>
        </w:numPr>
        <w:ind w:left="567" w:hanging="567"/>
        <w:rPr>
          <w:lang w:val="lt-LT"/>
        </w:rPr>
      </w:pPr>
      <w:r w:rsidRPr="002E7B89">
        <w:rPr>
          <w:lang w:val="lt-LT" w:bidi="lt-LT"/>
        </w:rPr>
        <w:t>kai kurių išplitusių, ūminių, sunkių odos ligų (pvz., paprastosios pūslinės, eritrodermos) pradinis gydymas;</w:t>
      </w:r>
    </w:p>
    <w:p w14:paraId="468264A8" w14:textId="77777777" w:rsidR="00271E9C" w:rsidRPr="002E7B89" w:rsidRDefault="00271E9C" w:rsidP="00271E9C">
      <w:pPr>
        <w:pStyle w:val="Betarp"/>
        <w:numPr>
          <w:ilvl w:val="0"/>
          <w:numId w:val="25"/>
        </w:numPr>
        <w:ind w:left="567" w:hanging="567"/>
        <w:rPr>
          <w:lang w:val="lt-LT"/>
        </w:rPr>
      </w:pPr>
      <w:r w:rsidRPr="002E7B89">
        <w:rPr>
          <w:lang w:val="lt-LT" w:bidi="lt-LT"/>
        </w:rPr>
        <w:t>sunkios kraujo ligos (pvz., ūminė trombocitopeninė purpura, hemolizinė anemija, kaip kartu vartojamas vaistas gydant leukemiją);</w:t>
      </w:r>
    </w:p>
    <w:p w14:paraId="135C4A64" w14:textId="77777777" w:rsidR="00271E9C" w:rsidRPr="002E7B89" w:rsidRDefault="00271E9C" w:rsidP="00271E9C">
      <w:pPr>
        <w:pStyle w:val="Betarp"/>
        <w:numPr>
          <w:ilvl w:val="0"/>
          <w:numId w:val="25"/>
        </w:numPr>
        <w:ind w:left="567" w:hanging="567"/>
        <w:rPr>
          <w:lang w:val="lt-LT"/>
        </w:rPr>
      </w:pPr>
      <w:r w:rsidRPr="002E7B89">
        <w:rPr>
          <w:lang w:val="lt-LT" w:bidi="lt-LT"/>
        </w:rPr>
        <w:t>kaip antros eilės gydymas pacientams, kuriems yra su</w:t>
      </w:r>
      <w:r w:rsidR="008543EF">
        <w:rPr>
          <w:lang w:val="lt-LT" w:bidi="lt-LT"/>
        </w:rPr>
        <w:t>trikusi</w:t>
      </w:r>
      <w:r w:rsidRPr="002E7B89">
        <w:rPr>
          <w:lang w:val="lt-LT" w:bidi="lt-LT"/>
        </w:rPr>
        <w:t xml:space="preserve"> antinksčių žievės funkcija (antinksčių nepakankamumas, Adisono krizė).</w:t>
      </w:r>
    </w:p>
    <w:p w14:paraId="569E8B22" w14:textId="77777777" w:rsidR="00271E9C" w:rsidRPr="002E7B89" w:rsidRDefault="00271E9C" w:rsidP="00271E9C">
      <w:pPr>
        <w:pStyle w:val="Betarp"/>
        <w:rPr>
          <w:lang w:val="lt-LT"/>
        </w:rPr>
      </w:pPr>
    </w:p>
    <w:p w14:paraId="1B4C8905" w14:textId="23532A3C" w:rsidR="00271E9C" w:rsidRPr="002E7B89" w:rsidRDefault="008765BB" w:rsidP="00271E9C">
      <w:pPr>
        <w:pStyle w:val="Betarp"/>
        <w:rPr>
          <w:lang w:val="lt-LT"/>
        </w:rPr>
      </w:pPr>
      <w:r>
        <w:rPr>
          <w:lang w:val="lt-LT" w:bidi="lt-LT"/>
        </w:rPr>
        <w:t>Dexamethasone Kalceks</w:t>
      </w:r>
      <w:r w:rsidR="00271E9C" w:rsidRPr="002E7B89">
        <w:rPr>
          <w:lang w:val="lt-LT" w:bidi="lt-LT"/>
        </w:rPr>
        <w:t xml:space="preserve"> </w:t>
      </w:r>
      <w:r w:rsidR="003F0448" w:rsidRPr="002E7B89">
        <w:rPr>
          <w:lang w:val="lt-LT" w:bidi="lt-LT"/>
        </w:rPr>
        <w:t>yra vartojamas</w:t>
      </w:r>
      <w:r w:rsidR="00271E9C" w:rsidRPr="002E7B89">
        <w:rPr>
          <w:lang w:val="lt-LT" w:bidi="lt-LT"/>
        </w:rPr>
        <w:t xml:space="preserve"> 2019 m. koronavirusinei ligai (COVID-19) gydyti suaugusiesiems ir paaugliams (12</w:t>
      </w:r>
      <w:r w:rsidR="00572BB3">
        <w:rPr>
          <w:lang w:val="lt-LT" w:bidi="lt-LT"/>
        </w:rPr>
        <w:t> </w:t>
      </w:r>
      <w:r w:rsidR="00271E9C" w:rsidRPr="002E7B89">
        <w:rPr>
          <w:lang w:val="lt-LT" w:bidi="lt-LT"/>
        </w:rPr>
        <w:t>metų ir vyresniems, kurių kūno svoris ne mažesnis kaip 40 kg), kuriems sunku kvėpuoti ir kuriems reikalingas gydymas deguonimi.</w:t>
      </w:r>
    </w:p>
    <w:p w14:paraId="62314D58" w14:textId="77777777" w:rsidR="00271E9C" w:rsidRPr="002E7B89" w:rsidRDefault="00271E9C" w:rsidP="00271E9C">
      <w:pPr>
        <w:pStyle w:val="Betarp"/>
        <w:rPr>
          <w:lang w:val="lt-LT"/>
        </w:rPr>
      </w:pPr>
    </w:p>
    <w:p w14:paraId="18712295" w14:textId="77777777" w:rsidR="00271E9C" w:rsidRPr="002E7B89" w:rsidRDefault="00273AC4" w:rsidP="00271E9C">
      <w:pPr>
        <w:pStyle w:val="Betarp"/>
        <w:tabs>
          <w:tab w:val="left" w:pos="3009"/>
        </w:tabs>
        <w:rPr>
          <w:b/>
          <w:u w:val="single"/>
          <w:lang w:val="lt-LT"/>
        </w:rPr>
      </w:pPr>
      <w:r w:rsidRPr="002E7B89">
        <w:rPr>
          <w:b/>
          <w:u w:val="single"/>
          <w:lang w:val="lt-LT" w:bidi="lt-LT"/>
        </w:rPr>
        <w:t>Lokalus gydymas</w:t>
      </w:r>
      <w:r w:rsidR="00271E9C" w:rsidRPr="002E7B89">
        <w:rPr>
          <w:b/>
          <w:u w:val="single"/>
          <w:lang w:val="lt-LT" w:bidi="lt-LT"/>
        </w:rPr>
        <w:t xml:space="preserve"> (veikia ribotą kūno dalį)</w:t>
      </w:r>
    </w:p>
    <w:p w14:paraId="47485A09" w14:textId="77777777" w:rsidR="00271E9C" w:rsidRPr="002E7B89" w:rsidRDefault="00271E9C" w:rsidP="00271E9C">
      <w:pPr>
        <w:pStyle w:val="Betarp"/>
        <w:rPr>
          <w:lang w:val="lt-LT"/>
        </w:rPr>
      </w:pPr>
    </w:p>
    <w:p w14:paraId="3DB2F60B" w14:textId="77777777" w:rsidR="00271E9C" w:rsidRPr="002E7B89" w:rsidRDefault="00271E9C" w:rsidP="00271E9C">
      <w:pPr>
        <w:pStyle w:val="Betarp"/>
        <w:numPr>
          <w:ilvl w:val="0"/>
          <w:numId w:val="25"/>
        </w:numPr>
        <w:ind w:left="567" w:hanging="567"/>
        <w:rPr>
          <w:lang w:val="lt-LT"/>
        </w:rPr>
      </w:pPr>
      <w:r w:rsidRPr="002E7B89">
        <w:rPr>
          <w:lang w:val="lt-LT" w:bidi="lt-LT"/>
        </w:rPr>
        <w:t xml:space="preserve">Injekcija šalia sąnarių (periartikulinė injekcija) ir gydymas, prasiskverbiantis į audinius (infiltracija), pvz., peties sąnario (mentės ir žastikaulio </w:t>
      </w:r>
      <w:r w:rsidR="008543EF">
        <w:rPr>
          <w:lang w:val="lt-LT" w:bidi="lt-LT"/>
        </w:rPr>
        <w:t>sąnario uždegimas</w:t>
      </w:r>
      <w:r w:rsidRPr="002E7B89">
        <w:rPr>
          <w:lang w:val="lt-LT" w:bidi="lt-LT"/>
        </w:rPr>
        <w:t xml:space="preserve">), alkūnės sąnario (epikondilitas), sąnarius amortizuojančių maišelių (bursitas), sausgyslės makšties </w:t>
      </w:r>
      <w:r w:rsidRPr="002E7B89">
        <w:rPr>
          <w:lang w:val="lt-LT" w:bidi="lt-LT"/>
        </w:rPr>
        <w:lastRenderedPageBreak/>
        <w:t>(tendovaginitas) ir riešo (stiloiditas) uždegimas</w:t>
      </w:r>
      <w:r w:rsidR="007254C4" w:rsidRPr="002E7B89">
        <w:rPr>
          <w:lang w:val="lt-LT" w:bidi="lt-LT"/>
        </w:rPr>
        <w:t>.</w:t>
      </w:r>
    </w:p>
    <w:p w14:paraId="1595D79E" w14:textId="77777777" w:rsidR="00271E9C" w:rsidRPr="002E7B89" w:rsidRDefault="00271E9C" w:rsidP="00271E9C">
      <w:pPr>
        <w:pStyle w:val="Betarp"/>
        <w:numPr>
          <w:ilvl w:val="0"/>
          <w:numId w:val="25"/>
        </w:numPr>
        <w:ind w:left="567" w:hanging="567"/>
        <w:rPr>
          <w:lang w:val="lt-LT"/>
        </w:rPr>
      </w:pPr>
      <w:r w:rsidRPr="002E7B89">
        <w:rPr>
          <w:lang w:val="lt-LT" w:bidi="lt-LT"/>
        </w:rPr>
        <w:t xml:space="preserve">Injekcija į sąnarį (intraartikulinė injekcija), pvz., sergant reumatoidiniu artritu, kai pažeisti arba nepakankamai reaguoja į sisteminį gydymą </w:t>
      </w:r>
      <w:r w:rsidR="008543EF">
        <w:rPr>
          <w:lang w:val="lt-LT" w:bidi="lt-LT"/>
        </w:rPr>
        <w:t>pavieniai</w:t>
      </w:r>
      <w:r w:rsidRPr="002E7B89">
        <w:rPr>
          <w:lang w:val="lt-LT" w:bidi="lt-LT"/>
        </w:rPr>
        <w:t xml:space="preserve"> sąnariai; lydi</w:t>
      </w:r>
      <w:r w:rsidR="008543EF">
        <w:rPr>
          <w:lang w:val="lt-LT" w:bidi="lt-LT"/>
        </w:rPr>
        <w:t>nčios</w:t>
      </w:r>
      <w:r w:rsidRPr="002E7B89">
        <w:rPr>
          <w:lang w:val="lt-LT" w:bidi="lt-LT"/>
        </w:rPr>
        <w:t xml:space="preserve"> uždegiminės reakcijos sergant degeneracine sąnarių liga (reumatoidiniu artritu)</w:t>
      </w:r>
      <w:r w:rsidR="007254C4" w:rsidRPr="002E7B89">
        <w:rPr>
          <w:lang w:val="lt-LT" w:bidi="lt-LT"/>
        </w:rPr>
        <w:t>.</w:t>
      </w:r>
    </w:p>
    <w:p w14:paraId="307D9726" w14:textId="77777777" w:rsidR="00271E9C" w:rsidRPr="002E7B89" w:rsidRDefault="00271E9C" w:rsidP="00271E9C">
      <w:pPr>
        <w:pStyle w:val="Betarp"/>
        <w:ind w:left="284" w:hanging="284"/>
        <w:rPr>
          <w:lang w:val="lt-LT"/>
        </w:rPr>
      </w:pPr>
    </w:p>
    <w:p w14:paraId="5D1C62F9" w14:textId="77777777" w:rsidR="00271E9C" w:rsidRPr="002E7B89" w:rsidRDefault="00271E9C" w:rsidP="00271E9C">
      <w:pPr>
        <w:pStyle w:val="Betarp"/>
        <w:ind w:left="284" w:hanging="284"/>
        <w:rPr>
          <w:lang w:val="lt-LT"/>
        </w:rPr>
      </w:pPr>
    </w:p>
    <w:p w14:paraId="250DBFF4" w14:textId="77777777" w:rsidR="00271E9C" w:rsidRPr="002E7B89" w:rsidRDefault="00271E9C" w:rsidP="00271E9C">
      <w:pPr>
        <w:pStyle w:val="Betarp"/>
        <w:rPr>
          <w:b/>
          <w:lang w:val="lt-LT"/>
        </w:rPr>
      </w:pPr>
      <w:bookmarkStart w:id="30" w:name="2._Was_sollten_Sie_vor_der_Anwendung_von"/>
      <w:bookmarkEnd w:id="30"/>
      <w:r w:rsidRPr="002E7B89">
        <w:rPr>
          <w:b/>
          <w:lang w:val="lt-LT" w:bidi="lt-LT"/>
        </w:rPr>
        <w:t>2.</w:t>
      </w:r>
      <w:r w:rsidRPr="002E7B89">
        <w:rPr>
          <w:b/>
          <w:lang w:val="lt-LT" w:bidi="lt-LT"/>
        </w:rPr>
        <w:tab/>
        <w:t xml:space="preserve">Kas žinotina prieš vartojant </w:t>
      </w:r>
      <w:r w:rsidR="008765BB">
        <w:rPr>
          <w:b/>
          <w:lang w:val="lt-LT" w:bidi="lt-LT"/>
        </w:rPr>
        <w:t>Dexamethasone Kalceks</w:t>
      </w:r>
    </w:p>
    <w:p w14:paraId="1B89B0C9" w14:textId="77777777" w:rsidR="00271E9C" w:rsidRPr="002E7B89" w:rsidRDefault="00271E9C" w:rsidP="00271E9C">
      <w:pPr>
        <w:pStyle w:val="Betarp"/>
        <w:rPr>
          <w:lang w:val="lt-LT"/>
        </w:rPr>
      </w:pPr>
    </w:p>
    <w:p w14:paraId="0C4FCAE4" w14:textId="77777777" w:rsidR="00271E9C" w:rsidRPr="002E7B89" w:rsidRDefault="008765BB" w:rsidP="00271E9C">
      <w:pPr>
        <w:pStyle w:val="Betarp"/>
        <w:rPr>
          <w:b/>
          <w:lang w:val="lt-LT"/>
        </w:rPr>
      </w:pPr>
      <w:bookmarkStart w:id="31" w:name="Fortecortin_darf_nicht_angewendet_werden"/>
      <w:bookmarkEnd w:id="31"/>
      <w:r>
        <w:rPr>
          <w:b/>
          <w:lang w:val="lt-LT" w:bidi="lt-LT"/>
        </w:rPr>
        <w:t>Dexamethasone Kalceks</w:t>
      </w:r>
      <w:r w:rsidR="00271E9C" w:rsidRPr="002E7B89">
        <w:rPr>
          <w:b/>
          <w:lang w:val="lt-LT" w:bidi="lt-LT"/>
        </w:rPr>
        <w:t xml:space="preserve"> vartoti </w:t>
      </w:r>
      <w:r w:rsidR="00FA56A6" w:rsidRPr="002E7B89">
        <w:rPr>
          <w:b/>
          <w:lang w:val="lt-LT" w:bidi="lt-LT"/>
        </w:rPr>
        <w:t>draudžiama</w:t>
      </w:r>
    </w:p>
    <w:p w14:paraId="6C274552" w14:textId="488802DC" w:rsidR="00271E9C" w:rsidRDefault="00271E9C" w:rsidP="00271E9C">
      <w:pPr>
        <w:pStyle w:val="Betarp"/>
        <w:numPr>
          <w:ilvl w:val="0"/>
          <w:numId w:val="27"/>
        </w:numPr>
        <w:ind w:left="567" w:hanging="567"/>
        <w:rPr>
          <w:lang w:val="lt-LT"/>
        </w:rPr>
      </w:pPr>
      <w:r w:rsidRPr="002E7B89">
        <w:rPr>
          <w:lang w:val="lt-LT" w:bidi="lt-LT"/>
        </w:rPr>
        <w:t>Jeigu yra alergija deksametazonui arba bet kuriai pagalbinei šio vaisto medžiagai (jos išvardytos 6</w:t>
      </w:r>
      <w:r w:rsidR="00572BB3">
        <w:rPr>
          <w:lang w:val="lt-LT" w:bidi="lt-LT"/>
        </w:rPr>
        <w:t> </w:t>
      </w:r>
      <w:r w:rsidRPr="002E7B89">
        <w:rPr>
          <w:lang w:val="lt-LT" w:bidi="lt-LT"/>
        </w:rPr>
        <w:t>skyriuje).</w:t>
      </w:r>
    </w:p>
    <w:p w14:paraId="399B5958" w14:textId="77777777" w:rsidR="00605ABB" w:rsidRPr="002E7B89" w:rsidRDefault="008543EF" w:rsidP="00271E9C">
      <w:pPr>
        <w:pStyle w:val="Betarp"/>
        <w:numPr>
          <w:ilvl w:val="0"/>
          <w:numId w:val="27"/>
        </w:numPr>
        <w:ind w:left="567" w:hanging="567"/>
        <w:rPr>
          <w:lang w:val="lt-LT"/>
        </w:rPr>
      </w:pPr>
      <w:r>
        <w:rPr>
          <w:lang w:val="lt-LT" w:bidi="lt-LT"/>
        </w:rPr>
        <w:t>Esant i</w:t>
      </w:r>
      <w:r w:rsidR="00605ABB" w:rsidRPr="002E7B89">
        <w:rPr>
          <w:lang w:val="lt-LT" w:bidi="lt-LT"/>
        </w:rPr>
        <w:t>nfekcija</w:t>
      </w:r>
      <w:r>
        <w:rPr>
          <w:lang w:val="lt-LT" w:bidi="lt-LT"/>
        </w:rPr>
        <w:t>i</w:t>
      </w:r>
      <w:r w:rsidR="00605ABB" w:rsidRPr="002E7B89">
        <w:rPr>
          <w:lang w:val="lt-LT" w:bidi="lt-LT"/>
        </w:rPr>
        <w:t>, paveikian</w:t>
      </w:r>
      <w:r>
        <w:rPr>
          <w:lang w:val="lt-LT" w:bidi="lt-LT"/>
        </w:rPr>
        <w:t>čiai</w:t>
      </w:r>
      <w:r w:rsidR="00605ABB" w:rsidRPr="002E7B89">
        <w:rPr>
          <w:lang w:val="lt-LT" w:bidi="lt-LT"/>
        </w:rPr>
        <w:t xml:space="preserve"> visą kūną, įskaitant tą, kurią galėjo sukelti grybelis (pvz., pienligė) ir kuri nėra gydoma antibiotikais</w:t>
      </w:r>
      <w:r w:rsidR="00605ABB">
        <w:rPr>
          <w:lang w:val="lt-LT" w:bidi="lt-LT"/>
        </w:rPr>
        <w:t>.</w:t>
      </w:r>
    </w:p>
    <w:p w14:paraId="17BF56DE" w14:textId="77777777" w:rsidR="00271E9C" w:rsidRPr="002E7B89" w:rsidRDefault="00271E9C" w:rsidP="00271E9C">
      <w:pPr>
        <w:pStyle w:val="Betarp"/>
        <w:numPr>
          <w:ilvl w:val="0"/>
          <w:numId w:val="27"/>
        </w:numPr>
        <w:ind w:left="567" w:hanging="567"/>
        <w:rPr>
          <w:lang w:val="lt-LT"/>
        </w:rPr>
      </w:pPr>
      <w:r w:rsidRPr="002E7B89">
        <w:rPr>
          <w:lang w:val="lt-LT" w:bidi="lt-LT"/>
        </w:rPr>
        <w:t>Injekcij</w:t>
      </w:r>
      <w:r w:rsidR="008543EF">
        <w:rPr>
          <w:lang w:val="lt-LT" w:bidi="lt-LT"/>
        </w:rPr>
        <w:t>a</w:t>
      </w:r>
      <w:r w:rsidRPr="002E7B89">
        <w:rPr>
          <w:lang w:val="lt-LT" w:bidi="lt-LT"/>
        </w:rPr>
        <w:t xml:space="preserve">s į sąnarį atlikti </w:t>
      </w:r>
      <w:r w:rsidR="008543EF">
        <w:rPr>
          <w:lang w:val="lt-LT" w:bidi="lt-LT"/>
        </w:rPr>
        <w:t xml:space="preserve">draudžiama </w:t>
      </w:r>
      <w:r w:rsidRPr="002E7B89">
        <w:rPr>
          <w:lang w:val="lt-LT" w:bidi="lt-LT"/>
        </w:rPr>
        <w:t>šiais atvejais: infekcijos gydomo sąnario viduje arba artimiausioje jo aplinkoje; bakterijų sukeltas sąnario uždegimas (bakterinis artritas); gydomo sąnario nestabilumas; polinkis į kraujavimą (savaiminį arba dėl antikoaguliantų poveikio); kalcio sankaupos šalia sąnario (periartikulinė kalcifikacija); lokalus kaulinio audinio sunykimas, ypač žastika</w:t>
      </w:r>
      <w:r w:rsidR="00394422">
        <w:rPr>
          <w:lang w:val="lt-LT" w:bidi="lt-LT"/>
        </w:rPr>
        <w:t>u</w:t>
      </w:r>
      <w:r w:rsidRPr="002E7B89">
        <w:rPr>
          <w:lang w:val="lt-LT" w:bidi="lt-LT"/>
        </w:rPr>
        <w:t>lio galvos ir šlaunikaul</w:t>
      </w:r>
      <w:r w:rsidR="00394422">
        <w:rPr>
          <w:lang w:val="lt-LT" w:bidi="lt-LT"/>
        </w:rPr>
        <w:t>i</w:t>
      </w:r>
      <w:r w:rsidRPr="002E7B89">
        <w:rPr>
          <w:lang w:val="lt-LT" w:bidi="lt-LT"/>
        </w:rPr>
        <w:t>o (avaskulinė kaulo nekrozė); sausgyslės plyšimas; sifilio sukelta sąnario liga (Šarko sąnarys).</w:t>
      </w:r>
    </w:p>
    <w:p w14:paraId="22744A95" w14:textId="77777777" w:rsidR="00271E9C" w:rsidRPr="002E7B89" w:rsidRDefault="00271E9C" w:rsidP="00271E9C">
      <w:pPr>
        <w:pStyle w:val="Betarp"/>
        <w:numPr>
          <w:ilvl w:val="0"/>
          <w:numId w:val="27"/>
        </w:numPr>
        <w:ind w:left="567" w:hanging="567"/>
        <w:rPr>
          <w:lang w:val="lt-LT"/>
        </w:rPr>
      </w:pPr>
      <w:r w:rsidRPr="002E7B89">
        <w:rPr>
          <w:lang w:val="lt-LT" w:bidi="lt-LT"/>
        </w:rPr>
        <w:t>Infiltracij</w:t>
      </w:r>
      <w:r w:rsidR="00273AC4" w:rsidRPr="002E7B89">
        <w:rPr>
          <w:lang w:val="lt-LT" w:bidi="lt-LT"/>
        </w:rPr>
        <w:t>os</w:t>
      </w:r>
      <w:r w:rsidRPr="002E7B89">
        <w:rPr>
          <w:lang w:val="lt-LT" w:bidi="lt-LT"/>
        </w:rPr>
        <w:t xml:space="preserve"> be papildomo</w:t>
      </w:r>
      <w:r w:rsidR="00273AC4" w:rsidRPr="002E7B89">
        <w:rPr>
          <w:lang w:val="lt-LT" w:bidi="lt-LT"/>
        </w:rPr>
        <w:t xml:space="preserve"> priežasties </w:t>
      </w:r>
      <w:r w:rsidRPr="002E7B89">
        <w:rPr>
          <w:lang w:val="lt-LT" w:bidi="lt-LT"/>
        </w:rPr>
        <w:t xml:space="preserve">gydymo </w:t>
      </w:r>
      <w:r w:rsidR="00273AC4" w:rsidRPr="002E7B89">
        <w:rPr>
          <w:lang w:val="lt-LT" w:bidi="lt-LT"/>
        </w:rPr>
        <w:t xml:space="preserve">atlikti </w:t>
      </w:r>
      <w:r w:rsidR="00394422">
        <w:rPr>
          <w:lang w:val="lt-LT" w:bidi="lt-LT"/>
        </w:rPr>
        <w:t>draudžiama</w:t>
      </w:r>
      <w:r w:rsidRPr="002E7B89">
        <w:rPr>
          <w:lang w:val="lt-LT" w:bidi="lt-LT"/>
        </w:rPr>
        <w:t>, jei vartojimo srityje yra infekcijų.</w:t>
      </w:r>
    </w:p>
    <w:p w14:paraId="625DF7FD" w14:textId="77777777" w:rsidR="00271E9C" w:rsidRPr="002E7B89" w:rsidRDefault="00271E9C" w:rsidP="00271E9C">
      <w:pPr>
        <w:pStyle w:val="Betarp"/>
        <w:rPr>
          <w:lang w:val="lt-LT"/>
        </w:rPr>
      </w:pPr>
    </w:p>
    <w:p w14:paraId="49FF9826" w14:textId="77777777" w:rsidR="00271E9C" w:rsidRPr="002E7B89" w:rsidRDefault="00271E9C" w:rsidP="00271E9C">
      <w:pPr>
        <w:pStyle w:val="Betarp"/>
        <w:rPr>
          <w:b/>
          <w:lang w:val="lt-LT"/>
        </w:rPr>
      </w:pPr>
      <w:bookmarkStart w:id="32" w:name="Warnhinweise_und_Vorsichtsmaßnahmen_"/>
      <w:bookmarkEnd w:id="32"/>
      <w:r w:rsidRPr="002E7B89">
        <w:rPr>
          <w:b/>
          <w:lang w:val="lt-LT" w:bidi="lt-LT"/>
        </w:rPr>
        <w:t>Įspėjimai ir atsargumo priemonės</w:t>
      </w:r>
    </w:p>
    <w:p w14:paraId="6D7CD194" w14:textId="77777777" w:rsidR="00271E9C" w:rsidRPr="002E7B89" w:rsidRDefault="00271E9C" w:rsidP="00271E9C">
      <w:pPr>
        <w:pStyle w:val="Betarp"/>
        <w:rPr>
          <w:lang w:val="lt-LT"/>
        </w:rPr>
      </w:pPr>
      <w:r w:rsidRPr="002E7B89">
        <w:rPr>
          <w:lang w:val="lt-LT" w:bidi="lt-LT"/>
        </w:rPr>
        <w:t xml:space="preserve">Pasitarkite su gydytoju, vaistininku arba slaugytoju, prieš pradėdami vartoti šį vaistą, nes reikia ypatingo </w:t>
      </w:r>
      <w:r w:rsidR="00273AC4" w:rsidRPr="002E7B89">
        <w:rPr>
          <w:lang w:val="lt-LT" w:bidi="lt-LT"/>
        </w:rPr>
        <w:t>atsargumo</w:t>
      </w:r>
      <w:r w:rsidRPr="002E7B89">
        <w:rPr>
          <w:lang w:val="lt-LT" w:bidi="lt-LT"/>
        </w:rPr>
        <w:t>, jei:</w:t>
      </w:r>
    </w:p>
    <w:p w14:paraId="68810A8E" w14:textId="77777777" w:rsidR="00271E9C" w:rsidRPr="002E7B89" w:rsidRDefault="00271E9C" w:rsidP="00271E9C">
      <w:pPr>
        <w:pStyle w:val="Betarp"/>
        <w:numPr>
          <w:ilvl w:val="0"/>
          <w:numId w:val="24"/>
        </w:numPr>
        <w:ind w:left="567" w:hanging="567"/>
        <w:rPr>
          <w:lang w:val="lt-LT"/>
        </w:rPr>
      </w:pPr>
      <w:r w:rsidRPr="002E7B89">
        <w:rPr>
          <w:lang w:val="lt-LT" w:bidi="lt-LT"/>
        </w:rPr>
        <w:t>sergate ūmine arba lėtine bakterine infekcija;</w:t>
      </w:r>
    </w:p>
    <w:p w14:paraId="397EEA17" w14:textId="77777777" w:rsidR="00271E9C" w:rsidRPr="002E7B89" w:rsidRDefault="00271E9C" w:rsidP="00271E9C">
      <w:pPr>
        <w:pStyle w:val="Betarp"/>
        <w:numPr>
          <w:ilvl w:val="0"/>
          <w:numId w:val="24"/>
        </w:numPr>
        <w:ind w:left="567" w:hanging="567"/>
        <w:rPr>
          <w:lang w:val="lt-LT"/>
        </w:rPr>
      </w:pPr>
      <w:r w:rsidRPr="002E7B89">
        <w:rPr>
          <w:lang w:val="lt-LT" w:bidi="lt-LT"/>
        </w:rPr>
        <w:t>esate sirgęs (-usi) tuberkulioze;</w:t>
      </w:r>
    </w:p>
    <w:p w14:paraId="54E73B89" w14:textId="77777777" w:rsidR="00271E9C" w:rsidRPr="002E7B89" w:rsidRDefault="00271E9C" w:rsidP="00271E9C">
      <w:pPr>
        <w:pStyle w:val="Betarp"/>
        <w:numPr>
          <w:ilvl w:val="0"/>
          <w:numId w:val="24"/>
        </w:numPr>
        <w:ind w:left="567" w:hanging="567"/>
        <w:rPr>
          <w:lang w:val="lt-LT"/>
        </w:rPr>
      </w:pPr>
      <w:r w:rsidRPr="002E7B89">
        <w:rPr>
          <w:lang w:val="lt-LT" w:bidi="lt-LT"/>
        </w:rPr>
        <w:t>sergate grybeline liga, kuri pažeidžia vidaus organus;</w:t>
      </w:r>
    </w:p>
    <w:p w14:paraId="45E3E60A" w14:textId="77777777" w:rsidR="00271E9C" w:rsidRPr="002E7B89" w:rsidRDefault="00271E9C" w:rsidP="00271E9C">
      <w:pPr>
        <w:pStyle w:val="Betarp"/>
        <w:numPr>
          <w:ilvl w:val="0"/>
          <w:numId w:val="24"/>
        </w:numPr>
        <w:ind w:left="567" w:hanging="567"/>
        <w:rPr>
          <w:lang w:val="lt-LT"/>
        </w:rPr>
      </w:pPr>
      <w:r w:rsidRPr="002E7B89">
        <w:rPr>
          <w:lang w:val="lt-LT" w:bidi="lt-LT"/>
        </w:rPr>
        <w:t>sergate parazitine liga (pvz., amebų infekcija, siūlinių kirmėlių infekcija);</w:t>
      </w:r>
    </w:p>
    <w:p w14:paraId="52FCDD5B" w14:textId="77777777" w:rsidR="00271E9C" w:rsidRPr="002E7B89" w:rsidRDefault="00271E9C" w:rsidP="00271E9C">
      <w:pPr>
        <w:pStyle w:val="Betarp"/>
        <w:numPr>
          <w:ilvl w:val="0"/>
          <w:numId w:val="24"/>
        </w:numPr>
        <w:ind w:left="567" w:hanging="567"/>
        <w:rPr>
          <w:lang w:val="lt-LT"/>
        </w:rPr>
      </w:pPr>
      <w:r w:rsidRPr="002E7B89">
        <w:rPr>
          <w:lang w:val="lt-LT" w:bidi="lt-LT"/>
        </w:rPr>
        <w:t>sergate ūmine virusine infekcija (hepatitu B, pūsleline, vėjaraupiais);</w:t>
      </w:r>
    </w:p>
    <w:p w14:paraId="49C4D016" w14:textId="77777777" w:rsidR="00271E9C" w:rsidRPr="002E7B89" w:rsidRDefault="00271E9C" w:rsidP="00271E9C">
      <w:pPr>
        <w:pStyle w:val="Betarp"/>
        <w:numPr>
          <w:ilvl w:val="0"/>
          <w:numId w:val="24"/>
        </w:numPr>
        <w:ind w:left="567" w:hanging="567"/>
        <w:rPr>
          <w:lang w:val="lt-LT"/>
        </w:rPr>
      </w:pPr>
      <w:r w:rsidRPr="002E7B89">
        <w:rPr>
          <w:lang w:val="lt-LT" w:bidi="lt-LT"/>
        </w:rPr>
        <w:t xml:space="preserve">Jūs (arba jūsų vaikas) buvote arba turite būti skiepijami (žr. skyrių „Kiti vaistai ir </w:t>
      </w:r>
      <w:r w:rsidR="008765BB">
        <w:rPr>
          <w:lang w:val="lt-LT" w:bidi="lt-LT"/>
        </w:rPr>
        <w:t>Dexamethasone Kalceks</w:t>
      </w:r>
      <w:r w:rsidRPr="002E7B89">
        <w:rPr>
          <w:lang w:val="lt-LT" w:bidi="lt-LT"/>
        </w:rPr>
        <w:t>“). Būtinai pasakykite gydytojui, jei dar nesirgote tymais ar vėjaraupiais arba jūsų vaiko imuninė sistema yra nusilpusi;</w:t>
      </w:r>
    </w:p>
    <w:p w14:paraId="1E6FC8A4" w14:textId="77777777" w:rsidR="00271E9C" w:rsidRPr="002E7B89" w:rsidRDefault="00271E9C" w:rsidP="00271E9C">
      <w:pPr>
        <w:pStyle w:val="Betarp"/>
        <w:numPr>
          <w:ilvl w:val="0"/>
          <w:numId w:val="24"/>
        </w:numPr>
        <w:ind w:left="567" w:hanging="567"/>
        <w:rPr>
          <w:lang w:val="lt-LT"/>
        </w:rPr>
      </w:pPr>
      <w:r w:rsidRPr="002E7B89">
        <w:rPr>
          <w:lang w:val="lt-LT" w:bidi="lt-LT"/>
        </w:rPr>
        <w:t>turite skrandžio ar žarnyno opų;</w:t>
      </w:r>
    </w:p>
    <w:p w14:paraId="4170FD97" w14:textId="77777777" w:rsidR="00271E9C" w:rsidRPr="002E7B89" w:rsidRDefault="00271E9C" w:rsidP="00271E9C">
      <w:pPr>
        <w:pStyle w:val="Betarp"/>
        <w:numPr>
          <w:ilvl w:val="0"/>
          <w:numId w:val="24"/>
        </w:numPr>
        <w:ind w:left="567" w:hanging="567"/>
        <w:rPr>
          <w:lang w:val="lt-LT"/>
        </w:rPr>
      </w:pPr>
      <w:r w:rsidRPr="002E7B89">
        <w:rPr>
          <w:lang w:val="lt-LT" w:bidi="lt-LT"/>
        </w:rPr>
        <w:t>sergate osteoporoze (kaulinio audinio irimas). Prieš pradėdamas ilgalaikį gydymą gydytojas gali nuspręsti išmatuoti jūsų kaulų tankį. Jei reikia, gydytojas gali papildomai skirti kalcio, vitamino D ir (arba) vaistų kaulų tankio sumažėjimui gydyti. Pacientams, sergantiems sunkios formos osteoporoze, šis vaistas bus skiriamas tik dėl gyvybei pavojų keliančių priežasčių arba trumpą laiką;</w:t>
      </w:r>
    </w:p>
    <w:p w14:paraId="26BD64AC" w14:textId="77777777" w:rsidR="00271E9C" w:rsidRPr="002E7B89" w:rsidRDefault="00271E9C" w:rsidP="00271E9C">
      <w:pPr>
        <w:pStyle w:val="Betarp"/>
        <w:numPr>
          <w:ilvl w:val="0"/>
          <w:numId w:val="24"/>
        </w:numPr>
        <w:ind w:left="567" w:hanging="567"/>
        <w:rPr>
          <w:lang w:val="lt-LT"/>
        </w:rPr>
      </w:pPr>
      <w:r w:rsidRPr="002E7B89">
        <w:rPr>
          <w:lang w:val="lt-LT" w:bidi="lt-LT"/>
        </w:rPr>
        <w:t>turite sunkiai kontroliuojamą aukštą kraujospūdį;</w:t>
      </w:r>
    </w:p>
    <w:p w14:paraId="4ACBD3A8" w14:textId="77777777" w:rsidR="00271E9C" w:rsidRPr="002E7B89" w:rsidRDefault="00271E9C" w:rsidP="00271E9C">
      <w:pPr>
        <w:pStyle w:val="Betarp"/>
        <w:numPr>
          <w:ilvl w:val="0"/>
          <w:numId w:val="24"/>
        </w:numPr>
        <w:ind w:left="567" w:hanging="567"/>
        <w:rPr>
          <w:lang w:val="lt-LT"/>
        </w:rPr>
      </w:pPr>
      <w:r w:rsidRPr="002E7B89">
        <w:rPr>
          <w:lang w:val="lt-LT" w:bidi="lt-LT"/>
        </w:rPr>
        <w:t xml:space="preserve">sergate </w:t>
      </w:r>
      <w:r w:rsidR="00273AC4" w:rsidRPr="002E7B89">
        <w:rPr>
          <w:lang w:val="lt-LT" w:bidi="lt-LT"/>
        </w:rPr>
        <w:t xml:space="preserve">cukriniu </w:t>
      </w:r>
      <w:r w:rsidRPr="002E7B89">
        <w:rPr>
          <w:lang w:val="lt-LT" w:bidi="lt-LT"/>
        </w:rPr>
        <w:t>diabetu;</w:t>
      </w:r>
    </w:p>
    <w:p w14:paraId="08839E37" w14:textId="77777777" w:rsidR="00271E9C" w:rsidRPr="002E7B89" w:rsidRDefault="00271E9C" w:rsidP="00271E9C">
      <w:pPr>
        <w:pStyle w:val="Betarp"/>
        <w:numPr>
          <w:ilvl w:val="0"/>
          <w:numId w:val="24"/>
        </w:numPr>
        <w:ind w:left="567" w:hanging="567"/>
        <w:rPr>
          <w:lang w:val="lt-LT"/>
        </w:rPr>
      </w:pPr>
      <w:r w:rsidRPr="002E7B89">
        <w:rPr>
          <w:lang w:val="lt-LT" w:bidi="lt-LT"/>
        </w:rPr>
        <w:t>anksčiau sirgote psichikos ligomis, įskaitant savižudybės riziką;</w:t>
      </w:r>
    </w:p>
    <w:p w14:paraId="3C5950B7" w14:textId="77777777" w:rsidR="00271E9C" w:rsidRPr="002E7B89" w:rsidRDefault="00271E9C" w:rsidP="00271E9C">
      <w:pPr>
        <w:pStyle w:val="Betarp"/>
        <w:numPr>
          <w:ilvl w:val="0"/>
          <w:numId w:val="24"/>
        </w:numPr>
        <w:ind w:left="567" w:hanging="567"/>
        <w:rPr>
          <w:lang w:val="lt-LT"/>
        </w:rPr>
      </w:pPr>
      <w:r w:rsidRPr="002E7B89">
        <w:rPr>
          <w:lang w:val="lt-LT" w:bidi="lt-LT"/>
        </w:rPr>
        <w:t>Jums nustatytas padidėjęs akispūdis (uždaro ir atviro kampo glaukoma), ragenos sužalojimas arba akies opos (būtinas atidus akių specialisto stebėjimas ir gydymas);</w:t>
      </w:r>
    </w:p>
    <w:p w14:paraId="497A40D1" w14:textId="77777777" w:rsidR="00271E9C" w:rsidRPr="002E7B89" w:rsidRDefault="00271E9C" w:rsidP="00271E9C">
      <w:pPr>
        <w:pStyle w:val="Betarp"/>
        <w:numPr>
          <w:ilvl w:val="0"/>
          <w:numId w:val="24"/>
        </w:numPr>
        <w:ind w:left="567" w:hanging="567"/>
        <w:rPr>
          <w:lang w:val="lt-LT"/>
        </w:rPr>
      </w:pPr>
      <w:r w:rsidRPr="002E7B89">
        <w:rPr>
          <w:lang w:val="lt-LT" w:bidi="lt-LT"/>
        </w:rPr>
        <w:t>turite širdies ar inkstų sutrikimų;</w:t>
      </w:r>
    </w:p>
    <w:p w14:paraId="72155E93" w14:textId="77777777" w:rsidR="00271E9C" w:rsidRPr="002E7B89" w:rsidRDefault="00271E9C" w:rsidP="00271E9C">
      <w:pPr>
        <w:pStyle w:val="Betarp"/>
        <w:numPr>
          <w:ilvl w:val="0"/>
          <w:numId w:val="24"/>
        </w:numPr>
        <w:ind w:left="567" w:hanging="567"/>
        <w:rPr>
          <w:lang w:val="lt-LT"/>
        </w:rPr>
      </w:pPr>
      <w:r w:rsidRPr="002E7B89">
        <w:rPr>
          <w:lang w:val="lt-LT" w:bidi="lt-LT"/>
        </w:rPr>
        <w:t xml:space="preserve">sergate </w:t>
      </w:r>
      <w:r w:rsidR="008543EF">
        <w:rPr>
          <w:lang w:val="lt-LT" w:bidi="lt-LT"/>
        </w:rPr>
        <w:t>generalizuota</w:t>
      </w:r>
      <w:r w:rsidRPr="002E7B89">
        <w:rPr>
          <w:lang w:val="lt-LT" w:bidi="lt-LT"/>
        </w:rPr>
        <w:t xml:space="preserve"> miastenija (raumenų liga) – pradėjus vartoti deksametazoną simptomai iš pradžių gali paūmėti, tad pradinę dozę reikia parinkti atsargiai;</w:t>
      </w:r>
    </w:p>
    <w:p w14:paraId="38DA26A3" w14:textId="77777777" w:rsidR="00271E9C" w:rsidRPr="002E7B89" w:rsidRDefault="00271E9C" w:rsidP="00271E9C">
      <w:pPr>
        <w:pStyle w:val="Betarp"/>
        <w:numPr>
          <w:ilvl w:val="0"/>
          <w:numId w:val="24"/>
        </w:numPr>
        <w:ind w:left="567" w:hanging="567"/>
        <w:rPr>
          <w:lang w:val="lt-LT"/>
        </w:rPr>
      </w:pPr>
      <w:r w:rsidRPr="002E7B89">
        <w:rPr>
          <w:lang w:val="lt-LT" w:bidi="lt-LT"/>
        </w:rPr>
        <w:t>Jums yra nustatytas antinksčių navikas (feochromocitoma).</w:t>
      </w:r>
    </w:p>
    <w:p w14:paraId="24091129" w14:textId="77777777" w:rsidR="00271E9C" w:rsidRPr="002E7B89" w:rsidRDefault="00271E9C" w:rsidP="00271E9C">
      <w:pPr>
        <w:pStyle w:val="Betarp"/>
        <w:rPr>
          <w:lang w:val="lt-LT"/>
        </w:rPr>
      </w:pPr>
      <w:r w:rsidRPr="002E7B89">
        <w:rPr>
          <w:lang w:val="lt-LT" w:bidi="lt-LT"/>
        </w:rPr>
        <w:t xml:space="preserve">Jei nesate tikri, ar kuris nors iš </w:t>
      </w:r>
      <w:r w:rsidR="002F3208" w:rsidRPr="002E7B89">
        <w:rPr>
          <w:lang w:val="lt-LT" w:bidi="lt-LT"/>
        </w:rPr>
        <w:t xml:space="preserve">anksčiau </w:t>
      </w:r>
      <w:r w:rsidRPr="002E7B89">
        <w:rPr>
          <w:lang w:val="lt-LT" w:bidi="lt-LT"/>
        </w:rPr>
        <w:t xml:space="preserve">išvardytų </w:t>
      </w:r>
      <w:r w:rsidR="002F3208" w:rsidRPr="002E7B89">
        <w:rPr>
          <w:lang w:val="lt-LT" w:bidi="lt-LT"/>
        </w:rPr>
        <w:t>būklių</w:t>
      </w:r>
      <w:r w:rsidRPr="002E7B89">
        <w:rPr>
          <w:lang w:val="lt-LT" w:bidi="lt-LT"/>
        </w:rPr>
        <w:t xml:space="preserve"> Jums t</w:t>
      </w:r>
      <w:r w:rsidR="002F3208" w:rsidRPr="002E7B89">
        <w:rPr>
          <w:lang w:val="lt-LT" w:bidi="lt-LT"/>
        </w:rPr>
        <w:t>inka</w:t>
      </w:r>
      <w:r w:rsidRPr="002E7B89">
        <w:rPr>
          <w:lang w:val="lt-LT" w:bidi="lt-LT"/>
        </w:rPr>
        <w:t>, pasitarkite su gydytoju arba vaistininku.</w:t>
      </w:r>
    </w:p>
    <w:p w14:paraId="0AE4127C" w14:textId="77777777" w:rsidR="00FE71CC" w:rsidRDefault="00FE71CC" w:rsidP="00271E9C">
      <w:pPr>
        <w:pStyle w:val="Betarp"/>
        <w:rPr>
          <w:u w:val="single"/>
          <w:lang w:val="lt-LT" w:bidi="lt-LT"/>
        </w:rPr>
      </w:pPr>
    </w:p>
    <w:p w14:paraId="6AA5E88D" w14:textId="77777777" w:rsidR="00271E9C" w:rsidRPr="002E7B89" w:rsidRDefault="00271E9C" w:rsidP="00271E9C">
      <w:pPr>
        <w:pStyle w:val="Betarp"/>
        <w:rPr>
          <w:lang w:val="lt-LT"/>
        </w:rPr>
      </w:pPr>
      <w:r w:rsidRPr="002E7B89">
        <w:rPr>
          <w:u w:val="single"/>
          <w:lang w:val="lt-LT" w:bidi="lt-LT"/>
        </w:rPr>
        <w:t>Pasakykite gydytojui,</w:t>
      </w:r>
      <w:r w:rsidRPr="002E7B89">
        <w:rPr>
          <w:lang w:val="lt-LT" w:bidi="lt-LT"/>
        </w:rPr>
        <w:t xml:space="preserve"> jei gydydamiesi šiuo vaistu pastebėjote bet kurį iš toliau išvardytų simptomų:</w:t>
      </w:r>
    </w:p>
    <w:p w14:paraId="79D74A54" w14:textId="77777777" w:rsidR="00271E9C" w:rsidRPr="002E7B89" w:rsidRDefault="00271E9C" w:rsidP="00271E9C">
      <w:pPr>
        <w:pStyle w:val="Betarp"/>
        <w:numPr>
          <w:ilvl w:val="0"/>
          <w:numId w:val="24"/>
        </w:numPr>
        <w:ind w:left="567" w:hanging="567"/>
        <w:rPr>
          <w:lang w:val="lt-LT"/>
        </w:rPr>
      </w:pPr>
      <w:r w:rsidRPr="002E7B89">
        <w:rPr>
          <w:lang w:val="lt-LT" w:bidi="lt-LT"/>
        </w:rPr>
        <w:t>raumenų mėšlungis, raumenų silpnumas, konfūzija, sutrikęs arba prarastas regėjimas ir dusulys, jei sergate piktybine kraujo liga. Tai gali būti navik</w:t>
      </w:r>
      <w:r w:rsidR="002F3208" w:rsidRPr="002E7B89">
        <w:rPr>
          <w:lang w:val="lt-LT" w:bidi="lt-LT"/>
        </w:rPr>
        <w:t>ų</w:t>
      </w:r>
      <w:r w:rsidRPr="002E7B89">
        <w:rPr>
          <w:lang w:val="lt-LT" w:bidi="lt-LT"/>
        </w:rPr>
        <w:t xml:space="preserve"> lizės sindromo simptomai;</w:t>
      </w:r>
    </w:p>
    <w:p w14:paraId="534B61F0" w14:textId="77777777" w:rsidR="00271E9C" w:rsidRPr="002E7B89" w:rsidRDefault="00271E9C" w:rsidP="00271E9C">
      <w:pPr>
        <w:pStyle w:val="Betarp"/>
        <w:numPr>
          <w:ilvl w:val="0"/>
          <w:numId w:val="24"/>
        </w:numPr>
        <w:ind w:left="567" w:hanging="567"/>
        <w:rPr>
          <w:lang w:val="lt-LT"/>
        </w:rPr>
      </w:pPr>
      <w:r w:rsidRPr="002E7B89">
        <w:rPr>
          <w:lang w:val="lt-LT" w:bidi="lt-LT"/>
        </w:rPr>
        <w:t>neaiškus regėjimas ar kiti regėjimo sutrikimai.</w:t>
      </w:r>
    </w:p>
    <w:p w14:paraId="0DF923E9" w14:textId="77777777" w:rsidR="00271E9C" w:rsidRPr="002E7B89" w:rsidRDefault="00271E9C" w:rsidP="00271E9C">
      <w:pPr>
        <w:pStyle w:val="Betarp"/>
        <w:rPr>
          <w:lang w:val="lt-LT"/>
        </w:rPr>
      </w:pPr>
    </w:p>
    <w:p w14:paraId="29E34E74" w14:textId="77777777" w:rsidR="00271E9C" w:rsidRPr="002E7B89" w:rsidRDefault="003F0448" w:rsidP="00271E9C">
      <w:pPr>
        <w:pStyle w:val="Betarp"/>
        <w:rPr>
          <w:u w:val="single"/>
          <w:lang w:val="lt-LT"/>
        </w:rPr>
      </w:pPr>
      <w:r w:rsidRPr="002E7B89">
        <w:rPr>
          <w:u w:val="single"/>
          <w:lang w:val="lt-LT" w:bidi="lt-LT"/>
        </w:rPr>
        <w:t>Kartu</w:t>
      </w:r>
      <w:r w:rsidR="00271E9C" w:rsidRPr="002E7B89">
        <w:rPr>
          <w:u w:val="single"/>
          <w:lang w:val="lt-LT" w:bidi="lt-LT"/>
        </w:rPr>
        <w:t xml:space="preserve"> vartojami kortikosteroidai</w:t>
      </w:r>
    </w:p>
    <w:p w14:paraId="10458372" w14:textId="77777777" w:rsidR="00271E9C" w:rsidRPr="002E7B89" w:rsidRDefault="00271E9C" w:rsidP="00271E9C">
      <w:pPr>
        <w:pStyle w:val="Betarp"/>
        <w:rPr>
          <w:lang w:val="lt-LT"/>
        </w:rPr>
      </w:pPr>
      <w:r w:rsidRPr="002E7B89">
        <w:rPr>
          <w:lang w:val="lt-LT" w:bidi="lt-LT"/>
        </w:rPr>
        <w:lastRenderedPageBreak/>
        <w:t>Negalima nutraukti jokių kitų steroidinių vaistų vartojimo, nebent taip nurodė gydytojas.</w:t>
      </w:r>
    </w:p>
    <w:p w14:paraId="55D074F2" w14:textId="77777777" w:rsidR="00271E9C" w:rsidRPr="002E7B89" w:rsidRDefault="00271E9C" w:rsidP="00271E9C">
      <w:pPr>
        <w:pStyle w:val="Betarp"/>
        <w:rPr>
          <w:lang w:val="lt-LT"/>
        </w:rPr>
      </w:pPr>
      <w:r w:rsidRPr="002E7B89">
        <w:rPr>
          <w:lang w:val="lt-LT" w:bidi="lt-LT"/>
        </w:rPr>
        <w:t>Bendrosios atsargumo priemonės, susijusios su steroidų vartojimu sergant tam tikromis ligomis, infekcijos maskavimu, kartu vartojamais vaistais ir t. t., turėtų atitikti dabartines rekomendacijas.</w:t>
      </w:r>
    </w:p>
    <w:p w14:paraId="39233B29" w14:textId="77777777" w:rsidR="00271E9C" w:rsidRPr="002E7B89" w:rsidRDefault="00271E9C" w:rsidP="00271E9C">
      <w:pPr>
        <w:pStyle w:val="Betarp"/>
        <w:rPr>
          <w:lang w:val="lt-LT"/>
        </w:rPr>
      </w:pPr>
    </w:p>
    <w:p w14:paraId="17A1662B" w14:textId="77777777" w:rsidR="00271E9C" w:rsidRPr="002E7B89" w:rsidRDefault="00271E9C" w:rsidP="00271E9C">
      <w:pPr>
        <w:pStyle w:val="Betarp"/>
        <w:rPr>
          <w:u w:val="single"/>
          <w:lang w:val="lt-LT"/>
        </w:rPr>
      </w:pPr>
      <w:r w:rsidRPr="002E7B89">
        <w:rPr>
          <w:u w:val="single"/>
          <w:lang w:val="lt-LT" w:bidi="lt-LT"/>
        </w:rPr>
        <w:t>Sunkios alerginės reakcijos</w:t>
      </w:r>
    </w:p>
    <w:p w14:paraId="25D94408" w14:textId="77777777" w:rsidR="00271E9C" w:rsidRPr="002E7B89" w:rsidRDefault="00271E9C" w:rsidP="00271E9C">
      <w:pPr>
        <w:pStyle w:val="Betarp"/>
        <w:rPr>
          <w:lang w:val="lt-LT"/>
        </w:rPr>
      </w:pPr>
      <w:r w:rsidRPr="002E7B89">
        <w:rPr>
          <w:lang w:val="lt-LT" w:bidi="lt-LT"/>
        </w:rPr>
        <w:t xml:space="preserve">Gali pasireikšti sunkios alerginės reakcijos ir net anafilaksija (gyvybei pavojinga reakcija) su tokiais simptomais kaip nereguliarus pulsas, kvėpavimo takų raumenų </w:t>
      </w:r>
      <w:r w:rsidR="008543EF">
        <w:rPr>
          <w:lang w:val="lt-LT" w:bidi="lt-LT"/>
        </w:rPr>
        <w:t>susiaurėjimas</w:t>
      </w:r>
      <w:r w:rsidRPr="002E7B89">
        <w:rPr>
          <w:lang w:val="lt-LT" w:bidi="lt-LT"/>
        </w:rPr>
        <w:t>, kraujospūdžio sumažėjimas arba padidėjimas, kraujotakos nepakankamumas arba širdies sustojimas.</w:t>
      </w:r>
    </w:p>
    <w:p w14:paraId="1B13BA87" w14:textId="77777777" w:rsidR="00271E9C" w:rsidRPr="002E7B89" w:rsidRDefault="00271E9C" w:rsidP="00271E9C">
      <w:pPr>
        <w:pStyle w:val="Betarp"/>
        <w:rPr>
          <w:u w:val="single"/>
          <w:lang w:val="lt-LT"/>
        </w:rPr>
      </w:pPr>
    </w:p>
    <w:p w14:paraId="5EE79BCB" w14:textId="77777777" w:rsidR="00271E9C" w:rsidRPr="002E7B89" w:rsidRDefault="00271E9C" w:rsidP="00271E9C">
      <w:pPr>
        <w:pStyle w:val="Betarp"/>
        <w:rPr>
          <w:u w:val="single"/>
          <w:lang w:val="lt-LT"/>
        </w:rPr>
      </w:pPr>
      <w:r w:rsidRPr="002E7B89">
        <w:rPr>
          <w:u w:val="single"/>
          <w:lang w:val="lt-LT" w:bidi="lt-LT"/>
        </w:rPr>
        <w:t>Antinksčių nepakankamumas</w:t>
      </w:r>
    </w:p>
    <w:p w14:paraId="765090E9" w14:textId="77777777" w:rsidR="00271E9C" w:rsidRPr="002E7B89" w:rsidRDefault="00271E9C" w:rsidP="00271E9C">
      <w:pPr>
        <w:pStyle w:val="Betarp"/>
        <w:rPr>
          <w:lang w:val="lt-LT"/>
        </w:rPr>
      </w:pPr>
      <w:r w:rsidRPr="002E7B89">
        <w:rPr>
          <w:lang w:val="lt-LT" w:bidi="lt-LT"/>
        </w:rPr>
        <w:t>Staigus ilgiau nei 10 dienų trukusio gydymo nutraukimas gali sukelti ūminį antinksčių nepakankamumą. Todėl, jei ketinama nutraukti vaisto vartojimą, dozę reikia mažinti lėtai. Gydymo gliukokortikoidais sukeltas antinksčių nepakankamumas, priklausomai nuo gydymo dozės ir trukmės, gali išlikti kelis mėnesius, o kai kuriais atvejais ir ilgiau nei vienus metus po gydymo nutraukimo.</w:t>
      </w:r>
    </w:p>
    <w:p w14:paraId="0BD43681" w14:textId="77777777" w:rsidR="00271E9C" w:rsidRPr="002E7B89" w:rsidRDefault="00271E9C" w:rsidP="00271E9C">
      <w:pPr>
        <w:pStyle w:val="Betarp"/>
        <w:rPr>
          <w:lang w:val="lt-LT"/>
        </w:rPr>
      </w:pPr>
    </w:p>
    <w:p w14:paraId="673BB014" w14:textId="77777777" w:rsidR="00271E9C" w:rsidRPr="002E7B89" w:rsidRDefault="00271E9C" w:rsidP="00271E9C">
      <w:pPr>
        <w:pStyle w:val="Betarp"/>
        <w:rPr>
          <w:lang w:val="lt-LT"/>
        </w:rPr>
      </w:pPr>
      <w:r w:rsidRPr="002E7B89">
        <w:rPr>
          <w:lang w:val="lt-LT" w:bidi="lt-LT"/>
        </w:rPr>
        <w:t xml:space="preserve">Jei gydymo metu pasitaiko specifinių fizinės įtampos situacijų, pavyzdžiui, karštligė, nelaimingas atsitikimas ar operacija, apie taikomą gydymą deksametazonu būtina nedelsiant informuoti gydytoją arba pranešti skubiosios pagalbos gydytojui. Gali prireikti laikinai padidinti deksametazono </w:t>
      </w:r>
      <w:r w:rsidR="002F3208" w:rsidRPr="002E7B89">
        <w:rPr>
          <w:lang w:val="lt-LT" w:bidi="lt-LT"/>
        </w:rPr>
        <w:t xml:space="preserve">paros </w:t>
      </w:r>
      <w:r w:rsidRPr="002E7B89">
        <w:rPr>
          <w:lang w:val="lt-LT" w:bidi="lt-LT"/>
        </w:rPr>
        <w:t>dozę. Gliukokortikoidų gali prireikti ir fizinės įtampos atvejais, kai antinksčių nepakankamumas išlieka baigus gydymą.</w:t>
      </w:r>
    </w:p>
    <w:p w14:paraId="77DED876" w14:textId="77777777" w:rsidR="00271E9C" w:rsidRPr="002E7B89" w:rsidRDefault="00271E9C" w:rsidP="00271E9C">
      <w:pPr>
        <w:pStyle w:val="Betarp"/>
        <w:rPr>
          <w:lang w:val="lt-LT"/>
        </w:rPr>
      </w:pPr>
    </w:p>
    <w:p w14:paraId="3B2327F8" w14:textId="77777777" w:rsidR="00271E9C" w:rsidRPr="002E7B89" w:rsidRDefault="00271E9C" w:rsidP="00271E9C">
      <w:pPr>
        <w:pStyle w:val="Betarp"/>
        <w:rPr>
          <w:u w:val="single"/>
          <w:lang w:val="lt-LT"/>
        </w:rPr>
      </w:pPr>
      <w:r w:rsidRPr="002E7B89">
        <w:rPr>
          <w:u w:val="single"/>
          <w:lang w:val="lt-LT" w:bidi="lt-LT"/>
        </w:rPr>
        <w:t>Infekcijos rizika</w:t>
      </w:r>
    </w:p>
    <w:p w14:paraId="4EC12DBC" w14:textId="77777777" w:rsidR="00271E9C" w:rsidRPr="002E7B89" w:rsidRDefault="00271E9C" w:rsidP="00271E9C">
      <w:pPr>
        <w:pStyle w:val="Betarp"/>
        <w:rPr>
          <w:lang w:val="lt-LT"/>
        </w:rPr>
      </w:pPr>
      <w:r w:rsidRPr="002E7B89">
        <w:rPr>
          <w:lang w:val="lt-LT" w:bidi="lt-LT"/>
        </w:rPr>
        <w:t>Deksametazono dozės, didesnės už palaikomajam gydymui reikalingas dozes, siejamos su didesne infekcijos rizika, galimu esamos infekcijos pasunkėjimu ir galimu slaptos infekcijos suaktyvėjimu. Uždegimo slopinamasis poveikis gali maskuoti infekcijos simptomus, kol infekcija nepasiekusi aukštesnio lygio.</w:t>
      </w:r>
    </w:p>
    <w:p w14:paraId="64045A90" w14:textId="77777777" w:rsidR="00271E9C" w:rsidRPr="002E7B89" w:rsidRDefault="00271E9C" w:rsidP="00271E9C">
      <w:pPr>
        <w:pStyle w:val="Betarp"/>
        <w:rPr>
          <w:lang w:val="lt-LT"/>
        </w:rPr>
      </w:pPr>
    </w:p>
    <w:p w14:paraId="16133B47" w14:textId="77777777" w:rsidR="00271E9C" w:rsidRPr="002E7B89" w:rsidRDefault="00271E9C" w:rsidP="00271E9C">
      <w:pPr>
        <w:pStyle w:val="Betarp"/>
        <w:rPr>
          <w:u w:val="single"/>
          <w:lang w:val="lt-LT"/>
        </w:rPr>
      </w:pPr>
      <w:r w:rsidRPr="002E7B89">
        <w:rPr>
          <w:u w:val="single"/>
          <w:lang w:val="lt-LT" w:bidi="lt-LT"/>
        </w:rPr>
        <w:t>Virškinimo trakto sutrikimai</w:t>
      </w:r>
    </w:p>
    <w:p w14:paraId="7AD5DB05" w14:textId="77777777" w:rsidR="00271E9C" w:rsidRPr="002E7B89" w:rsidRDefault="00271E9C" w:rsidP="00271E9C">
      <w:pPr>
        <w:pStyle w:val="Betarp"/>
        <w:rPr>
          <w:lang w:val="lt-LT"/>
        </w:rPr>
      </w:pPr>
      <w:r w:rsidRPr="002E7B89">
        <w:rPr>
          <w:lang w:val="lt-LT" w:bidi="lt-LT"/>
        </w:rPr>
        <w:t>Dėl peritonito (pilvaplėvės uždegimo)</w:t>
      </w:r>
      <w:r w:rsidR="008543EF">
        <w:rPr>
          <w:lang w:val="lt-LT" w:bidi="lt-LT"/>
        </w:rPr>
        <w:t>,</w:t>
      </w:r>
      <w:r w:rsidRPr="002E7B89">
        <w:rPr>
          <w:lang w:val="lt-LT" w:bidi="lt-LT"/>
        </w:rPr>
        <w:t xml:space="preserve"> sukel</w:t>
      </w:r>
      <w:r w:rsidR="008543EF">
        <w:rPr>
          <w:lang w:val="lt-LT" w:bidi="lt-LT"/>
        </w:rPr>
        <w:t>to</w:t>
      </w:r>
      <w:r w:rsidRPr="002E7B89">
        <w:rPr>
          <w:lang w:val="lt-LT" w:bidi="lt-LT"/>
        </w:rPr>
        <w:t xml:space="preserve"> žarnos sienelės perforacijos</w:t>
      </w:r>
      <w:r w:rsidR="008543EF">
        <w:rPr>
          <w:lang w:val="lt-LT" w:bidi="lt-LT"/>
        </w:rPr>
        <w:t>,</w:t>
      </w:r>
      <w:r w:rsidRPr="002E7B89">
        <w:rPr>
          <w:lang w:val="lt-LT" w:bidi="lt-LT"/>
        </w:rPr>
        <w:t xml:space="preserve"> pavojaus šis vaistas bus skiriamas, jei tam yra įtikinamų medicininių priežasčių, ir bus atliekama tinkama stebėsena šiais atvejais:</w:t>
      </w:r>
    </w:p>
    <w:p w14:paraId="794052E9" w14:textId="77777777" w:rsidR="00271E9C" w:rsidRPr="002E7B89" w:rsidRDefault="00271E9C" w:rsidP="00271E9C">
      <w:pPr>
        <w:pStyle w:val="Betarp"/>
        <w:numPr>
          <w:ilvl w:val="0"/>
          <w:numId w:val="24"/>
        </w:numPr>
        <w:ind w:left="567" w:hanging="567"/>
        <w:rPr>
          <w:lang w:val="lt-LT"/>
        </w:rPr>
      </w:pPr>
      <w:r w:rsidRPr="002E7B89">
        <w:rPr>
          <w:lang w:val="lt-LT" w:bidi="lt-LT"/>
        </w:rPr>
        <w:t>sunkus storosios žarnos uždegimas (opinis kolitas), dėl kurio gresia perforacija;</w:t>
      </w:r>
    </w:p>
    <w:p w14:paraId="33B9BDD7" w14:textId="77777777" w:rsidR="00271E9C" w:rsidRPr="002E7B89" w:rsidRDefault="00271E9C" w:rsidP="00271E9C">
      <w:pPr>
        <w:pStyle w:val="Betarp"/>
        <w:numPr>
          <w:ilvl w:val="0"/>
          <w:numId w:val="24"/>
        </w:numPr>
        <w:ind w:left="567" w:hanging="567"/>
        <w:rPr>
          <w:lang w:val="lt-LT"/>
        </w:rPr>
      </w:pPr>
      <w:r w:rsidRPr="002E7B89">
        <w:rPr>
          <w:lang w:val="lt-LT" w:bidi="lt-LT"/>
        </w:rPr>
        <w:t>abscesai arba pūlingos infekcijos;</w:t>
      </w:r>
    </w:p>
    <w:p w14:paraId="77B4AB0E" w14:textId="77777777" w:rsidR="00271E9C" w:rsidRPr="002E7B89" w:rsidRDefault="00271E9C" w:rsidP="00271E9C">
      <w:pPr>
        <w:pStyle w:val="Betarp"/>
        <w:numPr>
          <w:ilvl w:val="0"/>
          <w:numId w:val="24"/>
        </w:numPr>
        <w:ind w:left="567" w:hanging="567"/>
        <w:rPr>
          <w:lang w:val="lt-LT"/>
        </w:rPr>
      </w:pPr>
      <w:r w:rsidRPr="002E7B89">
        <w:rPr>
          <w:lang w:val="lt-LT" w:bidi="lt-LT"/>
        </w:rPr>
        <w:t>divertikulitas (gaubtinės žarnos sienelės iškilimų (divertikulų) uždegimas);</w:t>
      </w:r>
    </w:p>
    <w:p w14:paraId="69134300" w14:textId="77777777" w:rsidR="00271E9C" w:rsidRPr="002E7B89" w:rsidRDefault="00271E9C" w:rsidP="00271E9C">
      <w:pPr>
        <w:pStyle w:val="Betarp"/>
        <w:numPr>
          <w:ilvl w:val="0"/>
          <w:numId w:val="24"/>
        </w:numPr>
        <w:ind w:left="567" w:hanging="567"/>
        <w:rPr>
          <w:lang w:val="lt-LT"/>
        </w:rPr>
      </w:pPr>
      <w:r w:rsidRPr="002E7B89">
        <w:rPr>
          <w:lang w:val="lt-LT" w:bidi="lt-LT"/>
        </w:rPr>
        <w:t>po tam tikrų žarnyno operacijų (žarnų anastomozės) – iš karto po operacijos.</w:t>
      </w:r>
    </w:p>
    <w:p w14:paraId="22FE4E37" w14:textId="77777777" w:rsidR="00271E9C" w:rsidRPr="002E7B89" w:rsidRDefault="00271E9C" w:rsidP="00271E9C">
      <w:pPr>
        <w:pStyle w:val="Betarp"/>
        <w:rPr>
          <w:lang w:val="lt-LT"/>
        </w:rPr>
      </w:pPr>
      <w:r w:rsidRPr="002E7B89">
        <w:rPr>
          <w:lang w:val="lt-LT" w:bidi="lt-LT"/>
        </w:rPr>
        <w:t>Pacientams, gaunantiems dideles gliukokortikoidų dozes, gali nebūti pilvaplėvės dirginimo požymių po skrandžio ar žarnyno opos perforacijos.</w:t>
      </w:r>
    </w:p>
    <w:p w14:paraId="110B4716" w14:textId="77777777" w:rsidR="00271E9C" w:rsidRPr="002E7B89" w:rsidRDefault="00271E9C" w:rsidP="00271E9C">
      <w:pPr>
        <w:pStyle w:val="Betarp"/>
        <w:rPr>
          <w:lang w:val="lt-LT"/>
        </w:rPr>
      </w:pPr>
    </w:p>
    <w:p w14:paraId="78B2C5D2" w14:textId="77777777" w:rsidR="00271E9C" w:rsidRPr="002E7B89" w:rsidRDefault="00271E9C" w:rsidP="00271E9C">
      <w:pPr>
        <w:pStyle w:val="Betarp"/>
        <w:rPr>
          <w:u w:val="single"/>
          <w:lang w:val="lt-LT"/>
        </w:rPr>
      </w:pPr>
      <w:r w:rsidRPr="002E7B89">
        <w:rPr>
          <w:u w:val="single"/>
          <w:lang w:val="lt-LT" w:bidi="lt-LT"/>
        </w:rPr>
        <w:t>Ilgalaikis gydymas</w:t>
      </w:r>
    </w:p>
    <w:p w14:paraId="7D5BF748" w14:textId="77777777" w:rsidR="00271E9C" w:rsidRPr="002E7B89" w:rsidRDefault="00271E9C" w:rsidP="00271E9C">
      <w:pPr>
        <w:pStyle w:val="Betarp"/>
        <w:rPr>
          <w:lang w:val="lt-LT"/>
        </w:rPr>
      </w:pPr>
      <w:r w:rsidRPr="002E7B89">
        <w:rPr>
          <w:lang w:val="lt-LT" w:bidi="lt-LT"/>
        </w:rPr>
        <w:t>Ilgalaikio gydymo metu rekomenduojama reguliariai tikrintis sveikatą (įskaitant akių tyrimus kas 3 mėnesius). Vartojant palyginti dideles dozes, reikia užtikrinti pakankamą organizmo aprūpinimą kaliu (pvz., valgyti daržoves, bananus), mažinti natrio (druskos) vartojimą ir stebėti kalio kiekį kraujyje. Būtina atidžiai stebėti pacientus, sergančius sunkiu širdies nepakankamumu (širdis neįstengia išstumti tiek kraujo, kiek reikia medžiagų apykaitai, fizinio krūvio metu ar net ilsintis).</w:t>
      </w:r>
    </w:p>
    <w:p w14:paraId="4C2A77DF" w14:textId="77777777" w:rsidR="00271E9C" w:rsidRPr="002E7B89" w:rsidRDefault="00271E9C" w:rsidP="00271E9C">
      <w:pPr>
        <w:pStyle w:val="Betarp"/>
        <w:rPr>
          <w:lang w:val="lt-LT"/>
        </w:rPr>
      </w:pPr>
    </w:p>
    <w:p w14:paraId="14458373" w14:textId="77777777" w:rsidR="00271E9C" w:rsidRPr="002E7B89" w:rsidRDefault="00271E9C" w:rsidP="00271E9C">
      <w:pPr>
        <w:pStyle w:val="Betarp"/>
        <w:rPr>
          <w:iCs/>
          <w:u w:val="single"/>
          <w:lang w:val="lt-LT"/>
        </w:rPr>
      </w:pPr>
      <w:r w:rsidRPr="002E7B89">
        <w:rPr>
          <w:u w:val="single"/>
          <w:lang w:val="lt-LT" w:bidi="lt-LT"/>
        </w:rPr>
        <w:t>Įspėjimai, susiję su konkrečiais vartojimo būdais</w:t>
      </w:r>
    </w:p>
    <w:p w14:paraId="49D099A9" w14:textId="77777777" w:rsidR="00271E9C" w:rsidRPr="002E7B89" w:rsidRDefault="00271E9C" w:rsidP="00271E9C">
      <w:pPr>
        <w:pStyle w:val="Betarp"/>
        <w:numPr>
          <w:ilvl w:val="0"/>
          <w:numId w:val="24"/>
        </w:numPr>
        <w:ind w:left="567" w:hanging="567"/>
        <w:rPr>
          <w:lang w:val="lt-LT"/>
        </w:rPr>
      </w:pPr>
      <w:r w:rsidRPr="002E7B89">
        <w:rPr>
          <w:lang w:val="lt-LT" w:bidi="lt-LT"/>
        </w:rPr>
        <w:t xml:space="preserve">Į veną vaistas </w:t>
      </w:r>
      <w:r w:rsidR="002F3208" w:rsidRPr="002E7B89">
        <w:rPr>
          <w:lang w:val="lt-LT" w:bidi="lt-LT"/>
        </w:rPr>
        <w:t>leidžiamas</w:t>
      </w:r>
      <w:r w:rsidRPr="002E7B89">
        <w:rPr>
          <w:lang w:val="lt-LT" w:bidi="lt-LT"/>
        </w:rPr>
        <w:t xml:space="preserve"> lėtai (2–3 minutes), nes per greita injekcija gali sukelti laikiną nemalonų dilgčiojimą ar neįprastus odos pojūčius, trunkančius iki 3 minučių. Šis poveikis pats savaime nėra žalingas.</w:t>
      </w:r>
    </w:p>
    <w:p w14:paraId="62A3BBCA" w14:textId="77777777" w:rsidR="00271E9C" w:rsidRPr="002E7B89" w:rsidRDefault="00271E9C" w:rsidP="00271E9C">
      <w:pPr>
        <w:pStyle w:val="Betarp"/>
        <w:numPr>
          <w:ilvl w:val="0"/>
          <w:numId w:val="24"/>
        </w:numPr>
        <w:ind w:left="567" w:hanging="567"/>
        <w:rPr>
          <w:lang w:val="lt-LT"/>
        </w:rPr>
      </w:pPr>
      <w:r w:rsidRPr="002E7B89">
        <w:rPr>
          <w:lang w:val="lt-LT" w:bidi="lt-LT"/>
        </w:rPr>
        <w:t>Gliukokortikoidų injekcijos į sąnarį didina sąnarių infekcijų riziką. Ilgai ir pakartotinai vartojant gliukokortikoidus, sąnariuose, kuriems tenka laikyti svorį, gali paūmėti sąnario degeneraciniai pokyčiai. Viena iš galimų priežasčių yra pažeisto sąnario perkrova po to, kai skausmas ar kiti simptomai išnyksta.</w:t>
      </w:r>
    </w:p>
    <w:p w14:paraId="3E681497" w14:textId="77777777" w:rsidR="00271E9C" w:rsidRPr="002E7B89" w:rsidRDefault="00271E9C" w:rsidP="00271E9C">
      <w:pPr>
        <w:pStyle w:val="Betarp"/>
        <w:rPr>
          <w:u w:val="single"/>
          <w:lang w:val="lt-LT"/>
        </w:rPr>
      </w:pPr>
    </w:p>
    <w:p w14:paraId="39EAC763" w14:textId="77777777" w:rsidR="00271E9C" w:rsidRPr="002E7B89" w:rsidRDefault="00271E9C" w:rsidP="00271E9C">
      <w:pPr>
        <w:pStyle w:val="Betarp"/>
        <w:rPr>
          <w:u w:val="single"/>
          <w:lang w:val="lt-LT"/>
        </w:rPr>
      </w:pPr>
      <w:r w:rsidRPr="002E7B89">
        <w:rPr>
          <w:u w:val="single"/>
          <w:lang w:val="lt-LT" w:bidi="lt-LT"/>
        </w:rPr>
        <w:t>Kiti įspėjimai</w:t>
      </w:r>
    </w:p>
    <w:p w14:paraId="7EEFF555" w14:textId="77777777" w:rsidR="00271E9C" w:rsidRPr="002E7B89" w:rsidRDefault="00271E9C" w:rsidP="00271E9C">
      <w:pPr>
        <w:pStyle w:val="Betarp"/>
        <w:numPr>
          <w:ilvl w:val="0"/>
          <w:numId w:val="24"/>
        </w:numPr>
        <w:ind w:left="567" w:hanging="567"/>
        <w:rPr>
          <w:lang w:val="lt-LT"/>
        </w:rPr>
      </w:pPr>
      <w:r w:rsidRPr="002E7B89">
        <w:rPr>
          <w:lang w:val="lt-LT" w:bidi="lt-LT"/>
        </w:rPr>
        <w:t>Vartojant dideles dozes, gali sumažėti pulsas.</w:t>
      </w:r>
    </w:p>
    <w:p w14:paraId="56A3ABF3" w14:textId="77777777" w:rsidR="00271E9C" w:rsidRPr="002E7B89" w:rsidRDefault="00271E9C" w:rsidP="00271E9C">
      <w:pPr>
        <w:pStyle w:val="Betarp"/>
        <w:numPr>
          <w:ilvl w:val="0"/>
          <w:numId w:val="24"/>
        </w:numPr>
        <w:ind w:left="567" w:hanging="567"/>
        <w:rPr>
          <w:lang w:val="lt-LT"/>
        </w:rPr>
      </w:pPr>
      <w:r w:rsidRPr="002E7B89">
        <w:rPr>
          <w:lang w:val="lt-LT" w:bidi="lt-LT"/>
        </w:rPr>
        <w:t>Kai kartu su deksametazonu vartojami fluor</w:t>
      </w:r>
      <w:r w:rsidR="002F3208" w:rsidRPr="002E7B89">
        <w:rPr>
          <w:lang w:val="lt-LT" w:bidi="lt-LT"/>
        </w:rPr>
        <w:t>o</w:t>
      </w:r>
      <w:r w:rsidR="008543EF">
        <w:rPr>
          <w:lang w:val="lt-LT" w:bidi="lt-LT"/>
        </w:rPr>
        <w:t>ch</w:t>
      </w:r>
      <w:r w:rsidRPr="002E7B89">
        <w:rPr>
          <w:lang w:val="lt-LT" w:bidi="lt-LT"/>
        </w:rPr>
        <w:t xml:space="preserve">inolonai (antibiotikai), padidėja sausgyslių </w:t>
      </w:r>
      <w:r w:rsidR="008543EF">
        <w:rPr>
          <w:lang w:val="lt-LT" w:bidi="lt-LT"/>
        </w:rPr>
        <w:t>ligų</w:t>
      </w:r>
      <w:r w:rsidRPr="002E7B89">
        <w:rPr>
          <w:lang w:val="lt-LT" w:bidi="lt-LT"/>
        </w:rPr>
        <w:t xml:space="preserve">, </w:t>
      </w:r>
      <w:r w:rsidRPr="002E7B89">
        <w:rPr>
          <w:lang w:val="lt-LT" w:bidi="lt-LT"/>
        </w:rPr>
        <w:lastRenderedPageBreak/>
        <w:t>sausgyslių uždegimo ir sausgyslės plyšimo rizika.</w:t>
      </w:r>
    </w:p>
    <w:p w14:paraId="60085CAC" w14:textId="77777777" w:rsidR="00271E9C" w:rsidRPr="002E7B89" w:rsidRDefault="008543EF" w:rsidP="00271E9C">
      <w:pPr>
        <w:pStyle w:val="Betarp"/>
        <w:numPr>
          <w:ilvl w:val="0"/>
          <w:numId w:val="24"/>
        </w:numPr>
        <w:ind w:left="567" w:hanging="567"/>
        <w:rPr>
          <w:lang w:val="lt-LT"/>
        </w:rPr>
      </w:pPr>
      <w:r>
        <w:rPr>
          <w:lang w:val="lt-LT" w:bidi="lt-LT"/>
        </w:rPr>
        <w:t>S</w:t>
      </w:r>
      <w:r w:rsidR="00271E9C" w:rsidRPr="002E7B89">
        <w:rPr>
          <w:lang w:val="lt-LT" w:bidi="lt-LT"/>
        </w:rPr>
        <w:t>kiepyti negyvomis (inaktyvuotomis) vakcinomis</w:t>
      </w:r>
      <w:r>
        <w:rPr>
          <w:lang w:val="lt-LT" w:bidi="lt-LT"/>
        </w:rPr>
        <w:t xml:space="preserve"> galima</w:t>
      </w:r>
      <w:r w:rsidR="00271E9C" w:rsidRPr="002E7B89">
        <w:rPr>
          <w:lang w:val="lt-LT" w:bidi="lt-LT"/>
        </w:rPr>
        <w:t>. Vis dėlto reikėtų nepamiršti, kad imuninis atsakas, taigi ir skiepijimo sėkmė, vartojant didesnes dozes gali susilpnėti.</w:t>
      </w:r>
    </w:p>
    <w:p w14:paraId="3BD812B1" w14:textId="2664C36F" w:rsidR="00271E9C" w:rsidRDefault="002F3208" w:rsidP="00271E9C">
      <w:pPr>
        <w:pStyle w:val="Betarp"/>
        <w:numPr>
          <w:ilvl w:val="0"/>
          <w:numId w:val="24"/>
        </w:numPr>
        <w:ind w:left="567" w:hanging="567"/>
        <w:rPr>
          <w:lang w:val="lt-LT"/>
        </w:rPr>
      </w:pPr>
      <w:r w:rsidRPr="002E7B89">
        <w:rPr>
          <w:lang w:val="lt-LT" w:bidi="lt-LT"/>
        </w:rPr>
        <w:t>Senyviems</w:t>
      </w:r>
      <w:r w:rsidR="00271E9C" w:rsidRPr="002E7B89">
        <w:rPr>
          <w:lang w:val="lt-LT" w:bidi="lt-LT"/>
        </w:rPr>
        <w:t xml:space="preserve"> pacientams gydytojas </w:t>
      </w:r>
      <w:r w:rsidRPr="002E7B89">
        <w:rPr>
          <w:lang w:val="lt-LT" w:bidi="lt-LT"/>
        </w:rPr>
        <w:t xml:space="preserve">turi </w:t>
      </w:r>
      <w:r w:rsidR="00271E9C" w:rsidRPr="002E7B89">
        <w:rPr>
          <w:lang w:val="lt-LT" w:bidi="lt-LT"/>
        </w:rPr>
        <w:t xml:space="preserve">atidžiai </w:t>
      </w:r>
      <w:r w:rsidRPr="002E7B89">
        <w:rPr>
          <w:lang w:val="lt-LT" w:bidi="lt-LT"/>
        </w:rPr>
        <w:t>įvertinti</w:t>
      </w:r>
      <w:r w:rsidR="00271E9C" w:rsidRPr="002E7B89">
        <w:rPr>
          <w:lang w:val="lt-LT" w:bidi="lt-LT"/>
        </w:rPr>
        <w:t xml:space="preserve"> naud</w:t>
      </w:r>
      <w:r w:rsidRPr="002E7B89">
        <w:rPr>
          <w:lang w:val="lt-LT" w:bidi="lt-LT"/>
        </w:rPr>
        <w:t>os</w:t>
      </w:r>
      <w:r w:rsidR="00271E9C" w:rsidRPr="002E7B89">
        <w:rPr>
          <w:lang w:val="lt-LT" w:bidi="lt-LT"/>
        </w:rPr>
        <w:t xml:space="preserve"> ir rizik</w:t>
      </w:r>
      <w:r w:rsidRPr="002E7B89">
        <w:rPr>
          <w:lang w:val="lt-LT" w:bidi="lt-LT"/>
        </w:rPr>
        <w:t>os santykį</w:t>
      </w:r>
      <w:r w:rsidR="00271E9C" w:rsidRPr="002E7B89">
        <w:rPr>
          <w:lang w:val="lt-LT" w:bidi="lt-LT"/>
        </w:rPr>
        <w:t xml:space="preserve"> ir atkreip</w:t>
      </w:r>
      <w:r w:rsidRPr="002E7B89">
        <w:rPr>
          <w:lang w:val="lt-LT" w:bidi="lt-LT"/>
        </w:rPr>
        <w:t>ti</w:t>
      </w:r>
      <w:r w:rsidR="00271E9C" w:rsidRPr="002E7B89">
        <w:rPr>
          <w:lang w:val="lt-LT" w:bidi="lt-LT"/>
        </w:rPr>
        <w:t xml:space="preserve"> dėmesį į šalutinį poveikį, pavyzdžiui, osteoporozę (kaulinio audinio irimas).</w:t>
      </w:r>
    </w:p>
    <w:p w14:paraId="02AA3160" w14:textId="41F4E124" w:rsidR="00F83D28" w:rsidRPr="002E7B89" w:rsidRDefault="00F83D28" w:rsidP="00271E9C">
      <w:pPr>
        <w:pStyle w:val="Betarp"/>
        <w:numPr>
          <w:ilvl w:val="0"/>
          <w:numId w:val="24"/>
        </w:numPr>
        <w:ind w:left="567" w:hanging="567"/>
        <w:rPr>
          <w:lang w:val="lt-LT"/>
        </w:rPr>
      </w:pPr>
      <w:r w:rsidRPr="00F83D28">
        <w:rPr>
          <w:lang w:val="lt-LT"/>
        </w:rPr>
        <w:t>Jeigu deksametazono skiriama neišnešiotam kūdikiui, reikia stebėti jo širdies funkciją ir struktūrą.</w:t>
      </w:r>
    </w:p>
    <w:p w14:paraId="6B51F2D4" w14:textId="77777777" w:rsidR="00271E9C" w:rsidRPr="002E7B89" w:rsidRDefault="00271E9C" w:rsidP="00271E9C">
      <w:pPr>
        <w:pStyle w:val="Betarp"/>
        <w:rPr>
          <w:lang w:val="lt-LT"/>
        </w:rPr>
      </w:pPr>
    </w:p>
    <w:p w14:paraId="41DDA9C0" w14:textId="77777777" w:rsidR="00271E9C" w:rsidRPr="002E7B89" w:rsidRDefault="00271E9C" w:rsidP="00271E9C">
      <w:pPr>
        <w:pStyle w:val="Betarp"/>
        <w:rPr>
          <w:b/>
          <w:lang w:val="lt-LT"/>
        </w:rPr>
      </w:pPr>
      <w:r w:rsidRPr="002E7B89">
        <w:rPr>
          <w:b/>
          <w:lang w:val="lt-LT" w:bidi="lt-LT"/>
        </w:rPr>
        <w:t>Vaikams ir paaugliams</w:t>
      </w:r>
    </w:p>
    <w:p w14:paraId="6FC5F29B" w14:textId="77777777" w:rsidR="00271E9C" w:rsidRPr="002E7B89" w:rsidRDefault="00271E9C" w:rsidP="00271E9C">
      <w:pPr>
        <w:pStyle w:val="Betarp"/>
        <w:rPr>
          <w:lang w:val="lt-LT"/>
        </w:rPr>
      </w:pPr>
      <w:r w:rsidRPr="002E7B89">
        <w:rPr>
          <w:lang w:val="lt-LT" w:bidi="lt-LT"/>
        </w:rPr>
        <w:t>Deksametazonas neturėtų būti įprastai skiriamas neišnešiotiems kūdikiams, turintiems kvėpavimo sutrikimų.</w:t>
      </w:r>
    </w:p>
    <w:p w14:paraId="17F90591" w14:textId="77777777" w:rsidR="00271E9C" w:rsidRPr="002E7B89" w:rsidRDefault="00271E9C" w:rsidP="00271E9C">
      <w:pPr>
        <w:pStyle w:val="Betarp"/>
        <w:rPr>
          <w:lang w:val="lt-LT"/>
        </w:rPr>
      </w:pPr>
      <w:r w:rsidRPr="002E7B89">
        <w:rPr>
          <w:lang w:val="lt-LT" w:bidi="lt-LT"/>
        </w:rPr>
        <w:t>Dėl augimo sulėtėjimo rizikos vaikams ir paaugliams gydymas deksametazonu turėtų būti skiriamas tik esant svarbioms medicininėms priežastims. Jei įmanoma, ilgalaikio gydymo metu turėtų būti taikomas protarpinis gydymas.</w:t>
      </w:r>
    </w:p>
    <w:p w14:paraId="47575CD3" w14:textId="77777777" w:rsidR="00271E9C" w:rsidRPr="002E7B89" w:rsidRDefault="00271E9C" w:rsidP="00271E9C">
      <w:pPr>
        <w:pStyle w:val="Betarp"/>
        <w:rPr>
          <w:lang w:val="lt-LT"/>
        </w:rPr>
      </w:pPr>
    </w:p>
    <w:p w14:paraId="7D90D9A0" w14:textId="77777777" w:rsidR="00271E9C" w:rsidRPr="002E7B89" w:rsidRDefault="00271E9C" w:rsidP="00271E9C">
      <w:pPr>
        <w:pStyle w:val="Betarp"/>
        <w:rPr>
          <w:b/>
          <w:lang w:val="lt-LT"/>
        </w:rPr>
      </w:pPr>
      <w:bookmarkStart w:id="33" w:name="Anwendung_von_Fortecortin_zusammen_mit_a"/>
      <w:bookmarkEnd w:id="33"/>
      <w:r w:rsidRPr="002E7B89">
        <w:rPr>
          <w:b/>
          <w:lang w:val="lt-LT" w:bidi="lt-LT"/>
        </w:rPr>
        <w:t xml:space="preserve">Kiti vaistai ir </w:t>
      </w:r>
      <w:r w:rsidR="008765BB">
        <w:rPr>
          <w:b/>
          <w:lang w:val="lt-LT" w:bidi="lt-LT"/>
        </w:rPr>
        <w:t>Dexamethasone Kalceks</w:t>
      </w:r>
    </w:p>
    <w:p w14:paraId="38F9BA33" w14:textId="77777777" w:rsidR="00271E9C" w:rsidRPr="002E7B89" w:rsidRDefault="00271E9C" w:rsidP="00271E9C">
      <w:pPr>
        <w:pStyle w:val="Betarp"/>
        <w:rPr>
          <w:lang w:val="lt-LT"/>
        </w:rPr>
      </w:pPr>
      <w:r w:rsidRPr="002E7B89">
        <w:rPr>
          <w:lang w:val="lt-LT" w:bidi="lt-LT"/>
        </w:rPr>
        <w:t>Jeigu vartojate ar neseniai vartojote kitų vaistų arba dėl to nesate tikri, apie tai pasakykite gydytojui arba vaistininkui.</w:t>
      </w:r>
    </w:p>
    <w:p w14:paraId="5F68FFBB" w14:textId="77777777" w:rsidR="00271E9C" w:rsidRPr="002E7B89" w:rsidRDefault="00271E9C" w:rsidP="00271E9C">
      <w:pPr>
        <w:pStyle w:val="Betarp"/>
        <w:rPr>
          <w:lang w:val="lt-LT"/>
        </w:rPr>
      </w:pPr>
      <w:r w:rsidRPr="002E7B89">
        <w:rPr>
          <w:lang w:val="lt-LT" w:bidi="lt-LT"/>
        </w:rPr>
        <w:t xml:space="preserve">Kai kurie vaistai gali sustiprinti deksametazono poveikį, todėl gydytojas gali nuspręsti atidžiai </w:t>
      </w:r>
      <w:r w:rsidR="00855CC3" w:rsidRPr="002E7B89">
        <w:rPr>
          <w:lang w:val="lt-LT" w:bidi="lt-LT"/>
        </w:rPr>
        <w:t>J</w:t>
      </w:r>
      <w:r w:rsidRPr="002E7B89">
        <w:rPr>
          <w:lang w:val="lt-LT" w:bidi="lt-LT"/>
        </w:rPr>
        <w:t>us stebėti, jei vartojate tuos vaistus (įskaitant vaistus nuo ŽIV: ritonavirą, kobicistatą).</w:t>
      </w:r>
    </w:p>
    <w:p w14:paraId="5A279488" w14:textId="77777777" w:rsidR="00271E9C" w:rsidRPr="002E7B89" w:rsidRDefault="00271E9C" w:rsidP="00271E9C">
      <w:pPr>
        <w:pStyle w:val="Betarp"/>
        <w:rPr>
          <w:lang w:val="lt-LT"/>
        </w:rPr>
      </w:pPr>
    </w:p>
    <w:p w14:paraId="3B79F8F4" w14:textId="77777777" w:rsidR="00271E9C" w:rsidRPr="002E7B89" w:rsidRDefault="00271E9C" w:rsidP="00271E9C">
      <w:pPr>
        <w:pStyle w:val="Betarp"/>
        <w:rPr>
          <w:lang w:val="lt-LT"/>
        </w:rPr>
      </w:pPr>
      <w:r w:rsidRPr="002E7B89">
        <w:rPr>
          <w:lang w:val="lt-LT" w:bidi="lt-LT"/>
        </w:rPr>
        <w:t>Pasakykite gydytojui arba vaistininkui, jei vartojate bet kurį iš šių vaistų:</w:t>
      </w:r>
    </w:p>
    <w:p w14:paraId="5150706C" w14:textId="77777777" w:rsidR="00271E9C" w:rsidRPr="002E7B89" w:rsidRDefault="00271E9C" w:rsidP="00271E9C">
      <w:pPr>
        <w:pStyle w:val="Betarp"/>
        <w:numPr>
          <w:ilvl w:val="0"/>
          <w:numId w:val="28"/>
        </w:numPr>
        <w:ind w:left="567" w:hanging="567"/>
        <w:rPr>
          <w:lang w:val="lt-LT"/>
        </w:rPr>
      </w:pPr>
      <w:r w:rsidRPr="002E7B89">
        <w:rPr>
          <w:lang w:val="lt-LT" w:bidi="lt-LT"/>
        </w:rPr>
        <w:t>vaistai širdies nepakankamumui gydyti (širdį veikiantys glikozidai);</w:t>
      </w:r>
    </w:p>
    <w:p w14:paraId="15F5B987" w14:textId="77777777" w:rsidR="00271E9C" w:rsidRPr="002E7B89" w:rsidRDefault="00271E9C" w:rsidP="00271E9C">
      <w:pPr>
        <w:pStyle w:val="Betarp"/>
        <w:numPr>
          <w:ilvl w:val="0"/>
          <w:numId w:val="28"/>
        </w:numPr>
        <w:ind w:left="567" w:hanging="567"/>
        <w:rPr>
          <w:lang w:val="lt-LT"/>
        </w:rPr>
      </w:pPr>
      <w:r w:rsidRPr="002E7B89">
        <w:rPr>
          <w:lang w:val="lt-LT" w:bidi="lt-LT"/>
        </w:rPr>
        <w:t xml:space="preserve">šlapimo išsiskyrimą </w:t>
      </w:r>
      <w:r w:rsidR="00855CC3" w:rsidRPr="002E7B89">
        <w:rPr>
          <w:lang w:val="lt-LT" w:bidi="lt-LT"/>
        </w:rPr>
        <w:t>skatinantys</w:t>
      </w:r>
      <w:r w:rsidRPr="002E7B89">
        <w:rPr>
          <w:lang w:val="lt-LT" w:bidi="lt-LT"/>
        </w:rPr>
        <w:t xml:space="preserve"> vaistai;</w:t>
      </w:r>
    </w:p>
    <w:p w14:paraId="0EDB1ECD" w14:textId="77777777" w:rsidR="00271E9C" w:rsidRPr="002E7B89" w:rsidRDefault="00271E9C" w:rsidP="00271E9C">
      <w:pPr>
        <w:pStyle w:val="Betarp"/>
        <w:numPr>
          <w:ilvl w:val="0"/>
          <w:numId w:val="28"/>
        </w:numPr>
        <w:ind w:left="567" w:hanging="567"/>
        <w:rPr>
          <w:lang w:val="lt-LT"/>
        </w:rPr>
      </w:pPr>
      <w:r w:rsidRPr="002E7B89">
        <w:rPr>
          <w:lang w:val="lt-LT" w:bidi="lt-LT"/>
        </w:rPr>
        <w:t xml:space="preserve">cukraus kiekį kraujyje mažinantys vaistai (antidiabetiniai </w:t>
      </w:r>
      <w:r w:rsidR="00855CC3" w:rsidRPr="002E7B89">
        <w:rPr>
          <w:lang w:val="lt-LT" w:bidi="lt-LT"/>
        </w:rPr>
        <w:t>vaistai</w:t>
      </w:r>
      <w:r w:rsidRPr="002E7B89">
        <w:rPr>
          <w:lang w:val="lt-LT" w:bidi="lt-LT"/>
        </w:rPr>
        <w:t>);</w:t>
      </w:r>
    </w:p>
    <w:p w14:paraId="07395F24" w14:textId="77777777" w:rsidR="00271E9C" w:rsidRPr="002E7B89" w:rsidRDefault="00271E9C" w:rsidP="00271E9C">
      <w:pPr>
        <w:pStyle w:val="Betarp"/>
        <w:numPr>
          <w:ilvl w:val="0"/>
          <w:numId w:val="28"/>
        </w:numPr>
        <w:ind w:left="567" w:hanging="567"/>
        <w:rPr>
          <w:lang w:val="lt-LT"/>
        </w:rPr>
      </w:pPr>
      <w:r w:rsidRPr="002E7B89">
        <w:rPr>
          <w:lang w:val="lt-LT" w:bidi="lt-LT"/>
        </w:rPr>
        <w:t>vaistai nuo kraujo krešulių susidarymo ir (arba) kraują skystinantys vaistai (kumarino dariniai);</w:t>
      </w:r>
    </w:p>
    <w:p w14:paraId="3F039230" w14:textId="77777777" w:rsidR="00271E9C" w:rsidRPr="002E7B89" w:rsidRDefault="00271E9C" w:rsidP="00271E9C">
      <w:pPr>
        <w:pStyle w:val="Betarp"/>
        <w:numPr>
          <w:ilvl w:val="0"/>
          <w:numId w:val="28"/>
        </w:numPr>
        <w:ind w:left="567" w:hanging="567"/>
        <w:rPr>
          <w:lang w:val="lt-LT"/>
        </w:rPr>
      </w:pPr>
      <w:r w:rsidRPr="002E7B89">
        <w:rPr>
          <w:lang w:val="lt-LT" w:bidi="lt-LT"/>
        </w:rPr>
        <w:t>efedrinas (vartojamas nuo astmos ir kraujotakos sutrikimų);</w:t>
      </w:r>
    </w:p>
    <w:p w14:paraId="070C186D" w14:textId="77777777" w:rsidR="00271E9C" w:rsidRPr="002E7B89" w:rsidRDefault="00271E9C" w:rsidP="00271E9C">
      <w:pPr>
        <w:pStyle w:val="Betarp"/>
        <w:numPr>
          <w:ilvl w:val="0"/>
          <w:numId w:val="28"/>
        </w:numPr>
        <w:ind w:left="567" w:hanging="567"/>
        <w:rPr>
          <w:lang w:val="lt-LT"/>
        </w:rPr>
      </w:pPr>
      <w:r w:rsidRPr="002E7B89">
        <w:rPr>
          <w:lang w:val="lt-LT" w:bidi="lt-LT"/>
        </w:rPr>
        <w:t>rifampicinas (vartojamas tuberkuliozei gydyti);</w:t>
      </w:r>
    </w:p>
    <w:p w14:paraId="7611D108" w14:textId="77777777" w:rsidR="00271E9C" w:rsidRPr="002E7B89" w:rsidRDefault="00271E9C" w:rsidP="00271E9C">
      <w:pPr>
        <w:pStyle w:val="Betarp"/>
        <w:numPr>
          <w:ilvl w:val="0"/>
          <w:numId w:val="28"/>
        </w:numPr>
        <w:ind w:left="567" w:hanging="567"/>
        <w:rPr>
          <w:lang w:val="lt-LT"/>
        </w:rPr>
      </w:pPr>
      <w:r w:rsidRPr="002E7B89">
        <w:rPr>
          <w:lang w:val="lt-LT" w:bidi="lt-LT"/>
        </w:rPr>
        <w:t>vaistai traukuliams ir epilepsijai gydyti (fenitoinas, karbamazepinas, primidonas);</w:t>
      </w:r>
    </w:p>
    <w:p w14:paraId="248D0C08" w14:textId="77777777" w:rsidR="00271E9C" w:rsidRPr="002E7B89" w:rsidRDefault="00271E9C" w:rsidP="00271E9C">
      <w:pPr>
        <w:pStyle w:val="Betarp"/>
        <w:numPr>
          <w:ilvl w:val="0"/>
          <w:numId w:val="28"/>
        </w:numPr>
        <w:ind w:left="567" w:hanging="567"/>
        <w:rPr>
          <w:lang w:val="lt-LT"/>
        </w:rPr>
      </w:pPr>
      <w:r w:rsidRPr="002E7B89">
        <w:rPr>
          <w:lang w:val="lt-LT" w:bidi="lt-LT"/>
        </w:rPr>
        <w:t>barbitūratai (vaistai, padedantys užmigti);</w:t>
      </w:r>
    </w:p>
    <w:p w14:paraId="52134694" w14:textId="77777777" w:rsidR="00271E9C" w:rsidRPr="002E7B89" w:rsidRDefault="00271E9C" w:rsidP="00271E9C">
      <w:pPr>
        <w:pStyle w:val="Betarp"/>
        <w:numPr>
          <w:ilvl w:val="0"/>
          <w:numId w:val="28"/>
        </w:numPr>
        <w:ind w:left="567" w:hanging="567"/>
        <w:rPr>
          <w:lang w:val="lt-LT"/>
        </w:rPr>
      </w:pPr>
      <w:r w:rsidRPr="002E7B89">
        <w:rPr>
          <w:lang w:val="lt-LT" w:bidi="lt-LT"/>
        </w:rPr>
        <w:t>ketokonazolas, itrakonazolas (vartojami grybelinėms infekcijoms gydyti);</w:t>
      </w:r>
    </w:p>
    <w:p w14:paraId="48877408" w14:textId="77777777" w:rsidR="00271E9C" w:rsidRPr="002E7B89" w:rsidRDefault="00271E9C" w:rsidP="00271E9C">
      <w:pPr>
        <w:pStyle w:val="Betarp"/>
        <w:numPr>
          <w:ilvl w:val="0"/>
          <w:numId w:val="28"/>
        </w:numPr>
        <w:ind w:left="567" w:hanging="567"/>
        <w:rPr>
          <w:lang w:val="lt-LT"/>
        </w:rPr>
      </w:pPr>
      <w:r w:rsidRPr="002E7B89">
        <w:rPr>
          <w:lang w:val="lt-LT" w:bidi="lt-LT"/>
        </w:rPr>
        <w:t>vaistai infekcijoms gydyti (makrolidiniai antibiotikai, pvz., eritromicinas, arba fluor</w:t>
      </w:r>
      <w:r w:rsidR="00394422">
        <w:rPr>
          <w:lang w:val="lt-LT" w:bidi="lt-LT"/>
        </w:rPr>
        <w:t>o</w:t>
      </w:r>
      <w:r w:rsidR="008543EF">
        <w:rPr>
          <w:lang w:val="lt-LT" w:bidi="lt-LT"/>
        </w:rPr>
        <w:t>ch</w:t>
      </w:r>
      <w:r w:rsidRPr="002E7B89">
        <w:rPr>
          <w:lang w:val="lt-LT" w:bidi="lt-LT"/>
        </w:rPr>
        <w:t>inolonai, pvz., ciprofloksacinas);</w:t>
      </w:r>
    </w:p>
    <w:p w14:paraId="0F7B2FB3" w14:textId="77777777" w:rsidR="00271E9C" w:rsidRPr="002E7B89" w:rsidRDefault="00271E9C" w:rsidP="00271E9C">
      <w:pPr>
        <w:pStyle w:val="Betarp"/>
        <w:numPr>
          <w:ilvl w:val="0"/>
          <w:numId w:val="28"/>
        </w:numPr>
        <w:ind w:left="567" w:hanging="567"/>
        <w:rPr>
          <w:lang w:val="lt-LT"/>
        </w:rPr>
      </w:pPr>
      <w:r w:rsidRPr="002E7B89">
        <w:rPr>
          <w:lang w:val="lt-LT" w:bidi="lt-LT"/>
        </w:rPr>
        <w:t>skausmo malšinamieji ir uždegimo slopinamieji (antireumatiniai) vaistai (pvz., salicilatai ir indometacinas);</w:t>
      </w:r>
    </w:p>
    <w:p w14:paraId="03E1A2E0" w14:textId="77777777" w:rsidR="00271E9C" w:rsidRPr="002E7B89" w:rsidRDefault="00271E9C" w:rsidP="00271E9C">
      <w:pPr>
        <w:pStyle w:val="Betarp"/>
        <w:numPr>
          <w:ilvl w:val="0"/>
          <w:numId w:val="28"/>
        </w:numPr>
        <w:ind w:left="567" w:hanging="567"/>
        <w:rPr>
          <w:lang w:val="lt-LT"/>
        </w:rPr>
      </w:pPr>
      <w:r w:rsidRPr="002E7B89">
        <w:rPr>
          <w:lang w:val="lt-LT" w:bidi="lt-LT"/>
        </w:rPr>
        <w:t>kontraceptikai, kurių sudėtyje yra estrogeno;</w:t>
      </w:r>
    </w:p>
    <w:p w14:paraId="02320B60" w14:textId="77777777" w:rsidR="00271E9C" w:rsidRPr="002E7B89" w:rsidRDefault="00271E9C" w:rsidP="00271E9C">
      <w:pPr>
        <w:pStyle w:val="Betarp"/>
        <w:numPr>
          <w:ilvl w:val="0"/>
          <w:numId w:val="28"/>
        </w:numPr>
        <w:ind w:left="567" w:hanging="567"/>
        <w:rPr>
          <w:lang w:val="lt-LT"/>
        </w:rPr>
      </w:pPr>
      <w:r w:rsidRPr="002E7B89">
        <w:rPr>
          <w:lang w:val="lt-LT" w:bidi="lt-LT"/>
        </w:rPr>
        <w:t>vaistai nuo žarnyno parazitų (prazikvantelis);</w:t>
      </w:r>
    </w:p>
    <w:p w14:paraId="54EB047E" w14:textId="77777777" w:rsidR="00271E9C" w:rsidRPr="002E7B89" w:rsidRDefault="00271E9C" w:rsidP="00271E9C">
      <w:pPr>
        <w:pStyle w:val="Betarp"/>
        <w:numPr>
          <w:ilvl w:val="0"/>
          <w:numId w:val="28"/>
        </w:numPr>
        <w:ind w:left="567" w:hanging="567"/>
        <w:rPr>
          <w:lang w:val="lt-LT"/>
        </w:rPr>
      </w:pPr>
      <w:r w:rsidRPr="002E7B89">
        <w:rPr>
          <w:lang w:val="lt-LT" w:bidi="lt-LT"/>
        </w:rPr>
        <w:t>vaistai nuo aukšto kraujospūdžio ir kai kurių širdies ligų (AKF inhibitoriai);</w:t>
      </w:r>
    </w:p>
    <w:p w14:paraId="57182C77" w14:textId="77777777" w:rsidR="00271E9C" w:rsidRPr="002E7B89" w:rsidRDefault="00271E9C" w:rsidP="00271E9C">
      <w:pPr>
        <w:pStyle w:val="Betarp"/>
        <w:numPr>
          <w:ilvl w:val="0"/>
          <w:numId w:val="28"/>
        </w:numPr>
        <w:ind w:left="567" w:hanging="567"/>
        <w:rPr>
          <w:lang w:val="lt-LT"/>
        </w:rPr>
      </w:pPr>
      <w:r w:rsidRPr="002E7B89">
        <w:rPr>
          <w:lang w:val="lt-LT" w:bidi="lt-LT"/>
        </w:rPr>
        <w:t>antimaliariniai preparatai (chlorokvinas, hidroksichlorokvinas, meflokinas);</w:t>
      </w:r>
    </w:p>
    <w:p w14:paraId="556EC824" w14:textId="77777777" w:rsidR="00271E9C" w:rsidRPr="002E7B89" w:rsidRDefault="00271E9C" w:rsidP="00271E9C">
      <w:pPr>
        <w:pStyle w:val="Betarp"/>
        <w:numPr>
          <w:ilvl w:val="0"/>
          <w:numId w:val="28"/>
        </w:numPr>
        <w:ind w:left="567" w:hanging="567"/>
        <w:rPr>
          <w:lang w:val="lt-LT"/>
        </w:rPr>
      </w:pPr>
      <w:r w:rsidRPr="002E7B89">
        <w:rPr>
          <w:lang w:val="lt-LT" w:bidi="lt-LT"/>
        </w:rPr>
        <w:t>somatropinas (augimo hormonas);</w:t>
      </w:r>
    </w:p>
    <w:p w14:paraId="1600F109" w14:textId="77777777" w:rsidR="00271E9C" w:rsidRPr="002E7B89" w:rsidRDefault="00271E9C" w:rsidP="00271E9C">
      <w:pPr>
        <w:pStyle w:val="Betarp"/>
        <w:numPr>
          <w:ilvl w:val="0"/>
          <w:numId w:val="28"/>
        </w:numPr>
        <w:ind w:left="567" w:hanging="567"/>
        <w:rPr>
          <w:lang w:val="lt-LT"/>
        </w:rPr>
      </w:pPr>
      <w:r w:rsidRPr="002E7B89">
        <w:rPr>
          <w:lang w:val="lt-LT" w:bidi="lt-LT"/>
        </w:rPr>
        <w:t>vidurius laisvinantys vaistai;</w:t>
      </w:r>
    </w:p>
    <w:p w14:paraId="3D2BA596" w14:textId="77777777" w:rsidR="00271E9C" w:rsidRPr="002E7B89" w:rsidRDefault="00271E9C" w:rsidP="00271E9C">
      <w:pPr>
        <w:pStyle w:val="Betarp"/>
        <w:numPr>
          <w:ilvl w:val="0"/>
          <w:numId w:val="28"/>
        </w:numPr>
        <w:ind w:left="567" w:hanging="567"/>
        <w:rPr>
          <w:lang w:val="lt-LT"/>
        </w:rPr>
      </w:pPr>
      <w:r w:rsidRPr="002E7B89">
        <w:rPr>
          <w:lang w:val="lt-LT" w:bidi="lt-LT"/>
        </w:rPr>
        <w:t>atropinas ir kiti anticholinerginiai vaistai (vaistai, blokuojantys tam tikro smegenų neuromediatoriaus veikimą);</w:t>
      </w:r>
    </w:p>
    <w:p w14:paraId="4E7C31A0" w14:textId="77777777" w:rsidR="00271E9C" w:rsidRPr="002E7B89" w:rsidRDefault="00271E9C" w:rsidP="00271E9C">
      <w:pPr>
        <w:pStyle w:val="Betarp"/>
        <w:numPr>
          <w:ilvl w:val="0"/>
          <w:numId w:val="28"/>
        </w:numPr>
        <w:ind w:left="567" w:hanging="567"/>
        <w:rPr>
          <w:lang w:val="lt-LT"/>
        </w:rPr>
      </w:pPr>
      <w:r w:rsidRPr="002E7B89">
        <w:rPr>
          <w:lang w:val="lt-LT" w:bidi="lt-LT"/>
        </w:rPr>
        <w:t>vaistai raumenims atpalaiduoti;</w:t>
      </w:r>
    </w:p>
    <w:p w14:paraId="0D88A191" w14:textId="77777777" w:rsidR="00271E9C" w:rsidRPr="002E7B89" w:rsidRDefault="00271E9C" w:rsidP="00271E9C">
      <w:pPr>
        <w:pStyle w:val="Betarp"/>
        <w:numPr>
          <w:ilvl w:val="0"/>
          <w:numId w:val="28"/>
        </w:numPr>
        <w:ind w:left="567" w:hanging="567"/>
        <w:rPr>
          <w:lang w:val="lt-LT"/>
        </w:rPr>
      </w:pPr>
      <w:r w:rsidRPr="002E7B89">
        <w:rPr>
          <w:lang w:val="lt-LT" w:bidi="lt-LT"/>
        </w:rPr>
        <w:t>imuninę sistemą silpninantys vaistai (ciklosporinas);</w:t>
      </w:r>
    </w:p>
    <w:p w14:paraId="4DAAF45E" w14:textId="77777777" w:rsidR="00271E9C" w:rsidRPr="002E7B89" w:rsidRDefault="00271E9C" w:rsidP="00271E9C">
      <w:pPr>
        <w:pStyle w:val="Betarp"/>
        <w:numPr>
          <w:ilvl w:val="0"/>
          <w:numId w:val="28"/>
        </w:numPr>
        <w:ind w:left="567" w:hanging="567"/>
        <w:rPr>
          <w:lang w:val="lt-LT"/>
        </w:rPr>
      </w:pPr>
      <w:r w:rsidRPr="002E7B89">
        <w:rPr>
          <w:lang w:val="lt-LT" w:bidi="lt-LT"/>
        </w:rPr>
        <w:t>bupropionas (priemonė, padedanti mesti rūkyti).</w:t>
      </w:r>
    </w:p>
    <w:p w14:paraId="326D98EF" w14:textId="77777777" w:rsidR="00271E9C" w:rsidRPr="002E7B89" w:rsidRDefault="00271E9C" w:rsidP="00271E9C">
      <w:pPr>
        <w:pStyle w:val="Betarp"/>
        <w:rPr>
          <w:lang w:val="lt-LT"/>
        </w:rPr>
      </w:pPr>
    </w:p>
    <w:p w14:paraId="3190DA0C" w14:textId="77777777" w:rsidR="00271E9C" w:rsidRPr="002E7B89" w:rsidRDefault="00271E9C" w:rsidP="00271E9C">
      <w:pPr>
        <w:pStyle w:val="Betarp"/>
        <w:rPr>
          <w:lang w:val="lt-LT" w:bidi="lt-LT"/>
        </w:rPr>
      </w:pPr>
      <w:r w:rsidRPr="002E7B89">
        <w:rPr>
          <w:lang w:val="lt-LT" w:bidi="lt-LT"/>
        </w:rPr>
        <w:t xml:space="preserve">Poveikis tyrimų metodams: gali būti slopinamos odos reakcijos į alerginius tyrimus. Galima sąveika su vaistu, vartojamu skydliaukės tyrimams (protirelinu: vartojant </w:t>
      </w:r>
      <w:r w:rsidR="008543EF">
        <w:rPr>
          <w:lang w:val="lt-LT" w:bidi="lt-LT"/>
        </w:rPr>
        <w:t>deksametazoną</w:t>
      </w:r>
      <w:r w:rsidRPr="002E7B89">
        <w:rPr>
          <w:lang w:val="lt-LT" w:bidi="lt-LT"/>
        </w:rPr>
        <w:t xml:space="preserve"> gali sumažėti </w:t>
      </w:r>
      <w:r w:rsidR="008543EF">
        <w:rPr>
          <w:lang w:val="lt-LT" w:bidi="lt-LT"/>
        </w:rPr>
        <w:t xml:space="preserve">protirelino sukeltas </w:t>
      </w:r>
      <w:r w:rsidRPr="002E7B89">
        <w:rPr>
          <w:lang w:val="lt-LT" w:bidi="lt-LT"/>
        </w:rPr>
        <w:t>T</w:t>
      </w:r>
      <w:r w:rsidR="00855CC3" w:rsidRPr="002E7B89">
        <w:rPr>
          <w:lang w:val="lt-LT" w:bidi="lt-LT"/>
        </w:rPr>
        <w:t>S</w:t>
      </w:r>
      <w:r w:rsidRPr="002E7B89">
        <w:rPr>
          <w:lang w:val="lt-LT" w:bidi="lt-LT"/>
        </w:rPr>
        <w:t>H padidėjimas).</w:t>
      </w:r>
    </w:p>
    <w:p w14:paraId="1D09D44E" w14:textId="77777777" w:rsidR="00271E9C" w:rsidRPr="002E7B89" w:rsidRDefault="00271E9C" w:rsidP="00271E9C">
      <w:pPr>
        <w:pStyle w:val="Betarp"/>
        <w:rPr>
          <w:lang w:val="lt-LT"/>
        </w:rPr>
      </w:pPr>
    </w:p>
    <w:p w14:paraId="1D2274ED" w14:textId="77777777" w:rsidR="00271E9C" w:rsidRPr="002E7B89" w:rsidRDefault="00271E9C" w:rsidP="00271E9C">
      <w:pPr>
        <w:pStyle w:val="Betarp"/>
        <w:rPr>
          <w:lang w:val="lt-LT"/>
        </w:rPr>
      </w:pPr>
      <w:r w:rsidRPr="002E7B89">
        <w:rPr>
          <w:lang w:val="lt-LT" w:bidi="lt-LT"/>
        </w:rPr>
        <w:t>Jei gydymas deksametazonu skiriamas likus 8 savaitėms iki aktyvaus profilaktinio skiepijimo ir iki 2 savaičių po jo, galima tikėtis, kad tokio skiepijimo veiksmingumas bus mažesnis arba skiepijimas gali būti visai neveiksmingas.</w:t>
      </w:r>
    </w:p>
    <w:p w14:paraId="4DEC719A" w14:textId="77777777" w:rsidR="00271E9C" w:rsidRPr="002E7B89" w:rsidRDefault="00271E9C" w:rsidP="00271E9C">
      <w:pPr>
        <w:pStyle w:val="Betarp"/>
        <w:rPr>
          <w:lang w:val="lt-LT"/>
        </w:rPr>
      </w:pPr>
    </w:p>
    <w:p w14:paraId="02CF020E" w14:textId="77777777" w:rsidR="00271E9C" w:rsidRPr="002E7B89" w:rsidRDefault="00271E9C" w:rsidP="00271E9C">
      <w:pPr>
        <w:pStyle w:val="Betarp"/>
        <w:rPr>
          <w:b/>
          <w:lang w:val="lt-LT"/>
        </w:rPr>
      </w:pPr>
      <w:bookmarkStart w:id="34" w:name="Schwangerschaft_und_Stillzeit_"/>
      <w:bookmarkEnd w:id="34"/>
      <w:r w:rsidRPr="002E7B89">
        <w:rPr>
          <w:b/>
          <w:lang w:val="lt-LT" w:bidi="lt-LT"/>
        </w:rPr>
        <w:t>Nėštumas, žindymo laikotarpis ir vaisingumas</w:t>
      </w:r>
    </w:p>
    <w:p w14:paraId="5A8E9625" w14:textId="77777777" w:rsidR="00271E9C" w:rsidRPr="002E7B89" w:rsidRDefault="00271E9C" w:rsidP="00271E9C">
      <w:pPr>
        <w:pStyle w:val="Betarp"/>
        <w:rPr>
          <w:u w:val="single"/>
          <w:lang w:val="lt-LT"/>
        </w:rPr>
      </w:pPr>
      <w:r w:rsidRPr="002E7B89">
        <w:rPr>
          <w:u w:val="single"/>
          <w:lang w:val="lt-LT" w:bidi="lt-LT"/>
        </w:rPr>
        <w:t>Nėštumas</w:t>
      </w:r>
    </w:p>
    <w:p w14:paraId="2B22F917" w14:textId="77777777" w:rsidR="00271E9C" w:rsidRPr="002E7B89" w:rsidRDefault="00271E9C" w:rsidP="00271E9C">
      <w:pPr>
        <w:pStyle w:val="Betarp"/>
        <w:rPr>
          <w:lang w:val="lt-LT"/>
        </w:rPr>
      </w:pPr>
      <w:r w:rsidRPr="002E7B89">
        <w:rPr>
          <w:lang w:val="lt-LT" w:bidi="lt-LT"/>
        </w:rPr>
        <w:lastRenderedPageBreak/>
        <w:t>Jeigu esate nėščia, žindote kūdikį, manote, kad galbūt esate nėščia arba planuojate pastoti, tai prieš vartodama šį vaistą pasitarkite su gydytoju arba vaistininku.</w:t>
      </w:r>
    </w:p>
    <w:p w14:paraId="77BAA432" w14:textId="24E27B34" w:rsidR="00271E9C" w:rsidRPr="002E7B89" w:rsidRDefault="00271E9C" w:rsidP="00271E9C">
      <w:pPr>
        <w:pStyle w:val="Betarp"/>
        <w:rPr>
          <w:lang w:val="lt-LT"/>
        </w:rPr>
      </w:pPr>
      <w:r w:rsidRPr="002E7B89">
        <w:rPr>
          <w:lang w:val="lt-LT" w:bidi="lt-LT"/>
        </w:rPr>
        <w:t xml:space="preserve">Deksametazonas prasiskverbia per placentą. Nėštumo metu, ypač pirmaisiais trimis mėnesiais, jis turėtų būti vartojamas tik gerai įvertinus naudą ir riziką. Todėl moterys turėtų informuoti gydytoją, jei yra nėščios </w:t>
      </w:r>
      <w:r w:rsidR="00FE71CC" w:rsidRPr="002E7B89">
        <w:rPr>
          <w:lang w:val="lt-LT" w:bidi="lt-LT"/>
        </w:rPr>
        <w:t xml:space="preserve">arba </w:t>
      </w:r>
      <w:r w:rsidR="00FE71CC" w:rsidRPr="00CA75B4">
        <w:rPr>
          <w:lang w:val="lt-LT" w:bidi="lt-LT"/>
        </w:rPr>
        <w:t>jei gydymo metu jos pastoja</w:t>
      </w:r>
      <w:r w:rsidRPr="002E7B89">
        <w:rPr>
          <w:lang w:val="lt-LT" w:bidi="lt-LT"/>
        </w:rPr>
        <w:t xml:space="preserve">. Jei ilgalaikis gydymas taikomas nėštumo metu, </w:t>
      </w:r>
      <w:r w:rsidR="008543EF">
        <w:rPr>
          <w:lang w:val="lt-LT" w:bidi="lt-LT"/>
        </w:rPr>
        <w:t>galimi</w:t>
      </w:r>
      <w:r w:rsidRPr="002E7B89">
        <w:rPr>
          <w:lang w:val="lt-LT" w:bidi="lt-LT"/>
        </w:rPr>
        <w:t xml:space="preserve"> vaisiaus augimo sutrikim</w:t>
      </w:r>
      <w:r w:rsidR="008543EF">
        <w:rPr>
          <w:lang w:val="lt-LT" w:bidi="lt-LT"/>
        </w:rPr>
        <w:t>ai</w:t>
      </w:r>
      <w:r w:rsidRPr="002E7B89">
        <w:rPr>
          <w:lang w:val="lt-LT" w:bidi="lt-LT"/>
        </w:rPr>
        <w:t>. Jei gliukokortikoidai skiriami nėštumo pabaigoje, kyla rizika, kad bus nepakankamai aktyvi naujagimio antinksčių žievė, todėl naujagimiui gali prireikti lėtai mažinamo pakaitinio gydymo.</w:t>
      </w:r>
      <w:r w:rsidR="00F83D28">
        <w:rPr>
          <w:lang w:val="lt-LT" w:bidi="lt-LT"/>
        </w:rPr>
        <w:t xml:space="preserve"> </w:t>
      </w:r>
      <w:r w:rsidR="00F83D28" w:rsidRPr="00F83D28">
        <w:rPr>
          <w:lang w:val="lt-LT"/>
        </w:rPr>
        <w:t xml:space="preserve">Motinų, kurios nėštumo pabaigoje vartojo </w:t>
      </w:r>
      <w:proofErr w:type="spellStart"/>
      <w:r w:rsidR="0090773F" w:rsidRPr="00AF0222">
        <w:rPr>
          <w:lang w:val="lt-LT"/>
        </w:rPr>
        <w:t>gliukokortikoidų</w:t>
      </w:r>
      <w:proofErr w:type="spellEnd"/>
      <w:r w:rsidR="0090773F">
        <w:rPr>
          <w:lang w:val="lt-LT"/>
        </w:rPr>
        <w:t>,</w:t>
      </w:r>
      <w:r w:rsidR="00F83D28" w:rsidRPr="00F83D28">
        <w:rPr>
          <w:lang w:val="lt-LT"/>
        </w:rPr>
        <w:t xml:space="preserve"> naujagimių organizme cukraus kiekis kraujyje gali būti mažas.</w:t>
      </w:r>
    </w:p>
    <w:p w14:paraId="4E39FEE2" w14:textId="77777777" w:rsidR="00271E9C" w:rsidRPr="002E7B89" w:rsidRDefault="00271E9C" w:rsidP="00271E9C">
      <w:pPr>
        <w:pStyle w:val="Betarp"/>
        <w:rPr>
          <w:lang w:val="lt-LT"/>
        </w:rPr>
      </w:pPr>
    </w:p>
    <w:p w14:paraId="21F41386" w14:textId="77777777" w:rsidR="00271E9C" w:rsidRPr="002E7B89" w:rsidRDefault="00271E9C" w:rsidP="00271E9C">
      <w:pPr>
        <w:pStyle w:val="Betarp"/>
        <w:rPr>
          <w:u w:val="single"/>
          <w:lang w:val="lt-LT"/>
        </w:rPr>
      </w:pPr>
      <w:r w:rsidRPr="002E7B89">
        <w:rPr>
          <w:u w:val="single"/>
          <w:lang w:val="lt-LT" w:bidi="lt-LT"/>
        </w:rPr>
        <w:t>Žindymo laikotarpis</w:t>
      </w:r>
    </w:p>
    <w:p w14:paraId="2B9DB2FA" w14:textId="77777777" w:rsidR="00271E9C" w:rsidRPr="002E7B89" w:rsidRDefault="00271E9C" w:rsidP="00271E9C">
      <w:pPr>
        <w:pStyle w:val="Betarp"/>
        <w:rPr>
          <w:lang w:val="lt-LT"/>
        </w:rPr>
      </w:pPr>
      <w:r w:rsidRPr="002E7B89">
        <w:rPr>
          <w:lang w:val="lt-LT" w:bidi="lt-LT"/>
        </w:rPr>
        <w:t>Gliukokortikoidų išsiskiria į motinos pieną. Iki šiol neregistruota jokios žalos kūdikiui. Vis dėlto žindymo laikotarpiu gliukokortikoidai turėtų būti vartojami tik griežtai nurodytais atvejais. Jei tenka vartoti didesnes dozes, žindymą reikia nutraukti.</w:t>
      </w:r>
    </w:p>
    <w:p w14:paraId="5BE7FC9B" w14:textId="77777777" w:rsidR="00271E9C" w:rsidRPr="002E7B89" w:rsidRDefault="00271E9C" w:rsidP="00271E9C">
      <w:pPr>
        <w:pStyle w:val="Betarp"/>
        <w:rPr>
          <w:u w:val="single"/>
          <w:lang w:val="lt-LT"/>
        </w:rPr>
      </w:pPr>
    </w:p>
    <w:p w14:paraId="6DD2B3B4" w14:textId="77777777" w:rsidR="00271E9C" w:rsidRPr="002E7B89" w:rsidRDefault="00271E9C" w:rsidP="00271E9C">
      <w:pPr>
        <w:pStyle w:val="Betarp"/>
        <w:rPr>
          <w:u w:val="single"/>
          <w:lang w:val="lt-LT"/>
        </w:rPr>
      </w:pPr>
      <w:r w:rsidRPr="002E7B89">
        <w:rPr>
          <w:u w:val="single"/>
          <w:lang w:val="lt-LT" w:bidi="lt-LT"/>
        </w:rPr>
        <w:t>Vaisingumas</w:t>
      </w:r>
    </w:p>
    <w:p w14:paraId="4744E1B9" w14:textId="77777777" w:rsidR="00271E9C" w:rsidRPr="002E7B89" w:rsidRDefault="00271E9C" w:rsidP="00271E9C">
      <w:pPr>
        <w:pStyle w:val="Betarp"/>
        <w:rPr>
          <w:lang w:val="lt-LT"/>
        </w:rPr>
      </w:pPr>
      <w:r w:rsidRPr="002E7B89">
        <w:rPr>
          <w:lang w:val="lt-LT" w:bidi="lt-LT"/>
        </w:rPr>
        <w:t>Vaisingumo tyrimų neatlikta.</w:t>
      </w:r>
    </w:p>
    <w:p w14:paraId="38944E40" w14:textId="77777777" w:rsidR="00271E9C" w:rsidRPr="002E7B89" w:rsidRDefault="00271E9C" w:rsidP="00271E9C">
      <w:pPr>
        <w:pStyle w:val="Betarp"/>
        <w:rPr>
          <w:lang w:val="lt-LT"/>
        </w:rPr>
      </w:pPr>
    </w:p>
    <w:p w14:paraId="2C8AB123" w14:textId="77777777" w:rsidR="00271E9C" w:rsidRPr="002E7B89" w:rsidRDefault="00271E9C" w:rsidP="00271E9C">
      <w:pPr>
        <w:pStyle w:val="Betarp"/>
        <w:rPr>
          <w:b/>
          <w:lang w:val="lt-LT"/>
        </w:rPr>
      </w:pPr>
      <w:bookmarkStart w:id="35" w:name="Verkehrstüchtigkeit_und_Fähigkeit_zum_Be"/>
      <w:bookmarkEnd w:id="35"/>
      <w:r w:rsidRPr="002E7B89">
        <w:rPr>
          <w:b/>
          <w:lang w:val="lt-LT" w:bidi="lt-LT"/>
        </w:rPr>
        <w:t>Vairavimas ir mechanizmų valdymas</w:t>
      </w:r>
    </w:p>
    <w:p w14:paraId="5FBA54EB" w14:textId="77777777" w:rsidR="00271E9C" w:rsidRPr="002E7B89" w:rsidRDefault="00271E9C" w:rsidP="00271E9C">
      <w:pPr>
        <w:pStyle w:val="Betarp"/>
        <w:rPr>
          <w:lang w:val="lt-LT"/>
        </w:rPr>
      </w:pPr>
      <w:r w:rsidRPr="002E7B89">
        <w:rPr>
          <w:lang w:val="lt-LT" w:bidi="lt-LT"/>
        </w:rPr>
        <w:t>Poveikio gebėjimui vairuoti ir valdyti mechanizmus tyrimų neatlikta.</w:t>
      </w:r>
    </w:p>
    <w:p w14:paraId="0A58A6F9" w14:textId="77777777" w:rsidR="00271E9C" w:rsidRPr="002E7B89" w:rsidRDefault="00271E9C" w:rsidP="00271E9C">
      <w:pPr>
        <w:pStyle w:val="Betarp"/>
        <w:rPr>
          <w:lang w:val="lt-LT"/>
        </w:rPr>
      </w:pPr>
    </w:p>
    <w:p w14:paraId="060A4BA5" w14:textId="77777777" w:rsidR="00271E9C" w:rsidRPr="002E7B89" w:rsidRDefault="008765BB" w:rsidP="00271E9C">
      <w:pPr>
        <w:pStyle w:val="Betarp"/>
        <w:rPr>
          <w:b/>
          <w:lang w:val="lt-LT"/>
        </w:rPr>
      </w:pPr>
      <w:bookmarkStart w:id="36" w:name="Fortecortin_enthält_Natrium_"/>
      <w:bookmarkEnd w:id="36"/>
      <w:r>
        <w:rPr>
          <w:b/>
          <w:lang w:val="lt-LT" w:bidi="lt-LT"/>
        </w:rPr>
        <w:t>Dexamethasone Kalceks</w:t>
      </w:r>
      <w:r w:rsidR="00271E9C" w:rsidRPr="002E7B89">
        <w:rPr>
          <w:b/>
          <w:lang w:val="lt-LT" w:bidi="lt-LT"/>
        </w:rPr>
        <w:t xml:space="preserve"> sudėtyje yra natrio</w:t>
      </w:r>
    </w:p>
    <w:p w14:paraId="54049A5C" w14:textId="6F96D624" w:rsidR="00AD149F" w:rsidRPr="002E7B89" w:rsidRDefault="00AD149F" w:rsidP="00AD149F">
      <w:pPr>
        <w:widowControl/>
        <w:adjustRightInd w:val="0"/>
        <w:rPr>
          <w:rFonts w:eastAsia="Calibri"/>
          <w:color w:val="000000"/>
          <w:lang w:val="lt-LT" w:eastAsia="en-US" w:bidi="ar-SA"/>
        </w:rPr>
      </w:pPr>
      <w:r w:rsidRPr="002E7B89">
        <w:rPr>
          <w:rFonts w:eastAsia="Calibri"/>
          <w:color w:val="000000"/>
          <w:lang w:val="lt-LT" w:eastAsia="en-US" w:bidi="ar-SA"/>
        </w:rPr>
        <w:t xml:space="preserve">Kiekviename šio tirpalo ml yra </w:t>
      </w:r>
      <w:r w:rsidR="00E77878">
        <w:rPr>
          <w:rFonts w:eastAsia="Calibri"/>
          <w:color w:val="000000"/>
          <w:lang w:val="lt-LT" w:eastAsia="en-US" w:bidi="ar-SA"/>
        </w:rPr>
        <w:t>apie 3</w:t>
      </w:r>
      <w:r w:rsidR="00572BB3">
        <w:rPr>
          <w:rFonts w:eastAsia="Calibri"/>
          <w:color w:val="000000"/>
          <w:lang w:val="lt-LT" w:eastAsia="en-US" w:bidi="ar-SA"/>
        </w:rPr>
        <w:t> </w:t>
      </w:r>
      <w:r w:rsidRPr="002E7B89">
        <w:rPr>
          <w:rFonts w:eastAsia="Calibri"/>
          <w:color w:val="000000"/>
          <w:lang w:val="lt-LT" w:eastAsia="en-US" w:bidi="ar-SA"/>
        </w:rPr>
        <w:t>mg natrio (valgomosios druskos sudedamosios dalies). Tai atitinka 0,</w:t>
      </w:r>
      <w:r w:rsidR="00E77878">
        <w:rPr>
          <w:rFonts w:eastAsia="Calibri"/>
          <w:color w:val="000000"/>
          <w:lang w:val="lt-LT" w:eastAsia="en-US" w:bidi="ar-SA"/>
        </w:rPr>
        <w:t>15</w:t>
      </w:r>
      <w:r w:rsidR="00572BB3">
        <w:rPr>
          <w:rFonts w:eastAsia="Calibri"/>
          <w:color w:val="000000"/>
          <w:lang w:val="lt-LT" w:eastAsia="en-US" w:bidi="ar-SA"/>
        </w:rPr>
        <w:t> </w:t>
      </w:r>
      <w:r w:rsidRPr="002E7B89">
        <w:rPr>
          <w:rFonts w:eastAsia="Calibri"/>
          <w:color w:val="000000"/>
          <w:lang w:val="lt-LT" w:eastAsia="en-US" w:bidi="ar-SA"/>
        </w:rPr>
        <w:t>% didžiausios rekomenduojamos natrio paros normos suaugusiesiems.</w:t>
      </w:r>
    </w:p>
    <w:p w14:paraId="4FA295B6" w14:textId="77777777" w:rsidR="00271E9C" w:rsidRPr="002E7B89" w:rsidRDefault="00271E9C" w:rsidP="00271E9C">
      <w:pPr>
        <w:pStyle w:val="Betarp"/>
        <w:rPr>
          <w:lang w:val="lt-LT"/>
        </w:rPr>
      </w:pPr>
    </w:p>
    <w:p w14:paraId="2B563C3D" w14:textId="77777777" w:rsidR="00271E9C" w:rsidRPr="002E7B89" w:rsidRDefault="00271E9C" w:rsidP="00271E9C">
      <w:pPr>
        <w:pStyle w:val="Betarp"/>
        <w:rPr>
          <w:lang w:val="lt-LT"/>
        </w:rPr>
      </w:pPr>
    </w:p>
    <w:p w14:paraId="2651B0D3" w14:textId="77777777" w:rsidR="00271E9C" w:rsidRPr="002E7B89" w:rsidRDefault="00271E9C" w:rsidP="00271E9C">
      <w:pPr>
        <w:pStyle w:val="Betarp"/>
        <w:rPr>
          <w:b/>
          <w:lang w:val="lt-LT"/>
        </w:rPr>
      </w:pPr>
      <w:bookmarkStart w:id="37" w:name="3._Wie_ist_Fortecortin_anzuwenden?_"/>
      <w:bookmarkEnd w:id="37"/>
      <w:r w:rsidRPr="002E7B89">
        <w:rPr>
          <w:b/>
          <w:lang w:val="lt-LT" w:bidi="lt-LT"/>
        </w:rPr>
        <w:t>3.</w:t>
      </w:r>
      <w:r w:rsidRPr="002E7B89">
        <w:rPr>
          <w:b/>
          <w:lang w:val="lt-LT" w:bidi="lt-LT"/>
        </w:rPr>
        <w:tab/>
        <w:t xml:space="preserve">Kaip vartoti </w:t>
      </w:r>
      <w:r w:rsidR="008765BB">
        <w:rPr>
          <w:b/>
          <w:lang w:val="lt-LT" w:bidi="lt-LT"/>
        </w:rPr>
        <w:t>Dexamethasone Kalceks</w:t>
      </w:r>
    </w:p>
    <w:p w14:paraId="26F95F21" w14:textId="77777777" w:rsidR="00271E9C" w:rsidRPr="002E7B89" w:rsidRDefault="00271E9C" w:rsidP="00271E9C">
      <w:pPr>
        <w:pStyle w:val="Betarp"/>
        <w:rPr>
          <w:lang w:val="lt-LT"/>
        </w:rPr>
      </w:pPr>
    </w:p>
    <w:p w14:paraId="47C32B9C" w14:textId="77777777" w:rsidR="00271E9C" w:rsidRPr="002E7B89" w:rsidRDefault="00271E9C" w:rsidP="00271E9C">
      <w:pPr>
        <w:pStyle w:val="Betarp"/>
        <w:rPr>
          <w:lang w:val="lt-LT"/>
        </w:rPr>
      </w:pPr>
      <w:r w:rsidRPr="002E7B89">
        <w:rPr>
          <w:lang w:val="lt-LT" w:bidi="lt-LT"/>
        </w:rPr>
        <w:t>Visada vartokite šį vaistą tiksliai kaip nurodė gydytojas. Gydytojas nuspręs, kiek laiko turite vartoti deksametazoną. Jeigu abejojate, kreipkitės į gydytoją arba vaistininką.</w:t>
      </w:r>
    </w:p>
    <w:p w14:paraId="256CE979" w14:textId="77777777" w:rsidR="00271E9C" w:rsidRPr="002E7B89" w:rsidRDefault="00271E9C" w:rsidP="00271E9C">
      <w:pPr>
        <w:pStyle w:val="Betarp"/>
        <w:rPr>
          <w:lang w:val="lt-LT"/>
        </w:rPr>
      </w:pPr>
    </w:p>
    <w:p w14:paraId="5E458CB7" w14:textId="77777777" w:rsidR="00271E9C" w:rsidRPr="002E7B89" w:rsidRDefault="00271E9C" w:rsidP="00271E9C">
      <w:pPr>
        <w:pStyle w:val="Betarp"/>
        <w:rPr>
          <w:lang w:val="lt-LT"/>
        </w:rPr>
      </w:pPr>
      <w:r w:rsidRPr="002E7B89">
        <w:rPr>
          <w:lang w:val="lt-LT" w:bidi="lt-LT"/>
        </w:rPr>
        <w:t>Šis vaistas gali būti leidžiamas į veną, raumenis, sąnarius arba minkštuosius audinius.</w:t>
      </w:r>
    </w:p>
    <w:p w14:paraId="2D342671" w14:textId="77777777" w:rsidR="00271E9C" w:rsidRPr="002E7B89" w:rsidRDefault="00271E9C" w:rsidP="00271E9C">
      <w:pPr>
        <w:pStyle w:val="Betarp"/>
        <w:rPr>
          <w:lang w:val="lt-LT"/>
        </w:rPr>
      </w:pPr>
    </w:p>
    <w:p w14:paraId="44B38E59" w14:textId="77777777" w:rsidR="00271E9C" w:rsidRPr="002E7B89" w:rsidRDefault="00271E9C" w:rsidP="00271E9C">
      <w:pPr>
        <w:pStyle w:val="Betarp"/>
        <w:rPr>
          <w:lang w:val="lt-LT"/>
        </w:rPr>
      </w:pPr>
      <w:r w:rsidRPr="002E7B89">
        <w:rPr>
          <w:lang w:val="lt-LT" w:bidi="lt-LT"/>
        </w:rPr>
        <w:t>Dozė priklauso nuo indikacijos, simptomų sunkumo, individualios paciento</w:t>
      </w:r>
      <w:r w:rsidR="008543EF">
        <w:rPr>
          <w:lang w:val="lt-LT" w:bidi="lt-LT"/>
        </w:rPr>
        <w:t xml:space="preserve"> organizmo</w:t>
      </w:r>
      <w:r w:rsidRPr="002E7B89">
        <w:rPr>
          <w:lang w:val="lt-LT" w:bidi="lt-LT"/>
        </w:rPr>
        <w:t xml:space="preserve"> reakcijos ir, jei </w:t>
      </w:r>
      <w:r w:rsidR="00AD149F" w:rsidRPr="002E7B89">
        <w:rPr>
          <w:lang w:val="lt-LT" w:bidi="lt-LT"/>
        </w:rPr>
        <w:t>leidžiama</w:t>
      </w:r>
      <w:r w:rsidRPr="002E7B89">
        <w:rPr>
          <w:lang w:val="lt-LT" w:bidi="lt-LT"/>
        </w:rPr>
        <w:t xml:space="preserve"> į sąnarį, nuo sąnario dydžio.</w:t>
      </w:r>
    </w:p>
    <w:p w14:paraId="3768C93E" w14:textId="77777777" w:rsidR="00271E9C" w:rsidRPr="002E7B89" w:rsidRDefault="00271E9C" w:rsidP="00271E9C">
      <w:pPr>
        <w:pStyle w:val="Betarp"/>
        <w:rPr>
          <w:lang w:val="lt-LT"/>
        </w:rPr>
      </w:pPr>
    </w:p>
    <w:p w14:paraId="49FD325B" w14:textId="77777777" w:rsidR="00271E9C" w:rsidRPr="002E7B89" w:rsidRDefault="00271E9C" w:rsidP="00271E9C">
      <w:pPr>
        <w:pStyle w:val="Betarp"/>
        <w:rPr>
          <w:lang w:val="lt-LT"/>
        </w:rPr>
      </w:pPr>
      <w:r w:rsidRPr="002E7B89">
        <w:rPr>
          <w:lang w:val="lt-LT" w:bidi="lt-LT"/>
        </w:rPr>
        <w:t>Gliukokortikoidai turi būti vartojami tik tiek laiko ir tik minimaliomis dozėmis, kurios yra būtinos norimam poveikiui pasiekti ir palaikyti. Vartojimo trukmė priklauso nuo indikacijos. Ilgalaikio deksametazono vartojimo negalima nutraukti staiga, dozę reikia mažinti palaipsniui, kaip nurodė gydytojas.</w:t>
      </w:r>
    </w:p>
    <w:p w14:paraId="118196F1" w14:textId="77777777" w:rsidR="00271E9C" w:rsidRPr="002E7B89" w:rsidRDefault="00271E9C" w:rsidP="00271E9C">
      <w:pPr>
        <w:pStyle w:val="Betarp"/>
        <w:rPr>
          <w:lang w:val="lt-LT"/>
        </w:rPr>
      </w:pPr>
    </w:p>
    <w:p w14:paraId="338852C6" w14:textId="77777777" w:rsidR="00271E9C" w:rsidRPr="002E7B89" w:rsidRDefault="00271E9C" w:rsidP="00271E9C">
      <w:pPr>
        <w:pStyle w:val="Betarp"/>
        <w:rPr>
          <w:b/>
          <w:lang w:val="lt-LT"/>
        </w:rPr>
      </w:pPr>
      <w:r w:rsidRPr="002E7B89">
        <w:rPr>
          <w:b/>
          <w:lang w:val="lt-LT" w:bidi="lt-LT"/>
        </w:rPr>
        <w:t>COVID-19 gydymas</w:t>
      </w:r>
    </w:p>
    <w:p w14:paraId="0FDC4AC0" w14:textId="08A2119A" w:rsidR="00271E9C" w:rsidRPr="002E7B89" w:rsidRDefault="00271E9C" w:rsidP="00271E9C">
      <w:pPr>
        <w:pStyle w:val="Betarp"/>
        <w:rPr>
          <w:lang w:val="lt-LT"/>
        </w:rPr>
      </w:pPr>
      <w:r w:rsidRPr="002E7B89">
        <w:rPr>
          <w:i/>
          <w:lang w:val="lt-LT" w:bidi="lt-LT"/>
        </w:rPr>
        <w:t xml:space="preserve">Suaugusiems pacientams </w:t>
      </w:r>
      <w:r w:rsidRPr="002E7B89">
        <w:rPr>
          <w:lang w:val="lt-LT" w:bidi="lt-LT"/>
        </w:rPr>
        <w:t>rekomenduojama skirti 6 mg į veną vieną kartą per parą iki 10</w:t>
      </w:r>
      <w:r w:rsidR="00572BB3">
        <w:rPr>
          <w:lang w:val="lt-LT" w:bidi="lt-LT"/>
        </w:rPr>
        <w:t> </w:t>
      </w:r>
      <w:r w:rsidR="00AD149F" w:rsidRPr="002E7B89">
        <w:rPr>
          <w:lang w:val="lt-LT" w:bidi="lt-LT"/>
        </w:rPr>
        <w:t>parų</w:t>
      </w:r>
      <w:r w:rsidRPr="002E7B89">
        <w:rPr>
          <w:lang w:val="lt-LT" w:bidi="lt-LT"/>
        </w:rPr>
        <w:t>.</w:t>
      </w:r>
    </w:p>
    <w:p w14:paraId="112C72E8" w14:textId="77777777" w:rsidR="00271E9C" w:rsidRPr="002E7B89" w:rsidRDefault="00271E9C" w:rsidP="00271E9C">
      <w:pPr>
        <w:pStyle w:val="Betarp"/>
        <w:rPr>
          <w:lang w:val="lt-LT"/>
        </w:rPr>
      </w:pPr>
    </w:p>
    <w:p w14:paraId="7140E8DF" w14:textId="62FFAA14" w:rsidR="00271E9C" w:rsidRPr="002E7B89" w:rsidRDefault="00271E9C" w:rsidP="00271E9C">
      <w:pPr>
        <w:pStyle w:val="Betarp"/>
        <w:rPr>
          <w:i/>
          <w:lang w:val="lt-LT"/>
        </w:rPr>
      </w:pPr>
      <w:r w:rsidRPr="002E7B89">
        <w:rPr>
          <w:i/>
          <w:lang w:val="lt-LT" w:bidi="lt-LT"/>
        </w:rPr>
        <w:t xml:space="preserve">Vartojimas paaugliams: </w:t>
      </w:r>
      <w:r w:rsidRPr="002E7B89">
        <w:rPr>
          <w:lang w:val="lt-LT" w:bidi="lt-LT"/>
        </w:rPr>
        <w:t>vaikams (12</w:t>
      </w:r>
      <w:r w:rsidR="00572BB3">
        <w:rPr>
          <w:lang w:val="lt-LT" w:bidi="lt-LT"/>
        </w:rPr>
        <w:t> </w:t>
      </w:r>
      <w:r w:rsidRPr="002E7B89">
        <w:rPr>
          <w:lang w:val="lt-LT" w:bidi="lt-LT"/>
        </w:rPr>
        <w:t>metų ir vyresniems paaugliams, kurių kūno masė ne mažesnė kaip 40 kg) rekomenduojama skirti 6 mg į veną vieną kartą per parą iki 10</w:t>
      </w:r>
      <w:r w:rsidR="00572BB3">
        <w:rPr>
          <w:lang w:val="lt-LT" w:bidi="lt-LT"/>
        </w:rPr>
        <w:t> </w:t>
      </w:r>
      <w:r w:rsidR="00AD149F" w:rsidRPr="002E7B89">
        <w:rPr>
          <w:lang w:val="lt-LT" w:bidi="lt-LT"/>
        </w:rPr>
        <w:t>parų</w:t>
      </w:r>
      <w:r w:rsidRPr="002E7B89">
        <w:rPr>
          <w:lang w:val="lt-LT" w:bidi="lt-LT"/>
        </w:rPr>
        <w:t>.</w:t>
      </w:r>
    </w:p>
    <w:p w14:paraId="6232B4DC" w14:textId="77777777" w:rsidR="00271E9C" w:rsidRPr="002E7B89" w:rsidRDefault="00271E9C" w:rsidP="00271E9C">
      <w:pPr>
        <w:pStyle w:val="Betarp"/>
        <w:rPr>
          <w:lang w:val="lt-LT"/>
        </w:rPr>
      </w:pPr>
    </w:p>
    <w:p w14:paraId="4E5153E2" w14:textId="77777777" w:rsidR="00271E9C" w:rsidRPr="002E7B89" w:rsidRDefault="00271E9C" w:rsidP="00271E9C">
      <w:pPr>
        <w:rPr>
          <w:bCs/>
          <w:lang w:val="lt-LT"/>
        </w:rPr>
      </w:pPr>
      <w:r w:rsidRPr="002E7B89">
        <w:rPr>
          <w:lang w:val="lt-LT" w:bidi="lt-LT"/>
        </w:rPr>
        <w:t>Inkstų funkcijos sutrikimas</w:t>
      </w:r>
    </w:p>
    <w:p w14:paraId="210BD786" w14:textId="77777777" w:rsidR="00271E9C" w:rsidRPr="002E7B89" w:rsidRDefault="00271E9C" w:rsidP="00271E9C">
      <w:pPr>
        <w:rPr>
          <w:lang w:val="lt-LT"/>
        </w:rPr>
      </w:pPr>
      <w:r w:rsidRPr="002E7B89">
        <w:rPr>
          <w:lang w:val="lt-LT" w:bidi="lt-LT"/>
        </w:rPr>
        <w:t>Dozės koreguoti nereikia.</w:t>
      </w:r>
    </w:p>
    <w:p w14:paraId="5E580206" w14:textId="77777777" w:rsidR="00271E9C" w:rsidRPr="002E7B89" w:rsidRDefault="00271E9C" w:rsidP="00271E9C">
      <w:pPr>
        <w:pStyle w:val="Betarp"/>
        <w:rPr>
          <w:lang w:val="lt-LT"/>
        </w:rPr>
      </w:pPr>
    </w:p>
    <w:p w14:paraId="715291EB" w14:textId="77777777" w:rsidR="00271E9C" w:rsidRPr="002E7B89" w:rsidRDefault="00271E9C" w:rsidP="00271E9C">
      <w:pPr>
        <w:rPr>
          <w:bCs/>
          <w:lang w:val="lt-LT"/>
        </w:rPr>
      </w:pPr>
      <w:r w:rsidRPr="002E7B89">
        <w:rPr>
          <w:lang w:val="lt-LT" w:bidi="lt-LT"/>
        </w:rPr>
        <w:t>Kepenų funkcijos sutrikimas</w:t>
      </w:r>
    </w:p>
    <w:p w14:paraId="07B4DA3D" w14:textId="77777777" w:rsidR="00271E9C" w:rsidRPr="002E7B89" w:rsidRDefault="00271E9C" w:rsidP="00271E9C">
      <w:pPr>
        <w:rPr>
          <w:lang w:val="lt-LT"/>
        </w:rPr>
      </w:pPr>
      <w:r w:rsidRPr="002E7B89">
        <w:rPr>
          <w:lang w:val="lt-LT" w:bidi="lt-LT"/>
        </w:rPr>
        <w:t>Pacientams, sergantiems sunkia kepenų liga, gali prireikti koreguoti dozę.</w:t>
      </w:r>
    </w:p>
    <w:p w14:paraId="4024FEFF" w14:textId="77777777" w:rsidR="00271E9C" w:rsidRPr="002E7B89" w:rsidRDefault="00271E9C" w:rsidP="00271E9C">
      <w:pPr>
        <w:pStyle w:val="Betarp"/>
        <w:rPr>
          <w:lang w:val="lt-LT"/>
        </w:rPr>
      </w:pPr>
    </w:p>
    <w:p w14:paraId="66575640" w14:textId="77777777" w:rsidR="00271E9C" w:rsidRPr="002E7B89" w:rsidRDefault="00271E9C" w:rsidP="00271E9C">
      <w:pPr>
        <w:pStyle w:val="Betarp"/>
        <w:rPr>
          <w:b/>
          <w:lang w:val="lt-LT"/>
        </w:rPr>
      </w:pPr>
      <w:r w:rsidRPr="002E7B89">
        <w:rPr>
          <w:b/>
          <w:lang w:val="lt-LT" w:bidi="lt-LT"/>
        </w:rPr>
        <w:t>V</w:t>
      </w:r>
      <w:r w:rsidR="008543EF">
        <w:rPr>
          <w:b/>
          <w:lang w:val="lt-LT" w:bidi="lt-LT"/>
        </w:rPr>
        <w:t>artojimas v</w:t>
      </w:r>
      <w:r w:rsidRPr="002E7B89">
        <w:rPr>
          <w:b/>
          <w:lang w:val="lt-LT" w:bidi="lt-LT"/>
        </w:rPr>
        <w:t>aikams ir paaugliams</w:t>
      </w:r>
    </w:p>
    <w:p w14:paraId="3F94B861" w14:textId="78AAA81B" w:rsidR="00271E9C" w:rsidRPr="002E7B89" w:rsidRDefault="00271E9C" w:rsidP="00271E9C">
      <w:pPr>
        <w:pStyle w:val="Betarp"/>
        <w:rPr>
          <w:lang w:val="lt-LT"/>
        </w:rPr>
      </w:pPr>
      <w:r w:rsidRPr="002E7B89">
        <w:rPr>
          <w:lang w:val="lt-LT" w:bidi="lt-LT"/>
        </w:rPr>
        <w:t>Ilgalaikio gydymo metu vaikams iki 14</w:t>
      </w:r>
      <w:r w:rsidR="00572BB3">
        <w:rPr>
          <w:lang w:val="lt-LT" w:bidi="lt-LT"/>
        </w:rPr>
        <w:t> </w:t>
      </w:r>
      <w:r w:rsidRPr="002E7B89">
        <w:rPr>
          <w:lang w:val="lt-LT" w:bidi="lt-LT"/>
        </w:rPr>
        <w:t>metų dėl augimo sutrikimų rizikos po kiekvieno 3</w:t>
      </w:r>
      <w:r w:rsidR="00572BB3">
        <w:rPr>
          <w:lang w:val="lt-LT" w:bidi="lt-LT"/>
        </w:rPr>
        <w:t> </w:t>
      </w:r>
      <w:r w:rsidRPr="002E7B89">
        <w:rPr>
          <w:lang w:val="lt-LT" w:bidi="lt-LT"/>
        </w:rPr>
        <w:t>dienų gydymo kurso reikia daryti 4</w:t>
      </w:r>
      <w:r w:rsidR="00572BB3">
        <w:rPr>
          <w:lang w:val="lt-LT" w:bidi="lt-LT"/>
        </w:rPr>
        <w:t> </w:t>
      </w:r>
      <w:r w:rsidRPr="002E7B89">
        <w:rPr>
          <w:lang w:val="lt-LT" w:bidi="lt-LT"/>
        </w:rPr>
        <w:t>dienų pertrauką be gydymo.</w:t>
      </w:r>
    </w:p>
    <w:p w14:paraId="477246FE" w14:textId="77777777" w:rsidR="00271E9C" w:rsidRPr="002E7B89" w:rsidRDefault="00271E9C" w:rsidP="00271E9C">
      <w:pPr>
        <w:pStyle w:val="Betarp"/>
        <w:rPr>
          <w:i/>
          <w:lang w:val="lt-LT"/>
        </w:rPr>
      </w:pPr>
    </w:p>
    <w:p w14:paraId="061A4B61" w14:textId="77777777" w:rsidR="00271E9C" w:rsidRPr="002E7B89" w:rsidRDefault="00271E9C" w:rsidP="00271E9C">
      <w:pPr>
        <w:pStyle w:val="Betarp"/>
        <w:rPr>
          <w:b/>
          <w:lang w:val="lt-LT"/>
        </w:rPr>
      </w:pPr>
      <w:bookmarkStart w:id="38" w:name="Wenn_eine_größere_Menge_von_Fortecortin_"/>
      <w:bookmarkEnd w:id="38"/>
      <w:r w:rsidRPr="002E7B89">
        <w:rPr>
          <w:b/>
          <w:lang w:val="lt-LT" w:bidi="lt-LT"/>
        </w:rPr>
        <w:lastRenderedPageBreak/>
        <w:t xml:space="preserve">Ką daryti pavartojus per didelę </w:t>
      </w:r>
      <w:r w:rsidR="008765BB">
        <w:rPr>
          <w:b/>
          <w:lang w:val="lt-LT" w:bidi="lt-LT"/>
        </w:rPr>
        <w:t>Dexamethasone Kalceks</w:t>
      </w:r>
      <w:r w:rsidRPr="002E7B89">
        <w:rPr>
          <w:b/>
          <w:lang w:val="lt-LT" w:bidi="lt-LT"/>
        </w:rPr>
        <w:t xml:space="preserve"> dozę</w:t>
      </w:r>
    </w:p>
    <w:p w14:paraId="39CA7831" w14:textId="77777777" w:rsidR="00271E9C" w:rsidRPr="002E7B89" w:rsidRDefault="00271E9C" w:rsidP="00271E9C">
      <w:pPr>
        <w:pStyle w:val="Betarp"/>
        <w:rPr>
          <w:lang w:val="lt-LT"/>
        </w:rPr>
      </w:pPr>
      <w:r w:rsidRPr="002E7B89">
        <w:rPr>
          <w:lang w:val="lt-LT" w:bidi="lt-LT"/>
        </w:rPr>
        <w:t xml:space="preserve">Ūmaus apsinuodijimo deksametazonu atvejų nėra žinoma. Perdozavus galima tikėtis stipresnio šalutinio poveikio. Jei manote, kad </w:t>
      </w:r>
      <w:r w:rsidR="00AD7157" w:rsidRPr="002E7B89">
        <w:rPr>
          <w:lang w:val="lt-LT" w:bidi="lt-LT"/>
        </w:rPr>
        <w:t>J</w:t>
      </w:r>
      <w:r w:rsidRPr="002E7B89">
        <w:rPr>
          <w:lang w:val="lt-LT" w:bidi="lt-LT"/>
        </w:rPr>
        <w:t>ums buvo suleista per didelė šio vaisto dozė, nedelsdami pasakykite gydytojui.</w:t>
      </w:r>
    </w:p>
    <w:p w14:paraId="2771D33C" w14:textId="77777777" w:rsidR="00271E9C" w:rsidRPr="002E7B89" w:rsidRDefault="00271E9C" w:rsidP="00271E9C">
      <w:pPr>
        <w:pStyle w:val="Betarp"/>
        <w:rPr>
          <w:lang w:val="lt-LT"/>
        </w:rPr>
      </w:pPr>
    </w:p>
    <w:p w14:paraId="54C159B2" w14:textId="77777777" w:rsidR="00271E9C" w:rsidRPr="002E7B89" w:rsidRDefault="00271E9C" w:rsidP="00271E9C">
      <w:pPr>
        <w:pStyle w:val="Betarp"/>
        <w:rPr>
          <w:b/>
          <w:lang w:val="lt-LT"/>
        </w:rPr>
      </w:pPr>
      <w:bookmarkStart w:id="39" w:name="Wenn_Sie_die_Anwendung_von_Fortecortin_a"/>
      <w:bookmarkEnd w:id="39"/>
      <w:r w:rsidRPr="002E7B89">
        <w:rPr>
          <w:b/>
          <w:lang w:val="lt-LT" w:bidi="lt-LT"/>
        </w:rPr>
        <w:t xml:space="preserve">Nustojus vartoti </w:t>
      </w:r>
      <w:r w:rsidR="008765BB">
        <w:rPr>
          <w:b/>
          <w:lang w:val="lt-LT" w:bidi="lt-LT"/>
        </w:rPr>
        <w:t>Dexamethasone Kalceks</w:t>
      </w:r>
    </w:p>
    <w:p w14:paraId="189AE4A6" w14:textId="77777777" w:rsidR="00271E9C" w:rsidRPr="002E7B89" w:rsidRDefault="00271E9C" w:rsidP="00271E9C">
      <w:pPr>
        <w:pStyle w:val="Betarp"/>
        <w:rPr>
          <w:lang w:val="lt-LT"/>
        </w:rPr>
      </w:pPr>
      <w:r w:rsidRPr="002E7B89">
        <w:rPr>
          <w:lang w:val="lt-LT" w:bidi="lt-LT"/>
        </w:rPr>
        <w:t xml:space="preserve">Gydymo negalima nutraukti ar staiga sustabdyti, nebent taip nurodė gydytojas. Jei nuspręsite savarankiškai nutraukti gydymą, pvz., dėl pasireiškusio šalutinio poveikio arba dėl to, kad pasijutote geriau, rizikuosite ne tik gydymo sėkme, bet ir savo sveikata. </w:t>
      </w:r>
      <w:r w:rsidR="007421E3">
        <w:rPr>
          <w:lang w:val="lt-LT" w:bidi="lt-LT"/>
        </w:rPr>
        <w:t>Ypatingai</w:t>
      </w:r>
      <w:r w:rsidRPr="002E7B89">
        <w:rPr>
          <w:lang w:val="lt-LT" w:bidi="lt-LT"/>
        </w:rPr>
        <w:t xml:space="preserve"> šio vaisto vartojimo nutraukti savarankiškai negalima po ilgesnio gydymo. Visada pirmiausia pasitarkite su gydytoju.</w:t>
      </w:r>
    </w:p>
    <w:p w14:paraId="094265C3" w14:textId="77777777" w:rsidR="00271E9C" w:rsidRPr="002E7B89" w:rsidRDefault="00271E9C" w:rsidP="00271E9C">
      <w:pPr>
        <w:pStyle w:val="Betarp"/>
        <w:rPr>
          <w:lang w:val="lt-LT"/>
        </w:rPr>
      </w:pPr>
    </w:p>
    <w:p w14:paraId="534698D2" w14:textId="77777777" w:rsidR="00271E9C" w:rsidRPr="002E7B89" w:rsidRDefault="00271E9C" w:rsidP="00271E9C">
      <w:pPr>
        <w:pStyle w:val="Betarp"/>
        <w:rPr>
          <w:lang w:val="lt-LT"/>
        </w:rPr>
      </w:pPr>
      <w:r w:rsidRPr="002E7B89">
        <w:rPr>
          <w:lang w:val="lt-LT" w:bidi="lt-LT"/>
        </w:rPr>
        <w:t>Jeigu kiltų daugiau klausimų dėl šio vaisto vartojimo, kreipkitės į gydytoją arba vaistininką.</w:t>
      </w:r>
    </w:p>
    <w:p w14:paraId="566185DB" w14:textId="77777777" w:rsidR="00271E9C" w:rsidRPr="002E7B89" w:rsidRDefault="00271E9C" w:rsidP="00271E9C">
      <w:pPr>
        <w:pStyle w:val="Betarp"/>
        <w:rPr>
          <w:lang w:val="lt-LT"/>
        </w:rPr>
      </w:pPr>
    </w:p>
    <w:p w14:paraId="76590D07" w14:textId="77777777" w:rsidR="00271E9C" w:rsidRPr="002E7B89" w:rsidRDefault="00271E9C" w:rsidP="00271E9C">
      <w:pPr>
        <w:pStyle w:val="Betarp"/>
        <w:rPr>
          <w:lang w:val="lt-LT"/>
        </w:rPr>
      </w:pPr>
    </w:p>
    <w:p w14:paraId="5155CA04" w14:textId="77777777" w:rsidR="00271E9C" w:rsidRPr="002E7B89" w:rsidRDefault="00271E9C" w:rsidP="00271E9C">
      <w:pPr>
        <w:pStyle w:val="Betarp"/>
        <w:rPr>
          <w:b/>
          <w:lang w:val="lt-LT"/>
        </w:rPr>
      </w:pPr>
      <w:bookmarkStart w:id="40" w:name="4._Welche_Nebenwirkungen_sind_möglich?_"/>
      <w:bookmarkEnd w:id="40"/>
      <w:r w:rsidRPr="002E7B89">
        <w:rPr>
          <w:b/>
          <w:lang w:val="lt-LT" w:bidi="lt-LT"/>
        </w:rPr>
        <w:t>4.</w:t>
      </w:r>
      <w:r w:rsidRPr="002E7B89">
        <w:rPr>
          <w:b/>
          <w:lang w:val="lt-LT" w:bidi="lt-LT"/>
        </w:rPr>
        <w:tab/>
        <w:t>Galimas šalutinis poveikis</w:t>
      </w:r>
    </w:p>
    <w:p w14:paraId="6333DAAF" w14:textId="77777777" w:rsidR="00271E9C" w:rsidRPr="002E7B89" w:rsidRDefault="00271E9C" w:rsidP="00271E9C">
      <w:pPr>
        <w:pStyle w:val="Betarp"/>
        <w:rPr>
          <w:lang w:val="lt-LT"/>
        </w:rPr>
      </w:pPr>
    </w:p>
    <w:p w14:paraId="5759669B" w14:textId="77777777" w:rsidR="00271E9C" w:rsidRPr="002E7B89" w:rsidRDefault="00271E9C" w:rsidP="00271E9C">
      <w:pPr>
        <w:pStyle w:val="Betarp"/>
        <w:rPr>
          <w:lang w:val="lt-LT"/>
        </w:rPr>
      </w:pPr>
      <w:r w:rsidRPr="002E7B89">
        <w:rPr>
          <w:lang w:val="lt-LT" w:bidi="lt-LT"/>
        </w:rPr>
        <w:t>Šis vaistas, kaip ir visi kiti, gali sukelti šalutinį poveikį, nors jis pasireiškia ne visiems žmonėms.</w:t>
      </w:r>
    </w:p>
    <w:p w14:paraId="1BC22BE4" w14:textId="77777777" w:rsidR="00271E9C" w:rsidRPr="002E7B89" w:rsidRDefault="00271E9C" w:rsidP="00271E9C">
      <w:pPr>
        <w:pStyle w:val="Betarp"/>
        <w:rPr>
          <w:lang w:val="lt-LT"/>
        </w:rPr>
      </w:pPr>
    </w:p>
    <w:p w14:paraId="031A8CAB" w14:textId="77777777" w:rsidR="00271E9C" w:rsidRPr="002E7B89" w:rsidRDefault="00271E9C" w:rsidP="00271E9C">
      <w:pPr>
        <w:pStyle w:val="Betarp"/>
        <w:rPr>
          <w:lang w:val="lt-LT"/>
        </w:rPr>
      </w:pPr>
      <w:r w:rsidRPr="002E7B89">
        <w:rPr>
          <w:lang w:val="lt-LT" w:bidi="lt-LT"/>
        </w:rPr>
        <w:t>Trumpalaikio gydymo deksametazonu metu šalutinio poveikio rizika yra maža. Galimas toks šalutinis poveikis:</w:t>
      </w:r>
    </w:p>
    <w:p w14:paraId="2C93307F" w14:textId="77777777" w:rsidR="00271E9C" w:rsidRPr="002E7B89" w:rsidRDefault="00271E9C" w:rsidP="00271E9C">
      <w:pPr>
        <w:pStyle w:val="Betarp"/>
        <w:numPr>
          <w:ilvl w:val="0"/>
          <w:numId w:val="28"/>
        </w:numPr>
        <w:ind w:left="567" w:hanging="567"/>
        <w:rPr>
          <w:lang w:val="lt-LT"/>
        </w:rPr>
      </w:pPr>
      <w:r w:rsidRPr="002E7B89">
        <w:rPr>
          <w:lang w:val="lt-LT" w:bidi="lt-LT"/>
        </w:rPr>
        <w:t>skrandžio ar dvylikapirštės žarnos opos;</w:t>
      </w:r>
    </w:p>
    <w:p w14:paraId="25B850B5" w14:textId="77777777" w:rsidR="00271E9C" w:rsidRPr="002E7B89" w:rsidRDefault="00271E9C" w:rsidP="00271E9C">
      <w:pPr>
        <w:pStyle w:val="Betarp"/>
        <w:numPr>
          <w:ilvl w:val="0"/>
          <w:numId w:val="28"/>
        </w:numPr>
        <w:ind w:left="567" w:hanging="567"/>
        <w:rPr>
          <w:lang w:val="lt-LT"/>
        </w:rPr>
      </w:pPr>
      <w:r w:rsidRPr="002E7B89">
        <w:rPr>
          <w:lang w:val="lt-LT" w:bidi="lt-LT"/>
        </w:rPr>
        <w:t>sumažėjusi organizmo apsauga nuo infekcijų;</w:t>
      </w:r>
    </w:p>
    <w:p w14:paraId="2AFCEEB2" w14:textId="77777777" w:rsidR="00271E9C" w:rsidRPr="002E7B89" w:rsidRDefault="00271E9C" w:rsidP="00271E9C">
      <w:pPr>
        <w:pStyle w:val="Betarp"/>
        <w:numPr>
          <w:ilvl w:val="0"/>
          <w:numId w:val="28"/>
        </w:numPr>
        <w:ind w:left="567" w:hanging="567"/>
        <w:rPr>
          <w:lang w:val="lt-LT"/>
        </w:rPr>
      </w:pPr>
      <w:r w:rsidRPr="002E7B89">
        <w:rPr>
          <w:lang w:val="lt-LT" w:bidi="lt-LT"/>
        </w:rPr>
        <w:t>padidėjęs cukraus kiekis kraujyje (sumažėjęs gliukozės toleravimas).</w:t>
      </w:r>
    </w:p>
    <w:p w14:paraId="445DEC52" w14:textId="77777777" w:rsidR="00271E9C" w:rsidRPr="002E7B89" w:rsidRDefault="00271E9C" w:rsidP="00271E9C">
      <w:pPr>
        <w:pStyle w:val="Betarp"/>
        <w:rPr>
          <w:lang w:val="lt-LT"/>
        </w:rPr>
      </w:pPr>
    </w:p>
    <w:p w14:paraId="623FCE78" w14:textId="77777777" w:rsidR="00271E9C" w:rsidRPr="002E7B89" w:rsidRDefault="00271E9C" w:rsidP="00271E9C">
      <w:pPr>
        <w:pStyle w:val="Betarp"/>
        <w:rPr>
          <w:lang w:val="lt-LT"/>
        </w:rPr>
      </w:pPr>
      <w:r w:rsidRPr="002E7B89">
        <w:rPr>
          <w:lang w:val="lt-LT" w:bidi="lt-LT"/>
        </w:rPr>
        <w:t>Gali pasireikšti toliau nurodytas šalutinis poveikis, kuris labai priklauso nuo vaisto dozės ir gydymo trukmės ir kurio dažnis dėl to nežinomas (negali būti apskaičiuotas pagal turimus duomenis):</w:t>
      </w:r>
    </w:p>
    <w:p w14:paraId="44E0B2C7" w14:textId="77777777" w:rsidR="00271E9C" w:rsidRPr="002E7B89" w:rsidRDefault="00271E9C" w:rsidP="00271E9C">
      <w:pPr>
        <w:pStyle w:val="Betarp"/>
        <w:rPr>
          <w:lang w:val="lt-LT"/>
        </w:rPr>
      </w:pPr>
    </w:p>
    <w:p w14:paraId="7B374652" w14:textId="77777777" w:rsidR="00271E9C" w:rsidRPr="002E7B89" w:rsidRDefault="00271E9C" w:rsidP="00271E9C">
      <w:pPr>
        <w:pStyle w:val="Betarp"/>
        <w:rPr>
          <w:lang w:val="lt-LT"/>
        </w:rPr>
      </w:pPr>
      <w:bookmarkStart w:id="41" w:name="Infektionen_und_parasitäre_Erkrankungen_"/>
      <w:bookmarkEnd w:id="41"/>
      <w:r w:rsidRPr="002E7B89">
        <w:rPr>
          <w:lang w:val="lt-LT" w:bidi="lt-LT"/>
        </w:rPr>
        <w:t>Infekcijos ir infestacijos</w:t>
      </w:r>
    </w:p>
    <w:p w14:paraId="1291A350" w14:textId="77777777" w:rsidR="00271E9C" w:rsidRPr="002E7B89" w:rsidRDefault="00271E9C" w:rsidP="00271E9C">
      <w:pPr>
        <w:pStyle w:val="Betarp"/>
        <w:rPr>
          <w:lang w:val="lt-LT"/>
        </w:rPr>
      </w:pPr>
      <w:r w:rsidRPr="002E7B89">
        <w:rPr>
          <w:lang w:val="lt-LT" w:bidi="lt-LT"/>
        </w:rPr>
        <w:t>Infekcijų maskavimas, grybelin</w:t>
      </w:r>
      <w:r w:rsidR="00AD7157" w:rsidRPr="002E7B89">
        <w:rPr>
          <w:lang w:val="lt-LT" w:bidi="lt-LT"/>
        </w:rPr>
        <w:t>ių</w:t>
      </w:r>
      <w:r w:rsidRPr="002E7B89">
        <w:rPr>
          <w:lang w:val="lt-LT" w:bidi="lt-LT"/>
        </w:rPr>
        <w:t>, virusin</w:t>
      </w:r>
      <w:r w:rsidR="00AD7157" w:rsidRPr="002E7B89">
        <w:rPr>
          <w:lang w:val="lt-LT" w:bidi="lt-LT"/>
        </w:rPr>
        <w:t>ių</w:t>
      </w:r>
      <w:r w:rsidRPr="002E7B89">
        <w:rPr>
          <w:lang w:val="lt-LT" w:bidi="lt-LT"/>
        </w:rPr>
        <w:t xml:space="preserve"> ir kitoki</w:t>
      </w:r>
      <w:r w:rsidR="00AD7157" w:rsidRPr="002E7B89">
        <w:rPr>
          <w:lang w:val="lt-LT" w:bidi="lt-LT"/>
        </w:rPr>
        <w:t>ų</w:t>
      </w:r>
      <w:r w:rsidRPr="002E7B89">
        <w:rPr>
          <w:lang w:val="lt-LT" w:bidi="lt-LT"/>
        </w:rPr>
        <w:t xml:space="preserve"> infekcij</w:t>
      </w:r>
      <w:r w:rsidR="00AD7157" w:rsidRPr="002E7B89">
        <w:rPr>
          <w:lang w:val="lt-LT" w:bidi="lt-LT"/>
        </w:rPr>
        <w:t>ų</w:t>
      </w:r>
      <w:r w:rsidRPr="002E7B89">
        <w:rPr>
          <w:lang w:val="lt-LT" w:bidi="lt-LT"/>
        </w:rPr>
        <w:t xml:space="preserve"> (oportunistin</w:t>
      </w:r>
      <w:r w:rsidR="00AD7157" w:rsidRPr="002E7B89">
        <w:rPr>
          <w:lang w:val="lt-LT" w:bidi="lt-LT"/>
        </w:rPr>
        <w:t>ių</w:t>
      </w:r>
      <w:r w:rsidRPr="002E7B89">
        <w:rPr>
          <w:lang w:val="lt-LT" w:bidi="lt-LT"/>
        </w:rPr>
        <w:t xml:space="preserve"> infekcij</w:t>
      </w:r>
      <w:r w:rsidR="00AD7157" w:rsidRPr="002E7B89">
        <w:rPr>
          <w:lang w:val="lt-LT" w:bidi="lt-LT"/>
        </w:rPr>
        <w:t>ų</w:t>
      </w:r>
      <w:r w:rsidRPr="002E7B89">
        <w:rPr>
          <w:lang w:val="lt-LT" w:bidi="lt-LT"/>
        </w:rPr>
        <w:t xml:space="preserve">) </w:t>
      </w:r>
      <w:r w:rsidR="00AD7157" w:rsidRPr="002E7B89">
        <w:rPr>
          <w:lang w:val="lt-LT" w:bidi="lt-LT"/>
        </w:rPr>
        <w:t>pasireiškimas, išplitimas ar atsinaujinimas</w:t>
      </w:r>
      <w:r w:rsidRPr="002E7B89">
        <w:rPr>
          <w:lang w:val="lt-LT" w:bidi="lt-LT"/>
        </w:rPr>
        <w:t>, siūlinių kirmėlių suaktyvėjim</w:t>
      </w:r>
      <w:r w:rsidR="00AD7157" w:rsidRPr="002E7B89">
        <w:rPr>
          <w:lang w:val="lt-LT" w:bidi="lt-LT"/>
        </w:rPr>
        <w:t>as</w:t>
      </w:r>
      <w:r w:rsidRPr="002E7B89">
        <w:rPr>
          <w:lang w:val="lt-LT" w:bidi="lt-LT"/>
        </w:rPr>
        <w:t xml:space="preserve"> (žr. 2 skyrių „Įspėjimai ir atsargumo priemonės“).</w:t>
      </w:r>
    </w:p>
    <w:p w14:paraId="783300B6" w14:textId="77777777" w:rsidR="00271E9C" w:rsidRPr="002E7B89" w:rsidRDefault="00271E9C" w:rsidP="00271E9C">
      <w:pPr>
        <w:pStyle w:val="Betarp"/>
        <w:rPr>
          <w:lang w:val="lt-LT"/>
        </w:rPr>
      </w:pPr>
    </w:p>
    <w:p w14:paraId="57AF3F5A" w14:textId="77777777" w:rsidR="00271E9C" w:rsidRPr="002E7B89" w:rsidRDefault="00271E9C" w:rsidP="00271E9C">
      <w:pPr>
        <w:pStyle w:val="Betarp"/>
        <w:rPr>
          <w:lang w:val="lt-LT"/>
        </w:rPr>
      </w:pPr>
      <w:bookmarkStart w:id="42" w:name="Erkrankungen_des_Blutes_und_des_Lymphsys"/>
      <w:bookmarkEnd w:id="42"/>
      <w:r w:rsidRPr="002E7B89">
        <w:rPr>
          <w:lang w:val="lt-LT" w:bidi="lt-LT"/>
        </w:rPr>
        <w:t>Kraujo ir limfinės sistemos sutrikimai</w:t>
      </w:r>
    </w:p>
    <w:p w14:paraId="791E35A3" w14:textId="77777777" w:rsidR="00271E9C" w:rsidRPr="002E7B89" w:rsidRDefault="00271E9C" w:rsidP="00271E9C">
      <w:pPr>
        <w:pStyle w:val="Betarp"/>
        <w:rPr>
          <w:lang w:val="lt-LT"/>
        </w:rPr>
      </w:pPr>
      <w:r w:rsidRPr="002E7B89">
        <w:rPr>
          <w:lang w:val="lt-LT" w:bidi="lt-LT"/>
        </w:rPr>
        <w:t xml:space="preserve">Kraujo </w:t>
      </w:r>
      <w:r w:rsidR="00AD7157" w:rsidRPr="002E7B89">
        <w:rPr>
          <w:lang w:val="lt-LT" w:bidi="lt-LT"/>
        </w:rPr>
        <w:t>sutrikimai</w:t>
      </w:r>
      <w:r w:rsidRPr="002E7B89">
        <w:rPr>
          <w:lang w:val="lt-LT" w:bidi="lt-LT"/>
        </w:rPr>
        <w:t xml:space="preserve"> (</w:t>
      </w:r>
      <w:r w:rsidR="007421E3">
        <w:rPr>
          <w:lang w:val="lt-LT" w:bidi="lt-LT"/>
        </w:rPr>
        <w:t xml:space="preserve">įvairių kraujo ląstelių kiekio pokyčiai – </w:t>
      </w:r>
      <w:r w:rsidRPr="002E7B89">
        <w:rPr>
          <w:lang w:val="lt-LT" w:bidi="lt-LT"/>
        </w:rPr>
        <w:t>vidutinio sunkumo leukocitozė</w:t>
      </w:r>
      <w:r w:rsidR="007421E3">
        <w:rPr>
          <w:lang w:val="lt-LT" w:bidi="lt-LT"/>
        </w:rPr>
        <w:t xml:space="preserve"> [leukocitų kiekio padidėjimas]</w:t>
      </w:r>
      <w:r w:rsidRPr="002E7B89">
        <w:rPr>
          <w:lang w:val="lt-LT" w:bidi="lt-LT"/>
        </w:rPr>
        <w:t>, limfocitopenija</w:t>
      </w:r>
      <w:r w:rsidR="007421E3">
        <w:rPr>
          <w:lang w:val="lt-LT" w:bidi="lt-LT"/>
        </w:rPr>
        <w:t xml:space="preserve"> [limfocitų kiekio sumažėjimas]</w:t>
      </w:r>
      <w:r w:rsidRPr="002E7B89">
        <w:rPr>
          <w:lang w:val="lt-LT" w:bidi="lt-LT"/>
        </w:rPr>
        <w:t>, eozinopenija</w:t>
      </w:r>
      <w:r w:rsidR="007421E3">
        <w:rPr>
          <w:lang w:val="lt-LT" w:bidi="lt-LT"/>
        </w:rPr>
        <w:t xml:space="preserve"> [eozinofilų kiekio sumažėjimas]</w:t>
      </w:r>
      <w:r w:rsidRPr="002E7B89">
        <w:rPr>
          <w:lang w:val="lt-LT" w:bidi="lt-LT"/>
        </w:rPr>
        <w:t>, policitemija</w:t>
      </w:r>
      <w:r w:rsidR="007421E3">
        <w:rPr>
          <w:lang w:val="lt-LT" w:bidi="lt-LT"/>
        </w:rPr>
        <w:t xml:space="preserve"> [erit</w:t>
      </w:r>
      <w:r w:rsidR="002B0866">
        <w:rPr>
          <w:lang w:val="lt-LT" w:bidi="lt-LT"/>
        </w:rPr>
        <w:t>r</w:t>
      </w:r>
      <w:r w:rsidR="007421E3">
        <w:rPr>
          <w:lang w:val="lt-LT" w:bidi="lt-LT"/>
        </w:rPr>
        <w:t>ocitų kiekio padidėjimas]</w:t>
      </w:r>
      <w:r w:rsidRPr="002E7B89">
        <w:rPr>
          <w:lang w:val="lt-LT" w:bidi="lt-LT"/>
        </w:rPr>
        <w:t>).</w:t>
      </w:r>
    </w:p>
    <w:p w14:paraId="16FC952B" w14:textId="77777777" w:rsidR="00271E9C" w:rsidRPr="002E7B89" w:rsidRDefault="00271E9C" w:rsidP="00271E9C">
      <w:pPr>
        <w:pStyle w:val="Betarp"/>
        <w:rPr>
          <w:lang w:val="lt-LT"/>
        </w:rPr>
      </w:pPr>
    </w:p>
    <w:p w14:paraId="72F35C46" w14:textId="77777777" w:rsidR="00271E9C" w:rsidRPr="002E7B89" w:rsidRDefault="00271E9C" w:rsidP="00271E9C">
      <w:pPr>
        <w:pStyle w:val="Betarp"/>
        <w:rPr>
          <w:lang w:val="lt-LT"/>
        </w:rPr>
      </w:pPr>
      <w:bookmarkStart w:id="43" w:name="Erkrankungen_des_Immunsystems_"/>
      <w:bookmarkEnd w:id="43"/>
      <w:r w:rsidRPr="002E7B89">
        <w:rPr>
          <w:lang w:val="lt-LT" w:bidi="lt-LT"/>
        </w:rPr>
        <w:t>Imuninės sistemos sutrikimai</w:t>
      </w:r>
    </w:p>
    <w:p w14:paraId="7D27D878" w14:textId="77777777" w:rsidR="00271E9C" w:rsidRPr="002E7B89" w:rsidRDefault="00271E9C" w:rsidP="00271E9C">
      <w:pPr>
        <w:pStyle w:val="Betarp"/>
        <w:rPr>
          <w:lang w:val="lt-LT"/>
        </w:rPr>
      </w:pPr>
      <w:r w:rsidRPr="002E7B89">
        <w:rPr>
          <w:lang w:val="lt-LT" w:bidi="lt-LT"/>
        </w:rPr>
        <w:t xml:space="preserve">Padidėjusio jautrumo reakcijos (pvz., bėrimas), imuninės sistemos susilpnėjimas, sunkios alerginės reakcijos ir net anafilaksija (gyvybei pavojinga </w:t>
      </w:r>
      <w:r w:rsidR="007421E3">
        <w:rPr>
          <w:lang w:val="lt-LT" w:bidi="lt-LT"/>
        </w:rPr>
        <w:t xml:space="preserve">ūminė </w:t>
      </w:r>
      <w:r w:rsidRPr="002E7B89">
        <w:rPr>
          <w:lang w:val="lt-LT" w:bidi="lt-LT"/>
        </w:rPr>
        <w:t xml:space="preserve">alerginė reakcija) su tokiais simptomais kaip nereguliarus pulsas, kvėpavimo takų raumenų </w:t>
      </w:r>
      <w:r w:rsidR="007421E3">
        <w:rPr>
          <w:lang w:val="lt-LT" w:bidi="lt-LT"/>
        </w:rPr>
        <w:t>susitraukimas</w:t>
      </w:r>
      <w:r w:rsidRPr="002E7B89">
        <w:rPr>
          <w:lang w:val="lt-LT" w:bidi="lt-LT"/>
        </w:rPr>
        <w:t>, kraujospūdžio sumažėjimas arba padidėjimas, kraujotakos nepakankamumas, širdies sustojimas.</w:t>
      </w:r>
    </w:p>
    <w:p w14:paraId="7CA87B49" w14:textId="77777777" w:rsidR="00271E9C" w:rsidRPr="002E7B89" w:rsidRDefault="00271E9C" w:rsidP="00271E9C">
      <w:pPr>
        <w:pStyle w:val="Betarp"/>
        <w:rPr>
          <w:lang w:val="lt-LT"/>
        </w:rPr>
      </w:pPr>
    </w:p>
    <w:p w14:paraId="668E9DEC" w14:textId="77777777" w:rsidR="00AD7157" w:rsidRPr="002E7B89" w:rsidRDefault="00AD7157" w:rsidP="00AD7157">
      <w:pPr>
        <w:pStyle w:val="Betarp"/>
        <w:rPr>
          <w:lang w:val="lt-LT"/>
        </w:rPr>
      </w:pPr>
      <w:bookmarkStart w:id="44" w:name="Erkrankungen_des_Hormonsystems_"/>
      <w:bookmarkEnd w:id="44"/>
      <w:r w:rsidRPr="002E7B89">
        <w:rPr>
          <w:lang w:val="lt-LT" w:bidi="lt-LT"/>
        </w:rPr>
        <w:t>Endokrininiai sutrikimai</w:t>
      </w:r>
    </w:p>
    <w:p w14:paraId="084D5110" w14:textId="77777777" w:rsidR="00271E9C" w:rsidRPr="002E7B89" w:rsidRDefault="00271E9C" w:rsidP="00271E9C">
      <w:pPr>
        <w:pStyle w:val="Betarp"/>
        <w:rPr>
          <w:lang w:val="lt-LT"/>
        </w:rPr>
      </w:pPr>
      <w:r w:rsidRPr="002E7B89">
        <w:rPr>
          <w:lang w:val="lt-LT" w:bidi="lt-LT"/>
        </w:rPr>
        <w:t xml:space="preserve">Kušingo sindromas (pvz., </w:t>
      </w:r>
      <w:r w:rsidR="00394422">
        <w:rPr>
          <w:lang w:val="lt-LT" w:bidi="lt-LT"/>
        </w:rPr>
        <w:t>„</w:t>
      </w:r>
      <w:r w:rsidR="00AD7157" w:rsidRPr="002E7B89">
        <w:rPr>
          <w:lang w:val="lt-LT" w:bidi="lt-LT"/>
        </w:rPr>
        <w:t>mėnulio</w:t>
      </w:r>
      <w:r w:rsidRPr="002E7B89">
        <w:rPr>
          <w:lang w:val="lt-LT" w:bidi="lt-LT"/>
        </w:rPr>
        <w:t xml:space="preserve"> veidas</w:t>
      </w:r>
      <w:r w:rsidR="00394422">
        <w:rPr>
          <w:lang w:val="lt-LT" w:bidi="lt-LT"/>
        </w:rPr>
        <w:t>“</w:t>
      </w:r>
      <w:r w:rsidRPr="002E7B89">
        <w:rPr>
          <w:lang w:val="lt-LT" w:bidi="lt-LT"/>
        </w:rPr>
        <w:t xml:space="preserve">, viršutinės kūno dalies nutukimas), antinksčių žievės </w:t>
      </w:r>
      <w:r w:rsidR="00AD7157" w:rsidRPr="002E7B89">
        <w:rPr>
          <w:lang w:val="lt-LT" w:bidi="lt-LT"/>
        </w:rPr>
        <w:t>slopinimas</w:t>
      </w:r>
      <w:r w:rsidRPr="002E7B89">
        <w:rPr>
          <w:lang w:val="lt-LT" w:bidi="lt-LT"/>
        </w:rPr>
        <w:t xml:space="preserve"> arba susitraukimas (atrofija).</w:t>
      </w:r>
    </w:p>
    <w:p w14:paraId="192B7CA0" w14:textId="77777777" w:rsidR="00271E9C" w:rsidRPr="002E7B89" w:rsidRDefault="00271E9C" w:rsidP="00271E9C">
      <w:pPr>
        <w:pStyle w:val="Betarp"/>
        <w:rPr>
          <w:lang w:val="lt-LT"/>
        </w:rPr>
      </w:pPr>
    </w:p>
    <w:p w14:paraId="3458C73D" w14:textId="77777777" w:rsidR="00271E9C" w:rsidRPr="002E7B89" w:rsidRDefault="00271E9C" w:rsidP="00271E9C">
      <w:pPr>
        <w:pStyle w:val="Betarp"/>
        <w:rPr>
          <w:lang w:val="lt-LT"/>
        </w:rPr>
      </w:pPr>
      <w:bookmarkStart w:id="45" w:name="Stoffwechsel-_und_Ernährungsstörungen_"/>
      <w:bookmarkEnd w:id="45"/>
      <w:r w:rsidRPr="002E7B89">
        <w:rPr>
          <w:lang w:val="lt-LT" w:bidi="lt-LT"/>
        </w:rPr>
        <w:t>Metabolizmo ir mitybos sutrikimai</w:t>
      </w:r>
    </w:p>
    <w:p w14:paraId="4CE04314" w14:textId="77777777" w:rsidR="00271E9C" w:rsidRPr="002E7B89" w:rsidRDefault="00271E9C" w:rsidP="00271E9C">
      <w:pPr>
        <w:pStyle w:val="Betarp"/>
        <w:rPr>
          <w:lang w:val="lt-LT"/>
        </w:rPr>
      </w:pPr>
      <w:r w:rsidRPr="002E7B89">
        <w:rPr>
          <w:lang w:val="lt-LT" w:bidi="lt-LT"/>
        </w:rPr>
        <w:t>Natrio susilaikymas organizme ir vandens kaupimasis audiniuose, padidėjęs kalio išsiskyrimas (</w:t>
      </w:r>
      <w:r w:rsidR="00AD7157" w:rsidRPr="002E7B89">
        <w:rPr>
          <w:lang w:val="lt-LT" w:bidi="lt-LT"/>
        </w:rPr>
        <w:t xml:space="preserve">atkreipti dėmesį dėl </w:t>
      </w:r>
      <w:r w:rsidRPr="002E7B89">
        <w:rPr>
          <w:lang w:val="lt-LT" w:bidi="lt-LT"/>
        </w:rPr>
        <w:t>galim</w:t>
      </w:r>
      <w:r w:rsidR="00AD7157" w:rsidRPr="002E7B89">
        <w:rPr>
          <w:lang w:val="lt-LT" w:bidi="lt-LT"/>
        </w:rPr>
        <w:t>o</w:t>
      </w:r>
      <w:r w:rsidRPr="002E7B89">
        <w:rPr>
          <w:lang w:val="lt-LT" w:bidi="lt-LT"/>
        </w:rPr>
        <w:t xml:space="preserve"> širdies ritmo sutrikim</w:t>
      </w:r>
      <w:r w:rsidR="00AD7157" w:rsidRPr="002E7B89">
        <w:rPr>
          <w:lang w:val="lt-LT" w:bidi="lt-LT"/>
        </w:rPr>
        <w:t>o</w:t>
      </w:r>
      <w:r w:rsidRPr="002E7B89">
        <w:rPr>
          <w:lang w:val="lt-LT" w:bidi="lt-LT"/>
        </w:rPr>
        <w:t xml:space="preserve">), </w:t>
      </w:r>
      <w:r w:rsidR="00AD7157" w:rsidRPr="002E7B89">
        <w:rPr>
          <w:lang w:val="lt-LT" w:bidi="lt-LT"/>
        </w:rPr>
        <w:t xml:space="preserve">kūno </w:t>
      </w:r>
      <w:r w:rsidRPr="002E7B89">
        <w:rPr>
          <w:lang w:val="lt-LT" w:bidi="lt-LT"/>
        </w:rPr>
        <w:t xml:space="preserve">svorio padidėjimas, padidėjęs cukraus kiekis kraujyje (sumažėjęs gliukozės toleravimas), </w:t>
      </w:r>
      <w:r w:rsidR="00AD7157" w:rsidRPr="002E7B89">
        <w:rPr>
          <w:lang w:val="lt-LT" w:bidi="lt-LT"/>
        </w:rPr>
        <w:t xml:space="preserve">cukrinis </w:t>
      </w:r>
      <w:r w:rsidRPr="002E7B89">
        <w:rPr>
          <w:lang w:val="lt-LT" w:bidi="lt-LT"/>
        </w:rPr>
        <w:t>diabetas, padidėjęs riebalų (cholesterolio ir trigliceridų) kiekis kraujyje, padidėjęs apetitas.</w:t>
      </w:r>
    </w:p>
    <w:p w14:paraId="527A40E3" w14:textId="77777777" w:rsidR="00271E9C" w:rsidRPr="002E7B89" w:rsidRDefault="00271E9C" w:rsidP="00271E9C">
      <w:pPr>
        <w:pStyle w:val="Betarp"/>
        <w:rPr>
          <w:lang w:val="lt-LT"/>
        </w:rPr>
      </w:pPr>
    </w:p>
    <w:p w14:paraId="37183083" w14:textId="77777777" w:rsidR="00271E9C" w:rsidRPr="002E7B89" w:rsidRDefault="00271E9C" w:rsidP="00271E9C">
      <w:pPr>
        <w:pStyle w:val="Betarp"/>
        <w:rPr>
          <w:lang w:val="lt-LT"/>
        </w:rPr>
      </w:pPr>
      <w:bookmarkStart w:id="46" w:name="Psychiatrische_Erkrankungen_"/>
      <w:bookmarkEnd w:id="46"/>
      <w:r w:rsidRPr="002E7B89">
        <w:rPr>
          <w:lang w:val="lt-LT" w:bidi="lt-LT"/>
        </w:rPr>
        <w:t>Psichikos sutrikimai</w:t>
      </w:r>
    </w:p>
    <w:p w14:paraId="3609E895" w14:textId="77777777" w:rsidR="00271E9C" w:rsidRPr="002E7B89" w:rsidRDefault="00271E9C" w:rsidP="00271E9C">
      <w:pPr>
        <w:pStyle w:val="Betarp"/>
        <w:rPr>
          <w:lang w:val="lt-LT"/>
        </w:rPr>
      </w:pPr>
      <w:r w:rsidRPr="002E7B89">
        <w:rPr>
          <w:lang w:val="lt-LT" w:bidi="lt-LT"/>
        </w:rPr>
        <w:t>Psichozė, depresija, dirglumas, euforija (pernelyg didelis džiaugsmas), miego sutrikimai, labilumas, nerimas, manija, haliucinacijos, mintys apie savižudybę.</w:t>
      </w:r>
    </w:p>
    <w:p w14:paraId="352C718C" w14:textId="77777777" w:rsidR="00271E9C" w:rsidRPr="002E7B89" w:rsidRDefault="00271E9C" w:rsidP="00271E9C">
      <w:pPr>
        <w:pStyle w:val="Betarp"/>
        <w:rPr>
          <w:lang w:val="lt-LT"/>
        </w:rPr>
      </w:pPr>
    </w:p>
    <w:p w14:paraId="050CE466" w14:textId="77777777" w:rsidR="00271E9C" w:rsidRPr="002E7B89" w:rsidRDefault="00271E9C" w:rsidP="00271E9C">
      <w:pPr>
        <w:pStyle w:val="Betarp"/>
        <w:rPr>
          <w:lang w:val="lt-LT"/>
        </w:rPr>
      </w:pPr>
      <w:bookmarkStart w:id="47" w:name="Erkrankungen_des_Nervensystems_"/>
      <w:bookmarkEnd w:id="47"/>
      <w:r w:rsidRPr="002E7B89">
        <w:rPr>
          <w:lang w:val="lt-LT" w:bidi="lt-LT"/>
        </w:rPr>
        <w:lastRenderedPageBreak/>
        <w:t>Nervų sistemos sutrikimai</w:t>
      </w:r>
    </w:p>
    <w:p w14:paraId="5AA2DD0B" w14:textId="77777777" w:rsidR="00271E9C" w:rsidRPr="002E7B89" w:rsidRDefault="00AD7157" w:rsidP="00271E9C">
      <w:pPr>
        <w:pStyle w:val="Betarp"/>
        <w:rPr>
          <w:lang w:val="lt-LT"/>
        </w:rPr>
      </w:pPr>
      <w:r w:rsidRPr="002E7B89">
        <w:rPr>
          <w:lang w:val="lt-LT" w:eastAsia="lt-LT"/>
        </w:rPr>
        <w:t>Intrakranialinio spaudimo</w:t>
      </w:r>
      <w:r w:rsidR="007421E3">
        <w:rPr>
          <w:lang w:val="lt-LT" w:eastAsia="lt-LT"/>
        </w:rPr>
        <w:t xml:space="preserve"> (spaudimo galvos viduje)</w:t>
      </w:r>
      <w:r w:rsidRPr="002E7B89">
        <w:rPr>
          <w:lang w:val="lt-LT" w:eastAsia="lt-LT"/>
        </w:rPr>
        <w:t xml:space="preserve"> padidėjimas</w:t>
      </w:r>
      <w:r w:rsidRPr="002E7B89">
        <w:rPr>
          <w:lang w:val="lt-LT" w:bidi="lt-LT"/>
        </w:rPr>
        <w:t xml:space="preserve"> </w:t>
      </w:r>
      <w:r w:rsidR="00271E9C" w:rsidRPr="002E7B89">
        <w:rPr>
          <w:lang w:val="lt-LT" w:bidi="lt-LT"/>
        </w:rPr>
        <w:t xml:space="preserve">(netikras smegenų </w:t>
      </w:r>
      <w:r w:rsidR="00FA1C42" w:rsidRPr="002E7B89">
        <w:rPr>
          <w:lang w:val="lt-LT" w:bidi="lt-LT"/>
        </w:rPr>
        <w:t>navikas</w:t>
      </w:r>
      <w:r w:rsidR="00271E9C" w:rsidRPr="002E7B89">
        <w:rPr>
          <w:lang w:val="lt-LT" w:bidi="lt-LT"/>
        </w:rPr>
        <w:t xml:space="preserve">), </w:t>
      </w:r>
      <w:r w:rsidR="00FA1C42" w:rsidRPr="002E7B89">
        <w:rPr>
          <w:lang w:val="lt-LT" w:bidi="lt-LT"/>
        </w:rPr>
        <w:t>pirmą kartą pasireiškianti latentinė (anksčiau neaktyvi) epilepsija</w:t>
      </w:r>
      <w:r w:rsidR="00271E9C" w:rsidRPr="002E7B89">
        <w:rPr>
          <w:lang w:val="lt-LT" w:bidi="lt-LT"/>
        </w:rPr>
        <w:t xml:space="preserve"> ir padidėjęs polinkis į traukulių priepuolius jau sergant epilepsija.</w:t>
      </w:r>
    </w:p>
    <w:p w14:paraId="3506CD7B" w14:textId="77777777" w:rsidR="00271E9C" w:rsidRPr="002E7B89" w:rsidRDefault="00271E9C" w:rsidP="00271E9C">
      <w:pPr>
        <w:pStyle w:val="Betarp"/>
        <w:rPr>
          <w:lang w:val="lt-LT"/>
        </w:rPr>
      </w:pPr>
    </w:p>
    <w:p w14:paraId="6105C365" w14:textId="77777777" w:rsidR="00271E9C" w:rsidRPr="002E7B89" w:rsidRDefault="00271E9C" w:rsidP="00271E9C">
      <w:pPr>
        <w:pStyle w:val="Betarp"/>
        <w:rPr>
          <w:lang w:val="lt-LT"/>
        </w:rPr>
      </w:pPr>
      <w:bookmarkStart w:id="48" w:name="Augenerkrankungen_"/>
      <w:bookmarkEnd w:id="48"/>
      <w:r w:rsidRPr="002E7B89">
        <w:rPr>
          <w:lang w:val="lt-LT" w:bidi="lt-LT"/>
        </w:rPr>
        <w:t>Akių sutrikimai</w:t>
      </w:r>
    </w:p>
    <w:p w14:paraId="3525E01F" w14:textId="77777777" w:rsidR="00271E9C" w:rsidRPr="002E7B89" w:rsidRDefault="00271E9C" w:rsidP="00271E9C">
      <w:pPr>
        <w:pStyle w:val="Betarp"/>
        <w:rPr>
          <w:lang w:val="lt-LT"/>
        </w:rPr>
      </w:pPr>
      <w:r w:rsidRPr="002E7B89">
        <w:rPr>
          <w:lang w:val="lt-LT" w:bidi="lt-LT"/>
        </w:rPr>
        <w:t>Glaukoma, katarakta, ragenos opos simptomų pasunkėjimas, virusinio, grybelinio ar bakterinio akių uždegimo paūmėjimas; bakterinio ragenos uždegimo pasunkėjimas, akies voko nusileidimas (ptozė), vyzdžių išsiplėtimas, akies junginės edema, jatrogeninė skleros perforacija (gydytojo sukeltas skleros (baltosios akies sienelės) sužalojimas), regėjimo pablogėjimas arba praradimas, neaiškus regėjimas. Retais atvejais gali atsirasti praeinantis akies obuolio išsivertimas iš akiduobės (egzoftalmas).</w:t>
      </w:r>
    </w:p>
    <w:p w14:paraId="0913C45B" w14:textId="4C731E9B" w:rsidR="00271E9C" w:rsidRDefault="00271E9C" w:rsidP="00271E9C">
      <w:pPr>
        <w:pStyle w:val="Betarp"/>
        <w:rPr>
          <w:lang w:val="lt-LT"/>
        </w:rPr>
      </w:pPr>
    </w:p>
    <w:p w14:paraId="085169C7" w14:textId="77777777" w:rsidR="00F83D28" w:rsidRPr="002472CD" w:rsidRDefault="00F83D28" w:rsidP="00F83D28">
      <w:pPr>
        <w:pStyle w:val="Betarp"/>
        <w:rPr>
          <w:lang w:val="lt-LT"/>
        </w:rPr>
      </w:pPr>
      <w:r w:rsidRPr="002472CD">
        <w:rPr>
          <w:lang w:val="lt-LT"/>
        </w:rPr>
        <w:t>Širdies sutrikimai</w:t>
      </w:r>
    </w:p>
    <w:p w14:paraId="776A0B14" w14:textId="6F70225F" w:rsidR="00F83D28" w:rsidRPr="00366392" w:rsidRDefault="00366392" w:rsidP="00271E9C">
      <w:pPr>
        <w:pStyle w:val="Betarp"/>
        <w:rPr>
          <w:lang w:val="lt-LT"/>
        </w:rPr>
      </w:pPr>
      <w:r w:rsidRPr="00366392">
        <w:rPr>
          <w:lang w:val="lt-LT"/>
        </w:rPr>
        <w:t>Širdies raumens sustorėjimas (hipertrofinė kardiomiopatija) neišnešiotiems kūdikiams, kuris nutraukus gydymą paprastai sunormalėja.</w:t>
      </w:r>
    </w:p>
    <w:p w14:paraId="1261E97A" w14:textId="77777777" w:rsidR="00F83D28" w:rsidRPr="002E7B89" w:rsidRDefault="00F83D28" w:rsidP="00271E9C">
      <w:pPr>
        <w:pStyle w:val="Betarp"/>
        <w:rPr>
          <w:lang w:val="lt-LT"/>
        </w:rPr>
      </w:pPr>
    </w:p>
    <w:p w14:paraId="56608849" w14:textId="77777777" w:rsidR="00271E9C" w:rsidRPr="002E7B89" w:rsidRDefault="00271E9C" w:rsidP="00271E9C">
      <w:pPr>
        <w:pStyle w:val="Betarp"/>
        <w:rPr>
          <w:lang w:val="lt-LT"/>
        </w:rPr>
      </w:pPr>
      <w:bookmarkStart w:id="49" w:name="Gefäßerkrankungen_"/>
      <w:bookmarkEnd w:id="49"/>
      <w:r w:rsidRPr="002E7B89">
        <w:rPr>
          <w:lang w:val="lt-LT" w:bidi="lt-LT"/>
        </w:rPr>
        <w:t>Kraujagyslių sutrikimai</w:t>
      </w:r>
    </w:p>
    <w:p w14:paraId="50593F52" w14:textId="77777777" w:rsidR="00271E9C" w:rsidRPr="002E7B89" w:rsidRDefault="00FA1C42" w:rsidP="00271E9C">
      <w:pPr>
        <w:pStyle w:val="Betarp"/>
        <w:rPr>
          <w:lang w:val="lt-LT"/>
        </w:rPr>
      </w:pPr>
      <w:r w:rsidRPr="002E7B89">
        <w:rPr>
          <w:lang w:val="lt-LT" w:bidi="lt-LT"/>
        </w:rPr>
        <w:t>Padidėjęs</w:t>
      </w:r>
      <w:r w:rsidR="00271E9C" w:rsidRPr="002E7B89">
        <w:rPr>
          <w:lang w:val="lt-LT" w:bidi="lt-LT"/>
        </w:rPr>
        <w:t xml:space="preserve"> kraujospūdis, padidėjusi aterosklerozės (kraujagyslių sienelės pakitimų) ir trombozės (kraujagyslių užsikimšimo kraujo krešuliu) rizika, kraujagyslių ir limfagyslių uždegimas (vaskulitas, taip pat kaip nutraukimo sindromas po ilgalaikio gydymo), kraujagyslių sienelės trapumas (kapiliarų trapumas).</w:t>
      </w:r>
    </w:p>
    <w:p w14:paraId="0ADF0EB9" w14:textId="77777777" w:rsidR="00271E9C" w:rsidRPr="002E7B89" w:rsidRDefault="00271E9C" w:rsidP="00271E9C">
      <w:pPr>
        <w:pStyle w:val="Betarp"/>
        <w:rPr>
          <w:lang w:val="lt-LT"/>
        </w:rPr>
      </w:pPr>
    </w:p>
    <w:p w14:paraId="2A449232" w14:textId="77777777" w:rsidR="00271E9C" w:rsidRPr="002E7B89" w:rsidRDefault="00271E9C" w:rsidP="00271E9C">
      <w:pPr>
        <w:pStyle w:val="Betarp"/>
        <w:rPr>
          <w:lang w:val="lt-LT"/>
        </w:rPr>
      </w:pPr>
      <w:r w:rsidRPr="002E7B89">
        <w:rPr>
          <w:lang w:val="lt-LT" w:bidi="lt-LT"/>
        </w:rPr>
        <w:t>Virškinimo trakto sutrikimai</w:t>
      </w:r>
    </w:p>
    <w:p w14:paraId="23A94A7A" w14:textId="77777777" w:rsidR="00271E9C" w:rsidRPr="002E7B89" w:rsidRDefault="00271E9C" w:rsidP="00271E9C">
      <w:pPr>
        <w:pStyle w:val="Betarp"/>
        <w:rPr>
          <w:lang w:val="lt-LT"/>
        </w:rPr>
      </w:pPr>
      <w:r w:rsidRPr="002E7B89">
        <w:rPr>
          <w:lang w:val="lt-LT" w:bidi="lt-LT"/>
        </w:rPr>
        <w:t>Skrandžio negalavimai, virškinimo trakto opos, kraujavimas iš virškinimo trakto, kasos uždegimas, žarnų perforacijos rizika sergant opiniu kolitu (sunkiu storosios žarnos uždegimu).</w:t>
      </w:r>
    </w:p>
    <w:p w14:paraId="309AFAA5" w14:textId="77777777" w:rsidR="00271E9C" w:rsidRPr="002E7B89" w:rsidRDefault="00271E9C" w:rsidP="00271E9C">
      <w:pPr>
        <w:pStyle w:val="Betarp"/>
        <w:rPr>
          <w:lang w:val="lt-LT"/>
        </w:rPr>
      </w:pPr>
    </w:p>
    <w:p w14:paraId="448E5AFE" w14:textId="77777777" w:rsidR="00271E9C" w:rsidRPr="002E7B89" w:rsidRDefault="00271E9C" w:rsidP="00271E9C">
      <w:pPr>
        <w:pStyle w:val="Betarp"/>
        <w:rPr>
          <w:lang w:val="lt-LT"/>
        </w:rPr>
      </w:pPr>
      <w:bookmarkStart w:id="50" w:name="Erkrankungen_der_Haut_und_des_Unterhautz"/>
      <w:bookmarkEnd w:id="50"/>
      <w:r w:rsidRPr="002E7B89">
        <w:rPr>
          <w:lang w:val="lt-LT" w:bidi="lt-LT"/>
        </w:rPr>
        <w:t>Odos ir poodinio audinio sutrikimai</w:t>
      </w:r>
    </w:p>
    <w:p w14:paraId="24458DF4" w14:textId="77777777" w:rsidR="00271E9C" w:rsidRPr="002E7B89" w:rsidRDefault="00271E9C" w:rsidP="00271E9C">
      <w:pPr>
        <w:pStyle w:val="Betarp"/>
        <w:rPr>
          <w:lang w:val="lt-LT"/>
        </w:rPr>
      </w:pPr>
      <w:r w:rsidRPr="002E7B89">
        <w:rPr>
          <w:lang w:val="lt-LT" w:bidi="lt-LT"/>
        </w:rPr>
        <w:t>Strijos, odos plonėjimas, taškinis kraujavimas po oda, mėlynės, steroidiniai spuogai, odos aplink burną uždegimas, paviršinių kraujagyslių išsiplėtimas, per didelis kūno plaukuotumas, odos pigmentacijos pokyčiai.</w:t>
      </w:r>
    </w:p>
    <w:p w14:paraId="1B638EA7" w14:textId="77777777" w:rsidR="00271E9C" w:rsidRPr="002E7B89" w:rsidRDefault="00271E9C" w:rsidP="00271E9C">
      <w:pPr>
        <w:pStyle w:val="Betarp"/>
        <w:rPr>
          <w:lang w:val="lt-LT"/>
        </w:rPr>
      </w:pPr>
    </w:p>
    <w:p w14:paraId="55645B4F" w14:textId="77777777" w:rsidR="00271E9C" w:rsidRPr="002E7B89" w:rsidRDefault="00271E9C" w:rsidP="00271E9C">
      <w:pPr>
        <w:pStyle w:val="Betarp"/>
        <w:rPr>
          <w:lang w:val="lt-LT"/>
        </w:rPr>
      </w:pPr>
      <w:bookmarkStart w:id="51" w:name="Skelettmuskulatur-,_Bindegewebe-,_und_Kn"/>
      <w:bookmarkEnd w:id="51"/>
      <w:r w:rsidRPr="002E7B89">
        <w:rPr>
          <w:lang w:val="lt-LT" w:bidi="lt-LT"/>
        </w:rPr>
        <w:t>Skeleto, raumenų ir jungiamojo audinio sutrikimai</w:t>
      </w:r>
    </w:p>
    <w:p w14:paraId="060FB9D9" w14:textId="77777777" w:rsidR="00271E9C" w:rsidRPr="002E7B89" w:rsidRDefault="00271E9C" w:rsidP="00271E9C">
      <w:pPr>
        <w:pStyle w:val="Betarp"/>
        <w:rPr>
          <w:lang w:val="lt-LT"/>
        </w:rPr>
      </w:pPr>
      <w:r w:rsidRPr="002E7B89">
        <w:rPr>
          <w:lang w:val="lt-LT" w:bidi="lt-LT"/>
        </w:rPr>
        <w:t>Raumenų silpnumas, raumenų išsekimas, uždegiminė raumenų liga, sausgyslių sutrikimai, sausgyslių uždegimas, sausgyslių plyšimas, kaulinio audinio irimas (osteoporozė), sulėtėjęs vaikų augimas, aseptinė kaulų nekrozė (kaulinio audinio žūtis be mikrobų dalyvavimo), padidėjęs riebalinio audinio kiekis stuburo kanale.</w:t>
      </w:r>
    </w:p>
    <w:p w14:paraId="24596CA3" w14:textId="77777777" w:rsidR="00271E9C" w:rsidRPr="002E7B89" w:rsidRDefault="00271E9C" w:rsidP="00271E9C">
      <w:pPr>
        <w:pStyle w:val="Betarp"/>
        <w:rPr>
          <w:lang w:val="lt-LT"/>
        </w:rPr>
      </w:pPr>
    </w:p>
    <w:p w14:paraId="15A9628A" w14:textId="77777777" w:rsidR="00271E9C" w:rsidRPr="002E7B89" w:rsidRDefault="00271E9C" w:rsidP="00271E9C">
      <w:pPr>
        <w:pStyle w:val="Betarp"/>
        <w:rPr>
          <w:lang w:val="lt-LT"/>
        </w:rPr>
      </w:pPr>
      <w:bookmarkStart w:id="52" w:name="Erkrankungen_der_Geschlechtsorgane_und_d"/>
      <w:bookmarkEnd w:id="52"/>
      <w:r w:rsidRPr="002E7B89">
        <w:rPr>
          <w:lang w:val="lt-LT" w:bidi="lt-LT"/>
        </w:rPr>
        <w:t>Lytinės sistemos ir krūties sutrikimai</w:t>
      </w:r>
    </w:p>
    <w:p w14:paraId="1E35F9E3" w14:textId="77777777" w:rsidR="00271E9C" w:rsidRPr="002E7B89" w:rsidRDefault="00271E9C" w:rsidP="00271E9C">
      <w:pPr>
        <w:pStyle w:val="Betarp"/>
        <w:rPr>
          <w:lang w:val="lt-LT"/>
        </w:rPr>
      </w:pPr>
      <w:r w:rsidRPr="002E7B89">
        <w:rPr>
          <w:lang w:val="lt-LT" w:bidi="lt-LT"/>
        </w:rPr>
        <w:t>Lytinių hormonų sekrecijos sutrikimai, pavyzdžiui, mėnesinių nebuvimas, per didelis vyriško tipo plaukų augimas moterims, impotencija.</w:t>
      </w:r>
    </w:p>
    <w:p w14:paraId="17C04452" w14:textId="77777777" w:rsidR="00271E9C" w:rsidRPr="002E7B89" w:rsidRDefault="00271E9C" w:rsidP="00271E9C">
      <w:pPr>
        <w:pStyle w:val="Betarp"/>
        <w:rPr>
          <w:lang w:val="lt-LT"/>
        </w:rPr>
      </w:pPr>
    </w:p>
    <w:p w14:paraId="4609C2DF" w14:textId="77777777" w:rsidR="00271E9C" w:rsidRPr="002E7B89" w:rsidRDefault="00271E9C" w:rsidP="00271E9C">
      <w:pPr>
        <w:pStyle w:val="Betarp"/>
        <w:rPr>
          <w:lang w:val="lt-LT"/>
        </w:rPr>
      </w:pPr>
      <w:bookmarkStart w:id="53" w:name="Allgemeine_Erkrankungen_und_Beschwerden_"/>
      <w:bookmarkEnd w:id="53"/>
      <w:r w:rsidRPr="002E7B89">
        <w:rPr>
          <w:lang w:val="lt-LT" w:bidi="lt-LT"/>
        </w:rPr>
        <w:t>Bendrieji sutrikimai ir vartojimo vietos pažeidimai</w:t>
      </w:r>
    </w:p>
    <w:p w14:paraId="7F85D0FB" w14:textId="77777777" w:rsidR="00271E9C" w:rsidRPr="002E7B89" w:rsidRDefault="00271E9C" w:rsidP="00271E9C">
      <w:pPr>
        <w:pStyle w:val="Betarp"/>
        <w:rPr>
          <w:lang w:val="lt-LT"/>
        </w:rPr>
      </w:pPr>
      <w:r w:rsidRPr="002E7B89">
        <w:rPr>
          <w:lang w:val="lt-LT" w:bidi="lt-LT"/>
        </w:rPr>
        <w:t>Sulėtėjęs žaizdų gijimas.</w:t>
      </w:r>
    </w:p>
    <w:p w14:paraId="4BAF2392" w14:textId="77777777" w:rsidR="00271E9C" w:rsidRPr="002E7B89" w:rsidRDefault="00271E9C" w:rsidP="00271E9C">
      <w:pPr>
        <w:pStyle w:val="Betarp"/>
        <w:rPr>
          <w:lang w:val="lt-LT"/>
        </w:rPr>
      </w:pPr>
    </w:p>
    <w:p w14:paraId="18F47195" w14:textId="77777777" w:rsidR="00271E9C" w:rsidRPr="002E7B89" w:rsidRDefault="00FA1C42" w:rsidP="00271E9C">
      <w:pPr>
        <w:pStyle w:val="Betarp"/>
        <w:rPr>
          <w:b/>
          <w:lang w:val="lt-LT"/>
        </w:rPr>
      </w:pPr>
      <w:bookmarkStart w:id="54" w:name="Lokale_Anwendung_"/>
      <w:bookmarkEnd w:id="54"/>
      <w:r w:rsidRPr="002E7B89">
        <w:rPr>
          <w:b/>
          <w:lang w:val="lt-LT" w:bidi="lt-LT"/>
        </w:rPr>
        <w:t>Lokalus</w:t>
      </w:r>
      <w:r w:rsidR="00271E9C" w:rsidRPr="002E7B89">
        <w:rPr>
          <w:b/>
          <w:lang w:val="lt-LT" w:bidi="lt-LT"/>
        </w:rPr>
        <w:t xml:space="preserve"> vartojimas</w:t>
      </w:r>
    </w:p>
    <w:p w14:paraId="74B616ED" w14:textId="460018BB" w:rsidR="00271E9C" w:rsidRPr="002E7B89" w:rsidRDefault="00271E9C" w:rsidP="00271E9C">
      <w:pPr>
        <w:pStyle w:val="Betarp"/>
        <w:rPr>
          <w:lang w:val="lt-LT"/>
        </w:rPr>
      </w:pPr>
      <w:r w:rsidRPr="002E7B89">
        <w:rPr>
          <w:lang w:val="lt-LT" w:bidi="lt-LT"/>
        </w:rPr>
        <w:t xml:space="preserve">Galimas dirginimas ir netoleravimo požymiai (karščio pojūtis, ilgai trunkantis skausmas), ypač vartojant į akis. Jei deksametazonas į sąnario ertmę </w:t>
      </w:r>
      <w:r w:rsidR="001D55EC">
        <w:rPr>
          <w:lang w:val="lt-LT" w:bidi="lt-LT"/>
        </w:rPr>
        <w:t>leidžiamas</w:t>
      </w:r>
      <w:r w:rsidRPr="002E7B89">
        <w:rPr>
          <w:lang w:val="lt-LT" w:bidi="lt-LT"/>
        </w:rPr>
        <w:t xml:space="preserve"> nepakankamai atsargiai, </w:t>
      </w:r>
      <w:r w:rsidR="007421E3">
        <w:rPr>
          <w:lang w:val="lt-LT" w:bidi="lt-LT"/>
        </w:rPr>
        <w:t xml:space="preserve">galimas </w:t>
      </w:r>
      <w:r w:rsidRPr="002E7B89">
        <w:rPr>
          <w:lang w:val="lt-LT" w:bidi="lt-LT"/>
        </w:rPr>
        <w:t>audinių nykim</w:t>
      </w:r>
      <w:r w:rsidR="007421E3">
        <w:rPr>
          <w:lang w:val="lt-LT" w:bidi="lt-LT"/>
        </w:rPr>
        <w:t>as</w:t>
      </w:r>
      <w:r w:rsidR="00FA1C42" w:rsidRPr="002E7B89">
        <w:rPr>
          <w:lang w:val="lt-LT" w:bidi="lt-LT"/>
        </w:rPr>
        <w:t>.</w:t>
      </w:r>
    </w:p>
    <w:p w14:paraId="089A6BFA" w14:textId="77777777" w:rsidR="00271E9C" w:rsidRPr="002E7B89" w:rsidRDefault="00271E9C" w:rsidP="00271E9C">
      <w:pPr>
        <w:pStyle w:val="Betarp"/>
        <w:rPr>
          <w:lang w:val="lt-LT"/>
        </w:rPr>
      </w:pPr>
    </w:p>
    <w:p w14:paraId="272CFC43" w14:textId="77777777" w:rsidR="00271E9C" w:rsidRPr="002E7B89" w:rsidRDefault="00271E9C" w:rsidP="00271E9C">
      <w:pPr>
        <w:pStyle w:val="Betarp"/>
        <w:rPr>
          <w:b/>
          <w:lang w:val="lt-LT"/>
        </w:rPr>
      </w:pPr>
      <w:r w:rsidRPr="002E7B89">
        <w:rPr>
          <w:b/>
          <w:lang w:val="lt-LT" w:bidi="lt-LT"/>
        </w:rPr>
        <w:t>Pranešimas apie šalutinį poveikį</w:t>
      </w:r>
    </w:p>
    <w:p w14:paraId="03D650CA" w14:textId="2BE8AC7C" w:rsidR="00FA56A6" w:rsidRPr="002E7B89" w:rsidRDefault="00FA56A6" w:rsidP="00FA56A6">
      <w:pPr>
        <w:tabs>
          <w:tab w:val="left" w:pos="567"/>
        </w:tabs>
        <w:spacing w:line="260" w:lineRule="exact"/>
        <w:ind w:right="-1"/>
        <w:rPr>
          <w:snapToGrid w:val="0"/>
          <w:lang w:val="lt-LT"/>
        </w:rPr>
      </w:pPr>
      <w:r w:rsidRPr="002E7B89">
        <w:rPr>
          <w:snapToGrid w:val="0"/>
          <w:lang w:val="lt-LT"/>
        </w:rPr>
        <w:t xml:space="preserve">Jeigu pasireiškė šalutinis poveikis, įskaitant šiame lapelyje nenurodytą, pasakykite gydytojui arba vaistininkui. Pranešimą apie šalutinį poveikį galite </w:t>
      </w:r>
      <w:r w:rsidR="00572BB3" w:rsidRPr="009749E3">
        <w:rPr>
          <w:snapToGrid w:val="0"/>
          <w:lang w:val="lt-LT"/>
        </w:rPr>
        <w:t>užpildyti ir</w:t>
      </w:r>
      <w:r w:rsidR="00572BB3">
        <w:rPr>
          <w:snapToGrid w:val="0"/>
          <w:lang w:val="lt-LT"/>
        </w:rPr>
        <w:t xml:space="preserve"> </w:t>
      </w:r>
      <w:r w:rsidRPr="002E7B89">
        <w:rPr>
          <w:snapToGrid w:val="0"/>
          <w:lang w:val="lt-LT"/>
        </w:rPr>
        <w:t xml:space="preserve">pateikti </w:t>
      </w:r>
      <w:r w:rsidR="00572BB3" w:rsidRPr="00572BB3">
        <w:rPr>
          <w:snapToGrid w:val="0"/>
          <w:lang w:val="lt-LT"/>
        </w:rPr>
        <w:t>Valstybinės</w:t>
      </w:r>
      <w:r w:rsidR="00A772A5">
        <w:rPr>
          <w:snapToGrid w:val="0"/>
          <w:lang w:val="lt-LT"/>
        </w:rPr>
        <w:t xml:space="preserve"> </w:t>
      </w:r>
      <w:r w:rsidR="00572BB3" w:rsidRPr="00572BB3">
        <w:rPr>
          <w:snapToGrid w:val="0"/>
          <w:lang w:val="lt-LT"/>
        </w:rPr>
        <w:t>vaistų kontrolės tarnybos prie Lietuvos Respublikos sveikatos apsaugos ministerijos tinklalapyje</w:t>
      </w:r>
      <w:r w:rsidR="00A772A5">
        <w:rPr>
          <w:snapToGrid w:val="0"/>
          <w:lang w:val="lt-LT"/>
        </w:rPr>
        <w:t xml:space="preserve"> </w:t>
      </w:r>
      <w:r w:rsidR="00572BB3" w:rsidRPr="00572BB3">
        <w:rPr>
          <w:snapToGrid w:val="0"/>
          <w:lang w:val="lt-LT"/>
        </w:rPr>
        <w:t xml:space="preserve">https://vvkt.lrv.lt/lt/ nurodytais būdais arba paskambinti nemokamu telefonu </w:t>
      </w:r>
      <w:r w:rsidR="00A772A5" w:rsidRPr="00A772A5">
        <w:rPr>
          <w:snapToGrid w:val="0"/>
          <w:lang w:val="lt-LT"/>
        </w:rPr>
        <w:t>+370</w:t>
      </w:r>
      <w:r w:rsidR="00572BB3" w:rsidRPr="00572BB3">
        <w:rPr>
          <w:snapToGrid w:val="0"/>
          <w:lang w:val="lt-LT"/>
        </w:rPr>
        <w:t xml:space="preserve"> 800 73 568.</w:t>
      </w:r>
      <w:r w:rsidR="001D55EC">
        <w:rPr>
          <w:snapToGrid w:val="0"/>
          <w:lang w:val="lt-LT"/>
        </w:rPr>
        <w:t xml:space="preserve"> </w:t>
      </w:r>
      <w:r w:rsidRPr="002E7B89">
        <w:rPr>
          <w:snapToGrid w:val="0"/>
          <w:lang w:val="lt-LT"/>
        </w:rPr>
        <w:t>Pranešdami apie šalutinį poveikį galite mums padėti gauti daugiau informacijos apie šio vaisto saugumą.</w:t>
      </w:r>
    </w:p>
    <w:p w14:paraId="4FE5FC92" w14:textId="77777777" w:rsidR="00271E9C" w:rsidRPr="002E7B89" w:rsidRDefault="00271E9C" w:rsidP="00271E9C">
      <w:pPr>
        <w:pStyle w:val="Betarp"/>
        <w:rPr>
          <w:lang w:val="lt-LT"/>
        </w:rPr>
      </w:pPr>
    </w:p>
    <w:p w14:paraId="451746CE" w14:textId="77777777" w:rsidR="00271E9C" w:rsidRPr="002E7B89" w:rsidRDefault="00271E9C" w:rsidP="00271E9C">
      <w:pPr>
        <w:pStyle w:val="Betarp"/>
        <w:rPr>
          <w:lang w:val="lt-LT"/>
        </w:rPr>
      </w:pPr>
    </w:p>
    <w:p w14:paraId="2904178B" w14:textId="77777777" w:rsidR="00271E9C" w:rsidRPr="002E7B89" w:rsidRDefault="00271E9C" w:rsidP="00271E9C">
      <w:pPr>
        <w:pStyle w:val="Betarp"/>
        <w:rPr>
          <w:b/>
          <w:lang w:val="lt-LT"/>
        </w:rPr>
      </w:pPr>
      <w:bookmarkStart w:id="55" w:name="5._Wie_ist_Fortecortin_aufzubewahren?_"/>
      <w:bookmarkEnd w:id="55"/>
      <w:r w:rsidRPr="002E7B89">
        <w:rPr>
          <w:b/>
          <w:lang w:val="lt-LT" w:bidi="lt-LT"/>
        </w:rPr>
        <w:lastRenderedPageBreak/>
        <w:t>5.</w:t>
      </w:r>
      <w:r w:rsidRPr="002E7B89">
        <w:rPr>
          <w:b/>
          <w:lang w:val="lt-LT" w:bidi="lt-LT"/>
        </w:rPr>
        <w:tab/>
        <w:t xml:space="preserve">Kaip laikyti </w:t>
      </w:r>
      <w:r w:rsidR="008765BB">
        <w:rPr>
          <w:b/>
          <w:lang w:val="lt-LT" w:bidi="lt-LT"/>
        </w:rPr>
        <w:t>Dexamethasone Kalceks</w:t>
      </w:r>
    </w:p>
    <w:p w14:paraId="1D07E6A5" w14:textId="77777777" w:rsidR="00271E9C" w:rsidRPr="002E7B89" w:rsidRDefault="00271E9C" w:rsidP="00271E9C">
      <w:pPr>
        <w:pStyle w:val="Betarp"/>
        <w:rPr>
          <w:lang w:val="lt-LT"/>
        </w:rPr>
      </w:pPr>
    </w:p>
    <w:p w14:paraId="532815CB" w14:textId="77777777" w:rsidR="00271E9C" w:rsidRPr="002E7B89" w:rsidRDefault="00271E9C" w:rsidP="00271E9C">
      <w:pPr>
        <w:pStyle w:val="Betarp"/>
        <w:rPr>
          <w:lang w:val="lt-LT"/>
        </w:rPr>
      </w:pPr>
      <w:r w:rsidRPr="002E7B89">
        <w:rPr>
          <w:lang w:val="lt-LT" w:bidi="lt-LT"/>
        </w:rPr>
        <w:t>Šį vaistą laikykite vaikams nepastebimoje ir nepasiekiamoje vietoje.</w:t>
      </w:r>
    </w:p>
    <w:p w14:paraId="43D8DC05" w14:textId="77777777" w:rsidR="00271E9C" w:rsidRPr="002E7B89" w:rsidRDefault="00271E9C" w:rsidP="00271E9C">
      <w:pPr>
        <w:pStyle w:val="Betarp"/>
        <w:rPr>
          <w:lang w:val="lt-LT"/>
        </w:rPr>
      </w:pPr>
    </w:p>
    <w:p w14:paraId="717D8C65" w14:textId="77777777" w:rsidR="00834C33" w:rsidRPr="002E7B89" w:rsidRDefault="00834C33" w:rsidP="00834C33">
      <w:pPr>
        <w:pStyle w:val="Betarp"/>
        <w:rPr>
          <w:lang w:val="lt-LT"/>
        </w:rPr>
      </w:pPr>
      <w:r w:rsidRPr="002E7B89">
        <w:rPr>
          <w:lang w:val="lt-LT" w:bidi="lt-LT"/>
        </w:rPr>
        <w:t>Laikyti ne aukštesnėje kaip 30 °C temperatūroje.</w:t>
      </w:r>
    </w:p>
    <w:p w14:paraId="78800410" w14:textId="77777777" w:rsidR="00834C33" w:rsidRPr="002E7B89" w:rsidRDefault="00834C33" w:rsidP="00834C33">
      <w:pPr>
        <w:pStyle w:val="Betarp"/>
        <w:rPr>
          <w:lang w:val="lt-LT"/>
        </w:rPr>
      </w:pPr>
      <w:r w:rsidRPr="002E7B89">
        <w:rPr>
          <w:lang w:val="lt-LT" w:bidi="lt-LT"/>
        </w:rPr>
        <w:t>Ampules laikyti išorinėje dėžutėje, kad vaistas būtų apsaugotos nuo šviesos.</w:t>
      </w:r>
    </w:p>
    <w:p w14:paraId="6228BFF0" w14:textId="77777777" w:rsidR="00271E9C" w:rsidRPr="002E7B89" w:rsidRDefault="00271E9C" w:rsidP="00271E9C">
      <w:pPr>
        <w:pStyle w:val="Betarp"/>
        <w:rPr>
          <w:lang w:val="lt-LT"/>
        </w:rPr>
      </w:pPr>
    </w:p>
    <w:p w14:paraId="50584A34" w14:textId="77777777" w:rsidR="00834C33" w:rsidRPr="002E7B89" w:rsidRDefault="00834C33" w:rsidP="00834C33">
      <w:pPr>
        <w:pStyle w:val="Betarp"/>
        <w:rPr>
          <w:lang w:val="lt-LT"/>
        </w:rPr>
      </w:pPr>
      <w:r w:rsidRPr="002E7B89">
        <w:rPr>
          <w:u w:val="single"/>
          <w:lang w:val="lt-LT" w:bidi="lt-LT"/>
        </w:rPr>
        <w:t>Po ampulės atidarymo:</w:t>
      </w:r>
      <w:r w:rsidRPr="002E7B89">
        <w:rPr>
          <w:lang w:val="lt-LT" w:bidi="lt-LT"/>
        </w:rPr>
        <w:t xml:space="preserve"> atidarius vaistą reikia vartoti nedelsiant.</w:t>
      </w:r>
    </w:p>
    <w:p w14:paraId="66239BEF" w14:textId="77777777" w:rsidR="00834C33" w:rsidRPr="002E7B89" w:rsidRDefault="00834C33" w:rsidP="00834C33">
      <w:pPr>
        <w:rPr>
          <w:u w:val="single"/>
          <w:lang w:val="lt-LT"/>
        </w:rPr>
      </w:pPr>
    </w:p>
    <w:p w14:paraId="7F220101" w14:textId="77777777" w:rsidR="00834C33" w:rsidRPr="002E7B89" w:rsidRDefault="00834C33" w:rsidP="00834C33">
      <w:pPr>
        <w:rPr>
          <w:lang w:val="lt-LT" w:eastAsia="lt-LT"/>
        </w:rPr>
      </w:pPr>
      <w:r w:rsidRPr="002E7B89">
        <w:rPr>
          <w:u w:val="single"/>
          <w:lang w:val="lt-LT"/>
        </w:rPr>
        <w:t>Praskiesto tirpalo tinkamumo laikas</w:t>
      </w:r>
    </w:p>
    <w:p w14:paraId="568D73C1" w14:textId="77777777" w:rsidR="00834C33" w:rsidRPr="002E7B89" w:rsidRDefault="00834C33" w:rsidP="00834C33">
      <w:pPr>
        <w:rPr>
          <w:lang w:val="lt-LT"/>
        </w:rPr>
      </w:pPr>
      <w:r w:rsidRPr="002E7B89">
        <w:rPr>
          <w:lang w:val="lt-LT"/>
        </w:rPr>
        <w:t>Nustatyta, kad praskiesto tirpalo, laikomo 25 </w:t>
      </w:r>
      <w:r w:rsidRPr="002E7B89">
        <w:rPr>
          <w:lang w:val="lt-LT"/>
        </w:rPr>
        <w:sym w:font="Symbol" w:char="F0B0"/>
      </w:r>
      <w:r w:rsidRPr="002E7B89">
        <w:rPr>
          <w:lang w:val="lt-LT"/>
        </w:rPr>
        <w:t>C temperatūroje (apsaugoto nuo šviesos) ir laikomo 2 </w:t>
      </w:r>
      <w:r w:rsidRPr="002E7B89">
        <w:rPr>
          <w:lang w:val="lt-LT"/>
        </w:rPr>
        <w:sym w:font="Symbol" w:char="F0B0"/>
      </w:r>
      <w:r w:rsidRPr="002E7B89">
        <w:rPr>
          <w:lang w:val="lt-LT"/>
        </w:rPr>
        <w:t>C</w:t>
      </w:r>
      <w:r w:rsidR="005B4C4D">
        <w:rPr>
          <w:lang w:val="lt-LT"/>
        </w:rPr>
        <w:t> </w:t>
      </w:r>
      <w:r w:rsidR="005B4C4D">
        <w:rPr>
          <w:lang w:val="lt-LT"/>
        </w:rPr>
        <w:noBreakHyphen/>
        <w:t> </w:t>
      </w:r>
      <w:r w:rsidRPr="002E7B89">
        <w:rPr>
          <w:lang w:val="lt-LT"/>
        </w:rPr>
        <w:t>8 </w:t>
      </w:r>
      <w:r w:rsidRPr="002E7B89">
        <w:rPr>
          <w:lang w:val="lt-LT"/>
        </w:rPr>
        <w:sym w:font="Symbol" w:char="F0B0"/>
      </w:r>
      <w:r w:rsidRPr="002E7B89">
        <w:rPr>
          <w:lang w:val="lt-LT"/>
        </w:rPr>
        <w:t>C temperatūroje, fizinis ir cheminis stabilumas nekinta 48 valandas.</w:t>
      </w:r>
    </w:p>
    <w:p w14:paraId="0B9E9EA4" w14:textId="77777777" w:rsidR="00834C33" w:rsidRPr="002E7B89" w:rsidRDefault="00834C33" w:rsidP="00834C33">
      <w:pPr>
        <w:tabs>
          <w:tab w:val="left" w:pos="720"/>
        </w:tabs>
        <w:rPr>
          <w:lang w:val="lt-LT"/>
        </w:rPr>
      </w:pPr>
      <w:r w:rsidRPr="002E7B89">
        <w:rPr>
          <w:lang w:val="lt-LT"/>
        </w:rPr>
        <w:t>Mikrobiologiniu požiūriu praskiestą tirpalą reikia suvartoti nedelsiant. Jeigu jis tuoj pat nevartojamas, už laikymo trukmę ir sąlygas prieš vartojimą atsako vartojantis asmuo, tačiau ilgiau negu 24 valandas 2 </w:t>
      </w:r>
      <w:r w:rsidRPr="002E7B89">
        <w:rPr>
          <w:lang w:val="lt-LT"/>
        </w:rPr>
        <w:sym w:font="Symbol" w:char="F0B0"/>
      </w:r>
      <w:r w:rsidRPr="002E7B89">
        <w:rPr>
          <w:lang w:val="lt-LT"/>
        </w:rPr>
        <w:t>C </w:t>
      </w:r>
      <w:r w:rsidR="005B4C4D">
        <w:rPr>
          <w:lang w:val="lt-LT"/>
        </w:rPr>
        <w:noBreakHyphen/>
      </w:r>
      <w:r w:rsidRPr="002E7B89">
        <w:rPr>
          <w:lang w:val="lt-LT"/>
        </w:rPr>
        <w:t> 8 </w:t>
      </w:r>
      <w:r w:rsidRPr="002E7B89">
        <w:rPr>
          <w:lang w:val="lt-LT"/>
        </w:rPr>
        <w:sym w:font="Symbol" w:char="F0B0"/>
      </w:r>
      <w:r w:rsidRPr="002E7B89">
        <w:rPr>
          <w:lang w:val="lt-LT"/>
        </w:rPr>
        <w:t>C temperatūroje laikyti negalima, nebent vaistas būtų skiestas kontroliuojamomis ir patvirtintomis aseptinėmis sąlygomis.</w:t>
      </w:r>
    </w:p>
    <w:p w14:paraId="5F389FCA" w14:textId="77777777" w:rsidR="00271E9C" w:rsidRPr="002E7B89" w:rsidRDefault="00271E9C" w:rsidP="00271E9C">
      <w:pPr>
        <w:pStyle w:val="Betarp"/>
        <w:rPr>
          <w:iCs/>
          <w:u w:val="single"/>
          <w:lang w:val="lt-LT"/>
        </w:rPr>
      </w:pPr>
    </w:p>
    <w:p w14:paraId="1A56FAA7" w14:textId="77777777" w:rsidR="00271E9C" w:rsidRPr="002E7B89" w:rsidRDefault="00271E9C" w:rsidP="00271E9C">
      <w:pPr>
        <w:pStyle w:val="Betarp"/>
        <w:rPr>
          <w:lang w:val="lt-LT"/>
        </w:rPr>
      </w:pPr>
      <w:r w:rsidRPr="002E7B89">
        <w:rPr>
          <w:lang w:val="lt-LT" w:bidi="lt-LT"/>
        </w:rPr>
        <w:t xml:space="preserve">Ant išorinės dėžutės </w:t>
      </w:r>
      <w:r w:rsidR="00834C33" w:rsidRPr="002E7B89">
        <w:rPr>
          <w:lang w:val="lt-LT" w:bidi="lt-LT"/>
        </w:rPr>
        <w:t xml:space="preserve">po „Tinka iki“ </w:t>
      </w:r>
      <w:r w:rsidRPr="002E7B89">
        <w:rPr>
          <w:lang w:val="lt-LT" w:bidi="lt-LT"/>
        </w:rPr>
        <w:t xml:space="preserve">ir ampulės </w:t>
      </w:r>
      <w:r w:rsidR="00834C33" w:rsidRPr="002E7B89">
        <w:rPr>
          <w:lang w:val="lt-LT" w:bidi="lt-LT"/>
        </w:rPr>
        <w:t>po „EXP“</w:t>
      </w:r>
      <w:r w:rsidR="00394043">
        <w:rPr>
          <w:lang w:val="lt-LT" w:bidi="lt-LT"/>
        </w:rPr>
        <w:t xml:space="preserve"> (tinka iki)</w:t>
      </w:r>
      <w:r w:rsidR="00834C33" w:rsidRPr="002E7B89">
        <w:rPr>
          <w:lang w:val="lt-LT" w:bidi="lt-LT"/>
        </w:rPr>
        <w:t xml:space="preserve"> </w:t>
      </w:r>
      <w:r w:rsidRPr="002E7B89">
        <w:rPr>
          <w:lang w:val="lt-LT" w:bidi="lt-LT"/>
        </w:rPr>
        <w:t>nurodytam tinkamumo laikui pasibaigus, šio vaisto vartoti negalima. Vaistas tinkamas vartoti iki paskutinės nurodyto mėnesio dienos.</w:t>
      </w:r>
    </w:p>
    <w:p w14:paraId="15DA8C39" w14:textId="77777777" w:rsidR="00271E9C" w:rsidRPr="002E7B89" w:rsidRDefault="00271E9C" w:rsidP="00271E9C">
      <w:pPr>
        <w:pStyle w:val="Betarp"/>
        <w:rPr>
          <w:lang w:val="lt-LT"/>
        </w:rPr>
      </w:pPr>
    </w:p>
    <w:p w14:paraId="7C4218FB" w14:textId="77777777" w:rsidR="00271E9C" w:rsidRPr="002E7B89" w:rsidRDefault="00271E9C" w:rsidP="00271E9C">
      <w:pPr>
        <w:pStyle w:val="Betarp"/>
        <w:rPr>
          <w:lang w:val="lt-LT"/>
        </w:rPr>
      </w:pPr>
      <w:r w:rsidRPr="002E7B89">
        <w:rPr>
          <w:lang w:val="lt-LT" w:bidi="lt-LT"/>
        </w:rPr>
        <w:t>Vaistų negalima išmesti į kanalizaciją arba su buitinėmis atliekomis. Kaip išmesti nereikalingus vaistus, klauskite vaistininko. Šios priemonės padės apsaugoti aplinką.</w:t>
      </w:r>
    </w:p>
    <w:p w14:paraId="0EC550D2" w14:textId="77777777" w:rsidR="00271E9C" w:rsidRPr="002E7B89" w:rsidRDefault="00271E9C" w:rsidP="00271E9C">
      <w:pPr>
        <w:pStyle w:val="Betarp"/>
        <w:rPr>
          <w:lang w:val="lt-LT"/>
        </w:rPr>
      </w:pPr>
    </w:p>
    <w:p w14:paraId="42BA30AD" w14:textId="77777777" w:rsidR="00271E9C" w:rsidRPr="002E7B89" w:rsidRDefault="00271E9C" w:rsidP="00271E9C">
      <w:pPr>
        <w:pStyle w:val="Betarp"/>
        <w:rPr>
          <w:lang w:val="lt-LT"/>
        </w:rPr>
      </w:pPr>
    </w:p>
    <w:p w14:paraId="7BEA3303" w14:textId="77777777" w:rsidR="00271E9C" w:rsidRPr="002E7B89" w:rsidRDefault="00271E9C" w:rsidP="00271E9C">
      <w:pPr>
        <w:pStyle w:val="Betarp"/>
        <w:rPr>
          <w:b/>
          <w:lang w:val="lt-LT"/>
        </w:rPr>
      </w:pPr>
      <w:bookmarkStart w:id="56" w:name="6._Inhalt_der_Packung_und_weitere_Inform"/>
      <w:bookmarkEnd w:id="56"/>
      <w:r w:rsidRPr="002E7B89">
        <w:rPr>
          <w:b/>
          <w:lang w:val="lt-LT" w:bidi="lt-LT"/>
        </w:rPr>
        <w:t>6.</w:t>
      </w:r>
      <w:r w:rsidRPr="002E7B89">
        <w:rPr>
          <w:b/>
          <w:lang w:val="lt-LT" w:bidi="lt-LT"/>
        </w:rPr>
        <w:tab/>
        <w:t>Pakuotės turinys ir kita informacija</w:t>
      </w:r>
      <w:bookmarkStart w:id="57" w:name="Was_Fortecortin_enthält_"/>
      <w:bookmarkEnd w:id="57"/>
    </w:p>
    <w:p w14:paraId="62B3F5F2" w14:textId="77777777" w:rsidR="00271E9C" w:rsidRPr="002E7B89" w:rsidRDefault="00271E9C" w:rsidP="00271E9C">
      <w:pPr>
        <w:pStyle w:val="Betarp"/>
        <w:rPr>
          <w:lang w:val="lt-LT"/>
        </w:rPr>
      </w:pPr>
    </w:p>
    <w:p w14:paraId="2CEF287F" w14:textId="77777777" w:rsidR="00271E9C" w:rsidRPr="002E7B89" w:rsidRDefault="008765BB" w:rsidP="00271E9C">
      <w:pPr>
        <w:pStyle w:val="Betarp"/>
        <w:rPr>
          <w:b/>
          <w:lang w:val="lt-LT"/>
        </w:rPr>
      </w:pPr>
      <w:r>
        <w:rPr>
          <w:b/>
          <w:lang w:val="lt-LT" w:bidi="lt-LT"/>
        </w:rPr>
        <w:t>Dexamethasone Kalceks</w:t>
      </w:r>
      <w:r w:rsidR="00271E9C" w:rsidRPr="002E7B89">
        <w:rPr>
          <w:b/>
          <w:lang w:val="lt-LT" w:bidi="lt-LT"/>
        </w:rPr>
        <w:t xml:space="preserve"> sudėtis</w:t>
      </w:r>
    </w:p>
    <w:p w14:paraId="6DF152F8" w14:textId="77777777" w:rsidR="00271E9C" w:rsidRPr="002E7B89" w:rsidRDefault="00271E9C" w:rsidP="00271E9C">
      <w:pPr>
        <w:pStyle w:val="Betarp"/>
        <w:numPr>
          <w:ilvl w:val="0"/>
          <w:numId w:val="29"/>
        </w:numPr>
        <w:ind w:left="0" w:firstLine="0"/>
        <w:rPr>
          <w:lang w:val="lt-LT"/>
        </w:rPr>
      </w:pPr>
      <w:r w:rsidRPr="002E7B89">
        <w:rPr>
          <w:lang w:val="lt-LT" w:bidi="lt-LT"/>
        </w:rPr>
        <w:t>Veiklioji medžiaga yra deksametazono fosfatas.</w:t>
      </w:r>
    </w:p>
    <w:p w14:paraId="5E08F532" w14:textId="77777777" w:rsidR="00271E9C" w:rsidRPr="002E7B89" w:rsidRDefault="00271E9C" w:rsidP="00271E9C">
      <w:pPr>
        <w:pStyle w:val="Betarp"/>
        <w:rPr>
          <w:lang w:val="lt-LT"/>
        </w:rPr>
      </w:pPr>
      <w:r w:rsidRPr="002E7B89">
        <w:rPr>
          <w:lang w:val="lt-LT" w:bidi="lt-LT"/>
        </w:rPr>
        <w:t>Kiekvienoje 1 ml ampulėje yra deksametazono natrio fosfato, atitinkančio 4 mg deksametazono fosfato.</w:t>
      </w:r>
    </w:p>
    <w:p w14:paraId="18B357CF" w14:textId="77777777" w:rsidR="00271E9C" w:rsidRPr="002E7B89" w:rsidRDefault="00271E9C" w:rsidP="00271E9C">
      <w:pPr>
        <w:pStyle w:val="Betarp"/>
        <w:rPr>
          <w:lang w:val="lt-LT"/>
        </w:rPr>
      </w:pPr>
      <w:r w:rsidRPr="002E7B89">
        <w:rPr>
          <w:lang w:val="lt-LT" w:bidi="lt-LT"/>
        </w:rPr>
        <w:t>Kiekvienoje 2 ml ampulėje yra deksametazono natrio fosfato, atitinkančio 8 mg deksametazono fosfato.</w:t>
      </w:r>
    </w:p>
    <w:p w14:paraId="333C4F1B" w14:textId="77777777" w:rsidR="00271E9C" w:rsidRPr="002E7B89" w:rsidRDefault="00271E9C" w:rsidP="00271E9C">
      <w:pPr>
        <w:pStyle w:val="Betarp"/>
        <w:rPr>
          <w:lang w:val="lt-LT"/>
        </w:rPr>
      </w:pPr>
    </w:p>
    <w:p w14:paraId="2BB38D69" w14:textId="77777777" w:rsidR="00271E9C" w:rsidRPr="002E7B89" w:rsidRDefault="00834C33" w:rsidP="00271E9C">
      <w:pPr>
        <w:pStyle w:val="Betarp"/>
        <w:numPr>
          <w:ilvl w:val="0"/>
          <w:numId w:val="30"/>
        </w:numPr>
        <w:ind w:left="0" w:firstLine="0"/>
        <w:rPr>
          <w:lang w:val="lt-LT"/>
        </w:rPr>
      </w:pPr>
      <w:r w:rsidRPr="002E7B89">
        <w:rPr>
          <w:lang w:val="lt-LT" w:bidi="lt-LT"/>
        </w:rPr>
        <w:t>Pagalbinės medžiagos yra</w:t>
      </w:r>
      <w:r w:rsidR="00271E9C" w:rsidRPr="002E7B89">
        <w:rPr>
          <w:lang w:val="lt-LT" w:bidi="lt-LT"/>
        </w:rPr>
        <w:t xml:space="preserve"> kreatininas, natrio citratas, dinatrio edetatas, natrio hidroksidas, injekcinis vanduo.</w:t>
      </w:r>
    </w:p>
    <w:p w14:paraId="2244BD61" w14:textId="77777777" w:rsidR="00271E9C" w:rsidRPr="002E7B89" w:rsidRDefault="00271E9C" w:rsidP="00271E9C">
      <w:pPr>
        <w:pStyle w:val="Betarp"/>
        <w:rPr>
          <w:lang w:val="lt-LT"/>
        </w:rPr>
      </w:pPr>
    </w:p>
    <w:p w14:paraId="4221E99C" w14:textId="77777777" w:rsidR="00271E9C" w:rsidRPr="002E7B89" w:rsidRDefault="008765BB" w:rsidP="00271E9C">
      <w:pPr>
        <w:pStyle w:val="Betarp"/>
        <w:rPr>
          <w:b/>
          <w:lang w:val="lt-LT"/>
        </w:rPr>
      </w:pPr>
      <w:r>
        <w:rPr>
          <w:b/>
          <w:lang w:val="lt-LT" w:bidi="lt-LT"/>
        </w:rPr>
        <w:t>Dexamethasone Kalceks</w:t>
      </w:r>
      <w:r w:rsidR="00271E9C" w:rsidRPr="002E7B89">
        <w:rPr>
          <w:b/>
          <w:lang w:val="lt-LT" w:bidi="lt-LT"/>
        </w:rPr>
        <w:t xml:space="preserve"> išvaizda ir kiekis pakuotėje</w:t>
      </w:r>
    </w:p>
    <w:p w14:paraId="2A0BE86E" w14:textId="77777777" w:rsidR="00271E9C" w:rsidRPr="002E7B89" w:rsidRDefault="00271E9C" w:rsidP="00271E9C">
      <w:pPr>
        <w:pStyle w:val="Betarp"/>
        <w:rPr>
          <w:lang w:val="lt-LT"/>
        </w:rPr>
      </w:pPr>
      <w:r w:rsidRPr="002E7B89">
        <w:rPr>
          <w:lang w:val="lt-LT" w:bidi="lt-LT"/>
        </w:rPr>
        <w:t xml:space="preserve">Skaidrus, bespalvis tirpalas </w:t>
      </w:r>
      <w:r w:rsidRPr="002E7B89">
        <w:rPr>
          <w:rFonts w:eastAsia="TimesNewRomanPS-BoldMT"/>
          <w:lang w:val="lt-LT" w:bidi="lt-LT"/>
        </w:rPr>
        <w:t>be matomų dalelių</w:t>
      </w:r>
      <w:r w:rsidRPr="002E7B89">
        <w:rPr>
          <w:lang w:val="lt-LT" w:bidi="lt-LT"/>
        </w:rPr>
        <w:t>.</w:t>
      </w:r>
    </w:p>
    <w:p w14:paraId="25E086E0" w14:textId="77777777" w:rsidR="00271E9C" w:rsidRPr="002E7B89" w:rsidRDefault="00271E9C" w:rsidP="00271E9C">
      <w:pPr>
        <w:pStyle w:val="Betarp"/>
        <w:rPr>
          <w:lang w:val="lt-LT"/>
        </w:rPr>
      </w:pPr>
    </w:p>
    <w:p w14:paraId="31A2FAB8" w14:textId="77777777" w:rsidR="00834C33" w:rsidRPr="002E7B89" w:rsidRDefault="00834C33" w:rsidP="00834C33">
      <w:pPr>
        <w:tabs>
          <w:tab w:val="left" w:pos="720"/>
        </w:tabs>
        <w:rPr>
          <w:lang w:val="lt-LT" w:eastAsia="lt-LT"/>
        </w:rPr>
      </w:pPr>
      <w:r w:rsidRPr="002E7B89">
        <w:rPr>
          <w:lang w:val="lt-LT"/>
        </w:rPr>
        <w:t>1 ml arba 2 ml injekcinio tirpalo pripildytos I tipo bespalvio stiklo ampulės su laužimo tašku.</w:t>
      </w:r>
    </w:p>
    <w:p w14:paraId="54793949" w14:textId="77777777" w:rsidR="00834C33" w:rsidRPr="002E7B89" w:rsidRDefault="00834C33" w:rsidP="00834C33">
      <w:pPr>
        <w:pStyle w:val="Betarp"/>
        <w:rPr>
          <w:lang w:val="lt-LT"/>
        </w:rPr>
      </w:pPr>
      <w:r w:rsidRPr="002E7B89">
        <w:rPr>
          <w:lang w:val="lt-LT"/>
        </w:rPr>
        <w:t>Ampulės paženklintos specialios spalvos žiedo kodu.</w:t>
      </w:r>
    </w:p>
    <w:p w14:paraId="49979A8F" w14:textId="77777777" w:rsidR="00834C33" w:rsidRPr="002E7B89" w:rsidRDefault="00834C33" w:rsidP="00834C33">
      <w:pPr>
        <w:pStyle w:val="Betarp"/>
        <w:rPr>
          <w:lang w:val="lt-LT"/>
        </w:rPr>
      </w:pPr>
      <w:r w:rsidRPr="002E7B89">
        <w:rPr>
          <w:lang w:val="lt-LT" w:bidi="lt-LT"/>
        </w:rPr>
        <w:t>Ampulės supakuotos į įdėklus. Įdėklai pakuojami į kartono dėžutes.</w:t>
      </w:r>
    </w:p>
    <w:p w14:paraId="58112F26" w14:textId="77777777" w:rsidR="00834C33" w:rsidRPr="002E7B89" w:rsidRDefault="00834C33" w:rsidP="00834C33">
      <w:pPr>
        <w:pStyle w:val="Betarp"/>
        <w:rPr>
          <w:lang w:val="lt-LT"/>
        </w:rPr>
      </w:pPr>
    </w:p>
    <w:p w14:paraId="264A9E6C" w14:textId="77777777" w:rsidR="00834C33" w:rsidRPr="002E7B89" w:rsidRDefault="00834C33" w:rsidP="00834C33">
      <w:pPr>
        <w:pStyle w:val="Betarp"/>
        <w:rPr>
          <w:lang w:val="lt-LT"/>
        </w:rPr>
      </w:pPr>
      <w:r w:rsidRPr="002E7B89">
        <w:rPr>
          <w:lang w:val="lt-LT" w:bidi="lt-LT"/>
        </w:rPr>
        <w:t>Pakuotės dydis:</w:t>
      </w:r>
    </w:p>
    <w:p w14:paraId="17AC5201" w14:textId="77777777" w:rsidR="00834C33" w:rsidRPr="002E7B89" w:rsidRDefault="00834C33" w:rsidP="00834C33">
      <w:pPr>
        <w:pStyle w:val="Betarp"/>
        <w:rPr>
          <w:lang w:val="lt-LT"/>
        </w:rPr>
      </w:pPr>
      <w:r w:rsidRPr="002E7B89">
        <w:rPr>
          <w:lang w:val="lt-LT" w:bidi="lt-LT"/>
        </w:rPr>
        <w:t>3, 10, 25, 50 arba 100 ampulių po 1 ml</w:t>
      </w:r>
    </w:p>
    <w:p w14:paraId="48D2AFC1" w14:textId="77777777" w:rsidR="00834C33" w:rsidRPr="002E7B89" w:rsidRDefault="00834C33" w:rsidP="00834C33">
      <w:pPr>
        <w:pStyle w:val="Betarp"/>
        <w:rPr>
          <w:lang w:val="lt-LT"/>
        </w:rPr>
      </w:pPr>
      <w:r w:rsidRPr="002E7B89">
        <w:rPr>
          <w:lang w:val="lt-LT" w:bidi="lt-LT"/>
        </w:rPr>
        <w:t>5, 10, 25, 50 arba 100 ampulių po 2 ml</w:t>
      </w:r>
    </w:p>
    <w:p w14:paraId="55AD4C37" w14:textId="77777777" w:rsidR="00834C33" w:rsidRPr="002E7B89" w:rsidRDefault="00834C33" w:rsidP="00834C33">
      <w:pPr>
        <w:pStyle w:val="Betarp"/>
        <w:rPr>
          <w:lang w:val="lt-LT"/>
        </w:rPr>
      </w:pPr>
    </w:p>
    <w:p w14:paraId="7451B04C" w14:textId="77777777" w:rsidR="00834C33" w:rsidRPr="002E7B89" w:rsidRDefault="00834C33" w:rsidP="00834C33">
      <w:pPr>
        <w:rPr>
          <w:lang w:val="lt-LT"/>
        </w:rPr>
      </w:pPr>
      <w:r w:rsidRPr="002E7B89">
        <w:rPr>
          <w:lang w:val="lt-LT" w:bidi="lt-LT"/>
        </w:rPr>
        <w:t>Gali būti tiekiamos ne visų dydžių pakuotės.</w:t>
      </w:r>
    </w:p>
    <w:p w14:paraId="7CE53709" w14:textId="77777777" w:rsidR="00271E9C" w:rsidRPr="002E7B89" w:rsidRDefault="00271E9C" w:rsidP="00271E9C">
      <w:pPr>
        <w:pStyle w:val="Betarp"/>
        <w:rPr>
          <w:lang w:val="lt-LT"/>
        </w:rPr>
      </w:pPr>
    </w:p>
    <w:p w14:paraId="007D55FA" w14:textId="77777777" w:rsidR="00271E9C" w:rsidRPr="002E7B89" w:rsidRDefault="00271E9C" w:rsidP="00271E9C">
      <w:pPr>
        <w:pStyle w:val="Betarp"/>
        <w:rPr>
          <w:b/>
          <w:lang w:val="lt-LT" w:bidi="lt-LT"/>
        </w:rPr>
      </w:pPr>
      <w:r w:rsidRPr="002E7B89">
        <w:rPr>
          <w:b/>
          <w:lang w:val="lt-LT" w:bidi="lt-LT"/>
        </w:rPr>
        <w:t>Registruotojas</w:t>
      </w:r>
      <w:r w:rsidR="00125C50" w:rsidRPr="002E7B89">
        <w:rPr>
          <w:b/>
          <w:lang w:val="lt-LT" w:bidi="lt-LT"/>
        </w:rPr>
        <w:t xml:space="preserve"> ir gamintojas</w:t>
      </w:r>
    </w:p>
    <w:p w14:paraId="40635A90" w14:textId="77777777" w:rsidR="00271E9C" w:rsidRPr="002E7B89" w:rsidRDefault="00271E9C" w:rsidP="00271E9C">
      <w:pPr>
        <w:pStyle w:val="Betarp"/>
        <w:rPr>
          <w:lang w:val="lt-LT"/>
        </w:rPr>
      </w:pPr>
      <w:r w:rsidRPr="002E7B89">
        <w:rPr>
          <w:lang w:val="lt-LT" w:bidi="lt-LT"/>
        </w:rPr>
        <w:t>AS KALCEKS</w:t>
      </w:r>
    </w:p>
    <w:p w14:paraId="3E962360" w14:textId="7CBFB5A0" w:rsidR="00271E9C" w:rsidRPr="002E7B89" w:rsidRDefault="00271E9C" w:rsidP="00271E9C">
      <w:pPr>
        <w:pStyle w:val="Betarp"/>
        <w:rPr>
          <w:lang w:val="lt-LT"/>
        </w:rPr>
      </w:pPr>
      <w:r w:rsidRPr="002E7B89">
        <w:rPr>
          <w:lang w:val="lt-LT" w:bidi="lt-LT"/>
        </w:rPr>
        <w:t xml:space="preserve">Krustpils iela </w:t>
      </w:r>
      <w:r w:rsidR="0076628F">
        <w:rPr>
          <w:lang w:val="lt-LT" w:bidi="lt-LT"/>
        </w:rPr>
        <w:t>71E</w:t>
      </w:r>
      <w:r w:rsidRPr="002E7B89">
        <w:rPr>
          <w:lang w:val="lt-LT" w:bidi="lt-LT"/>
        </w:rPr>
        <w:t>, R</w:t>
      </w:r>
      <w:r w:rsidR="009E13A2">
        <w:rPr>
          <w:lang w:val="lt-LT" w:bidi="lt-LT"/>
        </w:rPr>
        <w:t>ī</w:t>
      </w:r>
      <w:r w:rsidRPr="002E7B89">
        <w:rPr>
          <w:lang w:val="lt-LT" w:bidi="lt-LT"/>
        </w:rPr>
        <w:t>ga, LV-1057, Latvija</w:t>
      </w:r>
    </w:p>
    <w:p w14:paraId="20D7E448" w14:textId="77777777" w:rsidR="00271E9C" w:rsidRPr="002E7B89" w:rsidRDefault="00271E9C" w:rsidP="00271E9C">
      <w:pPr>
        <w:pStyle w:val="Betarp"/>
        <w:rPr>
          <w:lang w:val="lt-LT"/>
        </w:rPr>
      </w:pPr>
      <w:r w:rsidRPr="002E7B89">
        <w:rPr>
          <w:lang w:val="lt-LT" w:bidi="lt-LT"/>
        </w:rPr>
        <w:t>Tel. +371 67083320</w:t>
      </w:r>
    </w:p>
    <w:p w14:paraId="155D5FCC" w14:textId="77777777" w:rsidR="00271E9C" w:rsidRPr="002E7B89" w:rsidRDefault="00271E9C" w:rsidP="00271E9C">
      <w:pPr>
        <w:pStyle w:val="Betarp"/>
        <w:rPr>
          <w:lang w:val="lt-LT"/>
        </w:rPr>
      </w:pPr>
      <w:r w:rsidRPr="002E7B89">
        <w:rPr>
          <w:lang w:val="lt-LT" w:bidi="lt-LT"/>
        </w:rPr>
        <w:t>El. paštas kalceks@kalceks.lv</w:t>
      </w:r>
    </w:p>
    <w:p w14:paraId="3E51C53F" w14:textId="77777777" w:rsidR="00125C50" w:rsidRPr="002E7B89" w:rsidRDefault="00125C50" w:rsidP="00125C50">
      <w:pPr>
        <w:numPr>
          <w:ilvl w:val="12"/>
          <w:numId w:val="0"/>
        </w:numPr>
        <w:ind w:right="-2"/>
        <w:contextualSpacing/>
        <w:rPr>
          <w:lang w:val="lt-LT"/>
        </w:rPr>
      </w:pPr>
    </w:p>
    <w:p w14:paraId="6208C805" w14:textId="77777777" w:rsidR="00125C50" w:rsidRPr="002E7B89" w:rsidRDefault="00125C50" w:rsidP="00125C50">
      <w:pPr>
        <w:numPr>
          <w:ilvl w:val="12"/>
          <w:numId w:val="0"/>
        </w:numPr>
        <w:ind w:right="-2"/>
        <w:rPr>
          <w:lang w:val="lt-LT"/>
        </w:rPr>
      </w:pPr>
      <w:r w:rsidRPr="002E7B89">
        <w:rPr>
          <w:lang w:val="lt-LT"/>
        </w:rPr>
        <w:t>Jeigu apie šį vaistą norite sužinoti daugiau, kreipkitės į vietinį registruotojo atstovą.</w:t>
      </w:r>
    </w:p>
    <w:p w14:paraId="05EE4242" w14:textId="77777777" w:rsidR="00125C50" w:rsidRPr="002E7B89" w:rsidRDefault="00125C50" w:rsidP="00125C50">
      <w:pPr>
        <w:rPr>
          <w:lang w:val="lt-LT"/>
        </w:rPr>
      </w:pPr>
    </w:p>
    <w:p w14:paraId="48D506B6" w14:textId="77777777" w:rsidR="004F2FCF" w:rsidRPr="002472CD" w:rsidRDefault="004F2FCF" w:rsidP="004F2FCF">
      <w:pPr>
        <w:adjustRightInd w:val="0"/>
        <w:rPr>
          <w:color w:val="000000"/>
          <w:lang w:val="lt-LT"/>
        </w:rPr>
      </w:pPr>
      <w:r w:rsidRPr="002472CD">
        <w:rPr>
          <w:color w:val="000000"/>
          <w:lang w:val="lt-LT"/>
        </w:rPr>
        <w:t xml:space="preserve">”Grindeks Kalceks Lietuva” UAB </w:t>
      </w:r>
    </w:p>
    <w:p w14:paraId="2F6F59CC" w14:textId="77777777" w:rsidR="004F2FCF" w:rsidRPr="002472CD" w:rsidRDefault="004F2FCF" w:rsidP="004F2FCF">
      <w:pPr>
        <w:adjustRightInd w:val="0"/>
        <w:rPr>
          <w:color w:val="000000"/>
          <w:lang w:val="lt-LT"/>
        </w:rPr>
      </w:pPr>
      <w:r w:rsidRPr="002472CD">
        <w:rPr>
          <w:color w:val="000000"/>
          <w:lang w:val="lt-LT"/>
        </w:rPr>
        <w:t xml:space="preserve">Kalvarijų g. 300 </w:t>
      </w:r>
    </w:p>
    <w:p w14:paraId="5DD4AD3E" w14:textId="77777777" w:rsidR="004F2FCF" w:rsidRPr="002472CD" w:rsidRDefault="004F2FCF" w:rsidP="004F2FCF">
      <w:pPr>
        <w:adjustRightInd w:val="0"/>
        <w:rPr>
          <w:color w:val="000000"/>
          <w:lang w:val="lt-LT"/>
        </w:rPr>
      </w:pPr>
      <w:r w:rsidRPr="002472CD">
        <w:rPr>
          <w:color w:val="000000"/>
          <w:lang w:val="lt-LT"/>
        </w:rPr>
        <w:t xml:space="preserve">LT-08318 Vilnius </w:t>
      </w:r>
    </w:p>
    <w:p w14:paraId="4306FDF6" w14:textId="77777777" w:rsidR="004F2FCF" w:rsidRPr="002472CD" w:rsidRDefault="004F2FCF" w:rsidP="004F2FCF">
      <w:pPr>
        <w:numPr>
          <w:ilvl w:val="12"/>
          <w:numId w:val="0"/>
        </w:numPr>
        <w:tabs>
          <w:tab w:val="left" w:pos="567"/>
        </w:tabs>
        <w:ind w:right="-2"/>
        <w:contextualSpacing/>
        <w:rPr>
          <w:color w:val="000000"/>
          <w:lang w:val="lt-LT"/>
        </w:rPr>
      </w:pPr>
      <w:r w:rsidRPr="002472CD">
        <w:rPr>
          <w:color w:val="000000"/>
          <w:lang w:val="lt-LT"/>
        </w:rPr>
        <w:t>Tel.+370 5 210 14 01</w:t>
      </w:r>
    </w:p>
    <w:p w14:paraId="2A5DF2E4" w14:textId="77777777" w:rsidR="00125C50" w:rsidRPr="002E7B89" w:rsidRDefault="00125C50" w:rsidP="00271E9C">
      <w:pPr>
        <w:pStyle w:val="Betarp"/>
        <w:rPr>
          <w:lang w:val="lt-LT"/>
        </w:rPr>
      </w:pPr>
    </w:p>
    <w:p w14:paraId="713BCF92" w14:textId="77777777" w:rsidR="005C44D7" w:rsidRPr="002E7B89" w:rsidRDefault="005C44D7" w:rsidP="005C44D7">
      <w:pPr>
        <w:numPr>
          <w:ilvl w:val="12"/>
          <w:numId w:val="0"/>
        </w:numPr>
        <w:tabs>
          <w:tab w:val="left" w:pos="567"/>
        </w:tabs>
        <w:spacing w:line="260" w:lineRule="exact"/>
        <w:ind w:right="-2"/>
        <w:rPr>
          <w:snapToGrid w:val="0"/>
          <w:lang w:val="lt-LT"/>
        </w:rPr>
      </w:pPr>
      <w:r w:rsidRPr="002E7B89">
        <w:rPr>
          <w:b/>
          <w:snapToGrid w:val="0"/>
          <w:lang w:val="lt-LT"/>
        </w:rPr>
        <w:t>Šis vaistas Europos ekonominės erdvės valstybėse narėse ir Jungtinėje Karalystėje (Šiaurės Airijoje) registruotas tokiais pavadinimais:</w:t>
      </w:r>
    </w:p>
    <w:p w14:paraId="1E96FD77" w14:textId="77777777" w:rsidR="009E13A2" w:rsidRDefault="009E13A2" w:rsidP="005B4C4D">
      <w:pPr>
        <w:tabs>
          <w:tab w:val="left" w:pos="1985"/>
        </w:tabs>
        <w:ind w:left="567" w:hanging="567"/>
        <w:rPr>
          <w:lang w:val="lt-LT"/>
        </w:rPr>
      </w:pPr>
    </w:p>
    <w:p w14:paraId="21868796" w14:textId="77777777" w:rsidR="00250336" w:rsidRPr="002E7B89" w:rsidRDefault="00AD77D9" w:rsidP="006F1660">
      <w:pPr>
        <w:tabs>
          <w:tab w:val="left" w:pos="1985"/>
        </w:tabs>
        <w:rPr>
          <w:lang w:val="lt-LT"/>
        </w:rPr>
      </w:pPr>
      <w:r w:rsidRPr="002E7B89">
        <w:rPr>
          <w:lang w:val="lt-LT"/>
        </w:rPr>
        <w:t>Estija</w:t>
      </w:r>
      <w:r w:rsidR="005B4C4D">
        <w:rPr>
          <w:lang w:val="lt-LT"/>
        </w:rPr>
        <w:tab/>
      </w:r>
      <w:r w:rsidR="00250336" w:rsidRPr="002E7B89">
        <w:rPr>
          <w:lang w:val="lt-LT"/>
        </w:rPr>
        <w:t>Dexamethasone Kalceks</w:t>
      </w:r>
    </w:p>
    <w:p w14:paraId="410C58AA" w14:textId="77777777" w:rsidR="00AD77D9" w:rsidRPr="002E7B89" w:rsidRDefault="005B4C4D" w:rsidP="006F1660">
      <w:pPr>
        <w:tabs>
          <w:tab w:val="left" w:pos="1985"/>
        </w:tabs>
        <w:rPr>
          <w:lang w:val="lt-LT"/>
        </w:rPr>
      </w:pPr>
      <w:r w:rsidRPr="002E7B89">
        <w:rPr>
          <w:lang w:val="lt-LT"/>
        </w:rPr>
        <w:t xml:space="preserve">Austrija, </w:t>
      </w:r>
      <w:r w:rsidRPr="005B4C4D">
        <w:rPr>
          <w:lang w:val="lt-LT"/>
        </w:rPr>
        <w:t>Vokietija</w:t>
      </w:r>
      <w:r>
        <w:rPr>
          <w:lang w:val="lt-LT"/>
        </w:rPr>
        <w:tab/>
      </w:r>
      <w:r w:rsidR="00AD77D9" w:rsidRPr="002E7B89">
        <w:rPr>
          <w:lang w:val="lt-LT"/>
        </w:rPr>
        <w:t>Dexamethason Kalceks 4 mg/ml Injektions-/Infusionslösung</w:t>
      </w:r>
    </w:p>
    <w:p w14:paraId="11B23D10" w14:textId="77777777" w:rsidR="005B4C4D" w:rsidRPr="002E7B89" w:rsidRDefault="005B4C4D" w:rsidP="006F1660">
      <w:pPr>
        <w:tabs>
          <w:tab w:val="left" w:pos="1985"/>
        </w:tabs>
        <w:rPr>
          <w:lang w:val="lt-LT"/>
        </w:rPr>
      </w:pPr>
      <w:r w:rsidRPr="002E7B89">
        <w:rPr>
          <w:lang w:val="lt-LT"/>
        </w:rPr>
        <w:t>Kroatija</w:t>
      </w:r>
      <w:r w:rsidRPr="002E7B89">
        <w:rPr>
          <w:lang w:val="lt-LT"/>
        </w:rPr>
        <w:tab/>
        <w:t>Deksametazon Kalceks 4 mg/ml otopina za injekciju/infuziju</w:t>
      </w:r>
    </w:p>
    <w:p w14:paraId="7DDD5757" w14:textId="3A33637C" w:rsidR="005B4C4D" w:rsidRDefault="005B4C4D" w:rsidP="00D738E7">
      <w:pPr>
        <w:tabs>
          <w:tab w:val="left" w:pos="1985"/>
        </w:tabs>
        <w:ind w:left="567" w:hanging="567"/>
        <w:rPr>
          <w:b/>
          <w:lang w:val="lt-LT"/>
        </w:rPr>
      </w:pPr>
      <w:r w:rsidRPr="002E7B89">
        <w:rPr>
          <w:lang w:val="lt-LT"/>
        </w:rPr>
        <w:t>Čekija,</w:t>
      </w:r>
      <w:r w:rsidRPr="005B4C4D">
        <w:rPr>
          <w:lang w:val="lt-LT"/>
        </w:rPr>
        <w:t xml:space="preserve"> </w:t>
      </w:r>
      <w:r w:rsidRPr="002E7B89">
        <w:rPr>
          <w:lang w:val="lt-LT"/>
        </w:rPr>
        <w:t>Lenkija</w:t>
      </w:r>
      <w:r w:rsidR="00D738E7">
        <w:rPr>
          <w:lang w:val="lt-LT"/>
        </w:rPr>
        <w:tab/>
      </w:r>
      <w:r w:rsidRPr="002E7B89">
        <w:rPr>
          <w:lang w:val="lt-LT"/>
        </w:rPr>
        <w:t>Dexamethasone Kalceks</w:t>
      </w:r>
    </w:p>
    <w:p w14:paraId="2F6C9E37" w14:textId="77777777" w:rsidR="00201AA3" w:rsidRDefault="00201AA3" w:rsidP="006F1660">
      <w:pPr>
        <w:tabs>
          <w:tab w:val="left" w:pos="1985"/>
        </w:tabs>
        <w:rPr>
          <w:lang w:val="lt-LT"/>
        </w:rPr>
      </w:pPr>
      <w:r w:rsidRPr="002E7B89">
        <w:rPr>
          <w:lang w:val="lt-LT"/>
        </w:rPr>
        <w:t xml:space="preserve">Danija, </w:t>
      </w:r>
      <w:r>
        <w:rPr>
          <w:lang w:val="lt-LT"/>
        </w:rPr>
        <w:t>Norvegija</w:t>
      </w:r>
      <w:r>
        <w:rPr>
          <w:lang w:val="lt-LT"/>
        </w:rPr>
        <w:tab/>
      </w:r>
      <w:r w:rsidRPr="00526F8E">
        <w:rPr>
          <w:lang w:val="lt-LT"/>
        </w:rPr>
        <w:t>Dexamethasone phosphate Kalceks</w:t>
      </w:r>
    </w:p>
    <w:p w14:paraId="74FE7653" w14:textId="7FF0E5A6" w:rsidR="005B4C4D" w:rsidRDefault="005B4C4D" w:rsidP="006F1660">
      <w:pPr>
        <w:tabs>
          <w:tab w:val="left" w:pos="1985"/>
        </w:tabs>
        <w:rPr>
          <w:lang w:val="lt-LT"/>
        </w:rPr>
      </w:pPr>
      <w:r>
        <w:rPr>
          <w:lang w:val="lt-LT"/>
        </w:rPr>
        <w:t>Suomija</w:t>
      </w:r>
      <w:r>
        <w:rPr>
          <w:lang w:val="lt-LT"/>
        </w:rPr>
        <w:tab/>
      </w:r>
      <w:r w:rsidR="000E30BD" w:rsidRPr="000E30BD">
        <w:rPr>
          <w:lang w:val="lt-LT"/>
        </w:rPr>
        <w:t>Dex</w:t>
      </w:r>
      <w:r w:rsidR="000E30BD">
        <w:rPr>
          <w:lang w:val="lt-LT"/>
        </w:rPr>
        <w:t>alcex</w:t>
      </w:r>
      <w:r w:rsidRPr="0053590C">
        <w:rPr>
          <w:lang w:val="lt-LT"/>
        </w:rPr>
        <w:t xml:space="preserve"> 4 mg/ml injektio-/infuusioneste, liuos</w:t>
      </w:r>
    </w:p>
    <w:p w14:paraId="610E3FE4" w14:textId="77777777" w:rsidR="00AD77D9" w:rsidRPr="002E7B89" w:rsidRDefault="00AD77D9" w:rsidP="006F1660">
      <w:pPr>
        <w:tabs>
          <w:tab w:val="left" w:pos="1985"/>
        </w:tabs>
        <w:rPr>
          <w:lang w:val="lt-LT"/>
        </w:rPr>
      </w:pPr>
      <w:r w:rsidRPr="002E7B89">
        <w:rPr>
          <w:lang w:val="lt-LT"/>
        </w:rPr>
        <w:t>Prancūzija</w:t>
      </w:r>
      <w:r w:rsidRPr="002E7B89">
        <w:rPr>
          <w:lang w:val="lt-LT"/>
        </w:rPr>
        <w:tab/>
        <w:t>DEXAMETHASONE KALCEKS 4 mg/1 m</w:t>
      </w:r>
      <w:r w:rsidR="006F1660">
        <w:rPr>
          <w:lang w:val="lt-LT"/>
        </w:rPr>
        <w:t>L</w:t>
      </w:r>
      <w:r w:rsidRPr="002E7B89">
        <w:rPr>
          <w:lang w:val="lt-LT"/>
        </w:rPr>
        <w:t>, solution injectable/pour perfusion</w:t>
      </w:r>
    </w:p>
    <w:p w14:paraId="7AB603D6" w14:textId="77777777" w:rsidR="006F1660" w:rsidRPr="002E7B89" w:rsidRDefault="006F1660" w:rsidP="006F1660">
      <w:pPr>
        <w:tabs>
          <w:tab w:val="left" w:pos="1985"/>
        </w:tabs>
        <w:rPr>
          <w:lang w:val="lt-LT"/>
        </w:rPr>
      </w:pPr>
      <w:r w:rsidRPr="002E7B89">
        <w:rPr>
          <w:lang w:val="lt-LT"/>
        </w:rPr>
        <w:t>Vengrija</w:t>
      </w:r>
      <w:r w:rsidRPr="002E7B89">
        <w:rPr>
          <w:lang w:val="lt-LT"/>
        </w:rPr>
        <w:tab/>
        <w:t>Dexamethasone Kalceks 4 mg/ml oldatos injekció vagy infúzió</w:t>
      </w:r>
    </w:p>
    <w:p w14:paraId="33BE2C2B" w14:textId="77777777" w:rsidR="006F1660" w:rsidRPr="002E7B89" w:rsidRDefault="006F1660" w:rsidP="006F1660">
      <w:pPr>
        <w:tabs>
          <w:tab w:val="left" w:pos="1985"/>
        </w:tabs>
        <w:rPr>
          <w:lang w:val="lt-LT"/>
        </w:rPr>
      </w:pPr>
      <w:r w:rsidRPr="002E7B89">
        <w:rPr>
          <w:lang w:val="lt-LT"/>
        </w:rPr>
        <w:t>Airija</w:t>
      </w:r>
      <w:r>
        <w:rPr>
          <w:lang w:val="lt-LT"/>
        </w:rPr>
        <w:tab/>
      </w:r>
      <w:r w:rsidRPr="002E7B89">
        <w:rPr>
          <w:lang w:val="lt-LT"/>
        </w:rPr>
        <w:t xml:space="preserve">Dexamethasone </w:t>
      </w:r>
      <w:r>
        <w:rPr>
          <w:lang w:val="lt-LT"/>
        </w:rPr>
        <w:t xml:space="preserve">phosphate </w:t>
      </w:r>
      <w:r w:rsidRPr="002E7B89">
        <w:rPr>
          <w:lang w:val="lt-LT"/>
        </w:rPr>
        <w:t>4 mg/ml solution for injection/infusion</w:t>
      </w:r>
    </w:p>
    <w:p w14:paraId="21B1382D" w14:textId="77777777" w:rsidR="006F1660" w:rsidRDefault="006F1660" w:rsidP="006F1660">
      <w:pPr>
        <w:tabs>
          <w:tab w:val="left" w:pos="1985"/>
        </w:tabs>
        <w:rPr>
          <w:lang w:val="lt-LT"/>
        </w:rPr>
      </w:pPr>
      <w:r w:rsidRPr="002E7B89">
        <w:rPr>
          <w:lang w:val="lt-LT"/>
        </w:rPr>
        <w:t>Italija</w:t>
      </w:r>
      <w:r>
        <w:rPr>
          <w:lang w:val="lt-LT"/>
        </w:rPr>
        <w:tab/>
      </w:r>
      <w:r w:rsidRPr="0053590C">
        <w:rPr>
          <w:lang w:val="lt-LT"/>
        </w:rPr>
        <w:t>Desametasone Kalceks</w:t>
      </w:r>
    </w:p>
    <w:p w14:paraId="26C4E5EC" w14:textId="77777777" w:rsidR="006F1660" w:rsidRPr="002E7B89" w:rsidRDefault="006F1660" w:rsidP="006F1660">
      <w:pPr>
        <w:tabs>
          <w:tab w:val="left" w:pos="1985"/>
        </w:tabs>
        <w:rPr>
          <w:lang w:val="lt-LT"/>
        </w:rPr>
      </w:pPr>
      <w:r w:rsidRPr="002E7B89">
        <w:rPr>
          <w:lang w:val="lt-LT"/>
        </w:rPr>
        <w:t>Latvija</w:t>
      </w:r>
      <w:r w:rsidRPr="002E7B89">
        <w:rPr>
          <w:lang w:val="lt-LT"/>
        </w:rPr>
        <w:tab/>
        <w:t>Dexamethasone Kalceks 4 mg/ml šķīdums injekcijām/infūzijām</w:t>
      </w:r>
    </w:p>
    <w:p w14:paraId="6AB564D3" w14:textId="77777777" w:rsidR="006F1660" w:rsidRPr="002E7B89" w:rsidRDefault="006F1660" w:rsidP="006F1660">
      <w:pPr>
        <w:tabs>
          <w:tab w:val="left" w:pos="1985"/>
        </w:tabs>
        <w:rPr>
          <w:lang w:val="lt-LT"/>
        </w:rPr>
      </w:pPr>
      <w:r w:rsidRPr="002E7B89">
        <w:rPr>
          <w:lang w:val="lt-LT"/>
        </w:rPr>
        <w:t>Lietuva</w:t>
      </w:r>
      <w:r w:rsidRPr="002E7B89">
        <w:rPr>
          <w:lang w:val="lt-LT"/>
        </w:rPr>
        <w:tab/>
        <w:t>Dexamethasone Kalceks 4 mg/ml injekcinis ar infuzinis tirpalas</w:t>
      </w:r>
    </w:p>
    <w:p w14:paraId="4BE9E78A" w14:textId="77777777" w:rsidR="006F1660" w:rsidRPr="002E7B89" w:rsidRDefault="006F1660" w:rsidP="006F1660">
      <w:pPr>
        <w:tabs>
          <w:tab w:val="left" w:pos="1985"/>
        </w:tabs>
        <w:rPr>
          <w:lang w:val="lt-LT"/>
        </w:rPr>
      </w:pPr>
      <w:r w:rsidRPr="002E7B89">
        <w:rPr>
          <w:lang w:val="lt-LT"/>
        </w:rPr>
        <w:t>Nyderlandai</w:t>
      </w:r>
      <w:r w:rsidRPr="002E7B89">
        <w:rPr>
          <w:lang w:val="lt-LT"/>
        </w:rPr>
        <w:tab/>
      </w:r>
      <w:r w:rsidRPr="002E7B89">
        <w:rPr>
          <w:rFonts w:ascii="Tms Rmn" w:hAnsi="Tms Rmn" w:cs="Tms Rmn"/>
          <w:color w:val="000000"/>
          <w:lang w:val="lt-LT" w:eastAsia="lv-LV"/>
        </w:rPr>
        <w:t>Dexamethason</w:t>
      </w:r>
      <w:r w:rsidR="00336A29">
        <w:rPr>
          <w:rFonts w:ascii="Tms Rmn" w:hAnsi="Tms Rmn" w:cs="Tms Rmn"/>
          <w:color w:val="000000"/>
          <w:lang w:val="lt-LT" w:eastAsia="lv-LV"/>
        </w:rPr>
        <w:t>fosfaat</w:t>
      </w:r>
      <w:r w:rsidRPr="002E7B89">
        <w:rPr>
          <w:rFonts w:ascii="Tms Rmn" w:hAnsi="Tms Rmn" w:cs="Tms Rmn"/>
          <w:color w:val="000000"/>
          <w:lang w:val="lt-LT" w:eastAsia="lv-LV"/>
        </w:rPr>
        <w:t xml:space="preserve"> Kalceks 4 mg/ml </w:t>
      </w:r>
      <w:r w:rsidRPr="002E7B89">
        <w:rPr>
          <w:lang w:val="lt-LT"/>
        </w:rPr>
        <w:t>oplossing voor injectie/infusie</w:t>
      </w:r>
    </w:p>
    <w:p w14:paraId="676480C2" w14:textId="77777777" w:rsidR="00612D7E" w:rsidRDefault="00612D7E" w:rsidP="00612D7E">
      <w:pPr>
        <w:tabs>
          <w:tab w:val="left" w:pos="1985"/>
        </w:tabs>
        <w:rPr>
          <w:b/>
          <w:lang w:val="lt-LT"/>
        </w:rPr>
      </w:pPr>
      <w:r w:rsidRPr="002E7B89">
        <w:rPr>
          <w:lang w:val="lt-LT"/>
        </w:rPr>
        <w:t>Portugalija</w:t>
      </w:r>
      <w:r>
        <w:rPr>
          <w:lang w:val="lt-LT"/>
        </w:rPr>
        <w:tab/>
      </w:r>
      <w:r w:rsidRPr="002E7B89">
        <w:rPr>
          <w:lang w:val="lt-LT"/>
        </w:rPr>
        <w:t>Dexametason</w:t>
      </w:r>
      <w:r>
        <w:rPr>
          <w:lang w:val="lt-LT"/>
        </w:rPr>
        <w:t>a</w:t>
      </w:r>
      <w:r w:rsidRPr="002E7B89">
        <w:rPr>
          <w:lang w:val="lt-LT"/>
        </w:rPr>
        <w:t xml:space="preserve"> Kalceks</w:t>
      </w:r>
    </w:p>
    <w:p w14:paraId="15AC7456" w14:textId="77777777" w:rsidR="006F1660" w:rsidRPr="006F1660" w:rsidRDefault="006F1660" w:rsidP="006F1660">
      <w:pPr>
        <w:tabs>
          <w:tab w:val="left" w:pos="1985"/>
        </w:tabs>
        <w:rPr>
          <w:lang w:val="lv-LV"/>
        </w:rPr>
      </w:pPr>
      <w:r w:rsidRPr="006F1660">
        <w:rPr>
          <w:lang w:val="lv-LV"/>
        </w:rPr>
        <w:t>Slovėnija</w:t>
      </w:r>
      <w:r w:rsidRPr="006F1660">
        <w:rPr>
          <w:lang w:val="lv-LV"/>
        </w:rPr>
        <w:tab/>
        <w:t>Deksametazon Kalceks 4 mg/ml raztopina za injiciranje/infundiranje</w:t>
      </w:r>
    </w:p>
    <w:p w14:paraId="13F7C343" w14:textId="14F73954" w:rsidR="005B4C4D" w:rsidRPr="002E7B89" w:rsidRDefault="005B4C4D" w:rsidP="006F1660">
      <w:pPr>
        <w:tabs>
          <w:tab w:val="left" w:pos="1985"/>
        </w:tabs>
        <w:rPr>
          <w:lang w:val="lt-LT"/>
        </w:rPr>
      </w:pPr>
      <w:r w:rsidRPr="002E7B89">
        <w:rPr>
          <w:lang w:val="lt-LT"/>
        </w:rPr>
        <w:t>Ispanija</w:t>
      </w:r>
      <w:r w:rsidRPr="002E7B89">
        <w:rPr>
          <w:lang w:val="lt-LT"/>
        </w:rPr>
        <w:tab/>
        <w:t>Dexametason</w:t>
      </w:r>
      <w:r w:rsidR="00612D7E">
        <w:rPr>
          <w:lang w:val="lt-LT"/>
        </w:rPr>
        <w:t>a</w:t>
      </w:r>
      <w:r w:rsidRPr="002E7B89">
        <w:rPr>
          <w:lang w:val="lt-LT"/>
        </w:rPr>
        <w:t xml:space="preserve"> Kalceks 4 mg/ml soluciόn inyectable y para perfusiόn</w:t>
      </w:r>
      <w:r w:rsidR="00510BD7">
        <w:rPr>
          <w:lang w:val="lt-LT"/>
        </w:rPr>
        <w:t xml:space="preserve"> EFG</w:t>
      </w:r>
    </w:p>
    <w:p w14:paraId="230AA7C6" w14:textId="654F576D" w:rsidR="00EE395E" w:rsidRPr="002E7B89" w:rsidRDefault="00510BD7" w:rsidP="005B4C4D">
      <w:pPr>
        <w:tabs>
          <w:tab w:val="left" w:pos="1985"/>
        </w:tabs>
        <w:ind w:left="567" w:hanging="567"/>
        <w:rPr>
          <w:lang w:val="lt-LT"/>
        </w:rPr>
      </w:pPr>
      <w:r w:rsidRPr="002E7B89">
        <w:rPr>
          <w:lang w:val="lt-LT"/>
        </w:rPr>
        <w:t>Švedija</w:t>
      </w:r>
      <w:r w:rsidR="000E30BD">
        <w:rPr>
          <w:lang w:val="lt-LT"/>
        </w:rPr>
        <w:tab/>
      </w:r>
      <w:r w:rsidR="000E30BD" w:rsidRPr="000E30BD">
        <w:rPr>
          <w:lang w:val="lt-LT"/>
        </w:rPr>
        <w:t>Dexalcex</w:t>
      </w:r>
    </w:p>
    <w:p w14:paraId="54D9BB40" w14:textId="77777777" w:rsidR="00510BD7" w:rsidRPr="002472CD" w:rsidRDefault="00510BD7" w:rsidP="00125C50">
      <w:pPr>
        <w:numPr>
          <w:ilvl w:val="12"/>
          <w:numId w:val="0"/>
        </w:numPr>
        <w:tabs>
          <w:tab w:val="left" w:pos="720"/>
        </w:tabs>
        <w:ind w:right="-2"/>
        <w:rPr>
          <w:lang w:val="lt-LT"/>
        </w:rPr>
      </w:pPr>
    </w:p>
    <w:p w14:paraId="6AD326E0" w14:textId="2D1BB3AA" w:rsidR="00125C50" w:rsidRPr="002E7B89" w:rsidRDefault="00125C50" w:rsidP="00125C50">
      <w:pPr>
        <w:numPr>
          <w:ilvl w:val="12"/>
          <w:numId w:val="0"/>
        </w:numPr>
        <w:tabs>
          <w:tab w:val="left" w:pos="720"/>
        </w:tabs>
        <w:ind w:right="-2"/>
        <w:rPr>
          <w:b/>
          <w:lang w:val="lt-LT"/>
        </w:rPr>
      </w:pPr>
      <w:r w:rsidRPr="002E7B89">
        <w:rPr>
          <w:b/>
          <w:lang w:val="lt-LT"/>
        </w:rPr>
        <w:t xml:space="preserve">Šis pakuotės lapelis paskutinį kartą peržiūrėtas </w:t>
      </w:r>
      <w:r w:rsidR="001B60F2">
        <w:rPr>
          <w:b/>
          <w:lang w:val="lt-LT"/>
        </w:rPr>
        <w:t>2026-05-13</w:t>
      </w:r>
      <w:r w:rsidR="009D5936">
        <w:rPr>
          <w:b/>
          <w:lang w:val="lt-LT"/>
        </w:rPr>
        <w:t>.</w:t>
      </w:r>
    </w:p>
    <w:p w14:paraId="4187584F" w14:textId="77777777" w:rsidR="00250336" w:rsidRPr="002E7B89" w:rsidRDefault="00250336" w:rsidP="00125C50">
      <w:pPr>
        <w:numPr>
          <w:ilvl w:val="12"/>
          <w:numId w:val="0"/>
        </w:numPr>
        <w:ind w:right="-2"/>
        <w:rPr>
          <w:lang w:val="lt-LT"/>
        </w:rPr>
      </w:pPr>
    </w:p>
    <w:p w14:paraId="0053AF23" w14:textId="10669FDC" w:rsidR="00125C50" w:rsidRPr="002E7B89" w:rsidRDefault="00125C50" w:rsidP="00125C50">
      <w:pPr>
        <w:numPr>
          <w:ilvl w:val="12"/>
          <w:numId w:val="0"/>
        </w:numPr>
        <w:ind w:right="-2"/>
        <w:rPr>
          <w:szCs w:val="24"/>
          <w:lang w:val="lt-LT"/>
        </w:rPr>
      </w:pPr>
      <w:r w:rsidRPr="002E7B89">
        <w:rPr>
          <w:lang w:val="lt-LT"/>
        </w:rPr>
        <w:t xml:space="preserve">Išsami informacija apie šį </w:t>
      </w:r>
      <w:r w:rsidRPr="002E7B89">
        <w:rPr>
          <w:szCs w:val="24"/>
          <w:lang w:val="lt-LT"/>
        </w:rPr>
        <w:t>vaistą</w:t>
      </w:r>
      <w:r w:rsidRPr="002E7B89">
        <w:rPr>
          <w:lang w:val="lt-LT"/>
        </w:rPr>
        <w:t xml:space="preserve"> pateikiama Valstybinės vaistų kontrolės tarnybos prie Lietuvos Respublikos sveikatos apsaugos ministerijos tinklalapyje</w:t>
      </w:r>
      <w:r w:rsidRPr="002472CD">
        <w:rPr>
          <w:lang w:val="lt-LT"/>
        </w:rPr>
        <w:t xml:space="preserve"> </w:t>
      </w:r>
      <w:r w:rsidR="002D63B9" w:rsidRPr="00A772A5">
        <w:rPr>
          <w:iCs/>
          <w:szCs w:val="24"/>
          <w:lang w:val="lt-LT"/>
        </w:rPr>
        <w:t>https://vvkt.lrv.lt/lt/</w:t>
      </w:r>
      <w:r w:rsidR="002D63B9">
        <w:rPr>
          <w:iCs/>
          <w:szCs w:val="24"/>
          <w:lang w:val="lt-LT"/>
        </w:rPr>
        <w:t>.</w:t>
      </w:r>
    </w:p>
    <w:p w14:paraId="25727C6D" w14:textId="77777777" w:rsidR="00125C50" w:rsidRPr="002E7B89" w:rsidRDefault="00125C50" w:rsidP="00125C50">
      <w:pPr>
        <w:numPr>
          <w:ilvl w:val="12"/>
          <w:numId w:val="0"/>
        </w:numPr>
        <w:tabs>
          <w:tab w:val="left" w:pos="2657"/>
        </w:tabs>
        <w:ind w:right="-28"/>
        <w:rPr>
          <w:szCs w:val="24"/>
          <w:lang w:val="lt-LT"/>
        </w:rPr>
      </w:pPr>
    </w:p>
    <w:p w14:paraId="341C299B" w14:textId="59B5D76D" w:rsidR="00271E9C" w:rsidRPr="002E7B89" w:rsidRDefault="00271E9C" w:rsidP="00125C50">
      <w:pPr>
        <w:pStyle w:val="Betarp"/>
        <w:rPr>
          <w:lang w:val="lt-LT"/>
        </w:rPr>
      </w:pPr>
      <w:r w:rsidRPr="002E7B89">
        <w:rPr>
          <w:lang w:val="lt-LT" w:bidi="lt-LT"/>
        </w:rPr>
        <w:t>-----------------------------------------------------------------------------------------------------------------------</w:t>
      </w:r>
      <w:r w:rsidR="00A772A5">
        <w:rPr>
          <w:lang w:val="lt-LT" w:bidi="lt-LT"/>
        </w:rPr>
        <w:t>----</w:t>
      </w:r>
    </w:p>
    <w:p w14:paraId="3774F687" w14:textId="77777777" w:rsidR="00271E9C" w:rsidRPr="002E7B89" w:rsidRDefault="00271E9C" w:rsidP="00271E9C">
      <w:pPr>
        <w:pStyle w:val="Betarp"/>
        <w:rPr>
          <w:lang w:val="lt-LT"/>
        </w:rPr>
      </w:pPr>
      <w:bookmarkStart w:id="58" w:name="Die_folgenden_Informationen_sindr_für_me"/>
      <w:bookmarkEnd w:id="58"/>
      <w:r w:rsidRPr="002E7B89">
        <w:rPr>
          <w:lang w:val="lt-LT" w:bidi="lt-LT"/>
        </w:rPr>
        <w:t>Toliau pateikta informacija skirta tik sveikatos priežiūros specialistams</w:t>
      </w:r>
      <w:r w:rsidR="00125C50" w:rsidRPr="002E7B89">
        <w:rPr>
          <w:lang w:val="lt-LT" w:bidi="lt-LT"/>
        </w:rPr>
        <w:t>.</w:t>
      </w:r>
    </w:p>
    <w:p w14:paraId="1D225D01" w14:textId="77777777" w:rsidR="00271E9C" w:rsidRPr="002E7B89" w:rsidRDefault="00271E9C" w:rsidP="00271E9C">
      <w:pPr>
        <w:pStyle w:val="Betarp"/>
        <w:rPr>
          <w:lang w:val="lt-LT"/>
        </w:rPr>
      </w:pPr>
    </w:p>
    <w:p w14:paraId="4A56BF89" w14:textId="77777777" w:rsidR="00271E9C" w:rsidRPr="002E7B89" w:rsidRDefault="00271E9C" w:rsidP="00271E9C">
      <w:pPr>
        <w:pStyle w:val="Betarp"/>
        <w:rPr>
          <w:b/>
          <w:lang w:val="lt-LT"/>
        </w:rPr>
      </w:pPr>
      <w:r w:rsidRPr="002E7B89">
        <w:rPr>
          <w:b/>
          <w:lang w:val="lt-LT" w:bidi="lt-LT"/>
        </w:rPr>
        <w:t>Dozavimas ir vartojimo metodas</w:t>
      </w:r>
    </w:p>
    <w:p w14:paraId="7CFED23E" w14:textId="77777777" w:rsidR="00271E9C" w:rsidRPr="002E7B89" w:rsidRDefault="00271E9C" w:rsidP="00271E9C">
      <w:pPr>
        <w:pStyle w:val="Betarp"/>
        <w:rPr>
          <w:lang w:val="lt-LT"/>
        </w:rPr>
      </w:pPr>
    </w:p>
    <w:p w14:paraId="56D48ECE" w14:textId="77777777" w:rsidR="00FA1C42" w:rsidRPr="002E7B89" w:rsidRDefault="00FA1C42" w:rsidP="00FA1C42">
      <w:pPr>
        <w:pStyle w:val="Betarp"/>
        <w:rPr>
          <w:lang w:val="lt-LT"/>
        </w:rPr>
      </w:pPr>
      <w:r w:rsidRPr="002E7B89">
        <w:rPr>
          <w:lang w:val="lt-LT" w:bidi="lt-LT"/>
        </w:rPr>
        <w:t>Jei vienkartiniam gydymui reikia didelių dozių, reikėtų apsvarstyti galimybę vartoti vaistinius preparatus, kurių sudėtyje yra didesnio stiprumo ir (arba) tūrio deksametazono.</w:t>
      </w:r>
    </w:p>
    <w:p w14:paraId="33775F76" w14:textId="77777777" w:rsidR="00F8680B" w:rsidRDefault="00F8680B" w:rsidP="00FA1C42">
      <w:pPr>
        <w:pStyle w:val="Betarp"/>
        <w:rPr>
          <w:i/>
          <w:lang w:val="lt-LT" w:bidi="lt-LT"/>
        </w:rPr>
      </w:pPr>
      <w:bookmarkStart w:id="59" w:name="1._Systemische_Anwendung_"/>
      <w:bookmarkEnd w:id="59"/>
    </w:p>
    <w:p w14:paraId="0595F78E" w14:textId="77777777" w:rsidR="00FA1C42" w:rsidRPr="002E7B89" w:rsidRDefault="00FA1C42" w:rsidP="00FA1C42">
      <w:pPr>
        <w:pStyle w:val="Betarp"/>
        <w:rPr>
          <w:i/>
          <w:lang w:val="lt-LT"/>
        </w:rPr>
      </w:pPr>
      <w:r w:rsidRPr="002E7B89">
        <w:rPr>
          <w:i/>
          <w:lang w:val="lt-LT" w:bidi="lt-LT"/>
        </w:rPr>
        <w:t>1. Sisteminis gydymas</w:t>
      </w:r>
    </w:p>
    <w:p w14:paraId="6546B336" w14:textId="77777777" w:rsidR="00FA1C42" w:rsidRPr="002E7B89" w:rsidRDefault="00FA1C42" w:rsidP="00FA1C42">
      <w:pPr>
        <w:pStyle w:val="Betarp"/>
        <w:rPr>
          <w:lang w:val="lt-LT"/>
        </w:rPr>
      </w:pPr>
    </w:p>
    <w:p w14:paraId="64561A66" w14:textId="77777777" w:rsidR="00FA1C42" w:rsidRPr="002E7B89" w:rsidRDefault="00FA1C42" w:rsidP="00FA1C42">
      <w:pPr>
        <w:pStyle w:val="Betarp"/>
        <w:rPr>
          <w:b/>
          <w:bCs/>
          <w:u w:val="single"/>
          <w:lang w:val="lt-LT"/>
        </w:rPr>
      </w:pPr>
      <w:r w:rsidRPr="002E7B89">
        <w:rPr>
          <w:b/>
          <w:u w:val="single"/>
          <w:lang w:val="lt-LT" w:bidi="lt-LT"/>
        </w:rPr>
        <w:t>Galvos smegenų edemos gydymas ir profilaktika esant galvos smegenų navikų (po operacijos ir po rentgeno spinduliuotės) ir po nugaros smegenų traumos</w:t>
      </w:r>
    </w:p>
    <w:p w14:paraId="563F9797" w14:textId="77777777" w:rsidR="00FA1C42" w:rsidRPr="002E7B89" w:rsidRDefault="00FA1C42" w:rsidP="00FA1C42">
      <w:pPr>
        <w:pStyle w:val="Betarp"/>
        <w:rPr>
          <w:lang w:val="lt-LT"/>
        </w:rPr>
      </w:pPr>
      <w:r w:rsidRPr="002E7B89">
        <w:rPr>
          <w:lang w:val="lt-LT" w:bidi="lt-LT"/>
        </w:rPr>
        <w:t>Priklausomai nuo priežasties ir sunkumo, pradinė dozė yra 8–10 mg (iki 80 mg) į veną, po to 16–24 mg (iki 48 mg) į veną per parą, padalyti į 3–4 (6) vienkartines dozes, 4–8 paras. Spindulinės terapijos metu ir konservatyviai gydant neoperuojamus smegenų navikus gali būti reikalingas ilgalaikis mažesnių deksametazono fosfato dozių vartojimas.</w:t>
      </w:r>
    </w:p>
    <w:p w14:paraId="60A76235" w14:textId="77777777" w:rsidR="00FA1C42" w:rsidRPr="002E7B89" w:rsidRDefault="00FA1C42" w:rsidP="00FA1C42">
      <w:pPr>
        <w:pStyle w:val="Betarp"/>
        <w:rPr>
          <w:lang w:val="lt-LT"/>
        </w:rPr>
      </w:pPr>
    </w:p>
    <w:p w14:paraId="106F69BE" w14:textId="77777777" w:rsidR="00FA1C42" w:rsidRPr="002E7B89" w:rsidRDefault="00FA1C42" w:rsidP="00FA1C42">
      <w:pPr>
        <w:pStyle w:val="Betarp"/>
        <w:rPr>
          <w:lang w:val="lt-LT"/>
        </w:rPr>
      </w:pPr>
      <w:r w:rsidRPr="002E7B89">
        <w:rPr>
          <w:lang w:val="lt-LT" w:bidi="lt-LT"/>
        </w:rPr>
        <w:t xml:space="preserve">Pasireiškus </w:t>
      </w:r>
      <w:r w:rsidRPr="002E7B89">
        <w:rPr>
          <w:b/>
          <w:u w:val="single"/>
          <w:lang w:val="lt-LT" w:bidi="lt-LT"/>
        </w:rPr>
        <w:t>anafilaksiniam šokui</w:t>
      </w:r>
      <w:r w:rsidRPr="002E7B89">
        <w:rPr>
          <w:b/>
          <w:i/>
          <w:u w:val="single"/>
          <w:lang w:val="lt-LT" w:bidi="lt-LT"/>
        </w:rPr>
        <w:t>,</w:t>
      </w:r>
      <w:r w:rsidRPr="002E7B89">
        <w:rPr>
          <w:lang w:val="lt-LT" w:bidi="lt-LT"/>
        </w:rPr>
        <w:t xml:space="preserve"> pirmiausia suleidžiama adrenalino injekcija į veną, po to 40–100 mg deksametazono (vaikams – 40 mg) injekcija į veną, kartojama pagal poreikį.</w:t>
      </w:r>
    </w:p>
    <w:p w14:paraId="1D385360" w14:textId="77777777" w:rsidR="00FA1C42" w:rsidRPr="002E7B89" w:rsidRDefault="00FA1C42" w:rsidP="00FA1C42">
      <w:pPr>
        <w:pStyle w:val="Betarp"/>
        <w:rPr>
          <w:lang w:val="lt-LT"/>
        </w:rPr>
      </w:pPr>
    </w:p>
    <w:p w14:paraId="14E349F1" w14:textId="77777777" w:rsidR="00FA1C42" w:rsidRPr="002E7B89" w:rsidRDefault="00FA1C42" w:rsidP="00FA1C42">
      <w:pPr>
        <w:pStyle w:val="Betarp"/>
        <w:rPr>
          <w:b/>
          <w:u w:val="single"/>
          <w:lang w:val="lt-LT"/>
        </w:rPr>
      </w:pPr>
      <w:r w:rsidRPr="002E7B89">
        <w:rPr>
          <w:b/>
          <w:u w:val="single"/>
          <w:lang w:val="lt-LT" w:bidi="lt-LT"/>
        </w:rPr>
        <w:t>Politrauminis šokas ar potrauminio plaučių šoko profilaktika</w:t>
      </w:r>
    </w:p>
    <w:p w14:paraId="6E9861A3" w14:textId="16FC9EDD" w:rsidR="00FA1C42" w:rsidRPr="002E7B89" w:rsidRDefault="00FA1C42" w:rsidP="00FA1C42">
      <w:pPr>
        <w:pStyle w:val="Betarp"/>
        <w:rPr>
          <w:lang w:val="lt-LT"/>
        </w:rPr>
      </w:pPr>
      <w:r w:rsidRPr="002E7B89">
        <w:rPr>
          <w:lang w:val="lt-LT" w:bidi="lt-LT"/>
        </w:rPr>
        <w:t>Iš pradžių 40–100 mg (vaikams – 40 mg) į veną, dozė kartojama po 12</w:t>
      </w:r>
      <w:r w:rsidR="00A772A5">
        <w:rPr>
          <w:lang w:val="lt-LT" w:bidi="lt-LT"/>
        </w:rPr>
        <w:t> </w:t>
      </w:r>
      <w:r w:rsidRPr="002E7B89">
        <w:rPr>
          <w:lang w:val="lt-LT" w:bidi="lt-LT"/>
        </w:rPr>
        <w:t>valandų arba kas 6</w:t>
      </w:r>
      <w:r w:rsidR="00A772A5">
        <w:rPr>
          <w:lang w:val="lt-LT" w:bidi="lt-LT"/>
        </w:rPr>
        <w:t> </w:t>
      </w:r>
      <w:r w:rsidRPr="002E7B89">
        <w:rPr>
          <w:lang w:val="lt-LT" w:bidi="lt-LT"/>
        </w:rPr>
        <w:t>valandas po 16</w:t>
      </w:r>
      <w:r w:rsidR="009749E3" w:rsidRPr="009749E3">
        <w:rPr>
          <w:lang w:val="lt-LT" w:bidi="lt-LT"/>
        </w:rPr>
        <w:t>‒</w:t>
      </w:r>
      <w:r w:rsidRPr="002E7B89">
        <w:rPr>
          <w:lang w:val="lt-LT" w:bidi="lt-LT"/>
        </w:rPr>
        <w:t>40 mg 2–3</w:t>
      </w:r>
      <w:r w:rsidR="009749E3">
        <w:rPr>
          <w:lang w:val="lt-LT" w:bidi="lt-LT"/>
        </w:rPr>
        <w:t> </w:t>
      </w:r>
      <w:r w:rsidRPr="002E7B89">
        <w:rPr>
          <w:lang w:val="lt-LT" w:bidi="lt-LT"/>
        </w:rPr>
        <w:t>paras.</w:t>
      </w:r>
    </w:p>
    <w:p w14:paraId="66E6A82B" w14:textId="77777777" w:rsidR="00FA1C42" w:rsidRPr="002E7B89" w:rsidRDefault="00FA1C42" w:rsidP="00FA1C42">
      <w:pPr>
        <w:pStyle w:val="Betarp"/>
        <w:rPr>
          <w:lang w:val="lt-LT"/>
        </w:rPr>
      </w:pPr>
    </w:p>
    <w:p w14:paraId="39CE6080" w14:textId="74673CDA" w:rsidR="00FA1C42" w:rsidRPr="002E7B89" w:rsidRDefault="00FA1C42" w:rsidP="00FA1C42">
      <w:pPr>
        <w:pStyle w:val="Betarp"/>
        <w:rPr>
          <w:lang w:val="lt-LT"/>
        </w:rPr>
      </w:pPr>
      <w:r w:rsidRPr="002E7B89">
        <w:rPr>
          <w:lang w:val="lt-LT" w:bidi="lt-LT"/>
        </w:rPr>
        <w:lastRenderedPageBreak/>
        <w:t xml:space="preserve">Esant </w:t>
      </w:r>
      <w:r w:rsidRPr="002E7B89">
        <w:rPr>
          <w:b/>
          <w:u w:val="single"/>
          <w:lang w:val="lt-LT" w:bidi="lt-LT"/>
        </w:rPr>
        <w:t>sunkiam astmos paūmėjimui,</w:t>
      </w:r>
      <w:r w:rsidRPr="002E7B89">
        <w:rPr>
          <w:lang w:val="lt-LT" w:bidi="lt-LT"/>
        </w:rPr>
        <w:t xml:space="preserve"> kuo skubiau suleidžiama 8–40 mg į veną; jei reikia, atliekamos pakartotinės 8 mg injekcijos kas 4</w:t>
      </w:r>
      <w:r w:rsidR="00A772A5">
        <w:rPr>
          <w:lang w:val="lt-LT" w:bidi="lt-LT"/>
        </w:rPr>
        <w:t> </w:t>
      </w:r>
      <w:r w:rsidRPr="002E7B89">
        <w:rPr>
          <w:lang w:val="lt-LT" w:bidi="lt-LT"/>
        </w:rPr>
        <w:t>valandas.</w:t>
      </w:r>
    </w:p>
    <w:p w14:paraId="3D58D109" w14:textId="77777777" w:rsidR="00FA1C42" w:rsidRPr="002E7B89" w:rsidRDefault="00FA1C42" w:rsidP="00FA1C42">
      <w:pPr>
        <w:pStyle w:val="Betarp"/>
        <w:rPr>
          <w:lang w:val="lt-LT"/>
        </w:rPr>
      </w:pPr>
    </w:p>
    <w:p w14:paraId="13582B80" w14:textId="77777777" w:rsidR="00FA1C42" w:rsidRPr="002E7B89" w:rsidRDefault="00FA1C42" w:rsidP="00FA1C42">
      <w:pPr>
        <w:pStyle w:val="Betarp"/>
        <w:rPr>
          <w:lang w:val="lt-LT"/>
        </w:rPr>
      </w:pPr>
      <w:r w:rsidRPr="002E7B89">
        <w:rPr>
          <w:b/>
          <w:u w:val="single"/>
          <w:lang w:val="lt-LT" w:bidi="lt-LT"/>
        </w:rPr>
        <w:t xml:space="preserve">Sunki ūminė dermatozė </w:t>
      </w:r>
      <w:r w:rsidRPr="002E7B89">
        <w:rPr>
          <w:lang w:val="lt-LT" w:bidi="lt-LT"/>
        </w:rPr>
        <w:t xml:space="preserve">ir </w:t>
      </w:r>
      <w:r w:rsidRPr="002E7B89">
        <w:rPr>
          <w:b/>
          <w:u w:val="single"/>
          <w:lang w:val="lt-LT" w:bidi="lt-LT"/>
        </w:rPr>
        <w:t>sunkios kraujo ligos:</w:t>
      </w:r>
      <w:r w:rsidRPr="002E7B89">
        <w:rPr>
          <w:lang w:val="lt-LT" w:bidi="lt-LT"/>
        </w:rPr>
        <w:t xml:space="preserve"> pradinis gydymas</w:t>
      </w:r>
      <w:r w:rsidR="00AA5C21">
        <w:rPr>
          <w:lang w:val="lt-LT" w:bidi="lt-LT"/>
        </w:rPr>
        <w:t xml:space="preserve"> - </w:t>
      </w:r>
      <w:r w:rsidRPr="002E7B89">
        <w:rPr>
          <w:lang w:val="lt-LT" w:bidi="lt-LT"/>
        </w:rPr>
        <w:t>20–40 mg deksametazono fosfato į veną, tolesnis gydymas, priklausomai nuo atvejo sunkumo – tomis pačiomis paros dozėmis arba mažesnėmis dozėmis pirmąsias kelias paras ir perėjimas prie gydymo geriamąja forma.</w:t>
      </w:r>
    </w:p>
    <w:p w14:paraId="38899030" w14:textId="77777777" w:rsidR="00FA1C42" w:rsidRPr="002E7B89" w:rsidRDefault="00FA1C42" w:rsidP="00FA1C42">
      <w:pPr>
        <w:pStyle w:val="Betarp"/>
        <w:rPr>
          <w:lang w:val="lt-LT"/>
        </w:rPr>
      </w:pPr>
    </w:p>
    <w:p w14:paraId="106D4E3E" w14:textId="77777777" w:rsidR="00FA1C42" w:rsidRPr="002E7B89" w:rsidRDefault="00FA1C42" w:rsidP="00FA1C42">
      <w:pPr>
        <w:pStyle w:val="Betarp"/>
        <w:rPr>
          <w:lang w:val="lt-LT"/>
        </w:rPr>
      </w:pPr>
      <w:r w:rsidRPr="002E7B89">
        <w:rPr>
          <w:b/>
          <w:u w:val="single"/>
          <w:lang w:val="lt-LT" w:bidi="lt-LT"/>
        </w:rPr>
        <w:t>Ūminis antinksčių nepakankamumas</w:t>
      </w:r>
      <w:r w:rsidRPr="002E7B89">
        <w:rPr>
          <w:lang w:val="lt-LT" w:bidi="lt-LT"/>
        </w:rPr>
        <w:t xml:space="preserve"> (Adisono krizė): gydymas pradedamas 4–8 mg deksametazono fosfato į veną.</w:t>
      </w:r>
    </w:p>
    <w:p w14:paraId="4C5F5AF8" w14:textId="77777777" w:rsidR="00FA1C42" w:rsidRPr="002E7B89" w:rsidRDefault="00FA1C42" w:rsidP="00FA1C42">
      <w:pPr>
        <w:pStyle w:val="Betarp"/>
        <w:rPr>
          <w:lang w:val="lt-LT"/>
        </w:rPr>
      </w:pPr>
    </w:p>
    <w:p w14:paraId="0131A9A6" w14:textId="77777777" w:rsidR="00FA1C42" w:rsidRPr="002E7B89" w:rsidRDefault="00FA1C42" w:rsidP="00FA1C42">
      <w:pPr>
        <w:pStyle w:val="Betarp"/>
        <w:rPr>
          <w:b/>
          <w:u w:val="single"/>
          <w:lang w:val="lt-LT"/>
        </w:rPr>
      </w:pPr>
      <w:r w:rsidRPr="002E7B89">
        <w:rPr>
          <w:b/>
          <w:u w:val="single"/>
          <w:lang w:val="lt-LT" w:bidi="lt-LT"/>
        </w:rPr>
        <w:t>COVID-19 gydymas</w:t>
      </w:r>
    </w:p>
    <w:p w14:paraId="6945F8B4" w14:textId="37967CB8" w:rsidR="00FA1C42" w:rsidRPr="002E7B89" w:rsidRDefault="00FA1C42" w:rsidP="00FA1C42">
      <w:pPr>
        <w:pStyle w:val="Betarp"/>
        <w:rPr>
          <w:lang w:val="lt-LT"/>
        </w:rPr>
      </w:pPr>
      <w:r w:rsidRPr="002E7B89">
        <w:rPr>
          <w:i/>
          <w:lang w:val="lt-LT" w:bidi="lt-LT"/>
        </w:rPr>
        <w:t xml:space="preserve">Suaugusieji: </w:t>
      </w:r>
      <w:r w:rsidRPr="002E7B89">
        <w:rPr>
          <w:lang w:val="lt-LT" w:bidi="lt-LT"/>
        </w:rPr>
        <w:t>6 mg į veną vieną kartą per parą iki 10</w:t>
      </w:r>
      <w:r w:rsidR="00A772A5">
        <w:rPr>
          <w:lang w:val="lt-LT" w:bidi="lt-LT"/>
        </w:rPr>
        <w:t> </w:t>
      </w:r>
      <w:r w:rsidRPr="002E7B89">
        <w:rPr>
          <w:lang w:val="lt-LT" w:bidi="lt-LT"/>
        </w:rPr>
        <w:t>parų.</w:t>
      </w:r>
    </w:p>
    <w:p w14:paraId="3C630276" w14:textId="77777777" w:rsidR="00FA1C42" w:rsidRPr="002E7B89" w:rsidRDefault="00FA1C42" w:rsidP="00FA1C42">
      <w:pPr>
        <w:pStyle w:val="Betarp"/>
        <w:rPr>
          <w:lang w:val="lt-LT"/>
        </w:rPr>
      </w:pPr>
    </w:p>
    <w:p w14:paraId="3D622B7B" w14:textId="77777777" w:rsidR="00FA1C42" w:rsidRPr="002E7B89" w:rsidRDefault="00FA1C42" w:rsidP="00FA1C42">
      <w:pPr>
        <w:pStyle w:val="Betarp"/>
        <w:rPr>
          <w:lang w:val="lt-LT"/>
        </w:rPr>
      </w:pPr>
      <w:r w:rsidRPr="002E7B89">
        <w:rPr>
          <w:i/>
          <w:lang w:val="lt-LT" w:bidi="lt-LT"/>
        </w:rPr>
        <w:t xml:space="preserve">Senyviems pacientams ir pacientams, kurių inkstų ar kepenų funkcija sutrikusi (vartojantys mažą dozę (6 mg per parą) ir trumpą laiką): </w:t>
      </w:r>
      <w:r w:rsidRPr="002E7B89">
        <w:rPr>
          <w:lang w:val="lt-LT" w:bidi="lt-LT"/>
        </w:rPr>
        <w:t>dozės koreguoti nereikia.</w:t>
      </w:r>
    </w:p>
    <w:p w14:paraId="7A2AD383" w14:textId="77777777" w:rsidR="00FA1C42" w:rsidRPr="002E7B89" w:rsidRDefault="00FA1C42" w:rsidP="00FA1C42">
      <w:pPr>
        <w:pStyle w:val="Betarp"/>
        <w:rPr>
          <w:lang w:val="lt-LT"/>
        </w:rPr>
      </w:pPr>
    </w:p>
    <w:p w14:paraId="580153E1" w14:textId="39C5B7F0" w:rsidR="00FA1C42" w:rsidRPr="002E7B89" w:rsidRDefault="00FA1C42" w:rsidP="00FA1C42">
      <w:pPr>
        <w:pStyle w:val="Betarp"/>
        <w:rPr>
          <w:lang w:val="lt-LT"/>
        </w:rPr>
      </w:pPr>
      <w:r w:rsidRPr="002E7B89">
        <w:rPr>
          <w:i/>
          <w:lang w:val="lt-LT" w:bidi="lt-LT"/>
        </w:rPr>
        <w:t xml:space="preserve">Vaikų populiacija: </w:t>
      </w:r>
      <w:r w:rsidRPr="002E7B89">
        <w:rPr>
          <w:lang w:val="lt-LT" w:bidi="lt-LT"/>
        </w:rPr>
        <w:t>vaikams (12</w:t>
      </w:r>
      <w:r w:rsidR="00A772A5">
        <w:rPr>
          <w:lang w:val="lt-LT" w:bidi="lt-LT"/>
        </w:rPr>
        <w:t> </w:t>
      </w:r>
      <w:r w:rsidRPr="002E7B89">
        <w:rPr>
          <w:lang w:val="lt-LT" w:bidi="lt-LT"/>
        </w:rPr>
        <w:t>metų ir vyresniems paaugliams, kurių kūno masė ne mažesnė kaip 40 kg) rekomenduojama vartoti 6 mg į veną vieną kartą per parą iki 10</w:t>
      </w:r>
      <w:r w:rsidR="00A772A5">
        <w:rPr>
          <w:lang w:val="lt-LT" w:bidi="lt-LT"/>
        </w:rPr>
        <w:t> </w:t>
      </w:r>
      <w:r w:rsidRPr="002E7B89">
        <w:rPr>
          <w:lang w:val="lt-LT" w:bidi="lt-LT"/>
        </w:rPr>
        <w:t>parų.</w:t>
      </w:r>
    </w:p>
    <w:p w14:paraId="45FBD25A" w14:textId="77777777" w:rsidR="00FA1C42" w:rsidRPr="002E7B89" w:rsidRDefault="00FA1C42" w:rsidP="00FA1C42">
      <w:pPr>
        <w:pStyle w:val="Betarp"/>
        <w:rPr>
          <w:lang w:val="lt-LT"/>
        </w:rPr>
      </w:pPr>
      <w:r w:rsidRPr="002E7B89">
        <w:rPr>
          <w:lang w:val="lt-LT" w:bidi="lt-LT"/>
        </w:rPr>
        <w:t>Gydymo trukmė turi būti nustatoma atsižvelgiant į klinikinį atsaką ir individualius paciento poreikius.</w:t>
      </w:r>
    </w:p>
    <w:p w14:paraId="68C1AAF2" w14:textId="77777777" w:rsidR="00FA1C42" w:rsidRPr="002E7B89" w:rsidRDefault="00FA1C42" w:rsidP="00FA1C42">
      <w:pPr>
        <w:pStyle w:val="Betarp"/>
        <w:rPr>
          <w:lang w:val="lt-LT"/>
        </w:rPr>
      </w:pPr>
    </w:p>
    <w:p w14:paraId="68C80777" w14:textId="77777777" w:rsidR="00FA1C42" w:rsidRPr="002E7B89" w:rsidRDefault="00FA1C42" w:rsidP="00FA1C42">
      <w:pPr>
        <w:pStyle w:val="Betarp"/>
        <w:rPr>
          <w:i/>
          <w:lang w:val="lt-LT"/>
        </w:rPr>
      </w:pPr>
      <w:r w:rsidRPr="002E7B89">
        <w:rPr>
          <w:i/>
          <w:lang w:val="lt-LT" w:bidi="lt-LT"/>
        </w:rPr>
        <w:t>2. Lokalus gydymas</w:t>
      </w:r>
    </w:p>
    <w:p w14:paraId="5CD33C3E" w14:textId="77777777" w:rsidR="00FA1C42" w:rsidRPr="002E7B89" w:rsidRDefault="00FA1C42" w:rsidP="00FA1C42">
      <w:pPr>
        <w:pStyle w:val="Betarp"/>
        <w:rPr>
          <w:i/>
          <w:lang w:val="lt-LT"/>
        </w:rPr>
      </w:pPr>
    </w:p>
    <w:p w14:paraId="2EBAF276" w14:textId="0249A389" w:rsidR="00FA1C42" w:rsidRPr="002E7B89" w:rsidRDefault="00FA1C42" w:rsidP="00FA1C42">
      <w:pPr>
        <w:pStyle w:val="Betarp"/>
        <w:rPr>
          <w:lang w:val="lt-LT"/>
        </w:rPr>
      </w:pPr>
      <w:r w:rsidRPr="002E7B89">
        <w:rPr>
          <w:lang w:val="lt-LT" w:bidi="lt-LT"/>
        </w:rPr>
        <w:t>Lokaliam infiltraciniam, periartikuliniam ir intraartikuliniam gydymui griežtai aseptinėmis sąlygomis leidžiama 4 mg arba 8 mg deksametazono fosfato. Injekcijai į mažą sąnarį pakanka 2 mg deksametazono fosfato. Atsižvelgiant į ligos sunkumą, reikėtų atlikti ne daugiau kaip 3–4</w:t>
      </w:r>
      <w:r w:rsidR="0015438F">
        <w:rPr>
          <w:lang w:val="lt-LT" w:bidi="lt-LT"/>
        </w:rPr>
        <w:t> </w:t>
      </w:r>
      <w:r w:rsidRPr="002E7B89">
        <w:rPr>
          <w:lang w:val="lt-LT" w:bidi="lt-LT"/>
        </w:rPr>
        <w:t>infiltracijas arba 3–4</w:t>
      </w:r>
      <w:r w:rsidR="0015438F">
        <w:rPr>
          <w:lang w:val="lt-LT" w:bidi="lt-LT"/>
        </w:rPr>
        <w:t> </w:t>
      </w:r>
      <w:r w:rsidRPr="002E7B89">
        <w:rPr>
          <w:lang w:val="lt-LT" w:bidi="lt-LT"/>
        </w:rPr>
        <w:t>injekcijas į vieną sąnarį. Intervalas tarp injekcijų turi būti ne trumpesnis kaip 3–4</w:t>
      </w:r>
      <w:r w:rsidR="0015438F">
        <w:rPr>
          <w:lang w:val="lt-LT" w:bidi="lt-LT"/>
        </w:rPr>
        <w:t> </w:t>
      </w:r>
      <w:r w:rsidRPr="002E7B89">
        <w:rPr>
          <w:lang w:val="lt-LT" w:bidi="lt-LT"/>
        </w:rPr>
        <w:t>savaitės.</w:t>
      </w:r>
    </w:p>
    <w:p w14:paraId="54F46DD6" w14:textId="77777777" w:rsidR="00A94563" w:rsidRDefault="00A94563" w:rsidP="00FA1C42">
      <w:pPr>
        <w:pStyle w:val="Betarp"/>
        <w:rPr>
          <w:u w:val="single"/>
          <w:lang w:val="lt-LT" w:bidi="lt-LT"/>
        </w:rPr>
      </w:pPr>
    </w:p>
    <w:p w14:paraId="402683D5" w14:textId="77777777" w:rsidR="00FA1C42" w:rsidRPr="002E7B89" w:rsidRDefault="00FA1C42" w:rsidP="00FA1C42">
      <w:pPr>
        <w:pStyle w:val="Betarp"/>
        <w:rPr>
          <w:lang w:val="lt-LT"/>
        </w:rPr>
      </w:pPr>
      <w:r w:rsidRPr="002E7B89">
        <w:rPr>
          <w:u w:val="single"/>
          <w:lang w:val="lt-LT" w:bidi="lt-LT"/>
        </w:rPr>
        <w:t>Vartojimo metodas</w:t>
      </w:r>
    </w:p>
    <w:p w14:paraId="209C5B19" w14:textId="77777777" w:rsidR="00FA1C42" w:rsidRPr="002E7B89" w:rsidRDefault="00FA1C42" w:rsidP="00FA1C42">
      <w:pPr>
        <w:pStyle w:val="Betarp"/>
        <w:rPr>
          <w:lang w:val="lt-LT"/>
        </w:rPr>
      </w:pPr>
    </w:p>
    <w:p w14:paraId="295F83F5" w14:textId="77777777" w:rsidR="00FA1C42" w:rsidRPr="002E7B89" w:rsidRDefault="00FA1C42" w:rsidP="00FA1C42">
      <w:pPr>
        <w:pStyle w:val="Betarp"/>
        <w:rPr>
          <w:lang w:val="lt-LT"/>
        </w:rPr>
      </w:pPr>
      <w:r w:rsidRPr="002E7B89">
        <w:rPr>
          <w:lang w:val="lt-LT" w:bidi="lt-LT"/>
        </w:rPr>
        <w:t>Leisti į veną, raumenis, sąnarį arba vartoti lokaliai (infiltracija).</w:t>
      </w:r>
    </w:p>
    <w:p w14:paraId="5056187B" w14:textId="5E1361FC" w:rsidR="00FA1C42" w:rsidRPr="002E7B89" w:rsidRDefault="00FA1C42" w:rsidP="00FA1C42">
      <w:pPr>
        <w:pStyle w:val="Betarp"/>
        <w:rPr>
          <w:lang w:val="lt-LT"/>
        </w:rPr>
      </w:pPr>
      <w:r w:rsidRPr="002E7B89">
        <w:rPr>
          <w:lang w:val="lt-LT" w:bidi="lt-LT"/>
        </w:rPr>
        <w:t xml:space="preserve">Esant ūmiai ligai </w:t>
      </w:r>
      <w:proofErr w:type="spellStart"/>
      <w:r w:rsidR="008765BB">
        <w:rPr>
          <w:lang w:val="lt-LT" w:bidi="lt-LT"/>
        </w:rPr>
        <w:t>Dexamethasone</w:t>
      </w:r>
      <w:proofErr w:type="spellEnd"/>
      <w:r w:rsidR="008765BB">
        <w:rPr>
          <w:lang w:val="lt-LT" w:bidi="lt-LT"/>
        </w:rPr>
        <w:t xml:space="preserve"> </w:t>
      </w:r>
      <w:proofErr w:type="spellStart"/>
      <w:r w:rsidR="008765BB">
        <w:rPr>
          <w:lang w:val="lt-LT" w:bidi="lt-LT"/>
        </w:rPr>
        <w:t>Kalceks</w:t>
      </w:r>
      <w:proofErr w:type="spellEnd"/>
      <w:r w:rsidR="003F0448" w:rsidRPr="002E7B89">
        <w:rPr>
          <w:lang w:val="lt-LT" w:bidi="lt-LT"/>
        </w:rPr>
        <w:t xml:space="preserve"> 4</w:t>
      </w:r>
      <w:r w:rsidR="0015438F">
        <w:rPr>
          <w:lang w:val="lt-LT" w:bidi="lt-LT"/>
        </w:rPr>
        <w:t> </w:t>
      </w:r>
      <w:r w:rsidR="003F0448" w:rsidRPr="002E7B89">
        <w:rPr>
          <w:lang w:val="lt-LT" w:bidi="lt-LT"/>
        </w:rPr>
        <w:t>mg/ml</w:t>
      </w:r>
      <w:r w:rsidRPr="002E7B89">
        <w:rPr>
          <w:lang w:val="lt-LT" w:bidi="lt-LT"/>
        </w:rPr>
        <w:t xml:space="preserve"> injekcinis ar infuzinis tirpalas paprastai lėtai (per 2–3 min.) suleidžiamas į veną injekcija arba infuzija. Vis dėlto jis gali būti skiriamas ir į raumenis (tik išimtiniais atvejais), kaip lokali infiltracija arba į sąnarį.</w:t>
      </w:r>
    </w:p>
    <w:p w14:paraId="11F615A8" w14:textId="77777777" w:rsidR="00271E9C" w:rsidRPr="002E7B89" w:rsidRDefault="00271E9C" w:rsidP="00271E9C">
      <w:pPr>
        <w:pStyle w:val="Betarp"/>
        <w:rPr>
          <w:lang w:val="lt-LT"/>
        </w:rPr>
      </w:pPr>
      <w:bookmarkStart w:id="60" w:name="2._Lokale_Anwendung_"/>
      <w:bookmarkEnd w:id="60"/>
    </w:p>
    <w:p w14:paraId="28A981E2" w14:textId="77777777" w:rsidR="00271E9C" w:rsidRPr="002E7B89" w:rsidRDefault="0051264B" w:rsidP="00271E9C">
      <w:pPr>
        <w:pStyle w:val="Betarp"/>
        <w:rPr>
          <w:b/>
          <w:lang w:val="lt-LT"/>
        </w:rPr>
      </w:pPr>
      <w:r>
        <w:rPr>
          <w:b/>
          <w:lang w:val="lt-LT" w:bidi="lt-LT"/>
        </w:rPr>
        <w:t>Vartojimo</w:t>
      </w:r>
      <w:r w:rsidR="00271E9C" w:rsidRPr="002E7B89">
        <w:rPr>
          <w:b/>
          <w:lang w:val="lt-LT" w:bidi="lt-LT"/>
        </w:rPr>
        <w:t xml:space="preserve"> instrukcij</w:t>
      </w:r>
      <w:r w:rsidR="00FA1C42" w:rsidRPr="002E7B89">
        <w:rPr>
          <w:b/>
          <w:lang w:val="lt-LT" w:bidi="lt-LT"/>
        </w:rPr>
        <w:t>a</w:t>
      </w:r>
      <w:r w:rsidR="00271E9C" w:rsidRPr="002E7B89">
        <w:rPr>
          <w:b/>
          <w:lang w:val="lt-LT" w:bidi="lt-LT"/>
        </w:rPr>
        <w:t xml:space="preserve"> ir vaistinio preparato ruošimas</w:t>
      </w:r>
    </w:p>
    <w:p w14:paraId="09E88941" w14:textId="77777777" w:rsidR="00BE2E52" w:rsidRDefault="00BE2E52" w:rsidP="00271E9C">
      <w:pPr>
        <w:pStyle w:val="Betarp"/>
        <w:rPr>
          <w:lang w:val="lt-LT"/>
        </w:rPr>
      </w:pPr>
    </w:p>
    <w:p w14:paraId="38E64766" w14:textId="77777777" w:rsidR="00271E9C" w:rsidRPr="002E7B89" w:rsidRDefault="00F8680B" w:rsidP="00271E9C">
      <w:pPr>
        <w:pStyle w:val="Betarp"/>
        <w:rPr>
          <w:lang w:val="lt-LT"/>
        </w:rPr>
      </w:pPr>
      <w:r>
        <w:rPr>
          <w:lang w:val="lt-LT"/>
        </w:rPr>
        <w:t>T</w:t>
      </w:r>
      <w:r w:rsidR="003F0448" w:rsidRPr="002E7B89">
        <w:rPr>
          <w:lang w:val="lt-LT"/>
        </w:rPr>
        <w:t xml:space="preserve">ik vienkartiniam vartojimui. </w:t>
      </w:r>
    </w:p>
    <w:p w14:paraId="754DE426" w14:textId="77777777" w:rsidR="003F0448" w:rsidRPr="002E7B89" w:rsidRDefault="00271E9C" w:rsidP="003F0448">
      <w:pPr>
        <w:pStyle w:val="Pagrindinistekstas"/>
        <w:rPr>
          <w:lang w:val="lt-LT"/>
        </w:rPr>
      </w:pPr>
      <w:r w:rsidRPr="002E7B89">
        <w:rPr>
          <w:lang w:val="lt-LT" w:bidi="lt-LT"/>
        </w:rPr>
        <w:t xml:space="preserve">Atidarius </w:t>
      </w:r>
      <w:r w:rsidR="003F0448" w:rsidRPr="002E7B89">
        <w:rPr>
          <w:lang w:val="lt-LT" w:bidi="lt-LT"/>
        </w:rPr>
        <w:t xml:space="preserve">ampulę </w:t>
      </w:r>
      <w:r w:rsidRPr="002E7B89">
        <w:rPr>
          <w:lang w:val="lt-LT" w:bidi="lt-LT"/>
        </w:rPr>
        <w:t xml:space="preserve">vaistinį preparatą reikia vartoti nedelsiant. </w:t>
      </w:r>
      <w:r w:rsidR="003F0448" w:rsidRPr="002E7B89">
        <w:rPr>
          <w:lang w:val="lt-LT"/>
        </w:rPr>
        <w:t>Nepanaudotus likučius išpilkite.</w:t>
      </w:r>
    </w:p>
    <w:p w14:paraId="48368CAD" w14:textId="77777777" w:rsidR="00271E9C" w:rsidRPr="002E7B89" w:rsidRDefault="00271E9C" w:rsidP="00271E9C">
      <w:pPr>
        <w:pStyle w:val="Betarp"/>
        <w:rPr>
          <w:lang w:val="lt-LT"/>
        </w:rPr>
      </w:pPr>
    </w:p>
    <w:p w14:paraId="6FBFA0E3" w14:textId="77777777" w:rsidR="00FA1C42" w:rsidRPr="002E7B89" w:rsidRDefault="00FA1C42" w:rsidP="00FA1C42">
      <w:pPr>
        <w:pStyle w:val="Pagrindinistekstas"/>
        <w:rPr>
          <w:lang w:val="lt-LT"/>
        </w:rPr>
      </w:pPr>
      <w:r w:rsidRPr="002E7B89">
        <w:rPr>
          <w:lang w:val="lt-LT"/>
        </w:rPr>
        <w:t xml:space="preserve">Prieš vartojant </w:t>
      </w:r>
      <w:r w:rsidR="002971A3">
        <w:rPr>
          <w:lang w:val="lt-LT"/>
        </w:rPr>
        <w:t>vaistinį preparatą</w:t>
      </w:r>
      <w:r w:rsidRPr="002E7B89">
        <w:rPr>
          <w:lang w:val="lt-LT"/>
        </w:rPr>
        <w:t xml:space="preserve"> būtina apžiūrėti. Galima vartoti tik skaidrų tirpalą, be nuosėdų.</w:t>
      </w:r>
    </w:p>
    <w:p w14:paraId="258C0EB7" w14:textId="77777777" w:rsidR="003F0448" w:rsidRPr="002E7B89" w:rsidRDefault="003F0448" w:rsidP="00271E9C">
      <w:pPr>
        <w:pStyle w:val="Betarp"/>
        <w:rPr>
          <w:lang w:val="lt-LT" w:bidi="lt-LT"/>
        </w:rPr>
      </w:pPr>
    </w:p>
    <w:p w14:paraId="091D4BD7" w14:textId="77777777" w:rsidR="00271E9C" w:rsidRPr="002E7B89" w:rsidRDefault="00271E9C" w:rsidP="00271E9C">
      <w:pPr>
        <w:pStyle w:val="Betarp"/>
        <w:rPr>
          <w:lang w:val="lt-LT"/>
        </w:rPr>
      </w:pPr>
      <w:r w:rsidRPr="002E7B89">
        <w:rPr>
          <w:lang w:val="lt-LT" w:bidi="lt-LT"/>
        </w:rPr>
        <w:t xml:space="preserve">Tirpalo pH yra </w:t>
      </w:r>
      <w:r w:rsidR="00FA1C42" w:rsidRPr="002E7B89">
        <w:rPr>
          <w:lang w:val="lt-LT" w:bidi="lt-LT"/>
        </w:rPr>
        <w:t>7,0 – 8,5</w:t>
      </w:r>
      <w:r w:rsidRPr="002E7B89">
        <w:rPr>
          <w:lang w:val="lt-LT" w:bidi="lt-LT"/>
        </w:rPr>
        <w:t>.</w:t>
      </w:r>
    </w:p>
    <w:p w14:paraId="43F323EA" w14:textId="77777777" w:rsidR="00271E9C" w:rsidRPr="002E7B89" w:rsidRDefault="00271E9C" w:rsidP="00271E9C">
      <w:pPr>
        <w:pStyle w:val="Betarp"/>
        <w:rPr>
          <w:lang w:val="lt-LT"/>
        </w:rPr>
      </w:pPr>
    </w:p>
    <w:p w14:paraId="61B5934F" w14:textId="77777777" w:rsidR="00271E9C" w:rsidRPr="002E7B89" w:rsidRDefault="00271E9C" w:rsidP="00271E9C">
      <w:pPr>
        <w:pStyle w:val="Betarp"/>
        <w:rPr>
          <w:lang w:val="lt-LT"/>
        </w:rPr>
      </w:pPr>
      <w:r w:rsidRPr="002E7B89">
        <w:rPr>
          <w:lang w:val="lt-LT" w:bidi="lt-LT"/>
        </w:rPr>
        <w:t>Šio vaistinio preparato negalima maišyti su kitais vaistais, išskyrus toliau nurodytus.</w:t>
      </w:r>
    </w:p>
    <w:p w14:paraId="0DE12C99" w14:textId="77777777" w:rsidR="00271E9C" w:rsidRPr="002E7B89" w:rsidRDefault="00271E9C" w:rsidP="00271E9C">
      <w:pPr>
        <w:pStyle w:val="Betarp"/>
        <w:rPr>
          <w:lang w:val="lt-LT"/>
        </w:rPr>
      </w:pPr>
    </w:p>
    <w:p w14:paraId="12789678" w14:textId="77777777" w:rsidR="00271E9C" w:rsidRPr="002E7B89" w:rsidRDefault="008765BB" w:rsidP="00271E9C">
      <w:pPr>
        <w:pStyle w:val="Betarp"/>
        <w:rPr>
          <w:lang w:val="lt-LT"/>
        </w:rPr>
      </w:pPr>
      <w:r>
        <w:rPr>
          <w:lang w:val="lt-LT" w:bidi="lt-LT"/>
        </w:rPr>
        <w:t>Dexamethasone Kalceks</w:t>
      </w:r>
      <w:r w:rsidR="00271E9C" w:rsidRPr="002E7B89">
        <w:rPr>
          <w:lang w:val="lt-LT" w:bidi="lt-LT"/>
        </w:rPr>
        <w:t xml:space="preserve"> injekcinį ar infuzinį tirpalą </w:t>
      </w:r>
      <w:r w:rsidR="00FA1C42" w:rsidRPr="002E7B89">
        <w:rPr>
          <w:lang w:val="lt-LT" w:bidi="lt-LT"/>
        </w:rPr>
        <w:t>reikia</w:t>
      </w:r>
      <w:r w:rsidR="00271E9C" w:rsidRPr="002E7B89">
        <w:rPr>
          <w:lang w:val="lt-LT" w:bidi="lt-LT"/>
        </w:rPr>
        <w:t xml:space="preserve"> suleisti tiesiogiai į veną arba su</w:t>
      </w:r>
      <w:r w:rsidR="00FA1C42" w:rsidRPr="002E7B89">
        <w:rPr>
          <w:lang w:val="lt-LT" w:bidi="lt-LT"/>
        </w:rPr>
        <w:t>leisti</w:t>
      </w:r>
      <w:r w:rsidR="00271E9C" w:rsidRPr="002E7B89">
        <w:rPr>
          <w:lang w:val="lt-LT" w:bidi="lt-LT"/>
        </w:rPr>
        <w:t xml:space="preserve"> per infuzinį vamzdelį. </w:t>
      </w:r>
      <w:r w:rsidR="00FA1C42" w:rsidRPr="002E7B89">
        <w:rPr>
          <w:lang w:val="lt-LT" w:bidi="lt-LT"/>
        </w:rPr>
        <w:t>I</w:t>
      </w:r>
      <w:r w:rsidR="00271E9C" w:rsidRPr="002E7B89">
        <w:rPr>
          <w:lang w:val="lt-LT" w:bidi="lt-LT"/>
        </w:rPr>
        <w:t>njekciniai tirpalai yra suderinami su šiais infuziniais tirpalais (250 ml ir 500 ml):</w:t>
      </w:r>
    </w:p>
    <w:p w14:paraId="37312581" w14:textId="77777777" w:rsidR="00271E9C" w:rsidRPr="002E7B89" w:rsidRDefault="00271E9C" w:rsidP="00271E9C">
      <w:pPr>
        <w:pStyle w:val="Betarp"/>
        <w:numPr>
          <w:ilvl w:val="0"/>
          <w:numId w:val="31"/>
        </w:numPr>
        <w:ind w:left="567" w:hanging="567"/>
        <w:rPr>
          <w:lang w:val="lt-LT"/>
        </w:rPr>
      </w:pPr>
      <w:r w:rsidRPr="002E7B89">
        <w:rPr>
          <w:lang w:val="lt-LT" w:bidi="lt-LT"/>
        </w:rPr>
        <w:t>9 mg/ml (0,9 %) natrio chlorido tirpalu;</w:t>
      </w:r>
    </w:p>
    <w:p w14:paraId="73788A45" w14:textId="77777777" w:rsidR="00271E9C" w:rsidRPr="002E7B89" w:rsidRDefault="00271E9C" w:rsidP="00271E9C">
      <w:pPr>
        <w:pStyle w:val="Betarp"/>
        <w:numPr>
          <w:ilvl w:val="0"/>
          <w:numId w:val="31"/>
        </w:numPr>
        <w:ind w:left="567" w:hanging="567"/>
        <w:rPr>
          <w:lang w:val="lt-LT"/>
        </w:rPr>
      </w:pPr>
      <w:r w:rsidRPr="002E7B89">
        <w:rPr>
          <w:lang w:val="lt-LT" w:bidi="lt-LT"/>
        </w:rPr>
        <w:t>50 mg/ml (5 %) gliukozės tirpalu;</w:t>
      </w:r>
    </w:p>
    <w:p w14:paraId="725D730C" w14:textId="77777777" w:rsidR="00271E9C" w:rsidRPr="002E7B89" w:rsidRDefault="00271E9C" w:rsidP="00271E9C">
      <w:pPr>
        <w:pStyle w:val="Betarp"/>
        <w:numPr>
          <w:ilvl w:val="0"/>
          <w:numId w:val="31"/>
        </w:numPr>
        <w:ind w:left="567" w:hanging="567"/>
        <w:rPr>
          <w:lang w:val="lt-LT"/>
        </w:rPr>
      </w:pPr>
      <w:r w:rsidRPr="002E7B89">
        <w:rPr>
          <w:lang w:val="lt-LT" w:bidi="lt-LT"/>
        </w:rPr>
        <w:t>Ringerio tirpalu.</w:t>
      </w:r>
    </w:p>
    <w:p w14:paraId="0613887A" w14:textId="77777777" w:rsidR="00271E9C" w:rsidRPr="002E7B89" w:rsidRDefault="00271E9C" w:rsidP="00271E9C">
      <w:pPr>
        <w:pStyle w:val="Betarp"/>
        <w:rPr>
          <w:lang w:val="lt-LT"/>
        </w:rPr>
      </w:pPr>
    </w:p>
    <w:p w14:paraId="36676033" w14:textId="77777777" w:rsidR="00271E9C" w:rsidRPr="002E7B89" w:rsidRDefault="00271E9C" w:rsidP="00271E9C">
      <w:pPr>
        <w:pStyle w:val="Betarp"/>
        <w:rPr>
          <w:lang w:val="lt-LT"/>
        </w:rPr>
      </w:pPr>
      <w:r w:rsidRPr="002E7B89">
        <w:rPr>
          <w:lang w:val="lt-LT" w:bidi="lt-LT"/>
        </w:rPr>
        <w:t xml:space="preserve">Derinant su infuziniais tirpalais, reikia atsižvelgti į atitinkamų gamintojų informaciją apie jų infuzinius tirpalus, įskaitant duomenis apie suderinamumą, kontraindikacijas, nepageidaujamą poveikį ir sąveiką. </w:t>
      </w:r>
    </w:p>
    <w:p w14:paraId="36E260FD" w14:textId="77777777" w:rsidR="00271E9C" w:rsidRPr="002E7B89" w:rsidRDefault="00271E9C" w:rsidP="00271E9C">
      <w:pPr>
        <w:pStyle w:val="Betarp"/>
        <w:rPr>
          <w:lang w:val="lt-LT"/>
        </w:rPr>
      </w:pPr>
    </w:p>
    <w:p w14:paraId="25AFA94C" w14:textId="77777777" w:rsidR="003F0448" w:rsidRPr="002E7B89" w:rsidRDefault="003F0448" w:rsidP="003F0448">
      <w:pPr>
        <w:rPr>
          <w:lang w:val="lt-LT"/>
        </w:rPr>
      </w:pPr>
      <w:r w:rsidRPr="002E7B89">
        <w:rPr>
          <w:lang w:val="lt-LT"/>
        </w:rPr>
        <w:t>Ampulės atidarymo instrukcija:</w:t>
      </w:r>
    </w:p>
    <w:p w14:paraId="5EFE84DA" w14:textId="77777777" w:rsidR="003F0448" w:rsidRPr="002E7B89" w:rsidRDefault="003F0448" w:rsidP="003F0448">
      <w:pPr>
        <w:pStyle w:val="Pagrindinistekstas"/>
        <w:numPr>
          <w:ilvl w:val="0"/>
          <w:numId w:val="32"/>
        </w:numPr>
        <w:ind w:left="360"/>
        <w:rPr>
          <w:lang w:val="lt-LT"/>
        </w:rPr>
      </w:pPr>
      <w:r w:rsidRPr="002E7B89">
        <w:rPr>
          <w:lang w:val="lt-LT"/>
        </w:rPr>
        <w:t>Nukreipkite ampulę spalvotu tašku į viršų. Jeigu viršutinėje ampulės dalyje yra tirpalo, švelniai pirštu patapšnokite viršutinę ampulės dalį, kad visas tirpalas subėgtų į ampulės apatinę dalį.</w:t>
      </w:r>
    </w:p>
    <w:p w14:paraId="653B7A88" w14:textId="77777777" w:rsidR="003F0448" w:rsidRPr="002E7B89" w:rsidRDefault="003F0448" w:rsidP="003F0448">
      <w:pPr>
        <w:pStyle w:val="Pagrindinistekstas"/>
        <w:numPr>
          <w:ilvl w:val="0"/>
          <w:numId w:val="32"/>
        </w:numPr>
        <w:ind w:left="360"/>
        <w:rPr>
          <w:lang w:val="lt-LT"/>
        </w:rPr>
      </w:pPr>
      <w:r w:rsidRPr="002E7B89">
        <w:rPr>
          <w:lang w:val="lt-LT"/>
        </w:rPr>
        <w:lastRenderedPageBreak/>
        <w:t>Ampulę atidarykite abiem rankomis: viena ranka laikykite ampulės apatinę dalį, o kita ranka nulaužkite ampulės viršutinę dalį ties spalvotu tašku (žr. paveikslėlius toliau).</w:t>
      </w:r>
    </w:p>
    <w:p w14:paraId="35D89D5B" w14:textId="77777777" w:rsidR="00271E9C" w:rsidRPr="002E7B89" w:rsidRDefault="00271E9C" w:rsidP="00271E9C">
      <w:pPr>
        <w:pStyle w:val="Betarp"/>
        <w:rPr>
          <w:lang w:val="lt-LT"/>
        </w:rPr>
      </w:pPr>
    </w:p>
    <w:p w14:paraId="52197FC1" w14:textId="77777777" w:rsidR="00271E9C" w:rsidRPr="002E7B89" w:rsidRDefault="0053590C" w:rsidP="00271E9C">
      <w:pPr>
        <w:pStyle w:val="Betarp"/>
        <w:rPr>
          <w:lang w:val="lt-LT"/>
        </w:rPr>
      </w:pPr>
      <w:r w:rsidRPr="002E7B89">
        <w:rPr>
          <w:noProof/>
          <w:lang w:val="lt-LT" w:eastAsia="lt-LT" w:bidi="ar-SA"/>
        </w:rPr>
        <w:drawing>
          <wp:inline distT="0" distB="0" distL="0" distR="0" wp14:anchorId="229B2979" wp14:editId="3592BEDB">
            <wp:extent cx="2562225" cy="18383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1838325"/>
                    </a:xfrm>
                    <a:prstGeom prst="rect">
                      <a:avLst/>
                    </a:prstGeom>
                    <a:noFill/>
                    <a:ln>
                      <a:noFill/>
                    </a:ln>
                  </pic:spPr>
                </pic:pic>
              </a:graphicData>
            </a:graphic>
          </wp:inline>
        </w:drawing>
      </w:r>
    </w:p>
    <w:p w14:paraId="3746E4D5" w14:textId="77777777" w:rsidR="00271E9C" w:rsidRPr="002E7B89" w:rsidRDefault="00271E9C" w:rsidP="00271E9C">
      <w:pPr>
        <w:pStyle w:val="Betarp"/>
        <w:rPr>
          <w:lang w:val="lt-LT"/>
        </w:rPr>
      </w:pPr>
    </w:p>
    <w:p w14:paraId="653E40BB" w14:textId="0CC31812" w:rsidR="00E23F34" w:rsidRPr="002E7B89" w:rsidRDefault="00271E9C" w:rsidP="00271E9C">
      <w:pPr>
        <w:pStyle w:val="Betarp"/>
        <w:rPr>
          <w:lang w:val="lt-LT"/>
        </w:rPr>
      </w:pPr>
      <w:r w:rsidRPr="002E7B89">
        <w:rPr>
          <w:lang w:val="lt-LT" w:bidi="lt-LT"/>
        </w:rPr>
        <w:t>Nesuvartotą vaistinį preparatą ar atliekas reikia tvarkyti laikantis vietinių reikalavimų</w:t>
      </w:r>
      <w:r w:rsidR="003F0448" w:rsidRPr="002E7B89">
        <w:rPr>
          <w:lang w:val="lt-LT" w:bidi="lt-LT"/>
        </w:rPr>
        <w:t>.</w:t>
      </w:r>
    </w:p>
    <w:sectPr w:rsidR="00E23F34" w:rsidRPr="002E7B89" w:rsidSect="002472CD">
      <w:headerReference w:type="default" r:id="rId11"/>
      <w:footerReference w:type="default" r:id="rId12"/>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EC53E" w14:textId="77777777" w:rsidR="0068461B" w:rsidRDefault="0068461B">
      <w:r>
        <w:separator/>
      </w:r>
    </w:p>
  </w:endnote>
  <w:endnote w:type="continuationSeparator" w:id="0">
    <w:p w14:paraId="112BF893" w14:textId="77777777" w:rsidR="0068461B" w:rsidRDefault="0068461B">
      <w:r>
        <w:continuationSeparator/>
      </w:r>
    </w:p>
  </w:endnote>
  <w:endnote w:type="continuationNotice" w:id="1">
    <w:p w14:paraId="1A13DBBF" w14:textId="77777777" w:rsidR="0068461B" w:rsidRDefault="00684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imesNewRomanPS-BoldMT">
    <w:charset w:val="00"/>
    <w:family w:val="roman"/>
    <w:pitch w:val="variable"/>
    <w:sig w:usb0="E0002AEF" w:usb1="C0007841" w:usb2="00000009" w:usb3="00000000" w:csb0="000001FF" w:csb1="00000000"/>
  </w:font>
  <w:font w:name="TimesNewRoman">
    <w:altName w:val="Yu Gothic"/>
    <w:panose1 w:val="00000000000000000000"/>
    <w:charset w:val="80"/>
    <w:family w:val="auto"/>
    <w:notTrueType/>
    <w:pitch w:val="default"/>
    <w:sig w:usb0="00000000" w:usb1="08070000" w:usb2="00000010" w:usb3="00000000" w:csb0="0002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E230" w14:textId="77777777" w:rsidR="00BB772F" w:rsidRDefault="0053590C">
    <w:pPr>
      <w:pStyle w:val="Pagrindinistekstas"/>
      <w:spacing w:line="14" w:lineRule="auto"/>
      <w:rPr>
        <w:sz w:val="20"/>
      </w:rPr>
    </w:pPr>
    <w:r>
      <w:rPr>
        <w:noProof/>
        <w:lang w:val="lt-LT" w:eastAsia="lt-LT" w:bidi="ar-SA"/>
      </w:rPr>
      <mc:AlternateContent>
        <mc:Choice Requires="wps">
          <w:drawing>
            <wp:anchor distT="0" distB="0" distL="114300" distR="114300" simplePos="0" relativeHeight="251657728" behindDoc="1" locked="0" layoutInCell="1" allowOverlap="1" wp14:anchorId="33A8F37B" wp14:editId="73917239">
              <wp:simplePos x="0" y="0"/>
              <wp:positionH relativeFrom="page">
                <wp:posOffset>6475730</wp:posOffset>
              </wp:positionH>
              <wp:positionV relativeFrom="page">
                <wp:posOffset>10083165</wp:posOffset>
              </wp:positionV>
              <wp:extent cx="19050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7EBEB" w14:textId="567706B9" w:rsidR="00BB772F" w:rsidRDefault="00BB772F">
                          <w:pPr>
                            <w:spacing w:before="12"/>
                            <w:ind w:left="60"/>
                            <w:rPr>
                              <w:sz w:val="18"/>
                            </w:rPr>
                          </w:pPr>
                          <w:r>
                            <w:rPr>
                              <w:lang w:val="lt-LT" w:bidi="lt-LT"/>
                            </w:rPr>
                            <w:fldChar w:fldCharType="begin"/>
                          </w:r>
                          <w:r>
                            <w:rPr>
                              <w:sz w:val="18"/>
                              <w:lang w:val="lt-LT" w:bidi="lt-LT"/>
                            </w:rPr>
                            <w:instrText xml:space="preserve"> PAGE </w:instrText>
                          </w:r>
                          <w:r>
                            <w:rPr>
                              <w:lang w:val="lt-LT" w:bidi="lt-LT"/>
                            </w:rPr>
                            <w:fldChar w:fldCharType="separate"/>
                          </w:r>
                          <w:r w:rsidR="001E760C">
                            <w:rPr>
                              <w:noProof/>
                              <w:sz w:val="18"/>
                              <w:lang w:val="lt-LT" w:bidi="lt-LT"/>
                            </w:rPr>
                            <w:t>1</w:t>
                          </w:r>
                          <w:r>
                            <w:rPr>
                              <w:lang w:val="lt-LT" w:bidi="lt-L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8F37B" id="_x0000_t202" coordsize="21600,21600" o:spt="202" path="m,l,21600r21600,l21600,xe">
              <v:stroke joinstyle="miter"/>
              <v:path gradientshapeok="t" o:connecttype="rect"/>
            </v:shapetype>
            <v:shape id="Text Box 1" o:spid="_x0000_s1026" type="#_x0000_t202" style="position:absolute;margin-left:509.9pt;margin-top:793.95pt;width: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" filled="f" stroked="f">
              <v:textbox inset="0,0,0,0">
                <w:txbxContent>
                  <w:p w14:paraId="2DD7EBEB" w14:textId="567706B9" w:rsidR="00BB772F" w:rsidRDefault="00BB772F">
                    <w:pPr>
                      <w:spacing w:before="12"/>
                      <w:ind w:left="60"/>
                      <w:rPr>
                        <w:sz w:val="18"/>
                      </w:rPr>
                    </w:pPr>
                    <w:r>
                      <w:rPr>
                        <w:lang w:val="lt-LT" w:bidi="lt-LT"/>
                      </w:rPr>
                      <w:fldChar w:fldCharType="begin"/>
                    </w:r>
                    <w:r>
                      <w:rPr>
                        <w:sz w:val="18"/>
                        <w:lang w:val="lt-LT" w:bidi="lt-LT"/>
                      </w:rPr>
                      <w:instrText xml:space="preserve"> PAGE </w:instrText>
                    </w:r>
                    <w:r>
                      <w:rPr>
                        <w:lang w:val="lt-LT" w:bidi="lt-LT"/>
                      </w:rPr>
                      <w:fldChar w:fldCharType="separate"/>
                    </w:r>
                    <w:r w:rsidR="001E760C">
                      <w:rPr>
                        <w:noProof/>
                        <w:sz w:val="18"/>
                        <w:lang w:val="lt-LT" w:bidi="lt-LT"/>
                      </w:rPr>
                      <w:t>1</w:t>
                    </w:r>
                    <w:r>
                      <w:rPr>
                        <w:lang w:val="lt-LT" w:bidi="lt-L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71577" w14:textId="77777777" w:rsidR="0068461B" w:rsidRDefault="0068461B">
      <w:r>
        <w:separator/>
      </w:r>
    </w:p>
  </w:footnote>
  <w:footnote w:type="continuationSeparator" w:id="0">
    <w:p w14:paraId="57EAC2D3" w14:textId="77777777" w:rsidR="0068461B" w:rsidRDefault="0068461B">
      <w:r>
        <w:continuationSeparator/>
      </w:r>
    </w:p>
  </w:footnote>
  <w:footnote w:type="continuationNotice" w:id="1">
    <w:p w14:paraId="2B5E750A" w14:textId="77777777" w:rsidR="0068461B" w:rsidRDefault="0068461B"/>
  </w:footnote>
  <w:footnote w:id="2">
    <w:p w14:paraId="1B3F9296" w14:textId="7F5008B4" w:rsidR="00D16A7B" w:rsidRPr="00D16A7B" w:rsidRDefault="00D16A7B">
      <w:pPr>
        <w:pStyle w:val="Puslapioinaostekstas"/>
        <w:rPr>
          <w:lang w:val="lv-LV"/>
        </w:rPr>
      </w:pPr>
      <w:r>
        <w:rPr>
          <w:rStyle w:val="Puslapioinaosnuoroda"/>
        </w:rPr>
        <w:footnoteRef/>
      </w:r>
      <w:r w:rsidRPr="002472CD">
        <w:rPr>
          <w:lang w:val="da-DK"/>
        </w:rPr>
        <w:t xml:space="preserve"> </w:t>
      </w:r>
      <w:r w:rsidRPr="002472CD">
        <w:rPr>
          <w:sz w:val="18"/>
          <w:lang w:val="da-DK"/>
        </w:rPr>
        <w:t>www.recoverytrial.net</w:t>
      </w:r>
    </w:p>
  </w:footnote>
  <w:footnote w:id="3">
    <w:p w14:paraId="43E20270" w14:textId="2CDBCFFD" w:rsidR="002A1C95" w:rsidRPr="002A1C95" w:rsidRDefault="002A1C95">
      <w:pPr>
        <w:pStyle w:val="Puslapioinaostekstas"/>
        <w:rPr>
          <w:lang w:val="lv-LV"/>
        </w:rPr>
      </w:pPr>
      <w:r w:rsidRPr="002A1C95">
        <w:rPr>
          <w:vertAlign w:val="superscript"/>
          <w:lang w:val="lv-LV"/>
        </w:rPr>
        <w:t>2, 3</w:t>
      </w:r>
      <w:r w:rsidRPr="002A1C95">
        <w:rPr>
          <w:lang w:val="lv-LV"/>
        </w:rPr>
        <w:t xml:space="preserve"> (</w:t>
      </w:r>
      <w:r w:rsidR="000F45B4" w:rsidRPr="002472CD">
        <w:rPr>
          <w:lang w:val="da-DK"/>
        </w:rPr>
        <w:t>šaltinis</w:t>
      </w:r>
      <w:r w:rsidRPr="002A1C95">
        <w:rPr>
          <w:lang w:val="lv-LV"/>
        </w:rPr>
        <w:t>: Horby P. et al., 2020; https://www.medrxiv.org/content/10.1101/2020.06.22.20137273v1 ; doi: https://doi.org/10.1101/2020.06.22.20137273)</w:t>
      </w:r>
    </w:p>
  </w:footnote>
  <w:footnote w:id="4">
    <w:p w14:paraId="6461C005" w14:textId="3C3D7D79" w:rsidR="002A1C95" w:rsidRPr="002A1C95" w:rsidRDefault="002A1C95">
      <w:pPr>
        <w:pStyle w:val="Puslapioinaostekstas"/>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2A3A" w14:textId="77777777" w:rsidR="002472CD" w:rsidRDefault="002472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612531"/>
    <w:multiLevelType w:val="hybridMultilevel"/>
    <w:tmpl w:val="EE34F6DA"/>
    <w:lvl w:ilvl="0" w:tplc="F0EE704E">
      <w:numFmt w:val="bullet"/>
      <w:lvlText w:val="−"/>
      <w:lvlJc w:val="left"/>
      <w:pPr>
        <w:ind w:left="720" w:hanging="360"/>
      </w:pPr>
      <w:rPr>
        <w:rFonts w:ascii="Times New Roman" w:eastAsia="Times New Roman" w:hAnsi="Times New Roman" w:cs="Times New Roman" w:hint="default"/>
        <w:w w:val="99"/>
        <w:sz w:val="22"/>
        <w:szCs w:val="22"/>
        <w:lang w:val="de-AT"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7564C8"/>
    <w:multiLevelType w:val="hybridMultilevel"/>
    <w:tmpl w:val="4EFC9E6A"/>
    <w:lvl w:ilvl="0" w:tplc="B0BA3F42">
      <w:numFmt w:val="bullet"/>
      <w:lvlText w:val="•"/>
      <w:lvlJc w:val="left"/>
      <w:pPr>
        <w:ind w:left="705" w:hanging="428"/>
      </w:pPr>
      <w:rPr>
        <w:rFonts w:ascii="Arial" w:eastAsia="Arial" w:hAnsi="Arial" w:cs="Arial" w:hint="default"/>
        <w:w w:val="131"/>
        <w:sz w:val="22"/>
        <w:szCs w:val="22"/>
        <w:lang w:val="en-US" w:eastAsia="en-US" w:bidi="ar-SA"/>
      </w:rPr>
    </w:lvl>
    <w:lvl w:ilvl="1" w:tplc="1E40044C">
      <w:numFmt w:val="bullet"/>
      <w:lvlText w:val="•"/>
      <w:lvlJc w:val="left"/>
      <w:pPr>
        <w:ind w:left="1609" w:hanging="428"/>
      </w:pPr>
      <w:rPr>
        <w:rFonts w:hint="default"/>
        <w:lang w:val="en-US" w:eastAsia="en-US" w:bidi="ar-SA"/>
      </w:rPr>
    </w:lvl>
    <w:lvl w:ilvl="2" w:tplc="27DC6B36">
      <w:numFmt w:val="bullet"/>
      <w:lvlText w:val="•"/>
      <w:lvlJc w:val="left"/>
      <w:pPr>
        <w:ind w:left="2518" w:hanging="428"/>
      </w:pPr>
      <w:rPr>
        <w:rFonts w:hint="default"/>
        <w:lang w:val="en-US" w:eastAsia="en-US" w:bidi="ar-SA"/>
      </w:rPr>
    </w:lvl>
    <w:lvl w:ilvl="3" w:tplc="86A83C46">
      <w:numFmt w:val="bullet"/>
      <w:lvlText w:val="•"/>
      <w:lvlJc w:val="left"/>
      <w:pPr>
        <w:ind w:left="3427" w:hanging="428"/>
      </w:pPr>
      <w:rPr>
        <w:rFonts w:hint="default"/>
        <w:lang w:val="en-US" w:eastAsia="en-US" w:bidi="ar-SA"/>
      </w:rPr>
    </w:lvl>
    <w:lvl w:ilvl="4" w:tplc="DE366006">
      <w:numFmt w:val="bullet"/>
      <w:lvlText w:val="•"/>
      <w:lvlJc w:val="left"/>
      <w:pPr>
        <w:ind w:left="4336" w:hanging="428"/>
      </w:pPr>
      <w:rPr>
        <w:rFonts w:hint="default"/>
        <w:lang w:val="en-US" w:eastAsia="en-US" w:bidi="ar-SA"/>
      </w:rPr>
    </w:lvl>
    <w:lvl w:ilvl="5" w:tplc="3CAA942E">
      <w:numFmt w:val="bullet"/>
      <w:lvlText w:val="•"/>
      <w:lvlJc w:val="left"/>
      <w:pPr>
        <w:ind w:left="5245" w:hanging="428"/>
      </w:pPr>
      <w:rPr>
        <w:rFonts w:hint="default"/>
        <w:lang w:val="en-US" w:eastAsia="en-US" w:bidi="ar-SA"/>
      </w:rPr>
    </w:lvl>
    <w:lvl w:ilvl="6" w:tplc="0FC8D0C4">
      <w:numFmt w:val="bullet"/>
      <w:lvlText w:val="•"/>
      <w:lvlJc w:val="left"/>
      <w:pPr>
        <w:ind w:left="6154" w:hanging="428"/>
      </w:pPr>
      <w:rPr>
        <w:rFonts w:hint="default"/>
        <w:lang w:val="en-US" w:eastAsia="en-US" w:bidi="ar-SA"/>
      </w:rPr>
    </w:lvl>
    <w:lvl w:ilvl="7" w:tplc="867A7838">
      <w:numFmt w:val="bullet"/>
      <w:lvlText w:val="•"/>
      <w:lvlJc w:val="left"/>
      <w:pPr>
        <w:ind w:left="7063" w:hanging="428"/>
      </w:pPr>
      <w:rPr>
        <w:rFonts w:hint="default"/>
        <w:lang w:val="en-US" w:eastAsia="en-US" w:bidi="ar-SA"/>
      </w:rPr>
    </w:lvl>
    <w:lvl w:ilvl="8" w:tplc="7D78E314">
      <w:numFmt w:val="bullet"/>
      <w:lvlText w:val="•"/>
      <w:lvlJc w:val="left"/>
      <w:pPr>
        <w:ind w:left="7972" w:hanging="428"/>
      </w:pPr>
      <w:rPr>
        <w:rFonts w:hint="default"/>
        <w:lang w:val="en-US" w:eastAsia="en-US" w:bidi="ar-SA"/>
      </w:rPr>
    </w:lvl>
  </w:abstractNum>
  <w:abstractNum w:abstractNumId="3" w15:restartNumberingAfterBreak="0">
    <w:nsid w:val="05146D4B"/>
    <w:multiLevelType w:val="hybridMultilevel"/>
    <w:tmpl w:val="57D022D0"/>
    <w:lvl w:ilvl="0" w:tplc="F0EE704E">
      <w:numFmt w:val="bullet"/>
      <w:lvlText w:val="−"/>
      <w:lvlJc w:val="left"/>
      <w:pPr>
        <w:ind w:left="720" w:hanging="360"/>
      </w:pPr>
      <w:rPr>
        <w:rFonts w:ascii="Times New Roman" w:eastAsia="Times New Roman" w:hAnsi="Times New Roman" w:cs="Times New Roman" w:hint="default"/>
        <w:w w:val="99"/>
        <w:sz w:val="22"/>
        <w:szCs w:val="22"/>
        <w:lang w:val="de-AT"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5780894"/>
    <w:multiLevelType w:val="hybridMultilevel"/>
    <w:tmpl w:val="B5284E52"/>
    <w:lvl w:ilvl="0" w:tplc="143A697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4C4F97"/>
    <w:multiLevelType w:val="hybridMultilevel"/>
    <w:tmpl w:val="176C0C0C"/>
    <w:lvl w:ilvl="0" w:tplc="A50C68C8">
      <w:numFmt w:val="bullet"/>
      <w:lvlText w:val=""/>
      <w:lvlJc w:val="left"/>
      <w:pPr>
        <w:ind w:left="586" w:hanging="284"/>
      </w:pPr>
      <w:rPr>
        <w:rFonts w:ascii="Wingdings" w:eastAsia="Wingdings" w:hAnsi="Wingdings" w:cs="Wingdings" w:hint="default"/>
        <w:w w:val="100"/>
        <w:position w:val="6"/>
        <w:sz w:val="13"/>
        <w:szCs w:val="13"/>
        <w:lang w:val="en-US" w:eastAsia="en-US" w:bidi="ar-SA"/>
      </w:rPr>
    </w:lvl>
    <w:lvl w:ilvl="1" w:tplc="386CF606">
      <w:numFmt w:val="bullet"/>
      <w:lvlText w:val="•"/>
      <w:lvlJc w:val="left"/>
      <w:pPr>
        <w:ind w:left="1501" w:hanging="284"/>
      </w:pPr>
      <w:rPr>
        <w:rFonts w:hint="default"/>
        <w:lang w:val="en-US" w:eastAsia="en-US" w:bidi="ar-SA"/>
      </w:rPr>
    </w:lvl>
    <w:lvl w:ilvl="2" w:tplc="E19CA77E">
      <w:numFmt w:val="bullet"/>
      <w:lvlText w:val="•"/>
      <w:lvlJc w:val="left"/>
      <w:pPr>
        <w:ind w:left="2422" w:hanging="284"/>
      </w:pPr>
      <w:rPr>
        <w:rFonts w:hint="default"/>
        <w:lang w:val="en-US" w:eastAsia="en-US" w:bidi="ar-SA"/>
      </w:rPr>
    </w:lvl>
    <w:lvl w:ilvl="3" w:tplc="33523272">
      <w:numFmt w:val="bullet"/>
      <w:lvlText w:val="•"/>
      <w:lvlJc w:val="left"/>
      <w:pPr>
        <w:ind w:left="3343" w:hanging="284"/>
      </w:pPr>
      <w:rPr>
        <w:rFonts w:hint="default"/>
        <w:lang w:val="en-US" w:eastAsia="en-US" w:bidi="ar-SA"/>
      </w:rPr>
    </w:lvl>
    <w:lvl w:ilvl="4" w:tplc="CC627D32">
      <w:numFmt w:val="bullet"/>
      <w:lvlText w:val="•"/>
      <w:lvlJc w:val="left"/>
      <w:pPr>
        <w:ind w:left="4264" w:hanging="284"/>
      </w:pPr>
      <w:rPr>
        <w:rFonts w:hint="default"/>
        <w:lang w:val="en-US" w:eastAsia="en-US" w:bidi="ar-SA"/>
      </w:rPr>
    </w:lvl>
    <w:lvl w:ilvl="5" w:tplc="696E3462">
      <w:numFmt w:val="bullet"/>
      <w:lvlText w:val="•"/>
      <w:lvlJc w:val="left"/>
      <w:pPr>
        <w:ind w:left="5185" w:hanging="284"/>
      </w:pPr>
      <w:rPr>
        <w:rFonts w:hint="default"/>
        <w:lang w:val="en-US" w:eastAsia="en-US" w:bidi="ar-SA"/>
      </w:rPr>
    </w:lvl>
    <w:lvl w:ilvl="6" w:tplc="191EFEB8">
      <w:numFmt w:val="bullet"/>
      <w:lvlText w:val="•"/>
      <w:lvlJc w:val="left"/>
      <w:pPr>
        <w:ind w:left="6106" w:hanging="284"/>
      </w:pPr>
      <w:rPr>
        <w:rFonts w:hint="default"/>
        <w:lang w:val="en-US" w:eastAsia="en-US" w:bidi="ar-SA"/>
      </w:rPr>
    </w:lvl>
    <w:lvl w:ilvl="7" w:tplc="902A3634">
      <w:numFmt w:val="bullet"/>
      <w:lvlText w:val="•"/>
      <w:lvlJc w:val="left"/>
      <w:pPr>
        <w:ind w:left="7027" w:hanging="284"/>
      </w:pPr>
      <w:rPr>
        <w:rFonts w:hint="default"/>
        <w:lang w:val="en-US" w:eastAsia="en-US" w:bidi="ar-SA"/>
      </w:rPr>
    </w:lvl>
    <w:lvl w:ilvl="8" w:tplc="F5D48346">
      <w:numFmt w:val="bullet"/>
      <w:lvlText w:val="•"/>
      <w:lvlJc w:val="left"/>
      <w:pPr>
        <w:ind w:left="7948" w:hanging="284"/>
      </w:pPr>
      <w:rPr>
        <w:rFonts w:hint="default"/>
        <w:lang w:val="en-US" w:eastAsia="en-US" w:bidi="ar-SA"/>
      </w:rPr>
    </w:lvl>
  </w:abstractNum>
  <w:abstractNum w:abstractNumId="7" w15:restartNumberingAfterBreak="0">
    <w:nsid w:val="16C70C7B"/>
    <w:multiLevelType w:val="hybridMultilevel"/>
    <w:tmpl w:val="04E8A444"/>
    <w:lvl w:ilvl="0" w:tplc="21448FDE">
      <w:numFmt w:val="bullet"/>
      <w:lvlText w:val="-"/>
      <w:lvlJc w:val="left"/>
      <w:pPr>
        <w:ind w:left="720" w:hanging="360"/>
      </w:pPr>
      <w:rPr>
        <w:rFonts w:ascii="Times New Roman" w:eastAsia="Times New Roman" w:hAnsi="Times New Roman" w:cs="Times New Roman" w:hint="default"/>
        <w:w w:val="100"/>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9DB1D41"/>
    <w:multiLevelType w:val="hybridMultilevel"/>
    <w:tmpl w:val="6EA65B40"/>
    <w:lvl w:ilvl="0" w:tplc="85C09E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A793D"/>
    <w:multiLevelType w:val="hybridMultilevel"/>
    <w:tmpl w:val="E3EA446A"/>
    <w:lvl w:ilvl="0" w:tplc="A1A6F2E4">
      <w:numFmt w:val="bullet"/>
      <w:lvlText w:val="–"/>
      <w:lvlJc w:val="left"/>
      <w:pPr>
        <w:ind w:left="720" w:hanging="360"/>
      </w:pPr>
      <w:rPr>
        <w:rFonts w:ascii="Times New Roman" w:eastAsia="Times New Roman" w:hAnsi="Times New Roman" w:cs="Times New Roman" w:hint="default"/>
        <w:w w:val="100"/>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5403772"/>
    <w:multiLevelType w:val="hybridMultilevel"/>
    <w:tmpl w:val="AF3E8786"/>
    <w:lvl w:ilvl="0" w:tplc="AF8CFC9C">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EFA6F87"/>
    <w:multiLevelType w:val="hybridMultilevel"/>
    <w:tmpl w:val="D592E982"/>
    <w:lvl w:ilvl="0" w:tplc="A1A6F2E4">
      <w:numFmt w:val="bullet"/>
      <w:lvlText w:val="–"/>
      <w:lvlJc w:val="left"/>
      <w:pPr>
        <w:ind w:left="720" w:hanging="360"/>
      </w:pPr>
      <w:rPr>
        <w:rFonts w:ascii="Times New Roman" w:eastAsia="Times New Roman" w:hAnsi="Times New Roman" w:cs="Times New Roman" w:hint="default"/>
        <w:w w:val="100"/>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1C22268"/>
    <w:multiLevelType w:val="hybridMultilevel"/>
    <w:tmpl w:val="2DC07BF6"/>
    <w:lvl w:ilvl="0" w:tplc="21448FDE">
      <w:numFmt w:val="bullet"/>
      <w:lvlText w:val="-"/>
      <w:lvlJc w:val="left"/>
      <w:pPr>
        <w:ind w:left="720" w:hanging="360"/>
      </w:pPr>
      <w:rPr>
        <w:rFonts w:ascii="Times New Roman" w:eastAsia="Times New Roman" w:hAnsi="Times New Roman" w:cs="Times New Roman" w:hint="default"/>
        <w:w w:val="100"/>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35037B6"/>
    <w:multiLevelType w:val="hybridMultilevel"/>
    <w:tmpl w:val="F6B87CA2"/>
    <w:lvl w:ilvl="0" w:tplc="F0EE704E">
      <w:numFmt w:val="bullet"/>
      <w:lvlText w:val="−"/>
      <w:lvlJc w:val="left"/>
      <w:pPr>
        <w:ind w:left="1637" w:hanging="360"/>
      </w:pPr>
      <w:rPr>
        <w:rFonts w:ascii="Times New Roman" w:eastAsia="Times New Roman" w:hAnsi="Times New Roman" w:cs="Times New Roman" w:hint="default"/>
        <w:w w:val="99"/>
        <w:sz w:val="22"/>
        <w:szCs w:val="22"/>
        <w:lang w:val="de-AT" w:eastAsia="en-US" w:bidi="ar-SA"/>
      </w:rPr>
    </w:lvl>
    <w:lvl w:ilvl="1" w:tplc="04260003" w:tentative="1">
      <w:start w:val="1"/>
      <w:numFmt w:val="bullet"/>
      <w:lvlText w:val="o"/>
      <w:lvlJc w:val="left"/>
      <w:pPr>
        <w:ind w:left="2357" w:hanging="360"/>
      </w:pPr>
      <w:rPr>
        <w:rFonts w:ascii="Courier New" w:hAnsi="Courier New" w:cs="Courier New" w:hint="default"/>
      </w:rPr>
    </w:lvl>
    <w:lvl w:ilvl="2" w:tplc="04260005" w:tentative="1">
      <w:start w:val="1"/>
      <w:numFmt w:val="bullet"/>
      <w:lvlText w:val=""/>
      <w:lvlJc w:val="left"/>
      <w:pPr>
        <w:ind w:left="3077" w:hanging="360"/>
      </w:pPr>
      <w:rPr>
        <w:rFonts w:ascii="Wingdings" w:hAnsi="Wingdings" w:hint="default"/>
      </w:rPr>
    </w:lvl>
    <w:lvl w:ilvl="3" w:tplc="04260001" w:tentative="1">
      <w:start w:val="1"/>
      <w:numFmt w:val="bullet"/>
      <w:lvlText w:val=""/>
      <w:lvlJc w:val="left"/>
      <w:pPr>
        <w:ind w:left="3797" w:hanging="360"/>
      </w:pPr>
      <w:rPr>
        <w:rFonts w:ascii="Symbol" w:hAnsi="Symbol" w:hint="default"/>
      </w:rPr>
    </w:lvl>
    <w:lvl w:ilvl="4" w:tplc="04260003" w:tentative="1">
      <w:start w:val="1"/>
      <w:numFmt w:val="bullet"/>
      <w:lvlText w:val="o"/>
      <w:lvlJc w:val="left"/>
      <w:pPr>
        <w:ind w:left="4517" w:hanging="360"/>
      </w:pPr>
      <w:rPr>
        <w:rFonts w:ascii="Courier New" w:hAnsi="Courier New" w:cs="Courier New" w:hint="default"/>
      </w:rPr>
    </w:lvl>
    <w:lvl w:ilvl="5" w:tplc="04260005" w:tentative="1">
      <w:start w:val="1"/>
      <w:numFmt w:val="bullet"/>
      <w:lvlText w:val=""/>
      <w:lvlJc w:val="left"/>
      <w:pPr>
        <w:ind w:left="5237" w:hanging="360"/>
      </w:pPr>
      <w:rPr>
        <w:rFonts w:ascii="Wingdings" w:hAnsi="Wingdings" w:hint="default"/>
      </w:rPr>
    </w:lvl>
    <w:lvl w:ilvl="6" w:tplc="04260001" w:tentative="1">
      <w:start w:val="1"/>
      <w:numFmt w:val="bullet"/>
      <w:lvlText w:val=""/>
      <w:lvlJc w:val="left"/>
      <w:pPr>
        <w:ind w:left="5957" w:hanging="360"/>
      </w:pPr>
      <w:rPr>
        <w:rFonts w:ascii="Symbol" w:hAnsi="Symbol" w:hint="default"/>
      </w:rPr>
    </w:lvl>
    <w:lvl w:ilvl="7" w:tplc="04260003" w:tentative="1">
      <w:start w:val="1"/>
      <w:numFmt w:val="bullet"/>
      <w:lvlText w:val="o"/>
      <w:lvlJc w:val="left"/>
      <w:pPr>
        <w:ind w:left="6677" w:hanging="360"/>
      </w:pPr>
      <w:rPr>
        <w:rFonts w:ascii="Courier New" w:hAnsi="Courier New" w:cs="Courier New" w:hint="default"/>
      </w:rPr>
    </w:lvl>
    <w:lvl w:ilvl="8" w:tplc="04260005" w:tentative="1">
      <w:start w:val="1"/>
      <w:numFmt w:val="bullet"/>
      <w:lvlText w:val=""/>
      <w:lvlJc w:val="left"/>
      <w:pPr>
        <w:ind w:left="7397" w:hanging="360"/>
      </w:pPr>
      <w:rPr>
        <w:rFonts w:ascii="Wingdings" w:hAnsi="Wingdings" w:hint="default"/>
      </w:rPr>
    </w:lvl>
  </w:abstractNum>
  <w:abstractNum w:abstractNumId="14" w15:restartNumberingAfterBreak="0">
    <w:nsid w:val="39F65BE7"/>
    <w:multiLevelType w:val="hybridMultilevel"/>
    <w:tmpl w:val="051A26B0"/>
    <w:lvl w:ilvl="0" w:tplc="A1A6F2E4">
      <w:numFmt w:val="bullet"/>
      <w:lvlText w:val="–"/>
      <w:lvlJc w:val="left"/>
      <w:pPr>
        <w:ind w:left="378" w:hanging="167"/>
      </w:pPr>
      <w:rPr>
        <w:rFonts w:ascii="Times New Roman" w:eastAsia="Times New Roman" w:hAnsi="Times New Roman" w:cs="Times New Roman" w:hint="default"/>
        <w:w w:val="100"/>
        <w:sz w:val="22"/>
        <w:szCs w:val="22"/>
        <w:lang w:val="en-US" w:eastAsia="en-US" w:bidi="ar-SA"/>
      </w:rPr>
    </w:lvl>
    <w:lvl w:ilvl="1" w:tplc="B2ECA9E6">
      <w:numFmt w:val="bullet"/>
      <w:lvlText w:val="•"/>
      <w:lvlJc w:val="left"/>
      <w:pPr>
        <w:ind w:left="1321" w:hanging="167"/>
      </w:pPr>
      <w:rPr>
        <w:rFonts w:hint="default"/>
        <w:lang w:val="en-US" w:eastAsia="en-US" w:bidi="ar-SA"/>
      </w:rPr>
    </w:lvl>
    <w:lvl w:ilvl="2" w:tplc="78EEDFBC">
      <w:numFmt w:val="bullet"/>
      <w:lvlText w:val="•"/>
      <w:lvlJc w:val="left"/>
      <w:pPr>
        <w:ind w:left="2262" w:hanging="167"/>
      </w:pPr>
      <w:rPr>
        <w:rFonts w:hint="default"/>
        <w:lang w:val="en-US" w:eastAsia="en-US" w:bidi="ar-SA"/>
      </w:rPr>
    </w:lvl>
    <w:lvl w:ilvl="3" w:tplc="AB601B48">
      <w:numFmt w:val="bullet"/>
      <w:lvlText w:val="•"/>
      <w:lvlJc w:val="left"/>
      <w:pPr>
        <w:ind w:left="3203" w:hanging="167"/>
      </w:pPr>
      <w:rPr>
        <w:rFonts w:hint="default"/>
        <w:lang w:val="en-US" w:eastAsia="en-US" w:bidi="ar-SA"/>
      </w:rPr>
    </w:lvl>
    <w:lvl w:ilvl="4" w:tplc="1D0A50E4">
      <w:numFmt w:val="bullet"/>
      <w:lvlText w:val="•"/>
      <w:lvlJc w:val="left"/>
      <w:pPr>
        <w:ind w:left="4144" w:hanging="167"/>
      </w:pPr>
      <w:rPr>
        <w:rFonts w:hint="default"/>
        <w:lang w:val="en-US" w:eastAsia="en-US" w:bidi="ar-SA"/>
      </w:rPr>
    </w:lvl>
    <w:lvl w:ilvl="5" w:tplc="897A979C">
      <w:numFmt w:val="bullet"/>
      <w:lvlText w:val="•"/>
      <w:lvlJc w:val="left"/>
      <w:pPr>
        <w:ind w:left="5085" w:hanging="167"/>
      </w:pPr>
      <w:rPr>
        <w:rFonts w:hint="default"/>
        <w:lang w:val="en-US" w:eastAsia="en-US" w:bidi="ar-SA"/>
      </w:rPr>
    </w:lvl>
    <w:lvl w:ilvl="6" w:tplc="E61EC31E">
      <w:numFmt w:val="bullet"/>
      <w:lvlText w:val="•"/>
      <w:lvlJc w:val="left"/>
      <w:pPr>
        <w:ind w:left="6026" w:hanging="167"/>
      </w:pPr>
      <w:rPr>
        <w:rFonts w:hint="default"/>
        <w:lang w:val="en-US" w:eastAsia="en-US" w:bidi="ar-SA"/>
      </w:rPr>
    </w:lvl>
    <w:lvl w:ilvl="7" w:tplc="CBF05222">
      <w:numFmt w:val="bullet"/>
      <w:lvlText w:val="•"/>
      <w:lvlJc w:val="left"/>
      <w:pPr>
        <w:ind w:left="6967" w:hanging="167"/>
      </w:pPr>
      <w:rPr>
        <w:rFonts w:hint="default"/>
        <w:lang w:val="en-US" w:eastAsia="en-US" w:bidi="ar-SA"/>
      </w:rPr>
    </w:lvl>
    <w:lvl w:ilvl="8" w:tplc="672C6A56">
      <w:numFmt w:val="bullet"/>
      <w:lvlText w:val="•"/>
      <w:lvlJc w:val="left"/>
      <w:pPr>
        <w:ind w:left="7908" w:hanging="167"/>
      </w:pPr>
      <w:rPr>
        <w:rFonts w:hint="default"/>
        <w:lang w:val="en-US" w:eastAsia="en-US" w:bidi="ar-SA"/>
      </w:rPr>
    </w:lvl>
  </w:abstractNum>
  <w:abstractNum w:abstractNumId="15" w15:restartNumberingAfterBreak="0">
    <w:nsid w:val="3A0B65CE"/>
    <w:multiLevelType w:val="hybridMultilevel"/>
    <w:tmpl w:val="B2DE91E4"/>
    <w:lvl w:ilvl="0" w:tplc="21448FDE">
      <w:numFmt w:val="bullet"/>
      <w:lvlText w:val="-"/>
      <w:lvlJc w:val="left"/>
      <w:pPr>
        <w:ind w:left="720" w:hanging="360"/>
      </w:pPr>
      <w:rPr>
        <w:rFonts w:ascii="Times New Roman" w:eastAsia="Times New Roman" w:hAnsi="Times New Roman" w:cs="Times New Roman" w:hint="default"/>
        <w:w w:val="100"/>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13961F3"/>
    <w:multiLevelType w:val="hybridMultilevel"/>
    <w:tmpl w:val="053876D0"/>
    <w:lvl w:ilvl="0" w:tplc="F0EE704E">
      <w:numFmt w:val="bullet"/>
      <w:lvlText w:val="−"/>
      <w:lvlJc w:val="left"/>
      <w:pPr>
        <w:ind w:left="928" w:hanging="360"/>
      </w:pPr>
      <w:rPr>
        <w:rFonts w:ascii="Times New Roman" w:eastAsia="Times New Roman" w:hAnsi="Times New Roman" w:cs="Times New Roman" w:hint="default"/>
        <w:w w:val="99"/>
        <w:sz w:val="22"/>
        <w:szCs w:val="22"/>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7" w15:restartNumberingAfterBreak="0">
    <w:nsid w:val="424B08D0"/>
    <w:multiLevelType w:val="hybridMultilevel"/>
    <w:tmpl w:val="720A81DA"/>
    <w:lvl w:ilvl="0" w:tplc="B0BA3F42">
      <w:numFmt w:val="bullet"/>
      <w:lvlText w:val="•"/>
      <w:lvlJc w:val="left"/>
      <w:pPr>
        <w:ind w:left="720" w:hanging="360"/>
      </w:pPr>
      <w:rPr>
        <w:rFonts w:ascii="Arial" w:eastAsia="Arial" w:hAnsi="Arial" w:cs="Arial" w:hint="default"/>
        <w:w w:val="131"/>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28663F6"/>
    <w:multiLevelType w:val="multilevel"/>
    <w:tmpl w:val="EE1EBCA0"/>
    <w:lvl w:ilvl="0">
      <w:start w:val="1"/>
      <w:numFmt w:val="decimal"/>
      <w:lvlText w:val="%1."/>
      <w:lvlJc w:val="left"/>
      <w:pPr>
        <w:ind w:left="844" w:hanging="567"/>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844" w:hanging="567"/>
        <w:jc w:val="right"/>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630" w:hanging="567"/>
      </w:pPr>
      <w:rPr>
        <w:rFonts w:hint="default"/>
        <w:lang w:val="en-US" w:eastAsia="en-US" w:bidi="ar-SA"/>
      </w:rPr>
    </w:lvl>
    <w:lvl w:ilvl="3">
      <w:numFmt w:val="bullet"/>
      <w:lvlText w:val="•"/>
      <w:lvlJc w:val="left"/>
      <w:pPr>
        <w:ind w:left="3525" w:hanging="567"/>
      </w:pPr>
      <w:rPr>
        <w:rFonts w:hint="default"/>
        <w:lang w:val="en-US" w:eastAsia="en-US" w:bidi="ar-SA"/>
      </w:rPr>
    </w:lvl>
    <w:lvl w:ilvl="4">
      <w:numFmt w:val="bullet"/>
      <w:lvlText w:val="•"/>
      <w:lvlJc w:val="left"/>
      <w:pPr>
        <w:ind w:left="4420" w:hanging="567"/>
      </w:pPr>
      <w:rPr>
        <w:rFonts w:hint="default"/>
        <w:lang w:val="en-US" w:eastAsia="en-US" w:bidi="ar-SA"/>
      </w:rPr>
    </w:lvl>
    <w:lvl w:ilvl="5">
      <w:numFmt w:val="bullet"/>
      <w:lvlText w:val="•"/>
      <w:lvlJc w:val="left"/>
      <w:pPr>
        <w:ind w:left="5315" w:hanging="567"/>
      </w:pPr>
      <w:rPr>
        <w:rFonts w:hint="default"/>
        <w:lang w:val="en-US" w:eastAsia="en-US" w:bidi="ar-SA"/>
      </w:rPr>
    </w:lvl>
    <w:lvl w:ilvl="6">
      <w:numFmt w:val="bullet"/>
      <w:lvlText w:val="•"/>
      <w:lvlJc w:val="left"/>
      <w:pPr>
        <w:ind w:left="6210" w:hanging="567"/>
      </w:pPr>
      <w:rPr>
        <w:rFonts w:hint="default"/>
        <w:lang w:val="en-US" w:eastAsia="en-US" w:bidi="ar-SA"/>
      </w:rPr>
    </w:lvl>
    <w:lvl w:ilvl="7">
      <w:numFmt w:val="bullet"/>
      <w:lvlText w:val="•"/>
      <w:lvlJc w:val="left"/>
      <w:pPr>
        <w:ind w:left="7105" w:hanging="567"/>
      </w:pPr>
      <w:rPr>
        <w:rFonts w:hint="default"/>
        <w:lang w:val="en-US" w:eastAsia="en-US" w:bidi="ar-SA"/>
      </w:rPr>
    </w:lvl>
    <w:lvl w:ilvl="8">
      <w:numFmt w:val="bullet"/>
      <w:lvlText w:val="•"/>
      <w:lvlJc w:val="left"/>
      <w:pPr>
        <w:ind w:left="8000" w:hanging="567"/>
      </w:pPr>
      <w:rPr>
        <w:rFonts w:hint="default"/>
        <w:lang w:val="en-US" w:eastAsia="en-US" w:bidi="ar-SA"/>
      </w:rPr>
    </w:lvl>
  </w:abstractNum>
  <w:abstractNum w:abstractNumId="19" w15:restartNumberingAfterBreak="0">
    <w:nsid w:val="4BFC49CA"/>
    <w:multiLevelType w:val="multilevel"/>
    <w:tmpl w:val="B6404BA4"/>
    <w:lvl w:ilvl="0">
      <w:start w:val="5"/>
      <w:numFmt w:val="decimal"/>
      <w:lvlText w:val="%1."/>
      <w:lvlJc w:val="left"/>
      <w:pPr>
        <w:ind w:left="844" w:hanging="567"/>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844" w:hanging="567"/>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630" w:hanging="567"/>
      </w:pPr>
      <w:rPr>
        <w:rFonts w:hint="default"/>
        <w:lang w:val="en-US" w:eastAsia="en-US" w:bidi="ar-SA"/>
      </w:rPr>
    </w:lvl>
    <w:lvl w:ilvl="3">
      <w:numFmt w:val="bullet"/>
      <w:lvlText w:val="•"/>
      <w:lvlJc w:val="left"/>
      <w:pPr>
        <w:ind w:left="3525" w:hanging="567"/>
      </w:pPr>
      <w:rPr>
        <w:rFonts w:hint="default"/>
        <w:lang w:val="en-US" w:eastAsia="en-US" w:bidi="ar-SA"/>
      </w:rPr>
    </w:lvl>
    <w:lvl w:ilvl="4">
      <w:numFmt w:val="bullet"/>
      <w:lvlText w:val="•"/>
      <w:lvlJc w:val="left"/>
      <w:pPr>
        <w:ind w:left="4420" w:hanging="567"/>
      </w:pPr>
      <w:rPr>
        <w:rFonts w:hint="default"/>
        <w:lang w:val="en-US" w:eastAsia="en-US" w:bidi="ar-SA"/>
      </w:rPr>
    </w:lvl>
    <w:lvl w:ilvl="5">
      <w:numFmt w:val="bullet"/>
      <w:lvlText w:val="•"/>
      <w:lvlJc w:val="left"/>
      <w:pPr>
        <w:ind w:left="5315" w:hanging="567"/>
      </w:pPr>
      <w:rPr>
        <w:rFonts w:hint="default"/>
        <w:lang w:val="en-US" w:eastAsia="en-US" w:bidi="ar-SA"/>
      </w:rPr>
    </w:lvl>
    <w:lvl w:ilvl="6">
      <w:numFmt w:val="bullet"/>
      <w:lvlText w:val="•"/>
      <w:lvlJc w:val="left"/>
      <w:pPr>
        <w:ind w:left="6210" w:hanging="567"/>
      </w:pPr>
      <w:rPr>
        <w:rFonts w:hint="default"/>
        <w:lang w:val="en-US" w:eastAsia="en-US" w:bidi="ar-SA"/>
      </w:rPr>
    </w:lvl>
    <w:lvl w:ilvl="7">
      <w:numFmt w:val="bullet"/>
      <w:lvlText w:val="•"/>
      <w:lvlJc w:val="left"/>
      <w:pPr>
        <w:ind w:left="7105" w:hanging="567"/>
      </w:pPr>
      <w:rPr>
        <w:rFonts w:hint="default"/>
        <w:lang w:val="en-US" w:eastAsia="en-US" w:bidi="ar-SA"/>
      </w:rPr>
    </w:lvl>
    <w:lvl w:ilvl="8">
      <w:numFmt w:val="bullet"/>
      <w:lvlText w:val="•"/>
      <w:lvlJc w:val="left"/>
      <w:pPr>
        <w:ind w:left="8000" w:hanging="567"/>
      </w:pPr>
      <w:rPr>
        <w:rFonts w:hint="default"/>
        <w:lang w:val="en-US" w:eastAsia="en-US" w:bidi="ar-SA"/>
      </w:rPr>
    </w:lvl>
  </w:abstractNum>
  <w:abstractNum w:abstractNumId="20" w15:restartNumberingAfterBreak="0">
    <w:nsid w:val="4DC82642"/>
    <w:multiLevelType w:val="hybridMultilevel"/>
    <w:tmpl w:val="BBC03724"/>
    <w:lvl w:ilvl="0" w:tplc="21448FDE">
      <w:numFmt w:val="bullet"/>
      <w:lvlText w:val="-"/>
      <w:lvlJc w:val="left"/>
      <w:pPr>
        <w:ind w:left="720" w:hanging="360"/>
      </w:pPr>
      <w:rPr>
        <w:rFonts w:ascii="Times New Roman" w:eastAsia="Times New Roman" w:hAnsi="Times New Roman" w:cs="Times New Roman" w:hint="default"/>
        <w:w w:val="100"/>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8700560"/>
    <w:multiLevelType w:val="hybridMultilevel"/>
    <w:tmpl w:val="D5D62CBE"/>
    <w:lvl w:ilvl="0" w:tplc="B0BA3F42">
      <w:numFmt w:val="bullet"/>
      <w:lvlText w:val="•"/>
      <w:lvlJc w:val="left"/>
      <w:pPr>
        <w:ind w:left="720" w:hanging="360"/>
      </w:pPr>
      <w:rPr>
        <w:rFonts w:ascii="Arial" w:eastAsia="Arial" w:hAnsi="Arial" w:cs="Arial" w:hint="default"/>
        <w:w w:val="131"/>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9153B76"/>
    <w:multiLevelType w:val="hybridMultilevel"/>
    <w:tmpl w:val="A88816DA"/>
    <w:lvl w:ilvl="0" w:tplc="21448FDE">
      <w:numFmt w:val="bullet"/>
      <w:lvlText w:val="-"/>
      <w:lvlJc w:val="left"/>
      <w:pPr>
        <w:ind w:left="637" w:hanging="360"/>
      </w:pPr>
      <w:rPr>
        <w:rFonts w:ascii="Times New Roman" w:eastAsia="Times New Roman" w:hAnsi="Times New Roman" w:cs="Times New Roman" w:hint="default"/>
        <w:w w:val="100"/>
        <w:sz w:val="22"/>
        <w:szCs w:val="22"/>
        <w:lang w:val="en-US" w:eastAsia="en-US" w:bidi="ar-SA"/>
      </w:rPr>
    </w:lvl>
    <w:lvl w:ilvl="1" w:tplc="A2D8D2AA">
      <w:numFmt w:val="bullet"/>
      <w:lvlText w:val="•"/>
      <w:lvlJc w:val="left"/>
      <w:pPr>
        <w:ind w:left="1555" w:hanging="360"/>
      </w:pPr>
      <w:rPr>
        <w:rFonts w:hint="default"/>
        <w:lang w:val="en-US" w:eastAsia="en-US" w:bidi="ar-SA"/>
      </w:rPr>
    </w:lvl>
    <w:lvl w:ilvl="2" w:tplc="764A59EA">
      <w:numFmt w:val="bullet"/>
      <w:lvlText w:val="•"/>
      <w:lvlJc w:val="left"/>
      <w:pPr>
        <w:ind w:left="2470" w:hanging="360"/>
      </w:pPr>
      <w:rPr>
        <w:rFonts w:hint="default"/>
        <w:lang w:val="en-US" w:eastAsia="en-US" w:bidi="ar-SA"/>
      </w:rPr>
    </w:lvl>
    <w:lvl w:ilvl="3" w:tplc="C2D2A9E4">
      <w:numFmt w:val="bullet"/>
      <w:lvlText w:val="•"/>
      <w:lvlJc w:val="left"/>
      <w:pPr>
        <w:ind w:left="3385" w:hanging="360"/>
      </w:pPr>
      <w:rPr>
        <w:rFonts w:hint="default"/>
        <w:lang w:val="en-US" w:eastAsia="en-US" w:bidi="ar-SA"/>
      </w:rPr>
    </w:lvl>
    <w:lvl w:ilvl="4" w:tplc="14043A84">
      <w:numFmt w:val="bullet"/>
      <w:lvlText w:val="•"/>
      <w:lvlJc w:val="left"/>
      <w:pPr>
        <w:ind w:left="4300" w:hanging="360"/>
      </w:pPr>
      <w:rPr>
        <w:rFonts w:hint="default"/>
        <w:lang w:val="en-US" w:eastAsia="en-US" w:bidi="ar-SA"/>
      </w:rPr>
    </w:lvl>
    <w:lvl w:ilvl="5" w:tplc="4C84F730">
      <w:numFmt w:val="bullet"/>
      <w:lvlText w:val="•"/>
      <w:lvlJc w:val="left"/>
      <w:pPr>
        <w:ind w:left="5215" w:hanging="360"/>
      </w:pPr>
      <w:rPr>
        <w:rFonts w:hint="default"/>
        <w:lang w:val="en-US" w:eastAsia="en-US" w:bidi="ar-SA"/>
      </w:rPr>
    </w:lvl>
    <w:lvl w:ilvl="6" w:tplc="7BE80A38">
      <w:numFmt w:val="bullet"/>
      <w:lvlText w:val="•"/>
      <w:lvlJc w:val="left"/>
      <w:pPr>
        <w:ind w:left="6130" w:hanging="360"/>
      </w:pPr>
      <w:rPr>
        <w:rFonts w:hint="default"/>
        <w:lang w:val="en-US" w:eastAsia="en-US" w:bidi="ar-SA"/>
      </w:rPr>
    </w:lvl>
    <w:lvl w:ilvl="7" w:tplc="6E3C65CC">
      <w:numFmt w:val="bullet"/>
      <w:lvlText w:val="•"/>
      <w:lvlJc w:val="left"/>
      <w:pPr>
        <w:ind w:left="7045" w:hanging="360"/>
      </w:pPr>
      <w:rPr>
        <w:rFonts w:hint="default"/>
        <w:lang w:val="en-US" w:eastAsia="en-US" w:bidi="ar-SA"/>
      </w:rPr>
    </w:lvl>
    <w:lvl w:ilvl="8" w:tplc="CF4C2A50">
      <w:numFmt w:val="bullet"/>
      <w:lvlText w:val="•"/>
      <w:lvlJc w:val="left"/>
      <w:pPr>
        <w:ind w:left="7960" w:hanging="360"/>
      </w:pPr>
      <w:rPr>
        <w:rFonts w:hint="default"/>
        <w:lang w:val="en-US" w:eastAsia="en-US" w:bidi="ar-SA"/>
      </w:rPr>
    </w:lvl>
  </w:abstractNum>
  <w:abstractNum w:abstractNumId="23" w15:restartNumberingAfterBreak="0">
    <w:nsid w:val="60AF5488"/>
    <w:multiLevelType w:val="hybridMultilevel"/>
    <w:tmpl w:val="5DECBA1A"/>
    <w:lvl w:ilvl="0" w:tplc="D520D48A">
      <w:start w:val="1"/>
      <w:numFmt w:val="decimal"/>
      <w:lvlText w:val="%1)"/>
      <w:lvlJc w:val="left"/>
      <w:pPr>
        <w:ind w:left="720" w:hanging="360"/>
      </w:pPr>
    </w:lvl>
    <w:lvl w:ilvl="1" w:tplc="4CD4F142" w:tentative="1">
      <w:start w:val="1"/>
      <w:numFmt w:val="lowerLetter"/>
      <w:lvlText w:val="%2."/>
      <w:lvlJc w:val="left"/>
      <w:pPr>
        <w:ind w:left="1440" w:hanging="360"/>
      </w:pPr>
    </w:lvl>
    <w:lvl w:ilvl="2" w:tplc="3A52C31A" w:tentative="1">
      <w:start w:val="1"/>
      <w:numFmt w:val="lowerRoman"/>
      <w:lvlText w:val="%3."/>
      <w:lvlJc w:val="right"/>
      <w:pPr>
        <w:ind w:left="2160" w:hanging="180"/>
      </w:pPr>
    </w:lvl>
    <w:lvl w:ilvl="3" w:tplc="72D60C8E" w:tentative="1">
      <w:start w:val="1"/>
      <w:numFmt w:val="decimal"/>
      <w:lvlText w:val="%4."/>
      <w:lvlJc w:val="left"/>
      <w:pPr>
        <w:ind w:left="2880" w:hanging="360"/>
      </w:pPr>
    </w:lvl>
    <w:lvl w:ilvl="4" w:tplc="E384CA36" w:tentative="1">
      <w:start w:val="1"/>
      <w:numFmt w:val="lowerLetter"/>
      <w:lvlText w:val="%5."/>
      <w:lvlJc w:val="left"/>
      <w:pPr>
        <w:ind w:left="3600" w:hanging="360"/>
      </w:pPr>
    </w:lvl>
    <w:lvl w:ilvl="5" w:tplc="1128672C" w:tentative="1">
      <w:start w:val="1"/>
      <w:numFmt w:val="lowerRoman"/>
      <w:lvlText w:val="%6."/>
      <w:lvlJc w:val="right"/>
      <w:pPr>
        <w:ind w:left="4320" w:hanging="180"/>
      </w:pPr>
    </w:lvl>
    <w:lvl w:ilvl="6" w:tplc="A288EEF0" w:tentative="1">
      <w:start w:val="1"/>
      <w:numFmt w:val="decimal"/>
      <w:lvlText w:val="%7."/>
      <w:lvlJc w:val="left"/>
      <w:pPr>
        <w:ind w:left="5040" w:hanging="360"/>
      </w:pPr>
    </w:lvl>
    <w:lvl w:ilvl="7" w:tplc="05ACEDCA" w:tentative="1">
      <w:start w:val="1"/>
      <w:numFmt w:val="lowerLetter"/>
      <w:lvlText w:val="%8."/>
      <w:lvlJc w:val="left"/>
      <w:pPr>
        <w:ind w:left="5760" w:hanging="360"/>
      </w:pPr>
    </w:lvl>
    <w:lvl w:ilvl="8" w:tplc="022A427C" w:tentative="1">
      <w:start w:val="1"/>
      <w:numFmt w:val="lowerRoman"/>
      <w:lvlText w:val="%9."/>
      <w:lvlJc w:val="right"/>
      <w:pPr>
        <w:ind w:left="6480" w:hanging="180"/>
      </w:pPr>
    </w:lvl>
  </w:abstractNum>
  <w:abstractNum w:abstractNumId="24" w15:restartNumberingAfterBreak="0">
    <w:nsid w:val="664D5939"/>
    <w:multiLevelType w:val="hybridMultilevel"/>
    <w:tmpl w:val="765C4D3C"/>
    <w:lvl w:ilvl="0" w:tplc="6EE01386">
      <w:start w:val="1"/>
      <w:numFmt w:val="decimal"/>
      <w:lvlText w:val="%1."/>
      <w:lvlJc w:val="left"/>
      <w:pPr>
        <w:ind w:left="498" w:hanging="220"/>
      </w:pPr>
      <w:rPr>
        <w:rFonts w:ascii="Times New Roman" w:eastAsia="Times New Roman" w:hAnsi="Times New Roman" w:cs="Times New Roman" w:hint="default"/>
        <w:i/>
        <w:w w:val="100"/>
        <w:sz w:val="22"/>
        <w:szCs w:val="22"/>
        <w:lang w:val="en-US" w:eastAsia="en-US" w:bidi="ar-SA"/>
      </w:rPr>
    </w:lvl>
    <w:lvl w:ilvl="1" w:tplc="46A0DA2C">
      <w:numFmt w:val="bullet"/>
      <w:lvlText w:val="•"/>
      <w:lvlJc w:val="left"/>
      <w:pPr>
        <w:ind w:left="1429" w:hanging="220"/>
      </w:pPr>
      <w:rPr>
        <w:rFonts w:hint="default"/>
        <w:lang w:val="en-US" w:eastAsia="en-US" w:bidi="ar-SA"/>
      </w:rPr>
    </w:lvl>
    <w:lvl w:ilvl="2" w:tplc="8142288E">
      <w:numFmt w:val="bullet"/>
      <w:lvlText w:val="•"/>
      <w:lvlJc w:val="left"/>
      <w:pPr>
        <w:ind w:left="2358" w:hanging="220"/>
      </w:pPr>
      <w:rPr>
        <w:rFonts w:hint="default"/>
        <w:lang w:val="en-US" w:eastAsia="en-US" w:bidi="ar-SA"/>
      </w:rPr>
    </w:lvl>
    <w:lvl w:ilvl="3" w:tplc="53D811FA">
      <w:numFmt w:val="bullet"/>
      <w:lvlText w:val="•"/>
      <w:lvlJc w:val="left"/>
      <w:pPr>
        <w:ind w:left="3287" w:hanging="220"/>
      </w:pPr>
      <w:rPr>
        <w:rFonts w:hint="default"/>
        <w:lang w:val="en-US" w:eastAsia="en-US" w:bidi="ar-SA"/>
      </w:rPr>
    </w:lvl>
    <w:lvl w:ilvl="4" w:tplc="FB70823A">
      <w:numFmt w:val="bullet"/>
      <w:lvlText w:val="•"/>
      <w:lvlJc w:val="left"/>
      <w:pPr>
        <w:ind w:left="4216" w:hanging="220"/>
      </w:pPr>
      <w:rPr>
        <w:rFonts w:hint="default"/>
        <w:lang w:val="en-US" w:eastAsia="en-US" w:bidi="ar-SA"/>
      </w:rPr>
    </w:lvl>
    <w:lvl w:ilvl="5" w:tplc="4CC8F6D8">
      <w:numFmt w:val="bullet"/>
      <w:lvlText w:val="•"/>
      <w:lvlJc w:val="left"/>
      <w:pPr>
        <w:ind w:left="5145" w:hanging="220"/>
      </w:pPr>
      <w:rPr>
        <w:rFonts w:hint="default"/>
        <w:lang w:val="en-US" w:eastAsia="en-US" w:bidi="ar-SA"/>
      </w:rPr>
    </w:lvl>
    <w:lvl w:ilvl="6" w:tplc="482051BE">
      <w:numFmt w:val="bullet"/>
      <w:lvlText w:val="•"/>
      <w:lvlJc w:val="left"/>
      <w:pPr>
        <w:ind w:left="6074" w:hanging="220"/>
      </w:pPr>
      <w:rPr>
        <w:rFonts w:hint="default"/>
        <w:lang w:val="en-US" w:eastAsia="en-US" w:bidi="ar-SA"/>
      </w:rPr>
    </w:lvl>
    <w:lvl w:ilvl="7" w:tplc="6F9C0B48">
      <w:numFmt w:val="bullet"/>
      <w:lvlText w:val="•"/>
      <w:lvlJc w:val="left"/>
      <w:pPr>
        <w:ind w:left="7003" w:hanging="220"/>
      </w:pPr>
      <w:rPr>
        <w:rFonts w:hint="default"/>
        <w:lang w:val="en-US" w:eastAsia="en-US" w:bidi="ar-SA"/>
      </w:rPr>
    </w:lvl>
    <w:lvl w:ilvl="8" w:tplc="38A696E6">
      <w:numFmt w:val="bullet"/>
      <w:lvlText w:val="•"/>
      <w:lvlJc w:val="left"/>
      <w:pPr>
        <w:ind w:left="7932" w:hanging="220"/>
      </w:pPr>
      <w:rPr>
        <w:rFonts w:hint="default"/>
        <w:lang w:val="en-US" w:eastAsia="en-US" w:bidi="ar-SA"/>
      </w:rPr>
    </w:lvl>
  </w:abstractNum>
  <w:abstractNum w:abstractNumId="25" w15:restartNumberingAfterBreak="0">
    <w:nsid w:val="6C651AAE"/>
    <w:multiLevelType w:val="hybridMultilevel"/>
    <w:tmpl w:val="65FC0502"/>
    <w:lvl w:ilvl="0" w:tplc="A3F457EC">
      <w:numFmt w:val="bullet"/>
      <w:lvlText w:val="•"/>
      <w:lvlJc w:val="left"/>
      <w:pPr>
        <w:ind w:left="720" w:hanging="360"/>
      </w:pPr>
      <w:rPr>
        <w:rFonts w:ascii="Times New Roman" w:eastAsia="Times New Roman" w:hAnsi="Times New Roman" w:cs="Times New Roman" w:hint="default"/>
        <w:w w:val="99"/>
        <w:sz w:val="22"/>
        <w:szCs w:val="22"/>
        <w:lang w:val="de-AT"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CA105D"/>
    <w:multiLevelType w:val="hybridMultilevel"/>
    <w:tmpl w:val="FBEAE406"/>
    <w:lvl w:ilvl="0" w:tplc="60C6E2F2">
      <w:start w:val="9"/>
      <w:numFmt w:val="decimal"/>
      <w:lvlText w:val="%1."/>
      <w:lvlJc w:val="left"/>
      <w:pPr>
        <w:ind w:left="844" w:hanging="567"/>
      </w:pPr>
      <w:rPr>
        <w:rFonts w:ascii="Times New Roman" w:eastAsia="Times New Roman" w:hAnsi="Times New Roman" w:cs="Times New Roman" w:hint="default"/>
        <w:b/>
        <w:bCs/>
        <w:w w:val="100"/>
        <w:sz w:val="22"/>
        <w:szCs w:val="22"/>
        <w:lang w:val="en-US" w:eastAsia="en-US" w:bidi="ar-SA"/>
      </w:rPr>
    </w:lvl>
    <w:lvl w:ilvl="1" w:tplc="1B807C3A">
      <w:numFmt w:val="bullet"/>
      <w:lvlText w:val="•"/>
      <w:lvlJc w:val="left"/>
      <w:pPr>
        <w:ind w:left="1735" w:hanging="567"/>
      </w:pPr>
      <w:rPr>
        <w:rFonts w:hint="default"/>
        <w:lang w:val="en-US" w:eastAsia="en-US" w:bidi="ar-SA"/>
      </w:rPr>
    </w:lvl>
    <w:lvl w:ilvl="2" w:tplc="5E1A8322">
      <w:numFmt w:val="bullet"/>
      <w:lvlText w:val="•"/>
      <w:lvlJc w:val="left"/>
      <w:pPr>
        <w:ind w:left="2630" w:hanging="567"/>
      </w:pPr>
      <w:rPr>
        <w:rFonts w:hint="default"/>
        <w:lang w:val="en-US" w:eastAsia="en-US" w:bidi="ar-SA"/>
      </w:rPr>
    </w:lvl>
    <w:lvl w:ilvl="3" w:tplc="10C47168">
      <w:numFmt w:val="bullet"/>
      <w:lvlText w:val="•"/>
      <w:lvlJc w:val="left"/>
      <w:pPr>
        <w:ind w:left="3525" w:hanging="567"/>
      </w:pPr>
      <w:rPr>
        <w:rFonts w:hint="default"/>
        <w:lang w:val="en-US" w:eastAsia="en-US" w:bidi="ar-SA"/>
      </w:rPr>
    </w:lvl>
    <w:lvl w:ilvl="4" w:tplc="3C6C6F3C">
      <w:numFmt w:val="bullet"/>
      <w:lvlText w:val="•"/>
      <w:lvlJc w:val="left"/>
      <w:pPr>
        <w:ind w:left="4420" w:hanging="567"/>
      </w:pPr>
      <w:rPr>
        <w:rFonts w:hint="default"/>
        <w:lang w:val="en-US" w:eastAsia="en-US" w:bidi="ar-SA"/>
      </w:rPr>
    </w:lvl>
    <w:lvl w:ilvl="5" w:tplc="CEEE3790">
      <w:numFmt w:val="bullet"/>
      <w:lvlText w:val="•"/>
      <w:lvlJc w:val="left"/>
      <w:pPr>
        <w:ind w:left="5315" w:hanging="567"/>
      </w:pPr>
      <w:rPr>
        <w:rFonts w:hint="default"/>
        <w:lang w:val="en-US" w:eastAsia="en-US" w:bidi="ar-SA"/>
      </w:rPr>
    </w:lvl>
    <w:lvl w:ilvl="6" w:tplc="E4CAD772">
      <w:numFmt w:val="bullet"/>
      <w:lvlText w:val="•"/>
      <w:lvlJc w:val="left"/>
      <w:pPr>
        <w:ind w:left="6210" w:hanging="567"/>
      </w:pPr>
      <w:rPr>
        <w:rFonts w:hint="default"/>
        <w:lang w:val="en-US" w:eastAsia="en-US" w:bidi="ar-SA"/>
      </w:rPr>
    </w:lvl>
    <w:lvl w:ilvl="7" w:tplc="B986F2CC">
      <w:numFmt w:val="bullet"/>
      <w:lvlText w:val="•"/>
      <w:lvlJc w:val="left"/>
      <w:pPr>
        <w:ind w:left="7105" w:hanging="567"/>
      </w:pPr>
      <w:rPr>
        <w:rFonts w:hint="default"/>
        <w:lang w:val="en-US" w:eastAsia="en-US" w:bidi="ar-SA"/>
      </w:rPr>
    </w:lvl>
    <w:lvl w:ilvl="8" w:tplc="04B88246">
      <w:numFmt w:val="bullet"/>
      <w:lvlText w:val="•"/>
      <w:lvlJc w:val="left"/>
      <w:pPr>
        <w:ind w:left="8000" w:hanging="567"/>
      </w:pPr>
      <w:rPr>
        <w:rFonts w:hint="default"/>
        <w:lang w:val="en-US" w:eastAsia="en-US" w:bidi="ar-SA"/>
      </w:rPr>
    </w:lvl>
  </w:abstractNum>
  <w:abstractNum w:abstractNumId="28" w15:restartNumberingAfterBreak="0">
    <w:nsid w:val="7C9837A6"/>
    <w:multiLevelType w:val="hybridMultilevel"/>
    <w:tmpl w:val="411416E4"/>
    <w:lvl w:ilvl="0" w:tplc="88F6CEE2">
      <w:start w:val="1"/>
      <w:numFmt w:val="decimal"/>
      <w:lvlText w:val="%1."/>
      <w:lvlJc w:val="left"/>
      <w:pPr>
        <w:ind w:left="499" w:hanging="222"/>
      </w:pPr>
      <w:rPr>
        <w:rFonts w:ascii="Times New Roman" w:eastAsia="Times New Roman" w:hAnsi="Times New Roman" w:cs="Times New Roman" w:hint="default"/>
        <w:i/>
        <w:w w:val="100"/>
        <w:sz w:val="22"/>
        <w:szCs w:val="22"/>
        <w:lang w:val="en-US" w:eastAsia="en-US" w:bidi="ar-SA"/>
      </w:rPr>
    </w:lvl>
    <w:lvl w:ilvl="1" w:tplc="410272EA">
      <w:numFmt w:val="bullet"/>
      <w:lvlText w:val="•"/>
      <w:lvlJc w:val="left"/>
      <w:pPr>
        <w:ind w:left="1429" w:hanging="222"/>
      </w:pPr>
      <w:rPr>
        <w:rFonts w:hint="default"/>
        <w:lang w:val="en-US" w:eastAsia="en-US" w:bidi="ar-SA"/>
      </w:rPr>
    </w:lvl>
    <w:lvl w:ilvl="2" w:tplc="0DEC5B64">
      <w:numFmt w:val="bullet"/>
      <w:lvlText w:val="•"/>
      <w:lvlJc w:val="left"/>
      <w:pPr>
        <w:ind w:left="2358" w:hanging="222"/>
      </w:pPr>
      <w:rPr>
        <w:rFonts w:hint="default"/>
        <w:lang w:val="en-US" w:eastAsia="en-US" w:bidi="ar-SA"/>
      </w:rPr>
    </w:lvl>
    <w:lvl w:ilvl="3" w:tplc="9E549B9E">
      <w:numFmt w:val="bullet"/>
      <w:lvlText w:val="•"/>
      <w:lvlJc w:val="left"/>
      <w:pPr>
        <w:ind w:left="3287" w:hanging="222"/>
      </w:pPr>
      <w:rPr>
        <w:rFonts w:hint="default"/>
        <w:lang w:val="en-US" w:eastAsia="en-US" w:bidi="ar-SA"/>
      </w:rPr>
    </w:lvl>
    <w:lvl w:ilvl="4" w:tplc="7AA6A100">
      <w:numFmt w:val="bullet"/>
      <w:lvlText w:val="•"/>
      <w:lvlJc w:val="left"/>
      <w:pPr>
        <w:ind w:left="4216" w:hanging="222"/>
      </w:pPr>
      <w:rPr>
        <w:rFonts w:hint="default"/>
        <w:lang w:val="en-US" w:eastAsia="en-US" w:bidi="ar-SA"/>
      </w:rPr>
    </w:lvl>
    <w:lvl w:ilvl="5" w:tplc="0194EFD6">
      <w:numFmt w:val="bullet"/>
      <w:lvlText w:val="•"/>
      <w:lvlJc w:val="left"/>
      <w:pPr>
        <w:ind w:left="5145" w:hanging="222"/>
      </w:pPr>
      <w:rPr>
        <w:rFonts w:hint="default"/>
        <w:lang w:val="en-US" w:eastAsia="en-US" w:bidi="ar-SA"/>
      </w:rPr>
    </w:lvl>
    <w:lvl w:ilvl="6" w:tplc="AF26D852">
      <w:numFmt w:val="bullet"/>
      <w:lvlText w:val="•"/>
      <w:lvlJc w:val="left"/>
      <w:pPr>
        <w:ind w:left="6074" w:hanging="222"/>
      </w:pPr>
      <w:rPr>
        <w:rFonts w:hint="default"/>
        <w:lang w:val="en-US" w:eastAsia="en-US" w:bidi="ar-SA"/>
      </w:rPr>
    </w:lvl>
    <w:lvl w:ilvl="7" w:tplc="7D326164">
      <w:numFmt w:val="bullet"/>
      <w:lvlText w:val="•"/>
      <w:lvlJc w:val="left"/>
      <w:pPr>
        <w:ind w:left="7003" w:hanging="222"/>
      </w:pPr>
      <w:rPr>
        <w:rFonts w:hint="default"/>
        <w:lang w:val="en-US" w:eastAsia="en-US" w:bidi="ar-SA"/>
      </w:rPr>
    </w:lvl>
    <w:lvl w:ilvl="8" w:tplc="BFCEF4A2">
      <w:numFmt w:val="bullet"/>
      <w:lvlText w:val="•"/>
      <w:lvlJc w:val="left"/>
      <w:pPr>
        <w:ind w:left="7932" w:hanging="222"/>
      </w:pPr>
      <w:rPr>
        <w:rFonts w:hint="default"/>
        <w:lang w:val="en-US" w:eastAsia="en-US" w:bidi="ar-SA"/>
      </w:rPr>
    </w:lvl>
  </w:abstractNum>
  <w:abstractNum w:abstractNumId="29" w15:restartNumberingAfterBreak="0">
    <w:nsid w:val="7CD538B9"/>
    <w:multiLevelType w:val="hybridMultilevel"/>
    <w:tmpl w:val="933283AC"/>
    <w:lvl w:ilvl="0" w:tplc="F0EE704E">
      <w:numFmt w:val="bullet"/>
      <w:lvlText w:val="−"/>
      <w:lvlJc w:val="left"/>
      <w:pPr>
        <w:ind w:left="720" w:hanging="360"/>
      </w:pPr>
      <w:rPr>
        <w:rFonts w:ascii="Times New Roman" w:eastAsia="Times New Roman" w:hAnsi="Times New Roman" w:cs="Times New Roman" w:hint="default"/>
        <w:w w:val="99"/>
        <w:sz w:val="22"/>
        <w:szCs w:val="22"/>
        <w:lang w:val="de-AT"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D2548CC"/>
    <w:multiLevelType w:val="hybridMultilevel"/>
    <w:tmpl w:val="1572377C"/>
    <w:lvl w:ilvl="0" w:tplc="DCA2C7DE">
      <w:numFmt w:val="bullet"/>
      <w:lvlText w:val="•"/>
      <w:lvlJc w:val="left"/>
      <w:pPr>
        <w:ind w:left="720" w:hanging="360"/>
      </w:pPr>
      <w:rPr>
        <w:rFonts w:hint="default"/>
        <w:w w:val="99"/>
        <w:sz w:val="22"/>
        <w:szCs w:val="22"/>
        <w:lang w:val="de-AT"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D487DFF"/>
    <w:multiLevelType w:val="hybridMultilevel"/>
    <w:tmpl w:val="C818F75C"/>
    <w:lvl w:ilvl="0" w:tplc="F0EE704E">
      <w:numFmt w:val="bullet"/>
      <w:lvlText w:val="−"/>
      <w:lvlJc w:val="left"/>
      <w:pPr>
        <w:ind w:left="720" w:hanging="360"/>
      </w:pPr>
      <w:rPr>
        <w:rFonts w:ascii="Times New Roman" w:eastAsia="Times New Roman" w:hAnsi="Times New Roman" w:cs="Times New Roman" w:hint="default"/>
        <w:w w:val="99"/>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46107398">
    <w:abstractNumId w:val="27"/>
  </w:num>
  <w:num w:numId="2" w16cid:durableId="1628514173">
    <w:abstractNumId w:val="6"/>
  </w:num>
  <w:num w:numId="3" w16cid:durableId="526984885">
    <w:abstractNumId w:val="19"/>
  </w:num>
  <w:num w:numId="4" w16cid:durableId="939683960">
    <w:abstractNumId w:val="14"/>
  </w:num>
  <w:num w:numId="5" w16cid:durableId="1249533383">
    <w:abstractNumId w:val="2"/>
  </w:num>
  <w:num w:numId="6" w16cid:durableId="1125467719">
    <w:abstractNumId w:val="28"/>
  </w:num>
  <w:num w:numId="7" w16cid:durableId="568461098">
    <w:abstractNumId w:val="22"/>
  </w:num>
  <w:num w:numId="8" w16cid:durableId="1231573785">
    <w:abstractNumId w:val="24"/>
  </w:num>
  <w:num w:numId="9" w16cid:durableId="393551121">
    <w:abstractNumId w:val="18"/>
  </w:num>
  <w:num w:numId="10" w16cid:durableId="930159676">
    <w:abstractNumId w:val="12"/>
  </w:num>
  <w:num w:numId="11" w16cid:durableId="519779363">
    <w:abstractNumId w:val="20"/>
  </w:num>
  <w:num w:numId="12" w16cid:durableId="1092314871">
    <w:abstractNumId w:val="15"/>
  </w:num>
  <w:num w:numId="13" w16cid:durableId="194853430">
    <w:abstractNumId w:val="21"/>
  </w:num>
  <w:num w:numId="14" w16cid:durableId="790588023">
    <w:abstractNumId w:val="17"/>
  </w:num>
  <w:num w:numId="15" w16cid:durableId="2057653613">
    <w:abstractNumId w:val="11"/>
  </w:num>
  <w:num w:numId="16" w16cid:durableId="898829621">
    <w:abstractNumId w:val="7"/>
  </w:num>
  <w:num w:numId="17" w16cid:durableId="1517385343">
    <w:abstractNumId w:val="4"/>
  </w:num>
  <w:num w:numId="18" w16cid:durableId="2058696465">
    <w:abstractNumId w:val="10"/>
  </w:num>
  <w:num w:numId="19" w16cid:durableId="1916434848">
    <w:abstractNumId w:val="9"/>
  </w:num>
  <w:num w:numId="20" w16cid:durableId="2087990614">
    <w:abstractNumId w:val="8"/>
  </w:num>
  <w:num w:numId="21" w16cid:durableId="799348723">
    <w:abstractNumId w:val="0"/>
    <w:lvlOverride w:ilvl="0">
      <w:lvl w:ilvl="0">
        <w:numFmt w:val="bullet"/>
        <w:lvlText w:val=""/>
        <w:lvlJc w:val="left"/>
        <w:pPr>
          <w:ind w:left="360" w:hanging="360"/>
        </w:pPr>
        <w:rPr>
          <w:rFonts w:ascii="Symbol" w:hAnsi="Symbol" w:cs="Times New Roman" w:hint="default"/>
        </w:rPr>
      </w:lvl>
    </w:lvlOverride>
  </w:num>
  <w:num w:numId="22" w16cid:durableId="193928727">
    <w:abstractNumId w:val="26"/>
  </w:num>
  <w:num w:numId="23" w16cid:durableId="797991810">
    <w:abstractNumId w:val="5"/>
  </w:num>
  <w:num w:numId="24" w16cid:durableId="1320765768">
    <w:abstractNumId w:val="25"/>
  </w:num>
  <w:num w:numId="25" w16cid:durableId="1670711030">
    <w:abstractNumId w:val="1"/>
  </w:num>
  <w:num w:numId="26" w16cid:durableId="587470974">
    <w:abstractNumId w:val="3"/>
  </w:num>
  <w:num w:numId="27" w16cid:durableId="1329748823">
    <w:abstractNumId w:val="16"/>
  </w:num>
  <w:num w:numId="28" w16cid:durableId="702360595">
    <w:abstractNumId w:val="30"/>
  </w:num>
  <w:num w:numId="29" w16cid:durableId="775445042">
    <w:abstractNumId w:val="13"/>
  </w:num>
  <w:num w:numId="30" w16cid:durableId="1310937336">
    <w:abstractNumId w:val="29"/>
  </w:num>
  <w:num w:numId="31" w16cid:durableId="353656782">
    <w:abstractNumId w:val="31"/>
  </w:num>
  <w:num w:numId="32" w16cid:durableId="9782629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F40"/>
    <w:rsid w:val="00000888"/>
    <w:rsid w:val="00003957"/>
    <w:rsid w:val="00016B35"/>
    <w:rsid w:val="00016F11"/>
    <w:rsid w:val="000210FF"/>
    <w:rsid w:val="000221AC"/>
    <w:rsid w:val="00026E60"/>
    <w:rsid w:val="000305E8"/>
    <w:rsid w:val="000334BA"/>
    <w:rsid w:val="0003552C"/>
    <w:rsid w:val="0003666A"/>
    <w:rsid w:val="00036832"/>
    <w:rsid w:val="00041A11"/>
    <w:rsid w:val="000446BB"/>
    <w:rsid w:val="00045EED"/>
    <w:rsid w:val="00046EAE"/>
    <w:rsid w:val="00050003"/>
    <w:rsid w:val="00050191"/>
    <w:rsid w:val="00050F95"/>
    <w:rsid w:val="000529D5"/>
    <w:rsid w:val="000544B0"/>
    <w:rsid w:val="00056B3A"/>
    <w:rsid w:val="00056B6C"/>
    <w:rsid w:val="00063C93"/>
    <w:rsid w:val="00073DD8"/>
    <w:rsid w:val="0007455D"/>
    <w:rsid w:val="00076121"/>
    <w:rsid w:val="00076235"/>
    <w:rsid w:val="00076394"/>
    <w:rsid w:val="000869E1"/>
    <w:rsid w:val="00087E6F"/>
    <w:rsid w:val="00096A72"/>
    <w:rsid w:val="000A2B18"/>
    <w:rsid w:val="000A432A"/>
    <w:rsid w:val="000A7095"/>
    <w:rsid w:val="000A7976"/>
    <w:rsid w:val="000B1554"/>
    <w:rsid w:val="000B2118"/>
    <w:rsid w:val="000B2C67"/>
    <w:rsid w:val="000B409C"/>
    <w:rsid w:val="000B54AD"/>
    <w:rsid w:val="000B6400"/>
    <w:rsid w:val="000C1C14"/>
    <w:rsid w:val="000C2FB0"/>
    <w:rsid w:val="000C6F24"/>
    <w:rsid w:val="000D1758"/>
    <w:rsid w:val="000D1F21"/>
    <w:rsid w:val="000D2206"/>
    <w:rsid w:val="000D3760"/>
    <w:rsid w:val="000D4E91"/>
    <w:rsid w:val="000D53FE"/>
    <w:rsid w:val="000D7443"/>
    <w:rsid w:val="000E01CD"/>
    <w:rsid w:val="000E25FA"/>
    <w:rsid w:val="000E30BD"/>
    <w:rsid w:val="000F2729"/>
    <w:rsid w:val="000F35FF"/>
    <w:rsid w:val="000F45B4"/>
    <w:rsid w:val="000F4AA9"/>
    <w:rsid w:val="00100408"/>
    <w:rsid w:val="001027AC"/>
    <w:rsid w:val="00103A13"/>
    <w:rsid w:val="00105E86"/>
    <w:rsid w:val="001073A8"/>
    <w:rsid w:val="00107587"/>
    <w:rsid w:val="00111842"/>
    <w:rsid w:val="001125F9"/>
    <w:rsid w:val="001148AC"/>
    <w:rsid w:val="00124881"/>
    <w:rsid w:val="001253DD"/>
    <w:rsid w:val="00125C50"/>
    <w:rsid w:val="0013066E"/>
    <w:rsid w:val="0013088A"/>
    <w:rsid w:val="00130FC7"/>
    <w:rsid w:val="001324E8"/>
    <w:rsid w:val="001327F6"/>
    <w:rsid w:val="00133A8C"/>
    <w:rsid w:val="00135125"/>
    <w:rsid w:val="0013532C"/>
    <w:rsid w:val="00136A2C"/>
    <w:rsid w:val="0014057D"/>
    <w:rsid w:val="00140F90"/>
    <w:rsid w:val="00151883"/>
    <w:rsid w:val="00153DDD"/>
    <w:rsid w:val="0015438F"/>
    <w:rsid w:val="00155040"/>
    <w:rsid w:val="00155646"/>
    <w:rsid w:val="00155777"/>
    <w:rsid w:val="001613CA"/>
    <w:rsid w:val="0016594B"/>
    <w:rsid w:val="00172054"/>
    <w:rsid w:val="00177BDD"/>
    <w:rsid w:val="001801F8"/>
    <w:rsid w:val="00183F9E"/>
    <w:rsid w:val="00184EF5"/>
    <w:rsid w:val="00185EBB"/>
    <w:rsid w:val="00190B56"/>
    <w:rsid w:val="001963D6"/>
    <w:rsid w:val="001967E5"/>
    <w:rsid w:val="00196AB3"/>
    <w:rsid w:val="001A6C5D"/>
    <w:rsid w:val="001A753A"/>
    <w:rsid w:val="001B4305"/>
    <w:rsid w:val="001B60F2"/>
    <w:rsid w:val="001C1589"/>
    <w:rsid w:val="001C18A4"/>
    <w:rsid w:val="001D55EC"/>
    <w:rsid w:val="001E1394"/>
    <w:rsid w:val="001E2D2C"/>
    <w:rsid w:val="001E760C"/>
    <w:rsid w:val="001E793D"/>
    <w:rsid w:val="001F286E"/>
    <w:rsid w:val="001F2C35"/>
    <w:rsid w:val="001F4A02"/>
    <w:rsid w:val="001F6247"/>
    <w:rsid w:val="001F679E"/>
    <w:rsid w:val="001F74BA"/>
    <w:rsid w:val="00201AA3"/>
    <w:rsid w:val="00202493"/>
    <w:rsid w:val="00205328"/>
    <w:rsid w:val="002054DB"/>
    <w:rsid w:val="00206798"/>
    <w:rsid w:val="00206813"/>
    <w:rsid w:val="00213976"/>
    <w:rsid w:val="00217A0F"/>
    <w:rsid w:val="002230F9"/>
    <w:rsid w:val="002251B6"/>
    <w:rsid w:val="00231252"/>
    <w:rsid w:val="002321B3"/>
    <w:rsid w:val="002330EE"/>
    <w:rsid w:val="002336C5"/>
    <w:rsid w:val="00237F38"/>
    <w:rsid w:val="00243F40"/>
    <w:rsid w:val="002472CD"/>
    <w:rsid w:val="00250336"/>
    <w:rsid w:val="00251A47"/>
    <w:rsid w:val="00252B47"/>
    <w:rsid w:val="00257D50"/>
    <w:rsid w:val="00262697"/>
    <w:rsid w:val="00262B0A"/>
    <w:rsid w:val="00263A28"/>
    <w:rsid w:val="00271E9C"/>
    <w:rsid w:val="00272AB4"/>
    <w:rsid w:val="00272CC0"/>
    <w:rsid w:val="00273AC4"/>
    <w:rsid w:val="00274BEE"/>
    <w:rsid w:val="002777B0"/>
    <w:rsid w:val="002807C5"/>
    <w:rsid w:val="00281669"/>
    <w:rsid w:val="00281822"/>
    <w:rsid w:val="00284210"/>
    <w:rsid w:val="00284BE6"/>
    <w:rsid w:val="002857B0"/>
    <w:rsid w:val="00285B49"/>
    <w:rsid w:val="0029032B"/>
    <w:rsid w:val="00292082"/>
    <w:rsid w:val="00294FDB"/>
    <w:rsid w:val="002971A3"/>
    <w:rsid w:val="002A0B2C"/>
    <w:rsid w:val="002A0D6B"/>
    <w:rsid w:val="002A1C95"/>
    <w:rsid w:val="002B0028"/>
    <w:rsid w:val="002B0866"/>
    <w:rsid w:val="002B1C3C"/>
    <w:rsid w:val="002B3C39"/>
    <w:rsid w:val="002B75A9"/>
    <w:rsid w:val="002C194F"/>
    <w:rsid w:val="002C2239"/>
    <w:rsid w:val="002C636A"/>
    <w:rsid w:val="002D066E"/>
    <w:rsid w:val="002D4A26"/>
    <w:rsid w:val="002D4D43"/>
    <w:rsid w:val="002D63B9"/>
    <w:rsid w:val="002D666E"/>
    <w:rsid w:val="002E601B"/>
    <w:rsid w:val="002E726F"/>
    <w:rsid w:val="002E7B89"/>
    <w:rsid w:val="002F0C8F"/>
    <w:rsid w:val="002F3208"/>
    <w:rsid w:val="002F40B0"/>
    <w:rsid w:val="002F6E81"/>
    <w:rsid w:val="0030174A"/>
    <w:rsid w:val="003024B6"/>
    <w:rsid w:val="0030401F"/>
    <w:rsid w:val="00307E41"/>
    <w:rsid w:val="00311EB0"/>
    <w:rsid w:val="003121D5"/>
    <w:rsid w:val="0031395E"/>
    <w:rsid w:val="00322D98"/>
    <w:rsid w:val="00323034"/>
    <w:rsid w:val="00327815"/>
    <w:rsid w:val="003279E8"/>
    <w:rsid w:val="00327E76"/>
    <w:rsid w:val="0033231A"/>
    <w:rsid w:val="00334114"/>
    <w:rsid w:val="003342AA"/>
    <w:rsid w:val="0033458C"/>
    <w:rsid w:val="00334BAC"/>
    <w:rsid w:val="00335EEC"/>
    <w:rsid w:val="00336019"/>
    <w:rsid w:val="003369C9"/>
    <w:rsid w:val="00336A29"/>
    <w:rsid w:val="00342D4B"/>
    <w:rsid w:val="003432FC"/>
    <w:rsid w:val="003434B2"/>
    <w:rsid w:val="00345DE1"/>
    <w:rsid w:val="00353D44"/>
    <w:rsid w:val="003556E3"/>
    <w:rsid w:val="00356C96"/>
    <w:rsid w:val="0036105C"/>
    <w:rsid w:val="00366392"/>
    <w:rsid w:val="00366C6F"/>
    <w:rsid w:val="00370245"/>
    <w:rsid w:val="0037194F"/>
    <w:rsid w:val="00372449"/>
    <w:rsid w:val="0037370A"/>
    <w:rsid w:val="00382A5B"/>
    <w:rsid w:val="00382D21"/>
    <w:rsid w:val="0038512A"/>
    <w:rsid w:val="00394043"/>
    <w:rsid w:val="00394326"/>
    <w:rsid w:val="00394422"/>
    <w:rsid w:val="00395808"/>
    <w:rsid w:val="00395AE1"/>
    <w:rsid w:val="003961A1"/>
    <w:rsid w:val="00396AC0"/>
    <w:rsid w:val="00397687"/>
    <w:rsid w:val="003A1251"/>
    <w:rsid w:val="003B3748"/>
    <w:rsid w:val="003B3E71"/>
    <w:rsid w:val="003B4069"/>
    <w:rsid w:val="003C2C5B"/>
    <w:rsid w:val="003C3D4C"/>
    <w:rsid w:val="003C41E5"/>
    <w:rsid w:val="003C6853"/>
    <w:rsid w:val="003D0A97"/>
    <w:rsid w:val="003D68BA"/>
    <w:rsid w:val="003D6FA5"/>
    <w:rsid w:val="003D705D"/>
    <w:rsid w:val="003E065A"/>
    <w:rsid w:val="003E197B"/>
    <w:rsid w:val="003E43B8"/>
    <w:rsid w:val="003E788A"/>
    <w:rsid w:val="003E7E71"/>
    <w:rsid w:val="003F0448"/>
    <w:rsid w:val="003F5A81"/>
    <w:rsid w:val="003F6B82"/>
    <w:rsid w:val="003F6BEF"/>
    <w:rsid w:val="0040158D"/>
    <w:rsid w:val="00401DBD"/>
    <w:rsid w:val="00413C2F"/>
    <w:rsid w:val="0041402F"/>
    <w:rsid w:val="00417B09"/>
    <w:rsid w:val="0042378B"/>
    <w:rsid w:val="00423933"/>
    <w:rsid w:val="004247C4"/>
    <w:rsid w:val="004272C3"/>
    <w:rsid w:val="00430DF1"/>
    <w:rsid w:val="004312A5"/>
    <w:rsid w:val="00435D70"/>
    <w:rsid w:val="00436479"/>
    <w:rsid w:val="004411D9"/>
    <w:rsid w:val="004427A4"/>
    <w:rsid w:val="00442CD7"/>
    <w:rsid w:val="00443218"/>
    <w:rsid w:val="00443E9D"/>
    <w:rsid w:val="0045078A"/>
    <w:rsid w:val="00453B46"/>
    <w:rsid w:val="00456726"/>
    <w:rsid w:val="00462849"/>
    <w:rsid w:val="0046694B"/>
    <w:rsid w:val="00466EE3"/>
    <w:rsid w:val="004701E6"/>
    <w:rsid w:val="00471BDF"/>
    <w:rsid w:val="0047491F"/>
    <w:rsid w:val="00475C43"/>
    <w:rsid w:val="004776EE"/>
    <w:rsid w:val="004851D3"/>
    <w:rsid w:val="00487E23"/>
    <w:rsid w:val="004906BF"/>
    <w:rsid w:val="004925F4"/>
    <w:rsid w:val="0049378E"/>
    <w:rsid w:val="00495804"/>
    <w:rsid w:val="004A1828"/>
    <w:rsid w:val="004A1D89"/>
    <w:rsid w:val="004A2F8F"/>
    <w:rsid w:val="004A35F0"/>
    <w:rsid w:val="004A57EB"/>
    <w:rsid w:val="004A7E46"/>
    <w:rsid w:val="004B35BE"/>
    <w:rsid w:val="004B5AE4"/>
    <w:rsid w:val="004C069C"/>
    <w:rsid w:val="004C0A21"/>
    <w:rsid w:val="004C2AFF"/>
    <w:rsid w:val="004C383D"/>
    <w:rsid w:val="004C3E22"/>
    <w:rsid w:val="004C73CC"/>
    <w:rsid w:val="004C76E1"/>
    <w:rsid w:val="004D1764"/>
    <w:rsid w:val="004D4517"/>
    <w:rsid w:val="004D474D"/>
    <w:rsid w:val="004D5B80"/>
    <w:rsid w:val="004E409B"/>
    <w:rsid w:val="004E5558"/>
    <w:rsid w:val="004F29F6"/>
    <w:rsid w:val="004F2FCF"/>
    <w:rsid w:val="004F5AA7"/>
    <w:rsid w:val="005051B8"/>
    <w:rsid w:val="00507A09"/>
    <w:rsid w:val="0051016D"/>
    <w:rsid w:val="00510BD7"/>
    <w:rsid w:val="0051264B"/>
    <w:rsid w:val="005143E0"/>
    <w:rsid w:val="00520F5A"/>
    <w:rsid w:val="00522566"/>
    <w:rsid w:val="00524519"/>
    <w:rsid w:val="00524CDA"/>
    <w:rsid w:val="0052629E"/>
    <w:rsid w:val="00526F8E"/>
    <w:rsid w:val="00530F17"/>
    <w:rsid w:val="00532420"/>
    <w:rsid w:val="005342A3"/>
    <w:rsid w:val="0053590C"/>
    <w:rsid w:val="00542A2A"/>
    <w:rsid w:val="0054401F"/>
    <w:rsid w:val="00545C77"/>
    <w:rsid w:val="005462C8"/>
    <w:rsid w:val="0055287B"/>
    <w:rsid w:val="00552CB1"/>
    <w:rsid w:val="0055380A"/>
    <w:rsid w:val="0056200F"/>
    <w:rsid w:val="00562CE2"/>
    <w:rsid w:val="0056383C"/>
    <w:rsid w:val="005655D7"/>
    <w:rsid w:val="00570714"/>
    <w:rsid w:val="00570E52"/>
    <w:rsid w:val="0057258B"/>
    <w:rsid w:val="00572BB3"/>
    <w:rsid w:val="00573345"/>
    <w:rsid w:val="00574383"/>
    <w:rsid w:val="00575A0C"/>
    <w:rsid w:val="00575A22"/>
    <w:rsid w:val="00576CB7"/>
    <w:rsid w:val="00583F40"/>
    <w:rsid w:val="00591ED7"/>
    <w:rsid w:val="00592343"/>
    <w:rsid w:val="0059638A"/>
    <w:rsid w:val="005A4086"/>
    <w:rsid w:val="005A5391"/>
    <w:rsid w:val="005A6EED"/>
    <w:rsid w:val="005B14F4"/>
    <w:rsid w:val="005B3B71"/>
    <w:rsid w:val="005B4C4D"/>
    <w:rsid w:val="005B4D07"/>
    <w:rsid w:val="005B5D0C"/>
    <w:rsid w:val="005C1B67"/>
    <w:rsid w:val="005C44D7"/>
    <w:rsid w:val="005D0B72"/>
    <w:rsid w:val="005D0DF2"/>
    <w:rsid w:val="005D2470"/>
    <w:rsid w:val="005D37CB"/>
    <w:rsid w:val="005D3A0D"/>
    <w:rsid w:val="005D74A2"/>
    <w:rsid w:val="005E0C02"/>
    <w:rsid w:val="005E1077"/>
    <w:rsid w:val="005E145E"/>
    <w:rsid w:val="005E285E"/>
    <w:rsid w:val="005E33E3"/>
    <w:rsid w:val="005E4CC9"/>
    <w:rsid w:val="005E4E1D"/>
    <w:rsid w:val="005E6EF6"/>
    <w:rsid w:val="005F08AC"/>
    <w:rsid w:val="005F71A3"/>
    <w:rsid w:val="005F756D"/>
    <w:rsid w:val="006026A2"/>
    <w:rsid w:val="0060405C"/>
    <w:rsid w:val="00605ABB"/>
    <w:rsid w:val="00607454"/>
    <w:rsid w:val="00607788"/>
    <w:rsid w:val="00610995"/>
    <w:rsid w:val="00612D7E"/>
    <w:rsid w:val="00612E59"/>
    <w:rsid w:val="00614212"/>
    <w:rsid w:val="00615B32"/>
    <w:rsid w:val="00615B47"/>
    <w:rsid w:val="00617F18"/>
    <w:rsid w:val="006269EC"/>
    <w:rsid w:val="00627FD4"/>
    <w:rsid w:val="0063097A"/>
    <w:rsid w:val="00630B5B"/>
    <w:rsid w:val="00637FB1"/>
    <w:rsid w:val="00641C6F"/>
    <w:rsid w:val="00654A32"/>
    <w:rsid w:val="00655794"/>
    <w:rsid w:val="00660227"/>
    <w:rsid w:val="00664BEB"/>
    <w:rsid w:val="00665243"/>
    <w:rsid w:val="00666D91"/>
    <w:rsid w:val="00667008"/>
    <w:rsid w:val="00667426"/>
    <w:rsid w:val="006736DC"/>
    <w:rsid w:val="00676FBE"/>
    <w:rsid w:val="006772C0"/>
    <w:rsid w:val="00682165"/>
    <w:rsid w:val="0068388B"/>
    <w:rsid w:val="006842FD"/>
    <w:rsid w:val="0068461B"/>
    <w:rsid w:val="00685362"/>
    <w:rsid w:val="006868A3"/>
    <w:rsid w:val="00691F29"/>
    <w:rsid w:val="0069312C"/>
    <w:rsid w:val="006965B6"/>
    <w:rsid w:val="00696763"/>
    <w:rsid w:val="00697F81"/>
    <w:rsid w:val="006A3D94"/>
    <w:rsid w:val="006B05BA"/>
    <w:rsid w:val="006B18E5"/>
    <w:rsid w:val="006B23D7"/>
    <w:rsid w:val="006B33C8"/>
    <w:rsid w:val="006B522E"/>
    <w:rsid w:val="006B5F4E"/>
    <w:rsid w:val="006B7A88"/>
    <w:rsid w:val="006C0931"/>
    <w:rsid w:val="006C3E9F"/>
    <w:rsid w:val="006C78D0"/>
    <w:rsid w:val="006D111A"/>
    <w:rsid w:val="006D2494"/>
    <w:rsid w:val="006D4F3A"/>
    <w:rsid w:val="006E2894"/>
    <w:rsid w:val="006E30B1"/>
    <w:rsid w:val="006E4F12"/>
    <w:rsid w:val="006E5868"/>
    <w:rsid w:val="006E61D9"/>
    <w:rsid w:val="006F1179"/>
    <w:rsid w:val="006F1660"/>
    <w:rsid w:val="006F181E"/>
    <w:rsid w:val="006F4B9E"/>
    <w:rsid w:val="006F5427"/>
    <w:rsid w:val="0070342C"/>
    <w:rsid w:val="00707DDA"/>
    <w:rsid w:val="00712AF5"/>
    <w:rsid w:val="00713CEC"/>
    <w:rsid w:val="00716299"/>
    <w:rsid w:val="007217DB"/>
    <w:rsid w:val="007254C4"/>
    <w:rsid w:val="00730F61"/>
    <w:rsid w:val="00733934"/>
    <w:rsid w:val="007351D1"/>
    <w:rsid w:val="00741E29"/>
    <w:rsid w:val="007421E3"/>
    <w:rsid w:val="00742A57"/>
    <w:rsid w:val="007458F2"/>
    <w:rsid w:val="00747F9D"/>
    <w:rsid w:val="00750547"/>
    <w:rsid w:val="0075448F"/>
    <w:rsid w:val="00757E40"/>
    <w:rsid w:val="00761138"/>
    <w:rsid w:val="00762D06"/>
    <w:rsid w:val="007646B1"/>
    <w:rsid w:val="007646B7"/>
    <w:rsid w:val="0076628F"/>
    <w:rsid w:val="00771B2C"/>
    <w:rsid w:val="00771E47"/>
    <w:rsid w:val="0077553A"/>
    <w:rsid w:val="007759FB"/>
    <w:rsid w:val="00775A41"/>
    <w:rsid w:val="00782B61"/>
    <w:rsid w:val="00783E96"/>
    <w:rsid w:val="007856D2"/>
    <w:rsid w:val="007867F8"/>
    <w:rsid w:val="00786F61"/>
    <w:rsid w:val="007923F8"/>
    <w:rsid w:val="0079311F"/>
    <w:rsid w:val="00793A86"/>
    <w:rsid w:val="007956F8"/>
    <w:rsid w:val="00795A4C"/>
    <w:rsid w:val="007965CD"/>
    <w:rsid w:val="00796F53"/>
    <w:rsid w:val="0079781C"/>
    <w:rsid w:val="00797D95"/>
    <w:rsid w:val="007A05B9"/>
    <w:rsid w:val="007B0F85"/>
    <w:rsid w:val="007B38F7"/>
    <w:rsid w:val="007B775B"/>
    <w:rsid w:val="007C1AB8"/>
    <w:rsid w:val="007C697C"/>
    <w:rsid w:val="007D187D"/>
    <w:rsid w:val="007D3F1F"/>
    <w:rsid w:val="007D5EB8"/>
    <w:rsid w:val="007E0517"/>
    <w:rsid w:val="007E7CFE"/>
    <w:rsid w:val="007F1521"/>
    <w:rsid w:val="00801114"/>
    <w:rsid w:val="00803F8C"/>
    <w:rsid w:val="0080575B"/>
    <w:rsid w:val="00807B5F"/>
    <w:rsid w:val="00807DE4"/>
    <w:rsid w:val="00810087"/>
    <w:rsid w:val="00810806"/>
    <w:rsid w:val="008124FD"/>
    <w:rsid w:val="008169FE"/>
    <w:rsid w:val="00822831"/>
    <w:rsid w:val="00823B59"/>
    <w:rsid w:val="00824F80"/>
    <w:rsid w:val="00825B53"/>
    <w:rsid w:val="00826672"/>
    <w:rsid w:val="00826D92"/>
    <w:rsid w:val="00833BC7"/>
    <w:rsid w:val="00834C33"/>
    <w:rsid w:val="00835C1B"/>
    <w:rsid w:val="00841875"/>
    <w:rsid w:val="008454F2"/>
    <w:rsid w:val="008473FC"/>
    <w:rsid w:val="0084758C"/>
    <w:rsid w:val="00847CE4"/>
    <w:rsid w:val="0085010E"/>
    <w:rsid w:val="008512E0"/>
    <w:rsid w:val="00852B7D"/>
    <w:rsid w:val="008543EF"/>
    <w:rsid w:val="00855CC3"/>
    <w:rsid w:val="00857930"/>
    <w:rsid w:val="00857B97"/>
    <w:rsid w:val="00860227"/>
    <w:rsid w:val="00862C7D"/>
    <w:rsid w:val="0086579D"/>
    <w:rsid w:val="008670E1"/>
    <w:rsid w:val="00867556"/>
    <w:rsid w:val="00873413"/>
    <w:rsid w:val="008765BB"/>
    <w:rsid w:val="008774BE"/>
    <w:rsid w:val="00881D17"/>
    <w:rsid w:val="00885A55"/>
    <w:rsid w:val="00886FF2"/>
    <w:rsid w:val="008876C9"/>
    <w:rsid w:val="008911FD"/>
    <w:rsid w:val="00891AB0"/>
    <w:rsid w:val="008928E8"/>
    <w:rsid w:val="00893EE4"/>
    <w:rsid w:val="00895CCD"/>
    <w:rsid w:val="00895FDF"/>
    <w:rsid w:val="00897BA5"/>
    <w:rsid w:val="008A2540"/>
    <w:rsid w:val="008B13A0"/>
    <w:rsid w:val="008B2D14"/>
    <w:rsid w:val="008B5C86"/>
    <w:rsid w:val="008B7E83"/>
    <w:rsid w:val="008C72E0"/>
    <w:rsid w:val="008D1B0C"/>
    <w:rsid w:val="008D2603"/>
    <w:rsid w:val="008D6E9A"/>
    <w:rsid w:val="008D712E"/>
    <w:rsid w:val="008E0956"/>
    <w:rsid w:val="008F0905"/>
    <w:rsid w:val="008F6711"/>
    <w:rsid w:val="008F6B88"/>
    <w:rsid w:val="008F7B18"/>
    <w:rsid w:val="00901290"/>
    <w:rsid w:val="00902659"/>
    <w:rsid w:val="009074E8"/>
    <w:rsid w:val="0090773F"/>
    <w:rsid w:val="009101C8"/>
    <w:rsid w:val="0091293E"/>
    <w:rsid w:val="00915F4C"/>
    <w:rsid w:val="00920055"/>
    <w:rsid w:val="00925035"/>
    <w:rsid w:val="009255D9"/>
    <w:rsid w:val="0092581B"/>
    <w:rsid w:val="00925AEB"/>
    <w:rsid w:val="00926B7E"/>
    <w:rsid w:val="0092734D"/>
    <w:rsid w:val="00931ABD"/>
    <w:rsid w:val="009350C0"/>
    <w:rsid w:val="00936753"/>
    <w:rsid w:val="00936FDE"/>
    <w:rsid w:val="00955027"/>
    <w:rsid w:val="009570AA"/>
    <w:rsid w:val="00957509"/>
    <w:rsid w:val="00957C94"/>
    <w:rsid w:val="00963DD0"/>
    <w:rsid w:val="00965590"/>
    <w:rsid w:val="00965ADA"/>
    <w:rsid w:val="00965D4B"/>
    <w:rsid w:val="009662C9"/>
    <w:rsid w:val="009678F9"/>
    <w:rsid w:val="0097257C"/>
    <w:rsid w:val="0097368D"/>
    <w:rsid w:val="009749E3"/>
    <w:rsid w:val="0098009F"/>
    <w:rsid w:val="009805F0"/>
    <w:rsid w:val="00984DB6"/>
    <w:rsid w:val="009866BF"/>
    <w:rsid w:val="0098771E"/>
    <w:rsid w:val="00990B84"/>
    <w:rsid w:val="009949B0"/>
    <w:rsid w:val="009A20DD"/>
    <w:rsid w:val="009A58ED"/>
    <w:rsid w:val="009A61E7"/>
    <w:rsid w:val="009B01D3"/>
    <w:rsid w:val="009B306B"/>
    <w:rsid w:val="009B3A75"/>
    <w:rsid w:val="009B4EFB"/>
    <w:rsid w:val="009B728D"/>
    <w:rsid w:val="009C24BC"/>
    <w:rsid w:val="009C2E1B"/>
    <w:rsid w:val="009C2F5D"/>
    <w:rsid w:val="009D14DA"/>
    <w:rsid w:val="009D5936"/>
    <w:rsid w:val="009E13A2"/>
    <w:rsid w:val="009E20C9"/>
    <w:rsid w:val="009E352A"/>
    <w:rsid w:val="009E3CDA"/>
    <w:rsid w:val="009E4FEE"/>
    <w:rsid w:val="009F163E"/>
    <w:rsid w:val="009F19C1"/>
    <w:rsid w:val="009F4B71"/>
    <w:rsid w:val="009F71C3"/>
    <w:rsid w:val="009F7753"/>
    <w:rsid w:val="00A01110"/>
    <w:rsid w:val="00A01D62"/>
    <w:rsid w:val="00A036E7"/>
    <w:rsid w:val="00A04AC4"/>
    <w:rsid w:val="00A04C28"/>
    <w:rsid w:val="00A06BBB"/>
    <w:rsid w:val="00A10ED3"/>
    <w:rsid w:val="00A12C58"/>
    <w:rsid w:val="00A13CF4"/>
    <w:rsid w:val="00A1584B"/>
    <w:rsid w:val="00A16CA6"/>
    <w:rsid w:val="00A16F40"/>
    <w:rsid w:val="00A1794C"/>
    <w:rsid w:val="00A249F9"/>
    <w:rsid w:val="00A274C4"/>
    <w:rsid w:val="00A3355F"/>
    <w:rsid w:val="00A33644"/>
    <w:rsid w:val="00A41532"/>
    <w:rsid w:val="00A42B54"/>
    <w:rsid w:val="00A57F0F"/>
    <w:rsid w:val="00A60FCD"/>
    <w:rsid w:val="00A75AEB"/>
    <w:rsid w:val="00A768A4"/>
    <w:rsid w:val="00A772A5"/>
    <w:rsid w:val="00A77B2B"/>
    <w:rsid w:val="00A82708"/>
    <w:rsid w:val="00A82B17"/>
    <w:rsid w:val="00A906C1"/>
    <w:rsid w:val="00A90BA2"/>
    <w:rsid w:val="00A9176D"/>
    <w:rsid w:val="00A933EE"/>
    <w:rsid w:val="00A94563"/>
    <w:rsid w:val="00A97D22"/>
    <w:rsid w:val="00A97F6D"/>
    <w:rsid w:val="00AA3D84"/>
    <w:rsid w:val="00AA5C21"/>
    <w:rsid w:val="00AA5D44"/>
    <w:rsid w:val="00AA6B89"/>
    <w:rsid w:val="00AA75B0"/>
    <w:rsid w:val="00AB1411"/>
    <w:rsid w:val="00AB185E"/>
    <w:rsid w:val="00AB38D8"/>
    <w:rsid w:val="00AB3D07"/>
    <w:rsid w:val="00AB5144"/>
    <w:rsid w:val="00AB5ADF"/>
    <w:rsid w:val="00AC0D22"/>
    <w:rsid w:val="00AC143D"/>
    <w:rsid w:val="00AC2217"/>
    <w:rsid w:val="00AC606C"/>
    <w:rsid w:val="00AC60AB"/>
    <w:rsid w:val="00AC6E13"/>
    <w:rsid w:val="00AD149F"/>
    <w:rsid w:val="00AD184E"/>
    <w:rsid w:val="00AD270C"/>
    <w:rsid w:val="00AD4F97"/>
    <w:rsid w:val="00AD62AB"/>
    <w:rsid w:val="00AD694B"/>
    <w:rsid w:val="00AD7157"/>
    <w:rsid w:val="00AD77D9"/>
    <w:rsid w:val="00AE1812"/>
    <w:rsid w:val="00AE22E2"/>
    <w:rsid w:val="00AE28CA"/>
    <w:rsid w:val="00AE4AFE"/>
    <w:rsid w:val="00AE501D"/>
    <w:rsid w:val="00AF0222"/>
    <w:rsid w:val="00AF02F9"/>
    <w:rsid w:val="00AF0879"/>
    <w:rsid w:val="00AF096C"/>
    <w:rsid w:val="00AF3501"/>
    <w:rsid w:val="00AF6296"/>
    <w:rsid w:val="00AF7BAC"/>
    <w:rsid w:val="00B01677"/>
    <w:rsid w:val="00B02CD9"/>
    <w:rsid w:val="00B11EB3"/>
    <w:rsid w:val="00B142A3"/>
    <w:rsid w:val="00B145B7"/>
    <w:rsid w:val="00B1781D"/>
    <w:rsid w:val="00B221C7"/>
    <w:rsid w:val="00B239B3"/>
    <w:rsid w:val="00B26F17"/>
    <w:rsid w:val="00B34BB1"/>
    <w:rsid w:val="00B34C11"/>
    <w:rsid w:val="00B3620B"/>
    <w:rsid w:val="00B3683D"/>
    <w:rsid w:val="00B45141"/>
    <w:rsid w:val="00B45FAA"/>
    <w:rsid w:val="00B46993"/>
    <w:rsid w:val="00B50812"/>
    <w:rsid w:val="00B5114D"/>
    <w:rsid w:val="00B55616"/>
    <w:rsid w:val="00B55DA0"/>
    <w:rsid w:val="00B63E74"/>
    <w:rsid w:val="00B64DC0"/>
    <w:rsid w:val="00B65B61"/>
    <w:rsid w:val="00B65CDE"/>
    <w:rsid w:val="00B67F35"/>
    <w:rsid w:val="00B7310E"/>
    <w:rsid w:val="00B73408"/>
    <w:rsid w:val="00B75973"/>
    <w:rsid w:val="00B77B96"/>
    <w:rsid w:val="00B81B8E"/>
    <w:rsid w:val="00B8393F"/>
    <w:rsid w:val="00B929E9"/>
    <w:rsid w:val="00B944BB"/>
    <w:rsid w:val="00B950DD"/>
    <w:rsid w:val="00BA0934"/>
    <w:rsid w:val="00BA1EAC"/>
    <w:rsid w:val="00BA5337"/>
    <w:rsid w:val="00BA5A1A"/>
    <w:rsid w:val="00BA70BC"/>
    <w:rsid w:val="00BA79CB"/>
    <w:rsid w:val="00BA7B0A"/>
    <w:rsid w:val="00BB1434"/>
    <w:rsid w:val="00BB44FF"/>
    <w:rsid w:val="00BB772F"/>
    <w:rsid w:val="00BB7956"/>
    <w:rsid w:val="00BC0E1D"/>
    <w:rsid w:val="00BC23EC"/>
    <w:rsid w:val="00BC3B86"/>
    <w:rsid w:val="00BC5937"/>
    <w:rsid w:val="00BD2761"/>
    <w:rsid w:val="00BD3157"/>
    <w:rsid w:val="00BD57AE"/>
    <w:rsid w:val="00BE1866"/>
    <w:rsid w:val="00BE2E52"/>
    <w:rsid w:val="00BE3662"/>
    <w:rsid w:val="00BF137A"/>
    <w:rsid w:val="00BF4319"/>
    <w:rsid w:val="00BF536D"/>
    <w:rsid w:val="00BF5570"/>
    <w:rsid w:val="00BF5724"/>
    <w:rsid w:val="00C006EF"/>
    <w:rsid w:val="00C008A3"/>
    <w:rsid w:val="00C00D74"/>
    <w:rsid w:val="00C02C9D"/>
    <w:rsid w:val="00C03048"/>
    <w:rsid w:val="00C0366C"/>
    <w:rsid w:val="00C045A9"/>
    <w:rsid w:val="00C063C5"/>
    <w:rsid w:val="00C068D6"/>
    <w:rsid w:val="00C15032"/>
    <w:rsid w:val="00C208D7"/>
    <w:rsid w:val="00C23473"/>
    <w:rsid w:val="00C236F4"/>
    <w:rsid w:val="00C30EE0"/>
    <w:rsid w:val="00C338A2"/>
    <w:rsid w:val="00C37035"/>
    <w:rsid w:val="00C37078"/>
    <w:rsid w:val="00C44FC1"/>
    <w:rsid w:val="00C45B37"/>
    <w:rsid w:val="00C45EF4"/>
    <w:rsid w:val="00C469B2"/>
    <w:rsid w:val="00C475D0"/>
    <w:rsid w:val="00C47B00"/>
    <w:rsid w:val="00C55C73"/>
    <w:rsid w:val="00C706B2"/>
    <w:rsid w:val="00C75DB0"/>
    <w:rsid w:val="00C83016"/>
    <w:rsid w:val="00C86B33"/>
    <w:rsid w:val="00C91A34"/>
    <w:rsid w:val="00CA0C4E"/>
    <w:rsid w:val="00CA1D05"/>
    <w:rsid w:val="00CA75B4"/>
    <w:rsid w:val="00CB138F"/>
    <w:rsid w:val="00CB1768"/>
    <w:rsid w:val="00CC0F03"/>
    <w:rsid w:val="00CC316A"/>
    <w:rsid w:val="00CC31C0"/>
    <w:rsid w:val="00CC6D8F"/>
    <w:rsid w:val="00CC7A56"/>
    <w:rsid w:val="00CD0843"/>
    <w:rsid w:val="00CD2F18"/>
    <w:rsid w:val="00CD347A"/>
    <w:rsid w:val="00CD58F6"/>
    <w:rsid w:val="00CD5D6E"/>
    <w:rsid w:val="00CD6BB3"/>
    <w:rsid w:val="00CE123B"/>
    <w:rsid w:val="00CE21ED"/>
    <w:rsid w:val="00CE4743"/>
    <w:rsid w:val="00CF011A"/>
    <w:rsid w:val="00CF5CE1"/>
    <w:rsid w:val="00CF6A1D"/>
    <w:rsid w:val="00D0125D"/>
    <w:rsid w:val="00D01395"/>
    <w:rsid w:val="00D02524"/>
    <w:rsid w:val="00D03413"/>
    <w:rsid w:val="00D042D9"/>
    <w:rsid w:val="00D044C3"/>
    <w:rsid w:val="00D0482A"/>
    <w:rsid w:val="00D05B56"/>
    <w:rsid w:val="00D06FBC"/>
    <w:rsid w:val="00D11BB0"/>
    <w:rsid w:val="00D13062"/>
    <w:rsid w:val="00D14696"/>
    <w:rsid w:val="00D153F5"/>
    <w:rsid w:val="00D15F4C"/>
    <w:rsid w:val="00D16A7B"/>
    <w:rsid w:val="00D22B91"/>
    <w:rsid w:val="00D22C6D"/>
    <w:rsid w:val="00D23159"/>
    <w:rsid w:val="00D25A65"/>
    <w:rsid w:val="00D31804"/>
    <w:rsid w:val="00D33B27"/>
    <w:rsid w:val="00D34E4C"/>
    <w:rsid w:val="00D35407"/>
    <w:rsid w:val="00D35FC8"/>
    <w:rsid w:val="00D3646D"/>
    <w:rsid w:val="00D40B04"/>
    <w:rsid w:val="00D413A4"/>
    <w:rsid w:val="00D43236"/>
    <w:rsid w:val="00D448F8"/>
    <w:rsid w:val="00D46587"/>
    <w:rsid w:val="00D512B4"/>
    <w:rsid w:val="00D52A50"/>
    <w:rsid w:val="00D6504A"/>
    <w:rsid w:val="00D7012F"/>
    <w:rsid w:val="00D70EA0"/>
    <w:rsid w:val="00D738E7"/>
    <w:rsid w:val="00D75FC5"/>
    <w:rsid w:val="00D76D61"/>
    <w:rsid w:val="00D77E85"/>
    <w:rsid w:val="00D84B3A"/>
    <w:rsid w:val="00D87897"/>
    <w:rsid w:val="00D9370A"/>
    <w:rsid w:val="00DA1922"/>
    <w:rsid w:val="00DA3D61"/>
    <w:rsid w:val="00DA7949"/>
    <w:rsid w:val="00DB05EF"/>
    <w:rsid w:val="00DB09E6"/>
    <w:rsid w:val="00DB3185"/>
    <w:rsid w:val="00DB3B0F"/>
    <w:rsid w:val="00DB4B4A"/>
    <w:rsid w:val="00DB671A"/>
    <w:rsid w:val="00DC4A3F"/>
    <w:rsid w:val="00DC5105"/>
    <w:rsid w:val="00DC67F6"/>
    <w:rsid w:val="00DD1FA4"/>
    <w:rsid w:val="00DD6BE2"/>
    <w:rsid w:val="00DE0045"/>
    <w:rsid w:val="00DE0A93"/>
    <w:rsid w:val="00DE1C1C"/>
    <w:rsid w:val="00DE3848"/>
    <w:rsid w:val="00DE572E"/>
    <w:rsid w:val="00DE64B7"/>
    <w:rsid w:val="00DE6A5C"/>
    <w:rsid w:val="00DE7DD2"/>
    <w:rsid w:val="00DF0E2A"/>
    <w:rsid w:val="00DF188F"/>
    <w:rsid w:val="00DF4E06"/>
    <w:rsid w:val="00DF6780"/>
    <w:rsid w:val="00DF71EB"/>
    <w:rsid w:val="00DF78E7"/>
    <w:rsid w:val="00E005A0"/>
    <w:rsid w:val="00E00E3D"/>
    <w:rsid w:val="00E01840"/>
    <w:rsid w:val="00E02538"/>
    <w:rsid w:val="00E02F55"/>
    <w:rsid w:val="00E0506A"/>
    <w:rsid w:val="00E115DE"/>
    <w:rsid w:val="00E14C60"/>
    <w:rsid w:val="00E16691"/>
    <w:rsid w:val="00E210C9"/>
    <w:rsid w:val="00E23F34"/>
    <w:rsid w:val="00E25694"/>
    <w:rsid w:val="00E25DDD"/>
    <w:rsid w:val="00E33A3E"/>
    <w:rsid w:val="00E340D8"/>
    <w:rsid w:val="00E3456D"/>
    <w:rsid w:val="00E34956"/>
    <w:rsid w:val="00E3518D"/>
    <w:rsid w:val="00E355F4"/>
    <w:rsid w:val="00E458A6"/>
    <w:rsid w:val="00E466E1"/>
    <w:rsid w:val="00E5048F"/>
    <w:rsid w:val="00E54F00"/>
    <w:rsid w:val="00E604A4"/>
    <w:rsid w:val="00E627E4"/>
    <w:rsid w:val="00E664E7"/>
    <w:rsid w:val="00E67848"/>
    <w:rsid w:val="00E70878"/>
    <w:rsid w:val="00E71D75"/>
    <w:rsid w:val="00E721D6"/>
    <w:rsid w:val="00E725FB"/>
    <w:rsid w:val="00E7304B"/>
    <w:rsid w:val="00E75634"/>
    <w:rsid w:val="00E76D2D"/>
    <w:rsid w:val="00E77878"/>
    <w:rsid w:val="00E80774"/>
    <w:rsid w:val="00E80B11"/>
    <w:rsid w:val="00E81628"/>
    <w:rsid w:val="00E83973"/>
    <w:rsid w:val="00E8550D"/>
    <w:rsid w:val="00E85B69"/>
    <w:rsid w:val="00E85C64"/>
    <w:rsid w:val="00E93658"/>
    <w:rsid w:val="00EA4859"/>
    <w:rsid w:val="00EA625F"/>
    <w:rsid w:val="00EA7115"/>
    <w:rsid w:val="00EA797A"/>
    <w:rsid w:val="00EB0172"/>
    <w:rsid w:val="00EB3055"/>
    <w:rsid w:val="00EB554B"/>
    <w:rsid w:val="00EC2317"/>
    <w:rsid w:val="00EC5509"/>
    <w:rsid w:val="00ED026E"/>
    <w:rsid w:val="00ED1028"/>
    <w:rsid w:val="00ED148E"/>
    <w:rsid w:val="00ED7412"/>
    <w:rsid w:val="00EE0D9A"/>
    <w:rsid w:val="00EE395E"/>
    <w:rsid w:val="00EE7322"/>
    <w:rsid w:val="00EF5687"/>
    <w:rsid w:val="00EF7440"/>
    <w:rsid w:val="00EF7F6C"/>
    <w:rsid w:val="00F00899"/>
    <w:rsid w:val="00F02A4A"/>
    <w:rsid w:val="00F05962"/>
    <w:rsid w:val="00F07D25"/>
    <w:rsid w:val="00F133C2"/>
    <w:rsid w:val="00F15592"/>
    <w:rsid w:val="00F167BF"/>
    <w:rsid w:val="00F20106"/>
    <w:rsid w:val="00F2275D"/>
    <w:rsid w:val="00F22D27"/>
    <w:rsid w:val="00F30255"/>
    <w:rsid w:val="00F30E1D"/>
    <w:rsid w:val="00F314B2"/>
    <w:rsid w:val="00F33B05"/>
    <w:rsid w:val="00F343DD"/>
    <w:rsid w:val="00F377D2"/>
    <w:rsid w:val="00F46C34"/>
    <w:rsid w:val="00F50B27"/>
    <w:rsid w:val="00F521DC"/>
    <w:rsid w:val="00F54609"/>
    <w:rsid w:val="00F63A82"/>
    <w:rsid w:val="00F673D1"/>
    <w:rsid w:val="00F7050D"/>
    <w:rsid w:val="00F70DA5"/>
    <w:rsid w:val="00F75656"/>
    <w:rsid w:val="00F76E38"/>
    <w:rsid w:val="00F80D11"/>
    <w:rsid w:val="00F82090"/>
    <w:rsid w:val="00F82B86"/>
    <w:rsid w:val="00F83D28"/>
    <w:rsid w:val="00F8680B"/>
    <w:rsid w:val="00F91094"/>
    <w:rsid w:val="00F9184C"/>
    <w:rsid w:val="00F91F79"/>
    <w:rsid w:val="00F93F71"/>
    <w:rsid w:val="00FA1C42"/>
    <w:rsid w:val="00FA3FF3"/>
    <w:rsid w:val="00FA56A6"/>
    <w:rsid w:val="00FA72B6"/>
    <w:rsid w:val="00FA7789"/>
    <w:rsid w:val="00FA786C"/>
    <w:rsid w:val="00FA797E"/>
    <w:rsid w:val="00FB004D"/>
    <w:rsid w:val="00FB2370"/>
    <w:rsid w:val="00FB29EF"/>
    <w:rsid w:val="00FB3722"/>
    <w:rsid w:val="00FB3F99"/>
    <w:rsid w:val="00FB5B06"/>
    <w:rsid w:val="00FB5C44"/>
    <w:rsid w:val="00FC0BA3"/>
    <w:rsid w:val="00FC0D7A"/>
    <w:rsid w:val="00FC1C59"/>
    <w:rsid w:val="00FD0422"/>
    <w:rsid w:val="00FD2270"/>
    <w:rsid w:val="00FD36B1"/>
    <w:rsid w:val="00FD6CC2"/>
    <w:rsid w:val="00FE0038"/>
    <w:rsid w:val="00FE0F88"/>
    <w:rsid w:val="00FE2C52"/>
    <w:rsid w:val="00FE4E1E"/>
    <w:rsid w:val="00FE6D8E"/>
    <w:rsid w:val="00FE6FA6"/>
    <w:rsid w:val="00FE71CC"/>
    <w:rsid w:val="00FE7C00"/>
    <w:rsid w:val="00FF1FCE"/>
    <w:rsid w:val="00FF407C"/>
    <w:rsid w:val="00FF554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45BD8"/>
  <w15:docId w15:val="{0FB45071-8122-4491-BF10-1E7BA432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443218"/>
    <w:pPr>
      <w:widowControl w:val="0"/>
      <w:autoSpaceDE w:val="0"/>
      <w:autoSpaceDN w:val="0"/>
    </w:pPr>
    <w:rPr>
      <w:rFonts w:ascii="Times New Roman" w:eastAsia="Times New Roman" w:hAnsi="Times New Roman"/>
      <w:sz w:val="22"/>
      <w:szCs w:val="22"/>
      <w:lang w:val="en-GB" w:eastAsia="en-GB" w:bidi="en-GB"/>
    </w:rPr>
  </w:style>
  <w:style w:type="paragraph" w:styleId="Antrat1">
    <w:name w:val="heading 1"/>
    <w:basedOn w:val="prastasis"/>
    <w:uiPriority w:val="1"/>
    <w:qFormat/>
    <w:pPr>
      <w:ind w:left="844" w:hanging="567"/>
      <w:outlineLvl w:val="0"/>
    </w:pPr>
    <w:rPr>
      <w:b/>
      <w:bCs/>
    </w:rPr>
  </w:style>
  <w:style w:type="paragraph" w:styleId="Antrat2">
    <w:name w:val="heading 2"/>
    <w:basedOn w:val="prastasis"/>
    <w:next w:val="prastasis"/>
    <w:link w:val="Antrat2Diagrama"/>
    <w:uiPriority w:val="9"/>
    <w:semiHidden/>
    <w:unhideWhenUsed/>
    <w:qFormat/>
    <w:rsid w:val="0051016D"/>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34"/>
    <w:qFormat/>
    <w:pPr>
      <w:ind w:left="844" w:hanging="567"/>
    </w:pPr>
  </w:style>
  <w:style w:type="paragraph" w:customStyle="1" w:styleId="TableParagraph">
    <w:name w:val="Table Paragraph"/>
    <w:basedOn w:val="prastasis"/>
    <w:uiPriority w:val="1"/>
    <w:qFormat/>
    <w:pPr>
      <w:spacing w:line="127" w:lineRule="exact"/>
    </w:pPr>
  </w:style>
  <w:style w:type="character" w:styleId="Komentaronuoroda">
    <w:name w:val="annotation reference"/>
    <w:uiPriority w:val="99"/>
    <w:semiHidden/>
    <w:unhideWhenUsed/>
    <w:rsid w:val="00B46993"/>
    <w:rPr>
      <w:sz w:val="16"/>
      <w:szCs w:val="16"/>
    </w:rPr>
  </w:style>
  <w:style w:type="paragraph" w:styleId="Komentarotekstas">
    <w:name w:val="annotation text"/>
    <w:basedOn w:val="prastasis"/>
    <w:link w:val="KomentarotekstasDiagrama"/>
    <w:uiPriority w:val="99"/>
    <w:unhideWhenUsed/>
    <w:rsid w:val="00443218"/>
    <w:rPr>
      <w:sz w:val="20"/>
      <w:szCs w:val="20"/>
      <w:lang w:val="lv-LV"/>
    </w:rPr>
  </w:style>
  <w:style w:type="character" w:customStyle="1" w:styleId="KomentarotekstasDiagrama">
    <w:name w:val="Komentaro tekstas Diagrama"/>
    <w:link w:val="Komentarotekstas"/>
    <w:uiPriority w:val="99"/>
    <w:rsid w:val="00443218"/>
    <w:rPr>
      <w:rFonts w:ascii="Times New Roman" w:eastAsia="Times New Roman" w:hAnsi="Times New Roman"/>
      <w:lang w:eastAsia="en-GB" w:bidi="en-GB"/>
    </w:rPr>
  </w:style>
  <w:style w:type="paragraph" w:styleId="Komentarotema">
    <w:name w:val="annotation subject"/>
    <w:basedOn w:val="Komentarotekstas"/>
    <w:next w:val="Komentarotekstas"/>
    <w:link w:val="KomentarotemaDiagrama"/>
    <w:uiPriority w:val="99"/>
    <w:semiHidden/>
    <w:unhideWhenUsed/>
    <w:rsid w:val="00B46993"/>
    <w:rPr>
      <w:b/>
      <w:bCs/>
    </w:rPr>
  </w:style>
  <w:style w:type="character" w:customStyle="1" w:styleId="KomentarotemaDiagrama">
    <w:name w:val="Komentaro tema Diagrama"/>
    <w:link w:val="Komentarotema"/>
    <w:uiPriority w:val="99"/>
    <w:semiHidden/>
    <w:rsid w:val="00B46993"/>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46993"/>
    <w:rPr>
      <w:rFonts w:ascii="Segoe UI" w:hAnsi="Segoe UI" w:cs="Segoe UI"/>
      <w:sz w:val="18"/>
      <w:szCs w:val="18"/>
    </w:rPr>
  </w:style>
  <w:style w:type="character" w:customStyle="1" w:styleId="DebesliotekstasDiagrama">
    <w:name w:val="Debesėlio tekstas Diagrama"/>
    <w:link w:val="Debesliotekstas"/>
    <w:uiPriority w:val="99"/>
    <w:semiHidden/>
    <w:rsid w:val="00B46993"/>
    <w:rPr>
      <w:rFonts w:ascii="Segoe UI" w:eastAsia="Times New Roman" w:hAnsi="Segoe UI" w:cs="Segoe UI"/>
      <w:sz w:val="18"/>
      <w:szCs w:val="18"/>
    </w:rPr>
  </w:style>
  <w:style w:type="paragraph" w:styleId="Betarp">
    <w:name w:val="No Spacing"/>
    <w:uiPriority w:val="1"/>
    <w:qFormat/>
    <w:rsid w:val="002D4A26"/>
    <w:pPr>
      <w:widowControl w:val="0"/>
      <w:autoSpaceDE w:val="0"/>
      <w:autoSpaceDN w:val="0"/>
    </w:pPr>
    <w:rPr>
      <w:rFonts w:ascii="Times New Roman" w:eastAsia="Times New Roman" w:hAnsi="Times New Roman"/>
      <w:sz w:val="22"/>
      <w:szCs w:val="22"/>
      <w:lang w:val="en-GB" w:eastAsia="en-GB" w:bidi="en-GB"/>
    </w:rPr>
  </w:style>
  <w:style w:type="character" w:styleId="Hipersaitas">
    <w:name w:val="Hyperlink"/>
    <w:uiPriority w:val="99"/>
    <w:unhideWhenUsed/>
    <w:rsid w:val="0047491F"/>
    <w:rPr>
      <w:color w:val="0563C1"/>
      <w:u w:val="single"/>
    </w:rPr>
  </w:style>
  <w:style w:type="character" w:customStyle="1" w:styleId="PagrindinistekstasDiagrama">
    <w:name w:val="Pagrindinis tekstas Diagrama"/>
    <w:link w:val="Pagrindinistekstas"/>
    <w:uiPriority w:val="1"/>
    <w:rsid w:val="00443218"/>
    <w:rPr>
      <w:rFonts w:ascii="Times New Roman" w:eastAsia="Times New Roman" w:hAnsi="Times New Roman"/>
      <w:sz w:val="22"/>
      <w:szCs w:val="22"/>
      <w:lang w:val="en-GB" w:eastAsia="en-GB" w:bidi="en-GB"/>
    </w:rPr>
  </w:style>
  <w:style w:type="table" w:styleId="Lentelstinklelis">
    <w:name w:val="Table Grid"/>
    <w:basedOn w:val="prastojilentel"/>
    <w:uiPriority w:val="39"/>
    <w:rsid w:val="00860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82090"/>
    <w:pPr>
      <w:tabs>
        <w:tab w:val="center" w:pos="4153"/>
        <w:tab w:val="right" w:pos="8306"/>
      </w:tabs>
    </w:pPr>
  </w:style>
  <w:style w:type="character" w:customStyle="1" w:styleId="AntratsDiagrama">
    <w:name w:val="Antraštės Diagrama"/>
    <w:link w:val="Antrats"/>
    <w:uiPriority w:val="99"/>
    <w:rsid w:val="00F82090"/>
    <w:rPr>
      <w:rFonts w:ascii="Times New Roman" w:eastAsia="Times New Roman" w:hAnsi="Times New Roman"/>
      <w:sz w:val="22"/>
      <w:szCs w:val="22"/>
      <w:lang w:val="en-GB" w:eastAsia="en-GB" w:bidi="en-GB"/>
    </w:rPr>
  </w:style>
  <w:style w:type="paragraph" w:styleId="Porat">
    <w:name w:val="footer"/>
    <w:basedOn w:val="prastasis"/>
    <w:link w:val="PoratDiagrama"/>
    <w:uiPriority w:val="99"/>
    <w:unhideWhenUsed/>
    <w:rsid w:val="00F82090"/>
    <w:pPr>
      <w:tabs>
        <w:tab w:val="center" w:pos="4153"/>
        <w:tab w:val="right" w:pos="8306"/>
      </w:tabs>
    </w:pPr>
  </w:style>
  <w:style w:type="character" w:customStyle="1" w:styleId="PoratDiagrama">
    <w:name w:val="Poraštė Diagrama"/>
    <w:link w:val="Porat"/>
    <w:uiPriority w:val="99"/>
    <w:rsid w:val="00F82090"/>
    <w:rPr>
      <w:rFonts w:ascii="Times New Roman" w:eastAsia="Times New Roman" w:hAnsi="Times New Roman"/>
      <w:sz w:val="22"/>
      <w:szCs w:val="22"/>
      <w:lang w:val="en-GB" w:eastAsia="en-GB" w:bidi="en-GB"/>
    </w:rPr>
  </w:style>
  <w:style w:type="character" w:customStyle="1" w:styleId="Antrat2Diagrama">
    <w:name w:val="Antraštė 2 Diagrama"/>
    <w:link w:val="Antrat2"/>
    <w:uiPriority w:val="9"/>
    <w:semiHidden/>
    <w:rsid w:val="0051016D"/>
    <w:rPr>
      <w:rFonts w:ascii="Cambria" w:eastAsia="Times New Roman" w:hAnsi="Cambria" w:cs="Times New Roman"/>
      <w:b/>
      <w:bCs/>
      <w:i/>
      <w:iCs/>
      <w:sz w:val="28"/>
      <w:szCs w:val="28"/>
      <w:lang w:val="en-GB" w:eastAsia="en-GB" w:bidi="en-GB"/>
    </w:rPr>
  </w:style>
  <w:style w:type="paragraph" w:styleId="Paprastasistekstas">
    <w:name w:val="Plain Text"/>
    <w:basedOn w:val="prastasis"/>
    <w:link w:val="PaprastasistekstasDiagrama"/>
    <w:uiPriority w:val="99"/>
    <w:semiHidden/>
    <w:unhideWhenUsed/>
    <w:rsid w:val="0051016D"/>
    <w:pPr>
      <w:widowControl/>
      <w:autoSpaceDE/>
      <w:autoSpaceDN/>
    </w:pPr>
    <w:rPr>
      <w:rFonts w:ascii="Courier New" w:eastAsia="SimSun" w:hAnsi="Courier New"/>
      <w:sz w:val="20"/>
      <w:szCs w:val="20"/>
      <w:lang w:val="en-US" w:eastAsia="en-US" w:bidi="ar-SA"/>
    </w:rPr>
  </w:style>
  <w:style w:type="character" w:customStyle="1" w:styleId="PaprastasistekstasDiagrama">
    <w:name w:val="Paprastasis tekstas Diagrama"/>
    <w:link w:val="Paprastasistekstas"/>
    <w:uiPriority w:val="99"/>
    <w:semiHidden/>
    <w:rsid w:val="0051016D"/>
    <w:rPr>
      <w:rFonts w:ascii="Courier New" w:eastAsia="SimSun" w:hAnsi="Courier New"/>
    </w:rPr>
  </w:style>
  <w:style w:type="character" w:customStyle="1" w:styleId="BodytextAgencyChar">
    <w:name w:val="Body text (Agency) Char"/>
    <w:link w:val="BodytextAgency"/>
    <w:uiPriority w:val="99"/>
    <w:locked/>
    <w:rsid w:val="0051016D"/>
    <w:rPr>
      <w:rFonts w:ascii="Verdana" w:eastAsia="Times New Roman" w:hAnsi="Verdana"/>
      <w:sz w:val="18"/>
      <w:lang w:val="en-GB" w:eastAsia="x-none"/>
    </w:rPr>
  </w:style>
  <w:style w:type="paragraph" w:customStyle="1" w:styleId="BodytextAgency">
    <w:name w:val="Body text (Agency)"/>
    <w:basedOn w:val="prastasis"/>
    <w:link w:val="BodytextAgencyChar"/>
    <w:uiPriority w:val="99"/>
    <w:rsid w:val="0051016D"/>
    <w:pPr>
      <w:widowControl/>
      <w:autoSpaceDE/>
      <w:autoSpaceDN/>
      <w:snapToGrid w:val="0"/>
      <w:spacing w:after="140" w:line="280" w:lineRule="atLeast"/>
    </w:pPr>
    <w:rPr>
      <w:rFonts w:ascii="Verdana" w:hAnsi="Verdana"/>
      <w:sz w:val="18"/>
      <w:szCs w:val="20"/>
      <w:lang w:eastAsia="x-none" w:bidi="ar-SA"/>
    </w:rPr>
  </w:style>
  <w:style w:type="character" w:customStyle="1" w:styleId="NormalAgencyChar">
    <w:name w:val="Normal (Agency) Char"/>
    <w:link w:val="NormalAgency"/>
    <w:uiPriority w:val="99"/>
    <w:locked/>
    <w:rsid w:val="0051016D"/>
    <w:rPr>
      <w:rFonts w:ascii="Verdana" w:eastAsia="Times New Roman" w:hAnsi="Verdana"/>
      <w:sz w:val="18"/>
      <w:szCs w:val="22"/>
      <w:lang w:val="en-GB" w:eastAsia="lt-LT"/>
    </w:rPr>
  </w:style>
  <w:style w:type="paragraph" w:customStyle="1" w:styleId="NormalAgency">
    <w:name w:val="Normal (Agency)"/>
    <w:link w:val="NormalAgencyChar"/>
    <w:uiPriority w:val="99"/>
    <w:rsid w:val="0051016D"/>
    <w:pPr>
      <w:snapToGrid w:val="0"/>
    </w:pPr>
    <w:rPr>
      <w:rFonts w:ascii="Verdana" w:eastAsia="Times New Roman" w:hAnsi="Verdana"/>
      <w:sz w:val="18"/>
      <w:szCs w:val="22"/>
      <w:lang w:val="en-GB"/>
    </w:rPr>
  </w:style>
  <w:style w:type="paragraph" w:customStyle="1" w:styleId="TabletextrowsAgency">
    <w:name w:val="Table text rows (Agency)"/>
    <w:basedOn w:val="prastasis"/>
    <w:uiPriority w:val="99"/>
    <w:rsid w:val="0051016D"/>
    <w:pPr>
      <w:widowControl/>
      <w:autoSpaceDE/>
      <w:autoSpaceDN/>
      <w:snapToGrid w:val="0"/>
      <w:spacing w:line="280" w:lineRule="exact"/>
    </w:pPr>
    <w:rPr>
      <w:rFonts w:ascii="Verdana" w:hAnsi="Verdana"/>
      <w:sz w:val="18"/>
      <w:szCs w:val="20"/>
      <w:lang w:eastAsia="en-US" w:bidi="ar-SA"/>
    </w:rPr>
  </w:style>
  <w:style w:type="paragraph" w:customStyle="1" w:styleId="Default">
    <w:name w:val="Default"/>
    <w:rsid w:val="00AD149F"/>
    <w:pPr>
      <w:autoSpaceDE w:val="0"/>
      <w:autoSpaceDN w:val="0"/>
      <w:adjustRightInd w:val="0"/>
    </w:pPr>
    <w:rPr>
      <w:rFonts w:ascii="Verdana" w:hAnsi="Verdana" w:cs="Verdana"/>
      <w:color w:val="000000"/>
      <w:sz w:val="24"/>
      <w:szCs w:val="24"/>
      <w:lang w:val="en-US" w:eastAsia="en-US"/>
    </w:rPr>
  </w:style>
  <w:style w:type="character" w:customStyle="1" w:styleId="shorttext">
    <w:name w:val="short_text"/>
    <w:rsid w:val="00AD77D9"/>
  </w:style>
  <w:style w:type="paragraph" w:styleId="Pataisymai">
    <w:name w:val="Revision"/>
    <w:hidden/>
    <w:uiPriority w:val="99"/>
    <w:semiHidden/>
    <w:rsid w:val="000A7095"/>
    <w:rPr>
      <w:rFonts w:ascii="Times New Roman" w:eastAsia="Times New Roman" w:hAnsi="Times New Roman"/>
      <w:sz w:val="22"/>
      <w:szCs w:val="22"/>
      <w:lang w:val="en-GB" w:eastAsia="en-GB" w:bidi="en-GB"/>
    </w:rPr>
  </w:style>
  <w:style w:type="paragraph" w:styleId="Puslapioinaostekstas">
    <w:name w:val="footnote text"/>
    <w:basedOn w:val="prastasis"/>
    <w:link w:val="PuslapioinaostekstasDiagrama"/>
    <w:uiPriority w:val="99"/>
    <w:unhideWhenUsed/>
    <w:rsid w:val="00D16A7B"/>
    <w:rPr>
      <w:sz w:val="20"/>
      <w:szCs w:val="20"/>
    </w:rPr>
  </w:style>
  <w:style w:type="character" w:customStyle="1" w:styleId="PuslapioinaostekstasDiagrama">
    <w:name w:val="Puslapio išnašos tekstas Diagrama"/>
    <w:basedOn w:val="Numatytasispastraiposriftas"/>
    <w:link w:val="Puslapioinaostekstas"/>
    <w:uiPriority w:val="99"/>
    <w:rsid w:val="00D16A7B"/>
    <w:rPr>
      <w:rFonts w:ascii="Times New Roman" w:eastAsia="Times New Roman" w:hAnsi="Times New Roman"/>
      <w:lang w:val="en-GB" w:eastAsia="en-GB" w:bidi="en-GB"/>
    </w:rPr>
  </w:style>
  <w:style w:type="character" w:styleId="Puslapioinaosnuoroda">
    <w:name w:val="footnote reference"/>
    <w:basedOn w:val="Numatytasispastraiposriftas"/>
    <w:uiPriority w:val="99"/>
    <w:semiHidden/>
    <w:unhideWhenUsed/>
    <w:rsid w:val="00D16A7B"/>
    <w:rPr>
      <w:vertAlign w:val="superscript"/>
    </w:rPr>
  </w:style>
  <w:style w:type="character" w:styleId="Neapdorotaspaminjimas">
    <w:name w:val="Unresolved Mention"/>
    <w:basedOn w:val="Numatytasispastraiposriftas"/>
    <w:uiPriority w:val="99"/>
    <w:semiHidden/>
    <w:unhideWhenUsed/>
    <w:rsid w:val="00C03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347688">
      <w:bodyDiv w:val="1"/>
      <w:marLeft w:val="0"/>
      <w:marRight w:val="0"/>
      <w:marTop w:val="0"/>
      <w:marBottom w:val="0"/>
      <w:divBdr>
        <w:top w:val="none" w:sz="0" w:space="0" w:color="auto"/>
        <w:left w:val="none" w:sz="0" w:space="0" w:color="auto"/>
        <w:bottom w:val="none" w:sz="0" w:space="0" w:color="auto"/>
        <w:right w:val="none" w:sz="0" w:space="0" w:color="auto"/>
      </w:divBdr>
    </w:div>
    <w:div w:id="993029874">
      <w:bodyDiv w:val="1"/>
      <w:marLeft w:val="0"/>
      <w:marRight w:val="0"/>
      <w:marTop w:val="0"/>
      <w:marBottom w:val="0"/>
      <w:divBdr>
        <w:top w:val="none" w:sz="0" w:space="0" w:color="auto"/>
        <w:left w:val="none" w:sz="0" w:space="0" w:color="auto"/>
        <w:bottom w:val="none" w:sz="0" w:space="0" w:color="auto"/>
        <w:right w:val="none" w:sz="0" w:space="0" w:color="auto"/>
      </w:divBdr>
    </w:div>
    <w:div w:id="1023942650">
      <w:bodyDiv w:val="1"/>
      <w:marLeft w:val="0"/>
      <w:marRight w:val="0"/>
      <w:marTop w:val="0"/>
      <w:marBottom w:val="0"/>
      <w:divBdr>
        <w:top w:val="none" w:sz="0" w:space="0" w:color="auto"/>
        <w:left w:val="none" w:sz="0" w:space="0" w:color="auto"/>
        <w:bottom w:val="none" w:sz="0" w:space="0" w:color="auto"/>
        <w:right w:val="none" w:sz="0" w:space="0" w:color="auto"/>
      </w:divBdr>
    </w:div>
    <w:div w:id="1067845812">
      <w:bodyDiv w:val="1"/>
      <w:marLeft w:val="0"/>
      <w:marRight w:val="0"/>
      <w:marTop w:val="0"/>
      <w:marBottom w:val="0"/>
      <w:divBdr>
        <w:top w:val="none" w:sz="0" w:space="0" w:color="auto"/>
        <w:left w:val="none" w:sz="0" w:space="0" w:color="auto"/>
        <w:bottom w:val="none" w:sz="0" w:space="0" w:color="auto"/>
        <w:right w:val="none" w:sz="0" w:space="0" w:color="auto"/>
      </w:divBdr>
    </w:div>
    <w:div w:id="1433161885">
      <w:bodyDiv w:val="1"/>
      <w:marLeft w:val="0"/>
      <w:marRight w:val="0"/>
      <w:marTop w:val="0"/>
      <w:marBottom w:val="0"/>
      <w:divBdr>
        <w:top w:val="none" w:sz="0" w:space="0" w:color="auto"/>
        <w:left w:val="none" w:sz="0" w:space="0" w:color="auto"/>
        <w:bottom w:val="none" w:sz="0" w:space="0" w:color="auto"/>
        <w:right w:val="none" w:sz="0" w:space="0" w:color="auto"/>
      </w:divBdr>
    </w:div>
    <w:div w:id="1464807095">
      <w:bodyDiv w:val="1"/>
      <w:marLeft w:val="0"/>
      <w:marRight w:val="0"/>
      <w:marTop w:val="0"/>
      <w:marBottom w:val="0"/>
      <w:divBdr>
        <w:top w:val="none" w:sz="0" w:space="0" w:color="auto"/>
        <w:left w:val="none" w:sz="0" w:space="0" w:color="auto"/>
        <w:bottom w:val="none" w:sz="0" w:space="0" w:color="auto"/>
        <w:right w:val="none" w:sz="0" w:space="0" w:color="auto"/>
      </w:divBdr>
    </w:div>
    <w:div w:id="1593901547">
      <w:bodyDiv w:val="1"/>
      <w:marLeft w:val="0"/>
      <w:marRight w:val="0"/>
      <w:marTop w:val="0"/>
      <w:marBottom w:val="0"/>
      <w:divBdr>
        <w:top w:val="none" w:sz="0" w:space="0" w:color="auto"/>
        <w:left w:val="none" w:sz="0" w:space="0" w:color="auto"/>
        <w:bottom w:val="none" w:sz="0" w:space="0" w:color="auto"/>
        <w:right w:val="none" w:sz="0" w:space="0" w:color="auto"/>
      </w:divBdr>
    </w:div>
    <w:div w:id="1699431160">
      <w:bodyDiv w:val="1"/>
      <w:marLeft w:val="0"/>
      <w:marRight w:val="0"/>
      <w:marTop w:val="0"/>
      <w:marBottom w:val="0"/>
      <w:divBdr>
        <w:top w:val="none" w:sz="0" w:space="0" w:color="auto"/>
        <w:left w:val="none" w:sz="0" w:space="0" w:color="auto"/>
        <w:bottom w:val="none" w:sz="0" w:space="0" w:color="auto"/>
        <w:right w:val="none" w:sz="0" w:space="0" w:color="auto"/>
      </w:divBdr>
    </w:div>
    <w:div w:id="1710758075">
      <w:bodyDiv w:val="1"/>
      <w:marLeft w:val="0"/>
      <w:marRight w:val="0"/>
      <w:marTop w:val="0"/>
      <w:marBottom w:val="0"/>
      <w:divBdr>
        <w:top w:val="none" w:sz="0" w:space="0" w:color="auto"/>
        <w:left w:val="none" w:sz="0" w:space="0" w:color="auto"/>
        <w:bottom w:val="none" w:sz="0" w:space="0" w:color="auto"/>
        <w:right w:val="none" w:sz="0" w:space="0" w:color="auto"/>
      </w:divBdr>
    </w:div>
    <w:div w:id="1837383518">
      <w:bodyDiv w:val="1"/>
      <w:marLeft w:val="0"/>
      <w:marRight w:val="0"/>
      <w:marTop w:val="0"/>
      <w:marBottom w:val="0"/>
      <w:divBdr>
        <w:top w:val="none" w:sz="0" w:space="0" w:color="auto"/>
        <w:left w:val="none" w:sz="0" w:space="0" w:color="auto"/>
        <w:bottom w:val="none" w:sz="0" w:space="0" w:color="auto"/>
        <w:right w:val="none" w:sz="0" w:space="0" w:color="auto"/>
      </w:divBdr>
    </w:div>
    <w:div w:id="1897472038">
      <w:bodyDiv w:val="1"/>
      <w:marLeft w:val="0"/>
      <w:marRight w:val="0"/>
      <w:marTop w:val="0"/>
      <w:marBottom w:val="0"/>
      <w:divBdr>
        <w:top w:val="none" w:sz="0" w:space="0" w:color="auto"/>
        <w:left w:val="none" w:sz="0" w:space="0" w:color="auto"/>
        <w:bottom w:val="none" w:sz="0" w:space="0" w:color="auto"/>
        <w:right w:val="none" w:sz="0" w:space="0" w:color="auto"/>
      </w:divBdr>
    </w:div>
    <w:div w:id="1999840468">
      <w:bodyDiv w:val="1"/>
      <w:marLeft w:val="0"/>
      <w:marRight w:val="0"/>
      <w:marTop w:val="0"/>
      <w:marBottom w:val="0"/>
      <w:divBdr>
        <w:top w:val="none" w:sz="0" w:space="0" w:color="auto"/>
        <w:left w:val="none" w:sz="0" w:space="0" w:color="auto"/>
        <w:bottom w:val="none" w:sz="0" w:space="0" w:color="auto"/>
        <w:right w:val="none" w:sz="0" w:space="0" w:color="auto"/>
      </w:divBdr>
    </w:div>
    <w:div w:id="2021590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FCC4A-9421-4B1D-8081-D9A42EEC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47200</Words>
  <Characters>26905</Characters>
  <Application>Microsoft Office Word</Application>
  <DocSecurity>0</DocSecurity>
  <Lines>224</Lines>
  <Paragraphs>147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79</vt:i4>
      </vt:variant>
    </vt:vector>
  </HeadingPairs>
  <TitlesOfParts>
    <vt:vector size="8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 PRIEDAS</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
      <vt:lpstr/>
      <vt:lpstr/>
      <vt:lpstr/>
      <vt:lpstr/>
      <vt:lpstr/>
      <vt:lpstr/>
      <vt:lpstr/>
      <vt:lpstr/>
      <vt:lpstr/>
      <vt:lpstr/>
      <vt:lpstr/>
      <vt:lpstr/>
      <vt:lpstr/>
      <vt:lpstr/>
      <vt:lpstr/>
      <vt:lpstr/>
      <vt:lpstr/>
      <vt:lpstr/>
      <vt:lpstr/>
      <vt:lpstr/>
      <vt:lpstr/>
      <vt:lpstr>B. PAKUOTĖS LAPELIS</vt:lpstr>
    </vt:vector>
  </TitlesOfParts>
  <Company/>
  <LinksUpToDate>false</LinksUpToDate>
  <CharactersWithSpaces>73958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4522058</vt:i4>
      </vt:variant>
      <vt:variant>
        <vt:i4>15</vt:i4>
      </vt:variant>
      <vt:variant>
        <vt:i4>0</vt:i4>
      </vt:variant>
      <vt:variant>
        <vt:i4>5</vt:i4>
      </vt:variant>
      <vt:variant>
        <vt:lpwstr>https://www.vvkt.lt/index.php?4004286486</vt:lpwstr>
      </vt:variant>
      <vt:variant>
        <vt:lpwstr/>
      </vt:variant>
      <vt:variant>
        <vt:i4>3014769</vt:i4>
      </vt:variant>
      <vt:variant>
        <vt:i4>12</vt:i4>
      </vt:variant>
      <vt:variant>
        <vt:i4>0</vt:i4>
      </vt:variant>
      <vt:variant>
        <vt:i4>5</vt:i4>
      </vt:variant>
      <vt:variant>
        <vt:lpwstr>https://vapris.vvkt.lt/vvkt-web/public/nrv</vt:lpwstr>
      </vt:variant>
      <vt:variant>
        <vt:lpwstr/>
      </vt:variant>
      <vt:variant>
        <vt:i4>1245197</vt:i4>
      </vt:variant>
      <vt:variant>
        <vt:i4>9</vt:i4>
      </vt:variant>
      <vt:variant>
        <vt:i4>0</vt:i4>
      </vt:variant>
      <vt:variant>
        <vt:i4>5</vt:i4>
      </vt:variant>
      <vt:variant>
        <vt:lpwstr>http://www.ema.europa.eu/</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General-EMEA/248585/2005</dc:subject>
  <dc:creator>a</dc:creator>
  <cp:lastModifiedBy>Birutė Valkauskaitė</cp:lastModifiedBy>
  <cp:revision>2</cp:revision>
  <dcterms:created xsi:type="dcterms:W3CDTF">2026-05-13T07:28:00Z</dcterms:created>
  <dcterms:modified xsi:type="dcterms:W3CDTF">2026-05-13T07:28:00Z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Microsoft Office Word</vt:lpwstr>
  </property>
  <property fmtid="{D5CDD505-2E9C-101B-9397-08002B2CF9AE}" pid="4" name="LastSaved">
    <vt:filetime>2020-10-22T00:00:00Z</vt:filetime>
  </property>
</Properties>
</file>